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68277" w14:textId="77777777" w:rsidR="003D2C5B" w:rsidRDefault="00676829" w:rsidP="0095226D">
      <w:pPr>
        <w:jc w:val="center"/>
        <w:rPr>
          <w:rFonts w:ascii="Arial" w:hAnsi="Arial" w:cs="Arial"/>
          <w:b/>
        </w:rPr>
      </w:pPr>
      <w:bookmarkStart w:id="0" w:name="_GoBack"/>
      <w:bookmarkEnd w:id="0"/>
      <w:r w:rsidRPr="00E634F1">
        <w:rPr>
          <w:rFonts w:ascii="Arial" w:hAnsi="Arial" w:cs="Arial"/>
          <w:b/>
        </w:rPr>
        <w:t>INFORME SOBRE AUSTERIDAD Y E</w:t>
      </w:r>
      <w:r w:rsidR="0095226D">
        <w:rPr>
          <w:rFonts w:ascii="Arial" w:hAnsi="Arial" w:cs="Arial"/>
          <w:b/>
        </w:rPr>
        <w:t xml:space="preserve">FICIENCIA DEL GASTO PÚBLICO DEL </w:t>
      </w:r>
      <w:r w:rsidRPr="00E634F1">
        <w:rPr>
          <w:rFonts w:ascii="Arial" w:hAnsi="Arial" w:cs="Arial"/>
          <w:b/>
        </w:rPr>
        <w:t>MINISTERIO DE HACIENDA Y CRÉDITO PÚBLICO</w:t>
      </w:r>
      <w:r w:rsidR="006E5AD9" w:rsidRPr="00E634F1">
        <w:rPr>
          <w:rFonts w:ascii="Arial" w:hAnsi="Arial" w:cs="Arial"/>
          <w:b/>
        </w:rPr>
        <w:t xml:space="preserve"> </w:t>
      </w:r>
      <w:r w:rsidR="00C44E04" w:rsidRPr="00E634F1">
        <w:rPr>
          <w:rFonts w:ascii="Arial" w:hAnsi="Arial" w:cs="Arial"/>
          <w:b/>
        </w:rPr>
        <w:t xml:space="preserve">PARA </w:t>
      </w:r>
      <w:r w:rsidR="007062C5" w:rsidRPr="00E634F1">
        <w:rPr>
          <w:rFonts w:ascii="Arial" w:hAnsi="Arial" w:cs="Arial"/>
          <w:b/>
        </w:rPr>
        <w:t xml:space="preserve">EL </w:t>
      </w:r>
      <w:r w:rsidR="007062C5">
        <w:rPr>
          <w:rFonts w:ascii="Arial" w:hAnsi="Arial" w:cs="Arial"/>
          <w:b/>
        </w:rPr>
        <w:t xml:space="preserve">TERCER </w:t>
      </w:r>
      <w:r w:rsidR="002A01EF">
        <w:rPr>
          <w:rFonts w:ascii="Arial" w:hAnsi="Arial" w:cs="Arial"/>
          <w:b/>
        </w:rPr>
        <w:t>TRIMESTRE</w:t>
      </w:r>
      <w:r w:rsidR="00351543" w:rsidRPr="00E634F1">
        <w:rPr>
          <w:rFonts w:ascii="Arial" w:hAnsi="Arial" w:cs="Arial"/>
          <w:b/>
        </w:rPr>
        <w:t xml:space="preserve"> DE 201</w:t>
      </w:r>
      <w:r w:rsidR="003D2C5B">
        <w:rPr>
          <w:rFonts w:ascii="Arial" w:hAnsi="Arial" w:cs="Arial"/>
          <w:b/>
        </w:rPr>
        <w:t>9</w:t>
      </w:r>
      <w:r w:rsidR="00351543" w:rsidRPr="00E634F1">
        <w:rPr>
          <w:rFonts w:ascii="Arial" w:hAnsi="Arial" w:cs="Arial"/>
          <w:b/>
        </w:rPr>
        <w:t xml:space="preserve"> COMPARADO CON </w:t>
      </w:r>
      <w:r w:rsidR="007062C5" w:rsidRPr="00E634F1">
        <w:rPr>
          <w:rFonts w:ascii="Arial" w:hAnsi="Arial" w:cs="Arial"/>
          <w:b/>
        </w:rPr>
        <w:t>EL</w:t>
      </w:r>
      <w:r w:rsidR="007062C5">
        <w:rPr>
          <w:rFonts w:ascii="Arial" w:hAnsi="Arial" w:cs="Arial"/>
          <w:b/>
        </w:rPr>
        <w:t xml:space="preserve"> TERCER</w:t>
      </w:r>
      <w:r w:rsidR="002A01EF">
        <w:rPr>
          <w:rFonts w:ascii="Arial" w:hAnsi="Arial" w:cs="Arial"/>
          <w:b/>
        </w:rPr>
        <w:t xml:space="preserve"> T</w:t>
      </w:r>
      <w:r w:rsidR="006E5AD9" w:rsidRPr="00E634F1">
        <w:rPr>
          <w:rFonts w:ascii="Arial" w:hAnsi="Arial" w:cs="Arial"/>
          <w:b/>
        </w:rPr>
        <w:t>RIMESTRE DE 201</w:t>
      </w:r>
      <w:r w:rsidR="003D2C5B">
        <w:rPr>
          <w:rFonts w:ascii="Arial" w:hAnsi="Arial" w:cs="Arial"/>
          <w:b/>
        </w:rPr>
        <w:t>8</w:t>
      </w:r>
    </w:p>
    <w:p w14:paraId="622810DB" w14:textId="77777777" w:rsidR="0091412C" w:rsidRPr="005B63A4" w:rsidRDefault="0091412C" w:rsidP="0045629B">
      <w:pPr>
        <w:pStyle w:val="Prrafodelista"/>
        <w:numPr>
          <w:ilvl w:val="0"/>
          <w:numId w:val="8"/>
        </w:numPr>
        <w:spacing w:before="100" w:beforeAutospacing="1" w:after="100" w:afterAutospacing="1"/>
        <w:ind w:left="284" w:hanging="284"/>
        <w:jc w:val="left"/>
        <w:rPr>
          <w:rFonts w:ascii="Arial" w:hAnsi="Arial" w:cs="Arial"/>
          <w:b/>
          <w:sz w:val="22"/>
          <w:szCs w:val="22"/>
        </w:rPr>
      </w:pPr>
      <w:r w:rsidRPr="005B63A4">
        <w:rPr>
          <w:rFonts w:ascii="Arial" w:hAnsi="Arial" w:cs="Arial"/>
          <w:b/>
        </w:rPr>
        <w:t>INTRODUCCIÓN</w:t>
      </w:r>
    </w:p>
    <w:p w14:paraId="361B84B1" w14:textId="77777777" w:rsidR="006C7269" w:rsidRDefault="00676829" w:rsidP="003A3B14">
      <w:pPr>
        <w:jc w:val="both"/>
        <w:rPr>
          <w:rFonts w:ascii="Arial" w:hAnsi="Arial" w:cs="Arial"/>
          <w:sz w:val="22"/>
          <w:szCs w:val="22"/>
        </w:rPr>
      </w:pPr>
      <w:r w:rsidRPr="006C7269">
        <w:rPr>
          <w:rFonts w:ascii="Arial" w:hAnsi="Arial" w:cs="Arial"/>
          <w:sz w:val="22"/>
          <w:szCs w:val="22"/>
        </w:rPr>
        <w:t>La Oficina de Control Interno en atención a la normatividad en materia de Austeridad y Eficiencia del Gasto Público, contemplada</w:t>
      </w:r>
      <w:r w:rsidR="0036147C">
        <w:rPr>
          <w:rFonts w:ascii="Arial" w:hAnsi="Arial" w:cs="Arial"/>
          <w:sz w:val="22"/>
          <w:szCs w:val="22"/>
        </w:rPr>
        <w:t>s</w:t>
      </w:r>
      <w:r w:rsidRPr="006C7269">
        <w:rPr>
          <w:rFonts w:ascii="Arial" w:hAnsi="Arial" w:cs="Arial"/>
          <w:sz w:val="22"/>
          <w:szCs w:val="22"/>
        </w:rPr>
        <w:t xml:space="preserve"> en </w:t>
      </w:r>
      <w:r w:rsidR="00802FFB" w:rsidRPr="006C7269">
        <w:rPr>
          <w:rFonts w:ascii="Arial" w:hAnsi="Arial" w:cs="Arial"/>
          <w:sz w:val="22"/>
          <w:szCs w:val="22"/>
        </w:rPr>
        <w:t>la Parte 8° Régimen Presupuestal - T</w:t>
      </w:r>
      <w:r w:rsidRPr="006C7269">
        <w:rPr>
          <w:rFonts w:ascii="Arial" w:hAnsi="Arial" w:cs="Arial"/>
          <w:sz w:val="22"/>
          <w:szCs w:val="22"/>
        </w:rPr>
        <w:t>ítulo 4 Medidas de Austeridad del Gasto Públ</w:t>
      </w:r>
      <w:r w:rsidR="0036147C">
        <w:rPr>
          <w:rFonts w:ascii="Arial" w:hAnsi="Arial" w:cs="Arial"/>
          <w:sz w:val="22"/>
          <w:szCs w:val="22"/>
        </w:rPr>
        <w:t xml:space="preserve">ico </w:t>
      </w:r>
      <w:r w:rsidRPr="006C7269">
        <w:rPr>
          <w:rFonts w:ascii="Arial" w:hAnsi="Arial" w:cs="Arial"/>
          <w:sz w:val="22"/>
          <w:szCs w:val="22"/>
        </w:rPr>
        <w:t xml:space="preserve">del Decreto 1068 de 2015, </w:t>
      </w:r>
      <w:r w:rsidR="00351543" w:rsidRPr="0036147C">
        <w:rPr>
          <w:rFonts w:ascii="Arial" w:hAnsi="Arial" w:cs="Arial"/>
          <w:i/>
          <w:sz w:val="20"/>
          <w:szCs w:val="20"/>
        </w:rPr>
        <w:t>«</w:t>
      </w:r>
      <w:r w:rsidRPr="0036147C">
        <w:rPr>
          <w:rFonts w:ascii="Arial" w:hAnsi="Arial" w:cs="Arial"/>
          <w:i/>
          <w:sz w:val="20"/>
          <w:szCs w:val="20"/>
        </w:rPr>
        <w:t>Por medio del cual se expide el Decreto Único Reglamentario del Se</w:t>
      </w:r>
      <w:r w:rsidR="00351543" w:rsidRPr="0036147C">
        <w:rPr>
          <w:rFonts w:ascii="Arial" w:hAnsi="Arial" w:cs="Arial"/>
          <w:i/>
          <w:sz w:val="20"/>
          <w:szCs w:val="20"/>
        </w:rPr>
        <w:t>ctor Hacienda y Crédito Público»</w:t>
      </w:r>
      <w:r w:rsidRPr="0036147C">
        <w:rPr>
          <w:rFonts w:ascii="Arial" w:hAnsi="Arial" w:cs="Arial"/>
          <w:sz w:val="20"/>
          <w:szCs w:val="20"/>
        </w:rPr>
        <w:t>,</w:t>
      </w:r>
      <w:r w:rsidRPr="006C7269">
        <w:rPr>
          <w:rFonts w:ascii="Arial" w:hAnsi="Arial" w:cs="Arial"/>
          <w:sz w:val="22"/>
          <w:szCs w:val="22"/>
        </w:rPr>
        <w:t xml:space="preserve"> presenta el </w:t>
      </w:r>
      <w:r w:rsidR="00BE5587" w:rsidRPr="006C7269">
        <w:rPr>
          <w:rFonts w:ascii="Arial" w:hAnsi="Arial" w:cs="Arial"/>
          <w:sz w:val="22"/>
          <w:szCs w:val="22"/>
        </w:rPr>
        <w:t xml:space="preserve">análisis efectuado </w:t>
      </w:r>
      <w:r w:rsidR="00E21ED4">
        <w:rPr>
          <w:rFonts w:ascii="Arial" w:hAnsi="Arial" w:cs="Arial"/>
          <w:sz w:val="22"/>
          <w:szCs w:val="22"/>
        </w:rPr>
        <w:t xml:space="preserve">para </w:t>
      </w:r>
      <w:r w:rsidR="00DE0CEB" w:rsidRPr="006C7269">
        <w:rPr>
          <w:rFonts w:ascii="Arial" w:hAnsi="Arial" w:cs="Arial"/>
          <w:sz w:val="22"/>
          <w:szCs w:val="22"/>
        </w:rPr>
        <w:t xml:space="preserve">el </w:t>
      </w:r>
      <w:r w:rsidR="007062C5">
        <w:rPr>
          <w:rFonts w:ascii="Arial" w:hAnsi="Arial" w:cs="Arial"/>
          <w:sz w:val="22"/>
          <w:szCs w:val="22"/>
        </w:rPr>
        <w:t xml:space="preserve">tercer </w:t>
      </w:r>
      <w:r w:rsidR="00F97C0C">
        <w:rPr>
          <w:rFonts w:ascii="Arial" w:hAnsi="Arial" w:cs="Arial"/>
          <w:sz w:val="22"/>
          <w:szCs w:val="22"/>
        </w:rPr>
        <w:t xml:space="preserve"> </w:t>
      </w:r>
      <w:r w:rsidR="001831A9">
        <w:rPr>
          <w:rFonts w:ascii="Arial" w:hAnsi="Arial" w:cs="Arial"/>
          <w:sz w:val="22"/>
          <w:szCs w:val="22"/>
        </w:rPr>
        <w:t xml:space="preserve"> </w:t>
      </w:r>
      <w:r w:rsidR="00802FFB" w:rsidRPr="006C7269">
        <w:rPr>
          <w:rFonts w:ascii="Arial" w:hAnsi="Arial" w:cs="Arial"/>
          <w:sz w:val="22"/>
          <w:szCs w:val="22"/>
        </w:rPr>
        <w:t xml:space="preserve"> </w:t>
      </w:r>
      <w:r w:rsidRPr="006C7269">
        <w:rPr>
          <w:rFonts w:ascii="Arial" w:hAnsi="Arial" w:cs="Arial"/>
          <w:sz w:val="22"/>
          <w:szCs w:val="22"/>
        </w:rPr>
        <w:t>trimestre de</w:t>
      </w:r>
      <w:r w:rsidR="000F6C84" w:rsidRPr="006C7269">
        <w:rPr>
          <w:rFonts w:ascii="Arial" w:hAnsi="Arial" w:cs="Arial"/>
          <w:sz w:val="22"/>
          <w:szCs w:val="22"/>
        </w:rPr>
        <w:t>l</w:t>
      </w:r>
      <w:r w:rsidR="00E17B92" w:rsidRPr="006C7269">
        <w:rPr>
          <w:rFonts w:ascii="Arial" w:hAnsi="Arial" w:cs="Arial"/>
          <w:sz w:val="22"/>
          <w:szCs w:val="22"/>
        </w:rPr>
        <w:t xml:space="preserve"> 201</w:t>
      </w:r>
      <w:r w:rsidR="00AA6C70">
        <w:rPr>
          <w:rFonts w:ascii="Arial" w:hAnsi="Arial" w:cs="Arial"/>
          <w:sz w:val="22"/>
          <w:szCs w:val="22"/>
        </w:rPr>
        <w:t>9</w:t>
      </w:r>
      <w:r w:rsidR="00351543" w:rsidRPr="006C7269">
        <w:rPr>
          <w:rFonts w:ascii="Arial" w:hAnsi="Arial" w:cs="Arial"/>
          <w:sz w:val="22"/>
          <w:szCs w:val="22"/>
        </w:rPr>
        <w:t xml:space="preserve"> comparado con </w:t>
      </w:r>
      <w:r w:rsidR="00DE0CEB" w:rsidRPr="006C7269">
        <w:rPr>
          <w:rFonts w:ascii="Arial" w:hAnsi="Arial" w:cs="Arial"/>
          <w:sz w:val="22"/>
          <w:szCs w:val="22"/>
        </w:rPr>
        <w:t xml:space="preserve">el </w:t>
      </w:r>
      <w:r w:rsidR="007062C5">
        <w:rPr>
          <w:rFonts w:ascii="Arial" w:hAnsi="Arial" w:cs="Arial"/>
          <w:sz w:val="22"/>
          <w:szCs w:val="22"/>
        </w:rPr>
        <w:t xml:space="preserve">tercer </w:t>
      </w:r>
      <w:r w:rsidRPr="006C7269">
        <w:rPr>
          <w:rFonts w:ascii="Arial" w:hAnsi="Arial" w:cs="Arial"/>
          <w:sz w:val="22"/>
          <w:szCs w:val="22"/>
        </w:rPr>
        <w:t xml:space="preserve">trimestre </w:t>
      </w:r>
      <w:r w:rsidR="000F6C84" w:rsidRPr="006C7269">
        <w:rPr>
          <w:rFonts w:ascii="Arial" w:hAnsi="Arial" w:cs="Arial"/>
          <w:sz w:val="22"/>
          <w:szCs w:val="22"/>
        </w:rPr>
        <w:t xml:space="preserve">del </w:t>
      </w:r>
      <w:r w:rsidR="00E17B92" w:rsidRPr="006C7269">
        <w:rPr>
          <w:rFonts w:ascii="Arial" w:hAnsi="Arial" w:cs="Arial"/>
          <w:sz w:val="22"/>
          <w:szCs w:val="22"/>
        </w:rPr>
        <w:t>201</w:t>
      </w:r>
      <w:r w:rsidR="00AA6C70">
        <w:rPr>
          <w:rFonts w:ascii="Arial" w:hAnsi="Arial" w:cs="Arial"/>
          <w:sz w:val="22"/>
          <w:szCs w:val="22"/>
        </w:rPr>
        <w:t>8</w:t>
      </w:r>
      <w:r w:rsidR="00802FFB" w:rsidRPr="006C7269">
        <w:rPr>
          <w:rFonts w:ascii="Arial" w:hAnsi="Arial" w:cs="Arial"/>
          <w:sz w:val="22"/>
          <w:szCs w:val="22"/>
        </w:rPr>
        <w:t xml:space="preserve"> </w:t>
      </w:r>
      <w:r w:rsidRPr="006C7269">
        <w:rPr>
          <w:rFonts w:ascii="Arial" w:hAnsi="Arial" w:cs="Arial"/>
          <w:sz w:val="22"/>
          <w:szCs w:val="22"/>
        </w:rPr>
        <w:t xml:space="preserve">correspondiente al </w:t>
      </w:r>
      <w:r w:rsidR="00B32C91" w:rsidRPr="006C7269">
        <w:rPr>
          <w:rFonts w:ascii="Arial" w:hAnsi="Arial" w:cs="Arial"/>
          <w:sz w:val="22"/>
          <w:szCs w:val="22"/>
        </w:rPr>
        <w:t xml:space="preserve">gasto público del </w:t>
      </w:r>
      <w:r w:rsidRPr="006C7269">
        <w:rPr>
          <w:rFonts w:ascii="Arial" w:hAnsi="Arial" w:cs="Arial"/>
          <w:sz w:val="22"/>
          <w:szCs w:val="22"/>
        </w:rPr>
        <w:t>Ministerio</w:t>
      </w:r>
      <w:r w:rsidR="00EA2DEA" w:rsidRPr="006C7269">
        <w:rPr>
          <w:rFonts w:ascii="Arial" w:hAnsi="Arial" w:cs="Arial"/>
          <w:sz w:val="22"/>
          <w:szCs w:val="22"/>
        </w:rPr>
        <w:t xml:space="preserve"> de Hacienda y Crédito Público</w:t>
      </w:r>
      <w:r w:rsidR="00EA2DEA">
        <w:rPr>
          <w:rFonts w:ascii="Arial" w:hAnsi="Arial" w:cs="Arial"/>
          <w:sz w:val="22"/>
          <w:szCs w:val="22"/>
        </w:rPr>
        <w:t>.</w:t>
      </w:r>
    </w:p>
    <w:p w14:paraId="58BE39B0" w14:textId="77777777" w:rsidR="002732A7" w:rsidRDefault="002732A7" w:rsidP="003A3B14">
      <w:pPr>
        <w:jc w:val="both"/>
        <w:rPr>
          <w:rFonts w:ascii="Arial" w:hAnsi="Arial" w:cs="Arial"/>
          <w:sz w:val="22"/>
          <w:szCs w:val="22"/>
        </w:rPr>
      </w:pPr>
    </w:p>
    <w:p w14:paraId="14B80868" w14:textId="77777777" w:rsidR="001127A6" w:rsidRDefault="0062564A" w:rsidP="006C7269">
      <w:pPr>
        <w:rPr>
          <w:rFonts w:ascii="Arial" w:hAnsi="Arial" w:cs="Arial"/>
          <w:sz w:val="22"/>
          <w:szCs w:val="22"/>
        </w:rPr>
      </w:pPr>
      <w:r>
        <w:rPr>
          <w:rFonts w:ascii="Arial" w:hAnsi="Arial" w:cs="Arial"/>
          <w:noProof/>
          <w:sz w:val="22"/>
          <w:szCs w:val="22"/>
        </w:rPr>
        <w:drawing>
          <wp:inline distT="0" distB="0" distL="0" distR="0" wp14:anchorId="5A54487F" wp14:editId="6E6E1C1B">
            <wp:extent cx="6124575" cy="6248400"/>
            <wp:effectExtent l="0" t="0" r="28575"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3272DBC" w14:textId="77777777" w:rsidR="005977D3" w:rsidRPr="00A003B6" w:rsidRDefault="005977D3" w:rsidP="00433B40">
      <w:pPr>
        <w:jc w:val="both"/>
        <w:rPr>
          <w:rFonts w:ascii="Arial" w:hAnsi="Arial" w:cs="Arial"/>
          <w:sz w:val="22"/>
          <w:szCs w:val="22"/>
        </w:rPr>
      </w:pPr>
      <w:r w:rsidRPr="00A003B6">
        <w:rPr>
          <w:rFonts w:ascii="Arial" w:hAnsi="Arial" w:cs="Arial"/>
          <w:sz w:val="22"/>
          <w:szCs w:val="22"/>
        </w:rPr>
        <w:lastRenderedPageBreak/>
        <w:t>Para el desarrollo del trabajo, se procedió a revisar y analizar los</w:t>
      </w:r>
      <w:r w:rsidR="00F3113B" w:rsidRPr="00A003B6">
        <w:rPr>
          <w:rFonts w:ascii="Arial" w:hAnsi="Arial" w:cs="Arial"/>
          <w:sz w:val="22"/>
          <w:szCs w:val="22"/>
        </w:rPr>
        <w:t xml:space="preserve"> conceptos de gastos de funcionamiento, señalados en la </w:t>
      </w:r>
      <w:r w:rsidR="002C2B99" w:rsidRPr="00A003B6">
        <w:rPr>
          <w:rFonts w:ascii="Arial" w:hAnsi="Arial" w:cs="Arial"/>
          <w:sz w:val="22"/>
          <w:szCs w:val="22"/>
        </w:rPr>
        <w:t>Directiva Presidencial 09 de 2018</w:t>
      </w:r>
      <w:r w:rsidR="00F3113B" w:rsidRPr="00A003B6">
        <w:rPr>
          <w:rFonts w:ascii="Arial" w:hAnsi="Arial" w:cs="Arial"/>
          <w:sz w:val="22"/>
          <w:szCs w:val="22"/>
        </w:rPr>
        <w:t xml:space="preserve"> </w:t>
      </w:r>
      <w:r w:rsidRPr="00A003B6">
        <w:rPr>
          <w:rFonts w:ascii="Arial" w:hAnsi="Arial" w:cs="Arial"/>
          <w:sz w:val="22"/>
          <w:szCs w:val="22"/>
        </w:rPr>
        <w:t xml:space="preserve">tomando como fuente de información el SIIF </w:t>
      </w:r>
      <w:r w:rsidR="00433B40" w:rsidRPr="00A003B6">
        <w:rPr>
          <w:rFonts w:ascii="Arial" w:hAnsi="Arial" w:cs="Arial"/>
          <w:sz w:val="22"/>
          <w:szCs w:val="22"/>
        </w:rPr>
        <w:t>Nación y</w:t>
      </w:r>
      <w:r w:rsidRPr="00A003B6">
        <w:rPr>
          <w:rFonts w:ascii="Arial" w:hAnsi="Arial" w:cs="Arial"/>
          <w:sz w:val="22"/>
          <w:szCs w:val="22"/>
        </w:rPr>
        <w:t xml:space="preserve"> la información suministrada por parte de la Subdirección de </w:t>
      </w:r>
      <w:r w:rsidR="00F04372" w:rsidRPr="00A003B6">
        <w:rPr>
          <w:rFonts w:ascii="Arial" w:hAnsi="Arial" w:cs="Arial"/>
          <w:sz w:val="22"/>
          <w:szCs w:val="22"/>
        </w:rPr>
        <w:t>Gestión del Talento Humano</w:t>
      </w:r>
      <w:r w:rsidRPr="00A003B6">
        <w:rPr>
          <w:rFonts w:ascii="Arial" w:hAnsi="Arial" w:cs="Arial"/>
          <w:sz w:val="22"/>
          <w:szCs w:val="22"/>
        </w:rPr>
        <w:t>, Subdirección de Servicios, la Subdirección Financiera y el Grupo de Contratos de la Dirección Administrativa. Así mismo, se verific</w:t>
      </w:r>
      <w:r w:rsidR="00F3113B" w:rsidRPr="00A003B6">
        <w:rPr>
          <w:rFonts w:ascii="Arial" w:hAnsi="Arial" w:cs="Arial"/>
          <w:sz w:val="22"/>
          <w:szCs w:val="22"/>
        </w:rPr>
        <w:t>ó el cumplimiento de lo</w:t>
      </w:r>
      <w:r w:rsidRPr="00A003B6">
        <w:rPr>
          <w:rFonts w:ascii="Arial" w:hAnsi="Arial" w:cs="Arial"/>
          <w:sz w:val="22"/>
          <w:szCs w:val="22"/>
        </w:rPr>
        <w:t xml:space="preserve"> previsto en </w:t>
      </w:r>
      <w:r w:rsidR="00F3113B" w:rsidRPr="00A003B6">
        <w:rPr>
          <w:rFonts w:ascii="Arial" w:hAnsi="Arial" w:cs="Arial"/>
          <w:sz w:val="22"/>
          <w:szCs w:val="22"/>
        </w:rPr>
        <w:t xml:space="preserve">los </w:t>
      </w:r>
      <w:r w:rsidRPr="00A003B6">
        <w:rPr>
          <w:rFonts w:ascii="Arial" w:hAnsi="Arial" w:cs="Arial"/>
          <w:sz w:val="22"/>
          <w:szCs w:val="22"/>
        </w:rPr>
        <w:t>artículo</w:t>
      </w:r>
      <w:r w:rsidR="00F3113B" w:rsidRPr="00A003B6">
        <w:rPr>
          <w:rFonts w:ascii="Arial" w:hAnsi="Arial" w:cs="Arial"/>
          <w:sz w:val="22"/>
          <w:szCs w:val="22"/>
        </w:rPr>
        <w:t>s</w:t>
      </w:r>
      <w:r w:rsidRPr="00A003B6">
        <w:rPr>
          <w:rFonts w:ascii="Arial" w:hAnsi="Arial" w:cs="Arial"/>
          <w:sz w:val="22"/>
          <w:szCs w:val="22"/>
        </w:rPr>
        <w:t xml:space="preserve"> 81 y </w:t>
      </w:r>
      <w:r w:rsidRPr="00A003B6">
        <w:rPr>
          <w:rFonts w:ascii="Arial" w:eastAsia="Arial" w:hAnsi="Arial" w:cs="Arial"/>
          <w:color w:val="000000"/>
          <w:sz w:val="22"/>
          <w:szCs w:val="22"/>
        </w:rPr>
        <w:t>83 de la Ley 1940 de 2018</w:t>
      </w:r>
      <w:r w:rsidRPr="00A003B6">
        <w:rPr>
          <w:rFonts w:ascii="Arial" w:eastAsia="Arial" w:hAnsi="Arial" w:cs="Arial"/>
          <w:sz w:val="22"/>
          <w:szCs w:val="22"/>
        </w:rPr>
        <w:t xml:space="preserve">, </w:t>
      </w:r>
      <w:r w:rsidRPr="00A003B6">
        <w:rPr>
          <w:rFonts w:ascii="Arial" w:hAnsi="Arial" w:cs="Arial"/>
          <w:sz w:val="22"/>
          <w:szCs w:val="22"/>
        </w:rPr>
        <w:t>«</w:t>
      </w:r>
      <w:r w:rsidRPr="00A003B6">
        <w:rPr>
          <w:rFonts w:ascii="Arial" w:hAnsi="Arial" w:cs="Arial"/>
          <w:i/>
          <w:iCs/>
          <w:sz w:val="22"/>
          <w:szCs w:val="22"/>
        </w:rPr>
        <w:t>Por la cual se decreta el Presupuesto de Rentas y Recursos de Capital y Ley de Apropiaciones para la vigencia fiscal del 1° de enero al 31 de diciembre de 2019</w:t>
      </w:r>
      <w:r w:rsidRPr="00A003B6">
        <w:rPr>
          <w:rFonts w:ascii="Arial" w:hAnsi="Arial" w:cs="Arial"/>
          <w:sz w:val="22"/>
          <w:szCs w:val="22"/>
        </w:rPr>
        <w:t>»</w:t>
      </w:r>
      <w:r w:rsidR="001E1371" w:rsidRPr="00A003B6">
        <w:rPr>
          <w:rFonts w:ascii="Arial" w:hAnsi="Arial" w:cs="Arial"/>
          <w:sz w:val="22"/>
          <w:szCs w:val="22"/>
        </w:rPr>
        <w:t>.</w:t>
      </w:r>
    </w:p>
    <w:p w14:paraId="411268BA" w14:textId="77777777" w:rsidR="005977D3" w:rsidRPr="00A003B6" w:rsidRDefault="005977D3" w:rsidP="005977D3">
      <w:pPr>
        <w:pStyle w:val="Default"/>
        <w:jc w:val="both"/>
        <w:rPr>
          <w:sz w:val="22"/>
          <w:szCs w:val="22"/>
        </w:rPr>
      </w:pPr>
    </w:p>
    <w:tbl>
      <w:tblPr>
        <w:tblStyle w:val="Tabladelista4-nfasis1"/>
        <w:tblW w:w="8358" w:type="dxa"/>
        <w:jc w:val="center"/>
        <w:tblLayout w:type="fixed"/>
        <w:tblLook w:val="04A0" w:firstRow="1" w:lastRow="0" w:firstColumn="1" w:lastColumn="0" w:noHBand="0" w:noVBand="1"/>
      </w:tblPr>
      <w:tblGrid>
        <w:gridCol w:w="8358"/>
      </w:tblGrid>
      <w:tr w:rsidR="003649E4" w:rsidRPr="00A003B6" w14:paraId="4AD2E83B" w14:textId="77777777" w:rsidTr="001A72BD">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8358" w:type="dxa"/>
            <w:vAlign w:val="center"/>
            <w:hideMark/>
          </w:tcPr>
          <w:p w14:paraId="7A4882E8" w14:textId="77777777" w:rsidR="0031783B" w:rsidRPr="00A003B6" w:rsidRDefault="009A68C0" w:rsidP="001A72BD">
            <w:pPr>
              <w:spacing w:before="20" w:after="40"/>
              <w:jc w:val="center"/>
              <w:rPr>
                <w:rFonts w:ascii="Arial" w:hAnsi="Arial" w:cs="Arial"/>
                <w:sz w:val="20"/>
                <w:szCs w:val="20"/>
              </w:rPr>
            </w:pPr>
            <w:r w:rsidRPr="00A003B6">
              <w:rPr>
                <w:rFonts w:ascii="Arial" w:hAnsi="Arial" w:cs="Arial"/>
                <w:sz w:val="20"/>
                <w:szCs w:val="20"/>
              </w:rPr>
              <w:t>DIRECTIVA PRESIDENCIAL 09 DE 2018</w:t>
            </w:r>
          </w:p>
        </w:tc>
      </w:tr>
      <w:tr w:rsidR="003649E4" w:rsidRPr="00A003B6" w14:paraId="3638CE73" w14:textId="77777777"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vAlign w:val="center"/>
            <w:hideMark/>
          </w:tcPr>
          <w:p w14:paraId="1823F348" w14:textId="77777777" w:rsidR="0031783B" w:rsidRPr="00A003B6" w:rsidRDefault="003649E4" w:rsidP="00793A3B">
            <w:pPr>
              <w:spacing w:before="20" w:after="40"/>
              <w:rPr>
                <w:rFonts w:ascii="Arial" w:hAnsi="Arial" w:cs="Arial"/>
                <w:color w:val="000000" w:themeColor="text1"/>
                <w:sz w:val="20"/>
                <w:szCs w:val="20"/>
              </w:rPr>
            </w:pPr>
            <w:r w:rsidRPr="00A003B6">
              <w:rPr>
                <w:rFonts w:ascii="Arial" w:hAnsi="Arial" w:cs="Arial"/>
                <w:color w:val="000000" w:themeColor="text1"/>
                <w:sz w:val="20"/>
                <w:szCs w:val="20"/>
              </w:rPr>
              <w:t>Modificación de las plantas de personal, estructuras administrativas y gastos de personal</w:t>
            </w:r>
          </w:p>
        </w:tc>
      </w:tr>
      <w:tr w:rsidR="003649E4" w:rsidRPr="00A003B6" w14:paraId="1E78B9C0" w14:textId="77777777"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3C54DB95" w14:textId="77777777" w:rsidR="0031783B" w:rsidRPr="00A003B6" w:rsidRDefault="00571A39" w:rsidP="00793A3B">
            <w:pPr>
              <w:spacing w:before="20" w:after="40"/>
              <w:rPr>
                <w:rFonts w:ascii="Arial" w:hAnsi="Arial" w:cs="Arial"/>
                <w:b w:val="0"/>
                <w:color w:val="000000" w:themeColor="text1"/>
                <w:sz w:val="20"/>
                <w:szCs w:val="20"/>
              </w:rPr>
            </w:pPr>
            <w:r w:rsidRPr="00A003B6">
              <w:rPr>
                <w:rFonts w:ascii="Arial" w:hAnsi="Arial" w:cs="Arial"/>
                <w:b w:val="0"/>
                <w:color w:val="000000" w:themeColor="text1"/>
                <w:sz w:val="20"/>
                <w:szCs w:val="20"/>
              </w:rPr>
              <w:t>Planta de Personal</w:t>
            </w:r>
          </w:p>
        </w:tc>
      </w:tr>
      <w:tr w:rsidR="003649E4" w:rsidRPr="00A003B6" w14:paraId="35583A4C" w14:textId="77777777"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187AAD54" w14:textId="77777777" w:rsidR="0031783B" w:rsidRPr="00A003B6" w:rsidRDefault="0031783B" w:rsidP="00793A3B">
            <w:pPr>
              <w:spacing w:before="20" w:after="40"/>
              <w:rPr>
                <w:rFonts w:ascii="Arial" w:hAnsi="Arial" w:cs="Arial"/>
                <w:b w:val="0"/>
                <w:color w:val="000000" w:themeColor="text1"/>
                <w:sz w:val="20"/>
                <w:szCs w:val="20"/>
              </w:rPr>
            </w:pPr>
            <w:r w:rsidRPr="00A003B6">
              <w:rPr>
                <w:rFonts w:ascii="Arial" w:hAnsi="Arial" w:cs="Arial"/>
                <w:b w:val="0"/>
                <w:color w:val="000000" w:themeColor="text1"/>
                <w:sz w:val="20"/>
                <w:szCs w:val="20"/>
              </w:rPr>
              <w:t>Horas Extras</w:t>
            </w:r>
          </w:p>
        </w:tc>
      </w:tr>
      <w:tr w:rsidR="003649E4" w:rsidRPr="00A003B6" w14:paraId="5F82B5D2" w14:textId="77777777"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7D4BC99E" w14:textId="77777777" w:rsidR="0031783B" w:rsidRPr="00A003B6" w:rsidRDefault="0031783B" w:rsidP="00793A3B">
            <w:pPr>
              <w:tabs>
                <w:tab w:val="left" w:pos="709"/>
              </w:tabs>
              <w:spacing w:before="20" w:after="40"/>
              <w:rPr>
                <w:rFonts w:ascii="Arial" w:hAnsi="Arial" w:cs="Arial"/>
                <w:b w:val="0"/>
                <w:color w:val="000000" w:themeColor="text1"/>
                <w:sz w:val="20"/>
                <w:szCs w:val="20"/>
              </w:rPr>
            </w:pPr>
            <w:r w:rsidRPr="00A003B6">
              <w:rPr>
                <w:rFonts w:ascii="Arial" w:hAnsi="Arial" w:cs="Arial"/>
                <w:b w:val="0"/>
                <w:color w:val="000000" w:themeColor="text1"/>
                <w:sz w:val="20"/>
                <w:szCs w:val="20"/>
              </w:rPr>
              <w:t>Prestación de Servicios Profesionales y de Apoyo a la Gestión</w:t>
            </w:r>
          </w:p>
        </w:tc>
      </w:tr>
      <w:tr w:rsidR="003649E4" w:rsidRPr="00A003B6" w14:paraId="1A0E02D5" w14:textId="77777777"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34862A35" w14:textId="77777777" w:rsidR="0031783B" w:rsidRPr="00A003B6" w:rsidRDefault="003649E4" w:rsidP="00793A3B">
            <w:pPr>
              <w:spacing w:before="20" w:after="40"/>
              <w:rPr>
                <w:rFonts w:ascii="Arial" w:hAnsi="Arial" w:cs="Arial"/>
                <w:color w:val="000000" w:themeColor="text1"/>
                <w:sz w:val="20"/>
                <w:szCs w:val="20"/>
              </w:rPr>
            </w:pPr>
            <w:r w:rsidRPr="00A003B6">
              <w:rPr>
                <w:rFonts w:ascii="Arial" w:hAnsi="Arial" w:cs="Arial"/>
                <w:color w:val="000000" w:themeColor="text1"/>
                <w:sz w:val="20"/>
                <w:szCs w:val="20"/>
              </w:rPr>
              <w:t>Gastos de tiquetes aéreos y viáticos</w:t>
            </w:r>
          </w:p>
        </w:tc>
      </w:tr>
      <w:tr w:rsidR="003649E4" w:rsidRPr="00A003B6" w14:paraId="63C0E1B2" w14:textId="77777777"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vAlign w:val="center"/>
            <w:hideMark/>
          </w:tcPr>
          <w:p w14:paraId="268F551C" w14:textId="77777777" w:rsidR="0031783B" w:rsidRPr="00A003B6" w:rsidRDefault="003649E4" w:rsidP="00793A3B">
            <w:pPr>
              <w:spacing w:before="20" w:after="40"/>
              <w:rPr>
                <w:rFonts w:ascii="Arial" w:hAnsi="Arial" w:cs="Arial"/>
                <w:color w:val="000000" w:themeColor="text1"/>
                <w:sz w:val="20"/>
                <w:szCs w:val="20"/>
              </w:rPr>
            </w:pPr>
            <w:r w:rsidRPr="00A003B6">
              <w:rPr>
                <w:rFonts w:ascii="Arial" w:hAnsi="Arial" w:cs="Arial"/>
                <w:color w:val="000000" w:themeColor="text1"/>
                <w:sz w:val="20"/>
                <w:szCs w:val="20"/>
              </w:rPr>
              <w:t>Capacitaciones</w:t>
            </w:r>
          </w:p>
        </w:tc>
      </w:tr>
      <w:tr w:rsidR="003649E4" w:rsidRPr="00A003B6" w14:paraId="6FFE65BD" w14:textId="77777777"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vAlign w:val="center"/>
            <w:hideMark/>
          </w:tcPr>
          <w:p w14:paraId="799F5149" w14:textId="77777777" w:rsidR="0031783B" w:rsidRPr="00A003B6" w:rsidRDefault="003649E4" w:rsidP="00793A3B">
            <w:pPr>
              <w:spacing w:before="20" w:after="40"/>
              <w:rPr>
                <w:rFonts w:ascii="Arial" w:hAnsi="Arial" w:cs="Arial"/>
                <w:color w:val="000000" w:themeColor="text1"/>
                <w:sz w:val="20"/>
                <w:szCs w:val="20"/>
              </w:rPr>
            </w:pPr>
            <w:r w:rsidRPr="00A003B6">
              <w:rPr>
                <w:rFonts w:ascii="Arial" w:hAnsi="Arial" w:cs="Arial"/>
                <w:color w:val="000000" w:themeColor="text1"/>
                <w:sz w:val="20"/>
                <w:szCs w:val="20"/>
              </w:rPr>
              <w:t xml:space="preserve">Esquema de seguridad y vehículos oficiales </w:t>
            </w:r>
          </w:p>
        </w:tc>
      </w:tr>
      <w:tr w:rsidR="003649E4" w:rsidRPr="00A003B6" w14:paraId="3138BA3F" w14:textId="77777777"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0D91E632" w14:textId="77777777" w:rsidR="0031783B" w:rsidRPr="00A003B6" w:rsidRDefault="0031783B" w:rsidP="00793A3B">
            <w:pPr>
              <w:spacing w:before="20" w:after="40"/>
              <w:rPr>
                <w:rFonts w:ascii="Arial" w:hAnsi="Arial" w:cs="Arial"/>
                <w:b w:val="0"/>
                <w:color w:val="000000" w:themeColor="text1"/>
                <w:sz w:val="20"/>
                <w:szCs w:val="20"/>
              </w:rPr>
            </w:pPr>
            <w:r w:rsidRPr="00A003B6">
              <w:rPr>
                <w:rFonts w:ascii="Arial" w:hAnsi="Arial" w:cs="Arial"/>
                <w:b w:val="0"/>
                <w:color w:val="000000" w:themeColor="text1"/>
                <w:sz w:val="20"/>
                <w:szCs w:val="20"/>
              </w:rPr>
              <w:t>Mantenimiento Parque Automotor</w:t>
            </w:r>
          </w:p>
        </w:tc>
      </w:tr>
      <w:tr w:rsidR="003649E4" w:rsidRPr="00A003B6" w14:paraId="0C6D5084" w14:textId="77777777"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684DD18F" w14:textId="77777777" w:rsidR="0031783B" w:rsidRPr="00A003B6" w:rsidRDefault="0031783B" w:rsidP="00793A3B">
            <w:pPr>
              <w:spacing w:before="20" w:after="40"/>
              <w:rPr>
                <w:rFonts w:ascii="Arial" w:hAnsi="Arial" w:cs="Arial"/>
                <w:b w:val="0"/>
                <w:color w:val="000000" w:themeColor="text1"/>
                <w:sz w:val="20"/>
                <w:szCs w:val="20"/>
              </w:rPr>
            </w:pPr>
            <w:r w:rsidRPr="00A003B6">
              <w:rPr>
                <w:rFonts w:ascii="Arial" w:hAnsi="Arial" w:cs="Arial"/>
                <w:b w:val="0"/>
                <w:color w:val="000000" w:themeColor="text1"/>
                <w:sz w:val="20"/>
                <w:szCs w:val="20"/>
              </w:rPr>
              <w:t>Combustibles</w:t>
            </w:r>
          </w:p>
        </w:tc>
      </w:tr>
      <w:tr w:rsidR="003649E4" w:rsidRPr="00A003B6" w14:paraId="6E072D05" w14:textId="77777777"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58B68B34" w14:textId="77777777" w:rsidR="0031783B" w:rsidRPr="00A003B6" w:rsidRDefault="0031783B" w:rsidP="00793A3B">
            <w:pPr>
              <w:spacing w:before="20" w:after="40"/>
              <w:rPr>
                <w:rFonts w:ascii="Arial" w:hAnsi="Arial" w:cs="Arial"/>
                <w:b w:val="0"/>
                <w:color w:val="000000" w:themeColor="text1"/>
                <w:sz w:val="20"/>
                <w:szCs w:val="20"/>
              </w:rPr>
            </w:pPr>
            <w:r w:rsidRPr="00A003B6">
              <w:rPr>
                <w:rFonts w:ascii="Arial" w:hAnsi="Arial" w:cs="Arial"/>
                <w:b w:val="0"/>
                <w:color w:val="000000" w:themeColor="text1"/>
                <w:sz w:val="20"/>
                <w:szCs w:val="20"/>
              </w:rPr>
              <w:t>Garajes</w:t>
            </w:r>
          </w:p>
        </w:tc>
      </w:tr>
      <w:tr w:rsidR="003649E4" w:rsidRPr="00A003B6" w14:paraId="3870F44A" w14:textId="77777777"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2456FE92" w14:textId="77777777" w:rsidR="0031783B" w:rsidRPr="00A003B6" w:rsidRDefault="003649E4" w:rsidP="00793A3B">
            <w:pPr>
              <w:spacing w:before="20" w:after="40"/>
              <w:rPr>
                <w:rFonts w:ascii="Arial" w:hAnsi="Arial" w:cs="Arial"/>
                <w:color w:val="000000" w:themeColor="text1"/>
                <w:sz w:val="20"/>
                <w:szCs w:val="20"/>
              </w:rPr>
            </w:pPr>
            <w:r w:rsidRPr="00A003B6">
              <w:rPr>
                <w:rFonts w:ascii="Arial" w:hAnsi="Arial" w:cs="Arial"/>
                <w:color w:val="000000" w:themeColor="text1"/>
                <w:sz w:val="20"/>
                <w:szCs w:val="20"/>
              </w:rPr>
              <w:t>Publicidad y publicaciones impresas</w:t>
            </w:r>
          </w:p>
        </w:tc>
      </w:tr>
      <w:tr w:rsidR="003649E4" w:rsidRPr="00A003B6" w14:paraId="42DDDCE7" w14:textId="77777777"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vAlign w:val="center"/>
            <w:hideMark/>
          </w:tcPr>
          <w:p w14:paraId="60589F23" w14:textId="77777777" w:rsidR="0031783B" w:rsidRPr="00A003B6" w:rsidRDefault="003649E4" w:rsidP="00793A3B">
            <w:pPr>
              <w:spacing w:before="20" w:after="40"/>
              <w:ind w:left="708" w:hanging="708"/>
              <w:rPr>
                <w:rFonts w:ascii="Arial" w:hAnsi="Arial" w:cs="Arial"/>
                <w:color w:val="000000" w:themeColor="text1"/>
                <w:sz w:val="20"/>
                <w:szCs w:val="20"/>
              </w:rPr>
            </w:pPr>
            <w:r w:rsidRPr="00A003B6">
              <w:rPr>
                <w:rFonts w:ascii="Arial" w:eastAsia="Arial" w:hAnsi="Arial" w:cs="Arial"/>
                <w:color w:val="000000" w:themeColor="text1"/>
                <w:sz w:val="20"/>
                <w:szCs w:val="20"/>
              </w:rPr>
              <w:t>Papelería y telefonía</w:t>
            </w:r>
          </w:p>
        </w:tc>
      </w:tr>
      <w:tr w:rsidR="003649E4" w:rsidRPr="00A003B6" w14:paraId="77033765" w14:textId="77777777"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547065EE" w14:textId="77777777" w:rsidR="0031783B" w:rsidRPr="00A003B6" w:rsidRDefault="0031783B" w:rsidP="00793A3B">
            <w:pPr>
              <w:spacing w:before="20" w:after="40"/>
              <w:rPr>
                <w:rFonts w:ascii="Arial" w:hAnsi="Arial" w:cs="Arial"/>
                <w:b w:val="0"/>
                <w:color w:val="000000" w:themeColor="text1"/>
                <w:sz w:val="20"/>
                <w:szCs w:val="20"/>
              </w:rPr>
            </w:pPr>
            <w:r w:rsidRPr="00A003B6">
              <w:rPr>
                <w:rFonts w:ascii="Arial" w:hAnsi="Arial" w:cs="Arial"/>
                <w:b w:val="0"/>
                <w:color w:val="000000" w:themeColor="text1"/>
                <w:sz w:val="20"/>
                <w:szCs w:val="20"/>
              </w:rPr>
              <w:t xml:space="preserve">Servicios Digitales y Centro de Fotocopiado </w:t>
            </w:r>
          </w:p>
        </w:tc>
      </w:tr>
      <w:tr w:rsidR="003649E4" w:rsidRPr="00A003B6" w14:paraId="7AD9D46B" w14:textId="77777777"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51711906" w14:textId="77777777" w:rsidR="0031783B" w:rsidRPr="00A003B6" w:rsidRDefault="0031783B" w:rsidP="00793A3B">
            <w:pPr>
              <w:spacing w:before="20" w:after="40"/>
              <w:rPr>
                <w:rFonts w:ascii="Arial" w:hAnsi="Arial" w:cs="Arial"/>
                <w:b w:val="0"/>
                <w:color w:val="000000" w:themeColor="text1"/>
                <w:sz w:val="20"/>
                <w:szCs w:val="20"/>
              </w:rPr>
            </w:pPr>
            <w:r w:rsidRPr="00A003B6">
              <w:rPr>
                <w:rFonts w:ascii="Arial" w:hAnsi="Arial" w:cs="Arial"/>
                <w:b w:val="0"/>
                <w:color w:val="000000" w:themeColor="text1"/>
                <w:sz w:val="20"/>
                <w:szCs w:val="20"/>
              </w:rPr>
              <w:t>Papelería, Útiles de escritorio y Oficina</w:t>
            </w:r>
          </w:p>
        </w:tc>
      </w:tr>
      <w:tr w:rsidR="003649E4" w:rsidRPr="00A003B6" w14:paraId="32A92FD3" w14:textId="77777777"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11B6F387" w14:textId="77777777" w:rsidR="0031783B" w:rsidRPr="00A003B6" w:rsidRDefault="0031783B" w:rsidP="00793A3B">
            <w:pPr>
              <w:spacing w:before="20" w:after="40"/>
              <w:rPr>
                <w:rFonts w:ascii="Arial" w:hAnsi="Arial" w:cs="Arial"/>
                <w:b w:val="0"/>
                <w:color w:val="000000" w:themeColor="text1"/>
                <w:sz w:val="20"/>
                <w:szCs w:val="20"/>
              </w:rPr>
            </w:pPr>
            <w:r w:rsidRPr="00A003B6">
              <w:rPr>
                <w:rFonts w:ascii="Arial" w:eastAsia="Symbol" w:hAnsi="Arial" w:cs="Arial"/>
                <w:b w:val="0"/>
                <w:color w:val="000000" w:themeColor="text1"/>
                <w:sz w:val="20"/>
                <w:szCs w:val="20"/>
              </w:rPr>
              <w:t xml:space="preserve">Teléfono Móvil Celular </w:t>
            </w:r>
          </w:p>
        </w:tc>
      </w:tr>
      <w:tr w:rsidR="003649E4" w:rsidRPr="00A003B6" w14:paraId="5386539C" w14:textId="77777777"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1F9C8AD2" w14:textId="77777777" w:rsidR="0031783B" w:rsidRPr="00A003B6" w:rsidRDefault="0031783B" w:rsidP="00793A3B">
            <w:pPr>
              <w:spacing w:before="20" w:after="40"/>
              <w:rPr>
                <w:rFonts w:ascii="Arial" w:hAnsi="Arial" w:cs="Arial"/>
                <w:b w:val="0"/>
                <w:color w:val="000000" w:themeColor="text1"/>
                <w:sz w:val="20"/>
                <w:szCs w:val="20"/>
              </w:rPr>
            </w:pPr>
            <w:r w:rsidRPr="00A003B6">
              <w:rPr>
                <w:rFonts w:ascii="Arial" w:hAnsi="Arial" w:cs="Arial"/>
                <w:b w:val="0"/>
                <w:color w:val="000000" w:themeColor="text1"/>
                <w:sz w:val="20"/>
                <w:szCs w:val="20"/>
              </w:rPr>
              <w:t xml:space="preserve">Teléfonos, Fax y Otros </w:t>
            </w:r>
          </w:p>
        </w:tc>
      </w:tr>
      <w:tr w:rsidR="003649E4" w:rsidRPr="00A003B6" w14:paraId="0461933D" w14:textId="77777777"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63425FC9" w14:textId="77777777" w:rsidR="0031783B" w:rsidRPr="00A003B6" w:rsidRDefault="003649E4" w:rsidP="00793A3B">
            <w:pPr>
              <w:spacing w:before="20" w:after="40"/>
              <w:rPr>
                <w:rFonts w:ascii="Arial" w:hAnsi="Arial" w:cs="Arial"/>
                <w:color w:val="000000" w:themeColor="text1"/>
                <w:sz w:val="20"/>
                <w:szCs w:val="20"/>
              </w:rPr>
            </w:pPr>
            <w:r w:rsidRPr="00A003B6">
              <w:rPr>
                <w:rFonts w:ascii="Arial" w:eastAsia="Arial" w:hAnsi="Arial" w:cs="Arial"/>
                <w:color w:val="000000" w:themeColor="text1"/>
                <w:sz w:val="20"/>
                <w:szCs w:val="20"/>
              </w:rPr>
              <w:t>Suscripciones a periódicos y revistas, publicaciones y bases de datos</w:t>
            </w:r>
          </w:p>
        </w:tc>
      </w:tr>
      <w:tr w:rsidR="003649E4" w:rsidRPr="00A003B6" w14:paraId="59C5467E" w14:textId="77777777"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2E5A503F" w14:textId="77777777" w:rsidR="0031783B" w:rsidRPr="00A003B6" w:rsidRDefault="003649E4" w:rsidP="00793A3B">
            <w:pPr>
              <w:spacing w:before="20" w:after="40"/>
              <w:rPr>
                <w:rFonts w:ascii="Arial" w:hAnsi="Arial" w:cs="Arial"/>
                <w:color w:val="000000" w:themeColor="text1"/>
                <w:sz w:val="20"/>
                <w:szCs w:val="20"/>
              </w:rPr>
            </w:pPr>
            <w:r w:rsidRPr="00A003B6">
              <w:rPr>
                <w:rFonts w:ascii="Arial" w:eastAsia="Arial" w:hAnsi="Arial" w:cs="Arial"/>
                <w:color w:val="000000" w:themeColor="text1"/>
                <w:sz w:val="20"/>
                <w:szCs w:val="20"/>
              </w:rPr>
              <w:t xml:space="preserve">Sostenibilidad ambiental </w:t>
            </w:r>
          </w:p>
        </w:tc>
      </w:tr>
      <w:tr w:rsidR="003649E4" w:rsidRPr="00A003B6" w14:paraId="0A466C70" w14:textId="77777777"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002E462A" w14:textId="77777777" w:rsidR="0031783B" w:rsidRPr="00A003B6" w:rsidRDefault="0031783B" w:rsidP="00793A3B">
            <w:pPr>
              <w:tabs>
                <w:tab w:val="left" w:pos="300"/>
              </w:tabs>
              <w:spacing w:before="20" w:after="40"/>
              <w:rPr>
                <w:rFonts w:ascii="Arial" w:hAnsi="Arial" w:cs="Arial"/>
                <w:b w:val="0"/>
                <w:color w:val="000000" w:themeColor="text1"/>
                <w:sz w:val="20"/>
                <w:szCs w:val="20"/>
              </w:rPr>
            </w:pPr>
            <w:r w:rsidRPr="00A003B6">
              <w:rPr>
                <w:rFonts w:ascii="Arial" w:hAnsi="Arial" w:cs="Arial"/>
                <w:b w:val="0"/>
                <w:color w:val="000000" w:themeColor="text1"/>
                <w:sz w:val="20"/>
                <w:szCs w:val="20"/>
              </w:rPr>
              <w:t>Energía</w:t>
            </w:r>
          </w:p>
        </w:tc>
      </w:tr>
      <w:tr w:rsidR="003649E4" w:rsidRPr="00A003B6" w14:paraId="78911F4B" w14:textId="77777777"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4ABABA7D" w14:textId="77777777" w:rsidR="0031783B" w:rsidRPr="00A003B6" w:rsidRDefault="0031783B" w:rsidP="00793A3B">
            <w:pPr>
              <w:spacing w:before="20" w:after="40"/>
              <w:rPr>
                <w:rFonts w:ascii="Arial" w:hAnsi="Arial" w:cs="Arial"/>
                <w:b w:val="0"/>
                <w:color w:val="000000" w:themeColor="text1"/>
                <w:sz w:val="20"/>
                <w:szCs w:val="20"/>
              </w:rPr>
            </w:pPr>
            <w:r w:rsidRPr="00A003B6">
              <w:rPr>
                <w:rFonts w:ascii="Arial" w:hAnsi="Arial" w:cs="Arial"/>
                <w:b w:val="0"/>
                <w:color w:val="000000" w:themeColor="text1"/>
                <w:sz w:val="20"/>
                <w:szCs w:val="20"/>
              </w:rPr>
              <w:t>Acueducto y Alcantarillado</w:t>
            </w:r>
          </w:p>
        </w:tc>
      </w:tr>
      <w:tr w:rsidR="003649E4" w:rsidRPr="00A003B6" w14:paraId="7B94E486" w14:textId="77777777" w:rsidTr="001A72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58" w:type="dxa"/>
            <w:shd w:val="clear" w:color="auto" w:fill="4F81BD" w:themeFill="accent1"/>
            <w:noWrap/>
            <w:vAlign w:val="center"/>
            <w:hideMark/>
          </w:tcPr>
          <w:p w14:paraId="726A859E" w14:textId="77777777" w:rsidR="0031783B" w:rsidRPr="00A003B6" w:rsidRDefault="003649E4" w:rsidP="00793A3B">
            <w:pPr>
              <w:spacing w:before="20" w:after="40"/>
              <w:jc w:val="center"/>
              <w:rPr>
                <w:rFonts w:ascii="Arial" w:hAnsi="Arial" w:cs="Arial"/>
                <w:color w:val="000000" w:themeColor="text1"/>
                <w:sz w:val="20"/>
                <w:szCs w:val="20"/>
              </w:rPr>
            </w:pPr>
            <w:r w:rsidRPr="00A003B6">
              <w:rPr>
                <w:rFonts w:ascii="Arial" w:hAnsi="Arial" w:cs="Arial"/>
                <w:color w:val="FFFFFF" w:themeColor="background1"/>
                <w:sz w:val="20"/>
                <w:szCs w:val="20"/>
              </w:rPr>
              <w:t>LEY 1940 DE 2018</w:t>
            </w:r>
          </w:p>
        </w:tc>
      </w:tr>
      <w:tr w:rsidR="003649E4" w:rsidRPr="00A003B6" w14:paraId="6CF913C8" w14:textId="77777777" w:rsidTr="001A72BD">
        <w:trPr>
          <w:jc w:val="center"/>
        </w:trPr>
        <w:tc>
          <w:tcPr>
            <w:cnfStyle w:val="001000000000" w:firstRow="0" w:lastRow="0" w:firstColumn="1" w:lastColumn="0" w:oddVBand="0" w:evenVBand="0" w:oddHBand="0" w:evenHBand="0" w:firstRowFirstColumn="0" w:firstRowLastColumn="0" w:lastRowFirstColumn="0" w:lastRowLastColumn="0"/>
            <w:tcW w:w="8358" w:type="dxa"/>
            <w:noWrap/>
            <w:vAlign w:val="center"/>
            <w:hideMark/>
          </w:tcPr>
          <w:p w14:paraId="1A0FD8B3" w14:textId="07FA480A" w:rsidR="0031783B" w:rsidRPr="00A003B6" w:rsidRDefault="0031783B" w:rsidP="007445C3">
            <w:pPr>
              <w:spacing w:before="20" w:after="40"/>
              <w:rPr>
                <w:rFonts w:ascii="Arial" w:hAnsi="Arial" w:cs="Arial"/>
                <w:color w:val="000000" w:themeColor="text1"/>
                <w:sz w:val="20"/>
                <w:szCs w:val="20"/>
              </w:rPr>
            </w:pPr>
            <w:r w:rsidRPr="00A003B6">
              <w:rPr>
                <w:rFonts w:ascii="Arial" w:eastAsia="Arial" w:hAnsi="Arial" w:cs="Arial"/>
                <w:b w:val="0"/>
                <w:color w:val="000000" w:themeColor="text1"/>
                <w:sz w:val="20"/>
                <w:szCs w:val="20"/>
              </w:rPr>
              <w:t>Seguimiento a las directrices impartidas bajo el marco del Plan de Austeridad del Gasto determinadas en los artículos 81</w:t>
            </w:r>
            <w:r w:rsidR="001161DA" w:rsidRPr="00A003B6">
              <w:rPr>
                <w:rFonts w:ascii="Arial" w:eastAsia="Arial" w:hAnsi="Arial" w:cs="Arial"/>
                <w:b w:val="0"/>
                <w:color w:val="000000" w:themeColor="text1"/>
                <w:sz w:val="20"/>
                <w:szCs w:val="20"/>
              </w:rPr>
              <w:t xml:space="preserve"> </w:t>
            </w:r>
            <w:r w:rsidR="00134821">
              <w:rPr>
                <w:rFonts w:ascii="Arial" w:eastAsia="Arial" w:hAnsi="Arial" w:cs="Arial"/>
                <w:b w:val="0"/>
                <w:color w:val="000000" w:themeColor="text1"/>
                <w:sz w:val="20"/>
                <w:szCs w:val="20"/>
              </w:rPr>
              <w:t xml:space="preserve">y 83 </w:t>
            </w:r>
            <w:r w:rsidR="001161DA" w:rsidRPr="00A003B6">
              <w:rPr>
                <w:rFonts w:ascii="Arial" w:eastAsia="Arial" w:hAnsi="Arial" w:cs="Arial"/>
                <w:b w:val="0"/>
                <w:color w:val="000000" w:themeColor="text1"/>
                <w:sz w:val="20"/>
                <w:szCs w:val="20"/>
              </w:rPr>
              <w:t>de</w:t>
            </w:r>
            <w:r w:rsidR="005E1303" w:rsidRPr="00A003B6">
              <w:rPr>
                <w:rFonts w:ascii="Arial" w:eastAsia="Arial" w:hAnsi="Arial" w:cs="Arial"/>
                <w:b w:val="0"/>
                <w:color w:val="000000" w:themeColor="text1"/>
                <w:sz w:val="20"/>
                <w:szCs w:val="20"/>
              </w:rPr>
              <w:t xml:space="preserve"> </w:t>
            </w:r>
            <w:r w:rsidRPr="00A003B6">
              <w:rPr>
                <w:rFonts w:ascii="Arial" w:eastAsia="Arial" w:hAnsi="Arial" w:cs="Arial"/>
                <w:b w:val="0"/>
                <w:color w:val="000000" w:themeColor="text1"/>
                <w:sz w:val="20"/>
                <w:szCs w:val="20"/>
              </w:rPr>
              <w:t>la Ley 1940 de 2018</w:t>
            </w:r>
            <w:r w:rsidRPr="00A003B6">
              <w:rPr>
                <w:rFonts w:ascii="Arial" w:eastAsia="Arial" w:hAnsi="Arial" w:cs="Arial"/>
                <w:color w:val="000000" w:themeColor="text1"/>
                <w:sz w:val="20"/>
                <w:szCs w:val="20"/>
              </w:rPr>
              <w:t xml:space="preserve">. </w:t>
            </w:r>
          </w:p>
        </w:tc>
      </w:tr>
    </w:tbl>
    <w:p w14:paraId="2A78C7CF" w14:textId="77777777" w:rsidR="004245F4" w:rsidRPr="00A003B6" w:rsidRDefault="004245F4" w:rsidP="001F3898">
      <w:pPr>
        <w:rPr>
          <w:rFonts w:ascii="Arial" w:hAnsi="Arial" w:cs="Arial"/>
          <w:sz w:val="22"/>
          <w:szCs w:val="22"/>
          <w:highlight w:val="yellow"/>
        </w:rPr>
      </w:pPr>
    </w:p>
    <w:p w14:paraId="76961641" w14:textId="77777777" w:rsidR="00CC4B51" w:rsidRPr="00DE1189" w:rsidRDefault="00CC4B51" w:rsidP="001F3898">
      <w:pPr>
        <w:rPr>
          <w:rFonts w:ascii="Arial" w:hAnsi="Arial" w:cs="Arial"/>
          <w:sz w:val="22"/>
          <w:szCs w:val="22"/>
        </w:rPr>
      </w:pPr>
    </w:p>
    <w:p w14:paraId="76E0B572" w14:textId="77777777" w:rsidR="001E1371" w:rsidRPr="00DE1189" w:rsidRDefault="001E1371" w:rsidP="0045629B">
      <w:pPr>
        <w:pStyle w:val="Default"/>
        <w:numPr>
          <w:ilvl w:val="0"/>
          <w:numId w:val="8"/>
        </w:numPr>
        <w:ind w:left="284" w:hanging="284"/>
        <w:jc w:val="both"/>
        <w:rPr>
          <w:b/>
          <w:sz w:val="22"/>
          <w:szCs w:val="22"/>
        </w:rPr>
      </w:pPr>
      <w:r w:rsidRPr="00DE1189">
        <w:rPr>
          <w:b/>
          <w:sz w:val="22"/>
          <w:szCs w:val="22"/>
        </w:rPr>
        <w:t xml:space="preserve">MODIFICACIÓN DE LAS PLANTAS DE PERSONAL, ESTRUCTURAS ADMINISTRATIVAS Y GASTOS DE PERSONAL </w:t>
      </w:r>
    </w:p>
    <w:p w14:paraId="259DBDBE" w14:textId="77777777" w:rsidR="001E1371" w:rsidRPr="00A003B6" w:rsidRDefault="001E1371" w:rsidP="001F3898">
      <w:pPr>
        <w:pStyle w:val="Default"/>
        <w:jc w:val="both"/>
        <w:rPr>
          <w:sz w:val="22"/>
          <w:szCs w:val="22"/>
          <w:highlight w:val="yellow"/>
        </w:rPr>
      </w:pPr>
    </w:p>
    <w:p w14:paraId="2F84E815" w14:textId="31814F99" w:rsidR="001F3898" w:rsidRDefault="00570DD1" w:rsidP="004505FF">
      <w:pPr>
        <w:pStyle w:val="Default"/>
        <w:jc w:val="both"/>
        <w:rPr>
          <w:sz w:val="22"/>
          <w:szCs w:val="22"/>
        </w:rPr>
      </w:pPr>
      <w:r w:rsidRPr="00DE1189">
        <w:rPr>
          <w:sz w:val="22"/>
          <w:szCs w:val="22"/>
        </w:rPr>
        <w:t xml:space="preserve">Teniendo en cuenta, las directrices expuestas en la Directiva Presidencial 009 de 2018 en lo referente al numeral 1: </w:t>
      </w:r>
      <w:r w:rsidRPr="00DE1189">
        <w:rPr>
          <w:i/>
          <w:sz w:val="22"/>
          <w:szCs w:val="22"/>
        </w:rPr>
        <w:t>Modificación de las plantas de personal, estructuras administrativas y gastos de personal</w:t>
      </w:r>
      <w:r w:rsidRPr="00DE1189">
        <w:rPr>
          <w:sz w:val="22"/>
          <w:szCs w:val="22"/>
        </w:rPr>
        <w:t>, e</w:t>
      </w:r>
      <w:r w:rsidR="001E1371" w:rsidRPr="00DE1189">
        <w:rPr>
          <w:sz w:val="22"/>
          <w:szCs w:val="22"/>
        </w:rPr>
        <w:t xml:space="preserve">n este punto, se analizaron las variaciones de los </w:t>
      </w:r>
      <w:r w:rsidR="001F3898" w:rsidRPr="00DE1189">
        <w:rPr>
          <w:sz w:val="22"/>
          <w:szCs w:val="22"/>
        </w:rPr>
        <w:t xml:space="preserve">conceptos de gastos de nómina y horas </w:t>
      </w:r>
      <w:r w:rsidR="002B20CE" w:rsidRPr="00DE1189">
        <w:rPr>
          <w:sz w:val="22"/>
          <w:szCs w:val="22"/>
        </w:rPr>
        <w:t>extras, tomando como fuente de i</w:t>
      </w:r>
      <w:r w:rsidR="001F3898" w:rsidRPr="00DE1189">
        <w:rPr>
          <w:sz w:val="22"/>
          <w:szCs w:val="22"/>
        </w:rPr>
        <w:t xml:space="preserve">nformación </w:t>
      </w:r>
      <w:r w:rsidR="002B20CE" w:rsidRPr="00DE1189">
        <w:rPr>
          <w:sz w:val="22"/>
          <w:szCs w:val="22"/>
        </w:rPr>
        <w:t>lo reportado p</w:t>
      </w:r>
      <w:r w:rsidR="001F3898" w:rsidRPr="00DE1189">
        <w:rPr>
          <w:sz w:val="22"/>
          <w:szCs w:val="22"/>
        </w:rPr>
        <w:t xml:space="preserve">or </w:t>
      </w:r>
      <w:r w:rsidR="00212575" w:rsidRPr="00DE1189">
        <w:rPr>
          <w:sz w:val="22"/>
          <w:szCs w:val="22"/>
        </w:rPr>
        <w:t>las áreas de</w:t>
      </w:r>
      <w:r w:rsidR="00DE1189">
        <w:rPr>
          <w:sz w:val="22"/>
          <w:szCs w:val="22"/>
        </w:rPr>
        <w:t xml:space="preserve"> la Subdirección de la Gestión del</w:t>
      </w:r>
      <w:r w:rsidR="00212575" w:rsidRPr="00DE1189">
        <w:rPr>
          <w:sz w:val="22"/>
          <w:szCs w:val="22"/>
        </w:rPr>
        <w:t xml:space="preserve"> </w:t>
      </w:r>
      <w:r w:rsidR="00083DD7" w:rsidRPr="00DE1189">
        <w:rPr>
          <w:sz w:val="22"/>
          <w:szCs w:val="22"/>
        </w:rPr>
        <w:t xml:space="preserve">Talento Humano </w:t>
      </w:r>
      <w:r w:rsidR="00302121" w:rsidRPr="00DE1189">
        <w:rPr>
          <w:sz w:val="22"/>
          <w:szCs w:val="22"/>
        </w:rPr>
        <w:t xml:space="preserve"> </w:t>
      </w:r>
      <w:r w:rsidR="001F3898" w:rsidRPr="00DE1189">
        <w:rPr>
          <w:sz w:val="22"/>
          <w:szCs w:val="22"/>
        </w:rPr>
        <w:t>en cuanto a la administración de perso</w:t>
      </w:r>
      <w:r w:rsidR="00ED3BB9" w:rsidRPr="00DE1189">
        <w:rPr>
          <w:sz w:val="22"/>
          <w:szCs w:val="22"/>
        </w:rPr>
        <w:t xml:space="preserve">nal y horas extras, así </w:t>
      </w:r>
      <w:r w:rsidR="00302121" w:rsidRPr="00DE1189">
        <w:rPr>
          <w:sz w:val="22"/>
          <w:szCs w:val="22"/>
        </w:rPr>
        <w:t>mismo</w:t>
      </w:r>
      <w:r w:rsidR="00ED3BB9" w:rsidRPr="00DE1189">
        <w:rPr>
          <w:sz w:val="22"/>
          <w:szCs w:val="22"/>
        </w:rPr>
        <w:t xml:space="preserve">, </w:t>
      </w:r>
      <w:r w:rsidR="00302121" w:rsidRPr="00DE1189">
        <w:rPr>
          <w:sz w:val="22"/>
          <w:szCs w:val="22"/>
        </w:rPr>
        <w:t>se verificó l</w:t>
      </w:r>
      <w:r w:rsidR="00ED3BB9" w:rsidRPr="00DE1189">
        <w:rPr>
          <w:sz w:val="22"/>
          <w:szCs w:val="22"/>
        </w:rPr>
        <w:t>os conceptos relacionados con la contratación</w:t>
      </w:r>
      <w:r w:rsidR="00D9547F" w:rsidRPr="00DE1189">
        <w:rPr>
          <w:sz w:val="22"/>
          <w:szCs w:val="22"/>
        </w:rPr>
        <w:t xml:space="preserve"> </w:t>
      </w:r>
      <w:r w:rsidR="00ED3BB9" w:rsidRPr="00DE1189">
        <w:rPr>
          <w:sz w:val="22"/>
          <w:szCs w:val="22"/>
        </w:rPr>
        <w:t xml:space="preserve">de personal para la prestación de servicios profesionales </w:t>
      </w:r>
      <w:r w:rsidR="00212575" w:rsidRPr="00DE1189">
        <w:rPr>
          <w:sz w:val="22"/>
          <w:szCs w:val="22"/>
        </w:rPr>
        <w:t>sumini</w:t>
      </w:r>
      <w:r w:rsidR="00D9547F" w:rsidRPr="00DE1189">
        <w:rPr>
          <w:sz w:val="22"/>
          <w:szCs w:val="22"/>
        </w:rPr>
        <w:t>strada por el Grupo de Contratación Directa</w:t>
      </w:r>
      <w:r w:rsidR="00212575" w:rsidRPr="00DE1189">
        <w:rPr>
          <w:sz w:val="22"/>
          <w:szCs w:val="22"/>
        </w:rPr>
        <w:t xml:space="preserve"> de este Ministerio. Adicionalmente, se consultó la información registrada</w:t>
      </w:r>
      <w:r w:rsidR="001F3898" w:rsidRPr="00DE1189">
        <w:rPr>
          <w:sz w:val="22"/>
          <w:szCs w:val="22"/>
        </w:rPr>
        <w:t xml:space="preserve"> en el Sistema Integrado de Información Financiera – SIIF en lo concerniente a las o</w:t>
      </w:r>
      <w:r w:rsidR="00212575" w:rsidRPr="00DE1189">
        <w:rPr>
          <w:sz w:val="22"/>
          <w:szCs w:val="22"/>
        </w:rPr>
        <w:t xml:space="preserve">bligaciones de dichos conceptos. </w:t>
      </w:r>
    </w:p>
    <w:p w14:paraId="48D76D3C" w14:textId="77777777" w:rsidR="00E3330F" w:rsidRPr="00DE1189" w:rsidRDefault="00E3330F" w:rsidP="004505FF">
      <w:pPr>
        <w:pStyle w:val="Default"/>
        <w:jc w:val="both"/>
        <w:rPr>
          <w:b/>
          <w:sz w:val="22"/>
          <w:szCs w:val="22"/>
        </w:rPr>
      </w:pPr>
    </w:p>
    <w:p w14:paraId="18C8411A" w14:textId="77777777" w:rsidR="00571A39" w:rsidRPr="00441672" w:rsidRDefault="00571A39" w:rsidP="002C7841">
      <w:pPr>
        <w:rPr>
          <w:rFonts w:ascii="Arial" w:hAnsi="Arial" w:cs="Arial"/>
          <w:b/>
          <w:sz w:val="22"/>
          <w:szCs w:val="22"/>
        </w:rPr>
      </w:pPr>
      <w:r w:rsidRPr="00441672">
        <w:rPr>
          <w:rFonts w:ascii="Arial" w:hAnsi="Arial" w:cs="Arial"/>
          <w:b/>
          <w:sz w:val="22"/>
          <w:szCs w:val="22"/>
        </w:rPr>
        <w:lastRenderedPageBreak/>
        <w:t xml:space="preserve">2.1. </w:t>
      </w:r>
      <w:r w:rsidR="003F3B7E" w:rsidRPr="00441672">
        <w:rPr>
          <w:rFonts w:ascii="Arial" w:hAnsi="Arial" w:cs="Arial"/>
          <w:b/>
          <w:sz w:val="22"/>
          <w:szCs w:val="22"/>
        </w:rPr>
        <w:t>PLANTA DE PERSONAL</w:t>
      </w:r>
    </w:p>
    <w:p w14:paraId="55764342" w14:textId="77777777" w:rsidR="002C7841" w:rsidRPr="00A003B6" w:rsidRDefault="002C7841" w:rsidP="002C7841">
      <w:pPr>
        <w:rPr>
          <w:rFonts w:ascii="Arial" w:hAnsi="Arial" w:cs="Arial"/>
          <w:b/>
          <w:sz w:val="22"/>
          <w:szCs w:val="22"/>
          <w:highlight w:val="yellow"/>
        </w:rPr>
      </w:pPr>
    </w:p>
    <w:p w14:paraId="34FF1963" w14:textId="77777777" w:rsidR="008852B6" w:rsidRPr="00441672" w:rsidRDefault="00065B73" w:rsidP="002C7841">
      <w:pPr>
        <w:jc w:val="both"/>
        <w:rPr>
          <w:rFonts w:ascii="Arial" w:hAnsi="Arial" w:cs="Arial"/>
          <w:color w:val="000000"/>
          <w:sz w:val="22"/>
          <w:szCs w:val="22"/>
        </w:rPr>
      </w:pPr>
      <w:r w:rsidRPr="00441672">
        <w:rPr>
          <w:rFonts w:ascii="Arial" w:hAnsi="Arial" w:cs="Arial"/>
          <w:color w:val="000000"/>
          <w:sz w:val="22"/>
          <w:szCs w:val="22"/>
        </w:rPr>
        <w:t xml:space="preserve">Según </w:t>
      </w:r>
      <w:r w:rsidR="008852B6" w:rsidRPr="00441672">
        <w:rPr>
          <w:rFonts w:ascii="Arial" w:hAnsi="Arial" w:cs="Arial"/>
          <w:color w:val="000000"/>
          <w:sz w:val="22"/>
          <w:szCs w:val="22"/>
        </w:rPr>
        <w:t xml:space="preserve">lo </w:t>
      </w:r>
      <w:r w:rsidR="006678FB" w:rsidRPr="00441672">
        <w:rPr>
          <w:rFonts w:ascii="Arial" w:hAnsi="Arial" w:cs="Arial"/>
          <w:color w:val="000000"/>
          <w:sz w:val="22"/>
          <w:szCs w:val="22"/>
        </w:rPr>
        <w:t xml:space="preserve">establecido </w:t>
      </w:r>
      <w:r w:rsidR="008852B6" w:rsidRPr="00441672">
        <w:rPr>
          <w:rFonts w:ascii="Arial" w:hAnsi="Arial" w:cs="Arial"/>
          <w:color w:val="000000"/>
          <w:sz w:val="22"/>
          <w:szCs w:val="22"/>
        </w:rPr>
        <w:t>en el numeral</w:t>
      </w:r>
      <w:r w:rsidR="00B60258" w:rsidRPr="00441672">
        <w:rPr>
          <w:rFonts w:ascii="Arial" w:hAnsi="Arial" w:cs="Arial"/>
          <w:color w:val="000000"/>
          <w:sz w:val="22"/>
          <w:szCs w:val="22"/>
        </w:rPr>
        <w:t xml:space="preserve"> 1 </w:t>
      </w:r>
      <w:r w:rsidR="008852B6" w:rsidRPr="00441672">
        <w:rPr>
          <w:rFonts w:ascii="Arial" w:hAnsi="Arial" w:cs="Arial"/>
          <w:color w:val="000000"/>
          <w:sz w:val="22"/>
          <w:szCs w:val="22"/>
        </w:rPr>
        <w:t>[</w:t>
      </w:r>
      <w:r w:rsidRPr="00441672">
        <w:rPr>
          <w:rFonts w:ascii="Arial" w:hAnsi="Arial" w:cs="Arial"/>
          <w:color w:val="000000"/>
          <w:sz w:val="22"/>
          <w:szCs w:val="22"/>
        </w:rPr>
        <w:t>subnumeral 1.1</w:t>
      </w:r>
      <w:r w:rsidR="008852B6" w:rsidRPr="00441672">
        <w:rPr>
          <w:rFonts w:ascii="Arial" w:hAnsi="Arial" w:cs="Arial"/>
          <w:color w:val="000000"/>
          <w:sz w:val="22"/>
          <w:szCs w:val="22"/>
        </w:rPr>
        <w:t xml:space="preserve">] de la Directiva Presidencial 09 de 2018, </w:t>
      </w:r>
      <w:r w:rsidR="008852B6" w:rsidRPr="00441672">
        <w:rPr>
          <w:rFonts w:ascii="Agency FB" w:hAnsi="Agency FB" w:cs="Arial"/>
          <w:color w:val="000000"/>
          <w:sz w:val="22"/>
          <w:szCs w:val="22"/>
        </w:rPr>
        <w:t>«</w:t>
      </w:r>
      <w:r w:rsidR="008852B6" w:rsidRPr="00441672">
        <w:rPr>
          <w:rFonts w:ascii="Arial" w:hAnsi="Arial" w:cs="Arial"/>
          <w:color w:val="000000"/>
          <w:sz w:val="22"/>
          <w:szCs w:val="22"/>
        </w:rPr>
        <w:t>Las plantas de personal y las estructuras administrativas de las entidades de la rama ejecutiva del orden nacional, solamente se podrán modificar cuando dicha reforma sea a costo cero o se generen ahorros en los gastos de funcionamiento de la entidad</w:t>
      </w:r>
      <w:r w:rsidR="008852B6" w:rsidRPr="00441672">
        <w:rPr>
          <w:rFonts w:ascii="Agency FB" w:hAnsi="Agency FB" w:cs="Arial"/>
          <w:color w:val="000000"/>
          <w:sz w:val="22"/>
          <w:szCs w:val="22"/>
        </w:rPr>
        <w:t>»</w:t>
      </w:r>
      <w:r w:rsidR="008852B6" w:rsidRPr="00441672">
        <w:rPr>
          <w:rFonts w:ascii="Arial" w:hAnsi="Arial" w:cs="Arial"/>
          <w:color w:val="000000"/>
          <w:sz w:val="22"/>
          <w:szCs w:val="22"/>
        </w:rPr>
        <w:t>.</w:t>
      </w:r>
      <w:r w:rsidRPr="00441672">
        <w:rPr>
          <w:rFonts w:ascii="Arial" w:hAnsi="Arial" w:cs="Arial"/>
          <w:color w:val="000000"/>
          <w:sz w:val="22"/>
          <w:szCs w:val="22"/>
        </w:rPr>
        <w:t xml:space="preserve"> Por lo anterior, con base en la información reportada por la Subdirección de Gesti</w:t>
      </w:r>
      <w:r w:rsidR="00DD1F61" w:rsidRPr="00441672">
        <w:rPr>
          <w:rFonts w:ascii="Arial" w:hAnsi="Arial" w:cs="Arial"/>
          <w:color w:val="000000"/>
          <w:sz w:val="22"/>
          <w:szCs w:val="22"/>
        </w:rPr>
        <w:t>ón del Talento</w:t>
      </w:r>
      <w:r w:rsidR="006678FB" w:rsidRPr="00441672">
        <w:rPr>
          <w:rFonts w:ascii="Arial" w:hAnsi="Arial" w:cs="Arial"/>
          <w:color w:val="000000"/>
          <w:sz w:val="22"/>
          <w:szCs w:val="22"/>
        </w:rPr>
        <w:t xml:space="preserve"> Humano se aplicaron las pruebas de comparación </w:t>
      </w:r>
      <w:r w:rsidR="00DD1F61" w:rsidRPr="00441672">
        <w:rPr>
          <w:rFonts w:ascii="Arial" w:hAnsi="Arial" w:cs="Arial"/>
          <w:color w:val="000000"/>
          <w:sz w:val="22"/>
          <w:szCs w:val="22"/>
        </w:rPr>
        <w:t>r</w:t>
      </w:r>
      <w:r w:rsidR="006678FB" w:rsidRPr="00441672">
        <w:rPr>
          <w:rFonts w:ascii="Arial" w:hAnsi="Arial" w:cs="Arial"/>
          <w:color w:val="000000"/>
          <w:sz w:val="22"/>
          <w:szCs w:val="22"/>
        </w:rPr>
        <w:t>especto a la planta de personal</w:t>
      </w:r>
      <w:r w:rsidR="00C42DF3" w:rsidRPr="00441672">
        <w:rPr>
          <w:rFonts w:ascii="Arial" w:hAnsi="Arial" w:cs="Arial"/>
          <w:color w:val="000000"/>
          <w:sz w:val="22"/>
          <w:szCs w:val="22"/>
        </w:rPr>
        <w:t xml:space="preserve"> para los periodos objeto de verificación</w:t>
      </w:r>
      <w:r w:rsidR="006678FB" w:rsidRPr="00441672">
        <w:rPr>
          <w:rFonts w:ascii="Arial" w:hAnsi="Arial" w:cs="Arial"/>
          <w:color w:val="000000"/>
          <w:sz w:val="22"/>
          <w:szCs w:val="22"/>
        </w:rPr>
        <w:t xml:space="preserve">. El análisis se presenta a continuación: </w:t>
      </w:r>
    </w:p>
    <w:p w14:paraId="397DBFB6" w14:textId="77777777" w:rsidR="004505FF" w:rsidRPr="00441672" w:rsidRDefault="004505FF" w:rsidP="002C7841">
      <w:pPr>
        <w:jc w:val="both"/>
        <w:rPr>
          <w:rFonts w:ascii="Arial" w:hAnsi="Arial" w:cs="Arial"/>
          <w:color w:val="000000"/>
          <w:sz w:val="22"/>
          <w:szCs w:val="22"/>
        </w:rPr>
      </w:pPr>
    </w:p>
    <w:p w14:paraId="28306D4E" w14:textId="77777777" w:rsidR="006C0D16" w:rsidRDefault="00DC4BA3" w:rsidP="002C7841">
      <w:pPr>
        <w:jc w:val="both"/>
        <w:rPr>
          <w:rFonts w:ascii="Arial" w:hAnsi="Arial" w:cs="Arial"/>
          <w:sz w:val="22"/>
          <w:szCs w:val="22"/>
        </w:rPr>
      </w:pPr>
      <w:r w:rsidRPr="00441672">
        <w:rPr>
          <w:rFonts w:ascii="Arial" w:hAnsi="Arial" w:cs="Arial"/>
          <w:sz w:val="22"/>
          <w:szCs w:val="22"/>
        </w:rPr>
        <w:t>Con c</w:t>
      </w:r>
      <w:r w:rsidR="005F7E32" w:rsidRPr="00441672">
        <w:rPr>
          <w:rFonts w:ascii="Arial" w:hAnsi="Arial" w:cs="Arial"/>
          <w:sz w:val="22"/>
          <w:szCs w:val="22"/>
        </w:rPr>
        <w:t xml:space="preserve">orte a </w:t>
      </w:r>
      <w:r w:rsidR="00B818F5" w:rsidRPr="00441672">
        <w:rPr>
          <w:rFonts w:ascii="Arial" w:hAnsi="Arial" w:cs="Arial"/>
          <w:sz w:val="22"/>
          <w:szCs w:val="22"/>
        </w:rPr>
        <w:t>30</w:t>
      </w:r>
      <w:r w:rsidR="005F7E32" w:rsidRPr="00441672">
        <w:rPr>
          <w:rFonts w:ascii="Arial" w:hAnsi="Arial" w:cs="Arial"/>
          <w:sz w:val="22"/>
          <w:szCs w:val="22"/>
        </w:rPr>
        <w:t xml:space="preserve"> de</w:t>
      </w:r>
      <w:r w:rsidR="00441672">
        <w:rPr>
          <w:rFonts w:ascii="Arial" w:hAnsi="Arial" w:cs="Arial"/>
          <w:sz w:val="22"/>
          <w:szCs w:val="22"/>
        </w:rPr>
        <w:t xml:space="preserve"> septiembre</w:t>
      </w:r>
      <w:r w:rsidR="00441672" w:rsidRPr="00441672">
        <w:rPr>
          <w:rFonts w:ascii="Arial" w:hAnsi="Arial" w:cs="Arial"/>
          <w:sz w:val="22"/>
          <w:szCs w:val="22"/>
        </w:rPr>
        <w:t xml:space="preserve"> de</w:t>
      </w:r>
      <w:r w:rsidR="005F7E32" w:rsidRPr="00441672">
        <w:rPr>
          <w:rFonts w:ascii="Arial" w:hAnsi="Arial" w:cs="Arial"/>
          <w:sz w:val="22"/>
          <w:szCs w:val="22"/>
        </w:rPr>
        <w:t xml:space="preserve"> 201</w:t>
      </w:r>
      <w:r w:rsidR="003922CA" w:rsidRPr="00441672">
        <w:rPr>
          <w:rFonts w:ascii="Arial" w:hAnsi="Arial" w:cs="Arial"/>
          <w:sz w:val="22"/>
          <w:szCs w:val="22"/>
        </w:rPr>
        <w:t>9</w:t>
      </w:r>
      <w:r w:rsidR="005F7E32" w:rsidRPr="00441672">
        <w:rPr>
          <w:rFonts w:ascii="Arial" w:hAnsi="Arial" w:cs="Arial"/>
          <w:sz w:val="22"/>
          <w:szCs w:val="22"/>
        </w:rPr>
        <w:t xml:space="preserve"> </w:t>
      </w:r>
      <w:r w:rsidRPr="00441672">
        <w:rPr>
          <w:rFonts w:ascii="Arial" w:hAnsi="Arial" w:cs="Arial"/>
          <w:sz w:val="22"/>
          <w:szCs w:val="22"/>
        </w:rPr>
        <w:t>la planta de perso</w:t>
      </w:r>
      <w:r w:rsidR="005F7E32" w:rsidRPr="00441672">
        <w:rPr>
          <w:rFonts w:ascii="Arial" w:hAnsi="Arial" w:cs="Arial"/>
          <w:sz w:val="22"/>
          <w:szCs w:val="22"/>
        </w:rPr>
        <w:t>nal</w:t>
      </w:r>
      <w:r w:rsidR="0037128B" w:rsidRPr="00441672">
        <w:rPr>
          <w:rFonts w:ascii="Arial" w:hAnsi="Arial" w:cs="Arial"/>
          <w:sz w:val="22"/>
          <w:szCs w:val="22"/>
        </w:rPr>
        <w:t xml:space="preserve"> [</w:t>
      </w:r>
      <w:r w:rsidR="00FA0DBB" w:rsidRPr="00441672">
        <w:rPr>
          <w:rFonts w:ascii="Arial" w:hAnsi="Arial" w:cs="Arial"/>
          <w:sz w:val="22"/>
          <w:szCs w:val="22"/>
        </w:rPr>
        <w:t>permanente</w:t>
      </w:r>
      <w:r w:rsidR="0037128B" w:rsidRPr="00441672">
        <w:rPr>
          <w:rFonts w:ascii="Arial" w:hAnsi="Arial" w:cs="Arial"/>
          <w:sz w:val="22"/>
          <w:szCs w:val="22"/>
        </w:rPr>
        <w:t>]</w:t>
      </w:r>
      <w:r w:rsidR="00FA0DBB" w:rsidRPr="00441672">
        <w:rPr>
          <w:rFonts w:ascii="Arial" w:hAnsi="Arial" w:cs="Arial"/>
          <w:sz w:val="22"/>
          <w:szCs w:val="22"/>
        </w:rPr>
        <w:t xml:space="preserve"> del Ministerio de Hacienda y Crédito Público </w:t>
      </w:r>
      <w:r w:rsidR="00B818F5" w:rsidRPr="00441672">
        <w:rPr>
          <w:rFonts w:ascii="Arial" w:hAnsi="Arial" w:cs="Arial"/>
          <w:sz w:val="22"/>
          <w:szCs w:val="22"/>
        </w:rPr>
        <w:t>ascendió</w:t>
      </w:r>
      <w:r w:rsidR="00DC228A" w:rsidRPr="00441672">
        <w:rPr>
          <w:rFonts w:ascii="Arial" w:hAnsi="Arial" w:cs="Arial"/>
          <w:sz w:val="22"/>
          <w:szCs w:val="22"/>
        </w:rPr>
        <w:t xml:space="preserve"> a </w:t>
      </w:r>
      <w:r w:rsidR="005F7E32" w:rsidRPr="00441672">
        <w:rPr>
          <w:rFonts w:ascii="Arial" w:hAnsi="Arial" w:cs="Arial"/>
          <w:sz w:val="22"/>
          <w:szCs w:val="22"/>
        </w:rPr>
        <w:t>6</w:t>
      </w:r>
      <w:r w:rsidR="00834216">
        <w:rPr>
          <w:rFonts w:ascii="Arial" w:hAnsi="Arial" w:cs="Arial"/>
          <w:sz w:val="22"/>
          <w:szCs w:val="22"/>
        </w:rPr>
        <w:t>81</w:t>
      </w:r>
      <w:r w:rsidR="005F7E32" w:rsidRPr="00441672">
        <w:rPr>
          <w:rFonts w:ascii="Arial" w:hAnsi="Arial" w:cs="Arial"/>
          <w:sz w:val="22"/>
          <w:szCs w:val="22"/>
        </w:rPr>
        <w:t xml:space="preserve"> funcionarios, </w:t>
      </w:r>
      <w:r w:rsidR="00E64645" w:rsidRPr="00441672">
        <w:rPr>
          <w:rFonts w:ascii="Arial" w:hAnsi="Arial" w:cs="Arial"/>
          <w:sz w:val="22"/>
          <w:szCs w:val="22"/>
        </w:rPr>
        <w:t xml:space="preserve">de </w:t>
      </w:r>
      <w:r w:rsidR="005F7E32" w:rsidRPr="00441672">
        <w:rPr>
          <w:rFonts w:ascii="Arial" w:hAnsi="Arial" w:cs="Arial"/>
          <w:sz w:val="22"/>
          <w:szCs w:val="22"/>
        </w:rPr>
        <w:t xml:space="preserve">los cuales, la mayor representatividad se encuentra </w:t>
      </w:r>
      <w:r w:rsidR="00FA0DBB" w:rsidRPr="00441672">
        <w:rPr>
          <w:rFonts w:ascii="Arial" w:hAnsi="Arial" w:cs="Arial"/>
          <w:sz w:val="22"/>
          <w:szCs w:val="22"/>
        </w:rPr>
        <w:t xml:space="preserve">distribuida en </w:t>
      </w:r>
      <w:r w:rsidR="005F7E32" w:rsidRPr="00441672">
        <w:rPr>
          <w:rFonts w:ascii="Arial" w:hAnsi="Arial" w:cs="Arial"/>
          <w:sz w:val="22"/>
          <w:szCs w:val="22"/>
        </w:rPr>
        <w:t>los cargos de asesores [4</w:t>
      </w:r>
      <w:r w:rsidR="00834216">
        <w:rPr>
          <w:rFonts w:ascii="Arial" w:hAnsi="Arial" w:cs="Arial"/>
          <w:sz w:val="22"/>
          <w:szCs w:val="22"/>
        </w:rPr>
        <w:t>3</w:t>
      </w:r>
      <w:r w:rsidR="006B1A84" w:rsidRPr="00441672">
        <w:rPr>
          <w:rFonts w:ascii="Arial" w:hAnsi="Arial" w:cs="Arial"/>
          <w:sz w:val="22"/>
          <w:szCs w:val="22"/>
        </w:rPr>
        <w:t xml:space="preserve"> </w:t>
      </w:r>
      <w:r w:rsidR="005F7E32" w:rsidRPr="00441672">
        <w:rPr>
          <w:rFonts w:ascii="Arial" w:hAnsi="Arial" w:cs="Arial"/>
          <w:sz w:val="22"/>
          <w:szCs w:val="22"/>
        </w:rPr>
        <w:t>%] y profesionales [</w:t>
      </w:r>
      <w:r w:rsidR="00834216">
        <w:rPr>
          <w:rFonts w:ascii="Arial" w:hAnsi="Arial" w:cs="Arial"/>
          <w:sz w:val="22"/>
          <w:szCs w:val="22"/>
        </w:rPr>
        <w:t>23</w:t>
      </w:r>
      <w:r w:rsidR="005F7E32" w:rsidRPr="00441672">
        <w:rPr>
          <w:rFonts w:ascii="Arial" w:hAnsi="Arial" w:cs="Arial"/>
          <w:sz w:val="22"/>
          <w:szCs w:val="22"/>
        </w:rPr>
        <w:t xml:space="preserve">%]. </w:t>
      </w:r>
    </w:p>
    <w:p w14:paraId="64DE080D" w14:textId="77777777" w:rsidR="006C0D16" w:rsidRPr="00441672" w:rsidRDefault="006C0D16" w:rsidP="002C7841">
      <w:pPr>
        <w:jc w:val="both"/>
        <w:rPr>
          <w:rFonts w:ascii="Arial" w:hAnsi="Arial" w:cs="Arial"/>
          <w:sz w:val="22"/>
          <w:szCs w:val="22"/>
        </w:rPr>
      </w:pPr>
    </w:p>
    <w:tbl>
      <w:tblPr>
        <w:tblStyle w:val="Tabladecuadrcula1clara-nfasis1"/>
        <w:tblpPr w:leftFromText="141" w:rightFromText="141" w:vertAnchor="text" w:horzAnchor="margin" w:tblpY="202"/>
        <w:tblW w:w="0" w:type="auto"/>
        <w:tblLayout w:type="fixed"/>
        <w:tblLook w:val="04A0" w:firstRow="1" w:lastRow="0" w:firstColumn="1" w:lastColumn="0" w:noHBand="0" w:noVBand="1"/>
      </w:tblPr>
      <w:tblGrid>
        <w:gridCol w:w="1838"/>
        <w:gridCol w:w="1418"/>
      </w:tblGrid>
      <w:tr w:rsidR="006C0D16" w:rsidRPr="00A003B6" w14:paraId="4A2CAA14" w14:textId="77777777" w:rsidTr="006C0D16">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838" w:type="dxa"/>
            <w:tcBorders>
              <w:bottom w:val="nil"/>
            </w:tcBorders>
            <w:shd w:val="clear" w:color="auto" w:fill="4F81BD" w:themeFill="accent1"/>
            <w:vAlign w:val="center"/>
            <w:hideMark/>
          </w:tcPr>
          <w:p w14:paraId="34E7B5D6" w14:textId="77777777" w:rsidR="006C0D16" w:rsidRPr="00441672" w:rsidRDefault="006C0D16" w:rsidP="00D75C2E">
            <w:pPr>
              <w:jc w:val="center"/>
              <w:rPr>
                <w:rFonts w:ascii="Arial" w:hAnsi="Arial" w:cs="Arial"/>
                <w:bCs w:val="0"/>
                <w:color w:val="FFFFFF" w:themeColor="background1"/>
                <w:sz w:val="18"/>
                <w:szCs w:val="18"/>
              </w:rPr>
            </w:pPr>
            <w:r w:rsidRPr="00441672">
              <w:rPr>
                <w:rFonts w:ascii="Arial" w:hAnsi="Arial" w:cs="Arial"/>
                <w:bCs w:val="0"/>
                <w:color w:val="FFFFFF" w:themeColor="background1"/>
                <w:sz w:val="18"/>
                <w:szCs w:val="18"/>
              </w:rPr>
              <w:t>Cargo</w:t>
            </w:r>
          </w:p>
        </w:tc>
        <w:tc>
          <w:tcPr>
            <w:tcW w:w="1418" w:type="dxa"/>
            <w:tcBorders>
              <w:bottom w:val="nil"/>
            </w:tcBorders>
            <w:shd w:val="clear" w:color="auto" w:fill="4F81BD" w:themeFill="accent1"/>
            <w:vAlign w:val="center"/>
            <w:hideMark/>
          </w:tcPr>
          <w:p w14:paraId="3837A7C9" w14:textId="77777777" w:rsidR="006C0D16" w:rsidRPr="00441672" w:rsidRDefault="006C0D16" w:rsidP="00D75C2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441672">
              <w:rPr>
                <w:rFonts w:ascii="Arial" w:hAnsi="Arial" w:cs="Arial"/>
                <w:bCs w:val="0"/>
                <w:color w:val="FFFFFF" w:themeColor="background1"/>
                <w:sz w:val="18"/>
                <w:szCs w:val="18"/>
              </w:rPr>
              <w:t>Cantidad Funcionarios</w:t>
            </w:r>
          </w:p>
        </w:tc>
      </w:tr>
      <w:tr w:rsidR="006C0D16" w:rsidRPr="00A003B6" w14:paraId="19224FBB" w14:textId="77777777" w:rsidTr="006C0D16">
        <w:trPr>
          <w:trHeight w:val="378"/>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2E8595DC" w14:textId="77777777" w:rsidR="006C0D16" w:rsidRPr="00FB7EA4" w:rsidRDefault="006C0D16" w:rsidP="00D75C2E">
            <w:pPr>
              <w:jc w:val="center"/>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Ministro</w:t>
            </w:r>
          </w:p>
        </w:tc>
        <w:tc>
          <w:tcPr>
            <w:tcW w:w="1418" w:type="dxa"/>
            <w:tcBorders>
              <w:top w:val="nil"/>
              <w:left w:val="nil"/>
              <w:bottom w:val="nil"/>
              <w:right w:val="nil"/>
            </w:tcBorders>
            <w:vAlign w:val="center"/>
            <w:hideMark/>
          </w:tcPr>
          <w:p w14:paraId="55D2F588"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w:t>
            </w:r>
          </w:p>
        </w:tc>
      </w:tr>
      <w:tr w:rsidR="006C0D16" w:rsidRPr="00A003B6" w14:paraId="0858158E" w14:textId="77777777" w:rsidTr="006C0D16">
        <w:trPr>
          <w:trHeight w:val="417"/>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54596CEF" w14:textId="77777777" w:rsidR="006C0D16" w:rsidRPr="00FB7EA4" w:rsidRDefault="006C0D16" w:rsidP="00D75C2E">
            <w:pPr>
              <w:jc w:val="center"/>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Viceministros</w:t>
            </w:r>
          </w:p>
        </w:tc>
        <w:tc>
          <w:tcPr>
            <w:tcW w:w="1418" w:type="dxa"/>
            <w:tcBorders>
              <w:top w:val="nil"/>
              <w:left w:val="nil"/>
              <w:bottom w:val="nil"/>
              <w:right w:val="nil"/>
            </w:tcBorders>
            <w:vAlign w:val="center"/>
            <w:hideMark/>
          </w:tcPr>
          <w:p w14:paraId="05B4E8EA"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w:t>
            </w:r>
          </w:p>
        </w:tc>
      </w:tr>
      <w:tr w:rsidR="006C0D16" w:rsidRPr="00A003B6" w14:paraId="72EC428E" w14:textId="77777777" w:rsidTr="006C0D16">
        <w:trPr>
          <w:trHeight w:val="553"/>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363F9312" w14:textId="77777777" w:rsidR="006C0D16" w:rsidRPr="00FB7EA4" w:rsidRDefault="006C0D16" w:rsidP="00D75C2E">
            <w:pPr>
              <w:jc w:val="center"/>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Secretario General</w:t>
            </w:r>
          </w:p>
        </w:tc>
        <w:tc>
          <w:tcPr>
            <w:tcW w:w="1418" w:type="dxa"/>
            <w:tcBorders>
              <w:top w:val="nil"/>
              <w:left w:val="nil"/>
              <w:bottom w:val="nil"/>
              <w:right w:val="nil"/>
            </w:tcBorders>
            <w:vAlign w:val="center"/>
            <w:hideMark/>
          </w:tcPr>
          <w:p w14:paraId="3FF9F301"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w:t>
            </w:r>
          </w:p>
        </w:tc>
      </w:tr>
      <w:tr w:rsidR="006C0D16" w:rsidRPr="00A003B6" w14:paraId="7FCBD31E" w14:textId="77777777" w:rsidTr="006C0D16">
        <w:trPr>
          <w:trHeight w:val="421"/>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6CC22F94" w14:textId="77777777" w:rsidR="006C0D16" w:rsidRPr="00FB7EA4" w:rsidRDefault="006C0D16" w:rsidP="00D75C2E">
            <w:pPr>
              <w:jc w:val="center"/>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Directores</w:t>
            </w:r>
          </w:p>
        </w:tc>
        <w:tc>
          <w:tcPr>
            <w:tcW w:w="1418" w:type="dxa"/>
            <w:tcBorders>
              <w:top w:val="nil"/>
              <w:left w:val="nil"/>
              <w:bottom w:val="nil"/>
              <w:right w:val="nil"/>
            </w:tcBorders>
            <w:vAlign w:val="center"/>
            <w:hideMark/>
          </w:tcPr>
          <w:p w14:paraId="70A8337A"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8</w:t>
            </w:r>
          </w:p>
        </w:tc>
      </w:tr>
      <w:tr w:rsidR="006C0D16" w:rsidRPr="00A003B6" w14:paraId="6F534CB5" w14:textId="77777777" w:rsidTr="006C0D16">
        <w:trPr>
          <w:trHeight w:val="410"/>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496F1338" w14:textId="77777777" w:rsidR="006C0D16" w:rsidRPr="00FB7EA4" w:rsidRDefault="006C0D16" w:rsidP="00D75C2E">
            <w:pPr>
              <w:jc w:val="center"/>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Subdirectores</w:t>
            </w:r>
          </w:p>
        </w:tc>
        <w:tc>
          <w:tcPr>
            <w:tcW w:w="1418" w:type="dxa"/>
            <w:tcBorders>
              <w:top w:val="nil"/>
              <w:left w:val="nil"/>
              <w:bottom w:val="nil"/>
              <w:right w:val="nil"/>
            </w:tcBorders>
            <w:vAlign w:val="center"/>
            <w:hideMark/>
          </w:tcPr>
          <w:p w14:paraId="454125C8"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24</w:t>
            </w:r>
          </w:p>
        </w:tc>
      </w:tr>
      <w:tr w:rsidR="006C0D16" w:rsidRPr="00A003B6" w14:paraId="3AE32DE4" w14:textId="77777777" w:rsidTr="006C0D16">
        <w:trPr>
          <w:trHeight w:val="557"/>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69B2C0E6" w14:textId="77777777" w:rsidR="006C0D16" w:rsidRPr="00FB7EA4" w:rsidRDefault="006C0D16" w:rsidP="00D75C2E">
            <w:pPr>
              <w:jc w:val="center"/>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Jefes de Oficina</w:t>
            </w:r>
          </w:p>
        </w:tc>
        <w:tc>
          <w:tcPr>
            <w:tcW w:w="1418" w:type="dxa"/>
            <w:tcBorders>
              <w:top w:val="nil"/>
              <w:left w:val="nil"/>
              <w:bottom w:val="nil"/>
              <w:right w:val="nil"/>
            </w:tcBorders>
            <w:vAlign w:val="center"/>
            <w:hideMark/>
          </w:tcPr>
          <w:p w14:paraId="099F2F38"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w:t>
            </w:r>
          </w:p>
        </w:tc>
      </w:tr>
      <w:tr w:rsidR="006C0D16" w:rsidRPr="00A003B6" w14:paraId="205FFA04" w14:textId="77777777" w:rsidTr="006C0D16">
        <w:trPr>
          <w:trHeight w:val="299"/>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386466A9" w14:textId="77777777" w:rsidR="006C0D16" w:rsidRPr="00FB7EA4" w:rsidRDefault="006C0D16" w:rsidP="00D75C2E">
            <w:pPr>
              <w:jc w:val="center"/>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Asesores</w:t>
            </w:r>
          </w:p>
        </w:tc>
        <w:tc>
          <w:tcPr>
            <w:tcW w:w="1418" w:type="dxa"/>
            <w:tcBorders>
              <w:top w:val="nil"/>
              <w:left w:val="nil"/>
              <w:bottom w:val="nil"/>
              <w:right w:val="nil"/>
            </w:tcBorders>
            <w:vAlign w:val="center"/>
            <w:hideMark/>
          </w:tcPr>
          <w:p w14:paraId="7EC32B45"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293</w:t>
            </w:r>
          </w:p>
        </w:tc>
      </w:tr>
      <w:tr w:rsidR="006C0D16" w:rsidRPr="00A003B6" w14:paraId="3A8006FA" w14:textId="77777777" w:rsidTr="006C0D16">
        <w:trPr>
          <w:trHeight w:val="415"/>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1D074059" w14:textId="77777777" w:rsidR="006C0D16" w:rsidRPr="00FB7EA4" w:rsidRDefault="006C0D16" w:rsidP="00D75C2E">
            <w:pPr>
              <w:jc w:val="center"/>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Profesionales</w:t>
            </w:r>
          </w:p>
        </w:tc>
        <w:tc>
          <w:tcPr>
            <w:tcW w:w="1418" w:type="dxa"/>
            <w:tcBorders>
              <w:top w:val="nil"/>
              <w:left w:val="nil"/>
              <w:bottom w:val="nil"/>
              <w:right w:val="nil"/>
            </w:tcBorders>
            <w:vAlign w:val="center"/>
            <w:hideMark/>
          </w:tcPr>
          <w:p w14:paraId="3A3C6874"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157</w:t>
            </w:r>
          </w:p>
        </w:tc>
      </w:tr>
      <w:tr w:rsidR="006C0D16" w:rsidRPr="00A003B6" w14:paraId="0D96EF9E" w14:textId="77777777" w:rsidTr="006C0D16">
        <w:trPr>
          <w:trHeight w:val="314"/>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5C9880AE" w14:textId="77777777" w:rsidR="006C0D16" w:rsidRPr="00FB7EA4" w:rsidRDefault="006C0D16" w:rsidP="00D75C2E">
            <w:pPr>
              <w:jc w:val="center"/>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Técnicos</w:t>
            </w:r>
          </w:p>
        </w:tc>
        <w:tc>
          <w:tcPr>
            <w:tcW w:w="1418" w:type="dxa"/>
            <w:tcBorders>
              <w:top w:val="nil"/>
              <w:left w:val="nil"/>
              <w:bottom w:val="nil"/>
              <w:right w:val="nil"/>
            </w:tcBorders>
            <w:vAlign w:val="center"/>
            <w:hideMark/>
          </w:tcPr>
          <w:p w14:paraId="618D8793"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48</w:t>
            </w:r>
          </w:p>
        </w:tc>
      </w:tr>
      <w:tr w:rsidR="006C0D16" w:rsidRPr="00A003B6" w14:paraId="36346216" w14:textId="77777777" w:rsidTr="006C0D16">
        <w:trPr>
          <w:trHeight w:val="299"/>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7273325F" w14:textId="77777777" w:rsidR="006C0D16" w:rsidRPr="00FB7EA4" w:rsidRDefault="006C0D16" w:rsidP="00D75C2E">
            <w:pPr>
              <w:jc w:val="center"/>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Auxiliares</w:t>
            </w:r>
          </w:p>
        </w:tc>
        <w:tc>
          <w:tcPr>
            <w:tcW w:w="1418" w:type="dxa"/>
            <w:tcBorders>
              <w:top w:val="nil"/>
              <w:left w:val="nil"/>
              <w:bottom w:val="nil"/>
              <w:right w:val="nil"/>
            </w:tcBorders>
            <w:vAlign w:val="center"/>
            <w:hideMark/>
          </w:tcPr>
          <w:p w14:paraId="48606CA2"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53</w:t>
            </w:r>
          </w:p>
        </w:tc>
      </w:tr>
      <w:tr w:rsidR="006C0D16" w:rsidRPr="00A003B6" w14:paraId="6CF6E1A7" w14:textId="77777777" w:rsidTr="006C0D16">
        <w:trPr>
          <w:trHeight w:val="314"/>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12A3BAAA" w14:textId="77777777" w:rsidR="006C0D16" w:rsidRPr="00FB7EA4" w:rsidRDefault="006C0D16" w:rsidP="00D75C2E">
            <w:pPr>
              <w:jc w:val="center"/>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Secretarios</w:t>
            </w:r>
          </w:p>
        </w:tc>
        <w:tc>
          <w:tcPr>
            <w:tcW w:w="1418" w:type="dxa"/>
            <w:tcBorders>
              <w:top w:val="nil"/>
              <w:left w:val="nil"/>
              <w:bottom w:val="nil"/>
              <w:right w:val="nil"/>
            </w:tcBorders>
            <w:vAlign w:val="center"/>
            <w:hideMark/>
          </w:tcPr>
          <w:p w14:paraId="2E3CC8FA"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70</w:t>
            </w:r>
          </w:p>
        </w:tc>
      </w:tr>
      <w:tr w:rsidR="006C0D16" w:rsidRPr="00A003B6" w14:paraId="540DD085" w14:textId="77777777" w:rsidTr="006C0D16">
        <w:trPr>
          <w:trHeight w:val="376"/>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single" w:sz="12" w:space="0" w:color="4F81BD" w:themeColor="accent1"/>
              <w:right w:val="nil"/>
            </w:tcBorders>
            <w:vAlign w:val="center"/>
            <w:hideMark/>
          </w:tcPr>
          <w:p w14:paraId="563BC4C5" w14:textId="77777777" w:rsidR="006C0D16" w:rsidRPr="00FB7EA4" w:rsidRDefault="006C0D16" w:rsidP="00D75C2E">
            <w:pPr>
              <w:jc w:val="center"/>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Conductores</w:t>
            </w:r>
          </w:p>
        </w:tc>
        <w:tc>
          <w:tcPr>
            <w:tcW w:w="1418" w:type="dxa"/>
            <w:tcBorders>
              <w:top w:val="nil"/>
              <w:left w:val="nil"/>
              <w:bottom w:val="single" w:sz="12" w:space="0" w:color="4F81BD" w:themeColor="accent1"/>
              <w:right w:val="nil"/>
            </w:tcBorders>
            <w:vAlign w:val="center"/>
            <w:hideMark/>
          </w:tcPr>
          <w:p w14:paraId="4DF89235"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w:t>
            </w:r>
          </w:p>
        </w:tc>
      </w:tr>
      <w:tr w:rsidR="006C0D16" w:rsidRPr="00A003B6" w14:paraId="428608B3" w14:textId="77777777" w:rsidTr="006C0D16">
        <w:trPr>
          <w:trHeight w:val="413"/>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4F81BD" w:themeColor="accent1"/>
              <w:left w:val="nil"/>
              <w:bottom w:val="single" w:sz="12" w:space="0" w:color="4F81BD" w:themeColor="accent1"/>
              <w:right w:val="nil"/>
            </w:tcBorders>
            <w:vAlign w:val="center"/>
          </w:tcPr>
          <w:p w14:paraId="31057348" w14:textId="77777777" w:rsidR="006C0D16" w:rsidRPr="00FB7EA4" w:rsidRDefault="006C0D16" w:rsidP="00D75C2E">
            <w:pPr>
              <w:jc w:val="center"/>
              <w:rPr>
                <w:rFonts w:ascii="Arial" w:hAnsi="Arial" w:cs="Arial"/>
                <w:color w:val="0F243E" w:themeColor="text2" w:themeShade="80"/>
                <w:sz w:val="18"/>
                <w:szCs w:val="18"/>
              </w:rPr>
            </w:pPr>
            <w:r w:rsidRPr="00FB7EA4">
              <w:rPr>
                <w:rFonts w:ascii="Arial" w:hAnsi="Arial" w:cs="Arial"/>
                <w:color w:val="0F243E" w:themeColor="text2" w:themeShade="80"/>
                <w:sz w:val="18"/>
                <w:szCs w:val="18"/>
              </w:rPr>
              <w:t xml:space="preserve">Total </w:t>
            </w:r>
          </w:p>
        </w:tc>
        <w:tc>
          <w:tcPr>
            <w:tcW w:w="1418" w:type="dxa"/>
            <w:tcBorders>
              <w:top w:val="single" w:sz="12" w:space="0" w:color="4F81BD" w:themeColor="accent1"/>
              <w:left w:val="nil"/>
              <w:bottom w:val="single" w:sz="12" w:space="0" w:color="4F81BD" w:themeColor="accent1"/>
              <w:right w:val="nil"/>
            </w:tcBorders>
            <w:vAlign w:val="center"/>
          </w:tcPr>
          <w:p w14:paraId="39245963" w14:textId="77777777" w:rsidR="006C0D16" w:rsidRPr="00FB7EA4" w:rsidRDefault="006C0D16" w:rsidP="00D75C2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681</w:t>
            </w:r>
          </w:p>
        </w:tc>
      </w:tr>
    </w:tbl>
    <w:p w14:paraId="2B089DC9" w14:textId="66A871A4" w:rsidR="004505FF" w:rsidRPr="00A003B6" w:rsidRDefault="00F30E78" w:rsidP="006C0D16">
      <w:pPr>
        <w:jc w:val="both"/>
        <w:rPr>
          <w:rFonts w:ascii="Arial" w:hAnsi="Arial" w:cs="Arial"/>
          <w:sz w:val="22"/>
          <w:szCs w:val="22"/>
          <w:highlight w:val="yellow"/>
        </w:rPr>
      </w:pPr>
      <w:r>
        <w:rPr>
          <w:noProof/>
        </w:rPr>
        <w:drawing>
          <wp:inline distT="0" distB="0" distL="0" distR="0" wp14:anchorId="671C9D55" wp14:editId="2B6C1BBF">
            <wp:extent cx="3981450" cy="3848100"/>
            <wp:effectExtent l="0" t="0" r="0" b="0"/>
            <wp:docPr id="10" name="Gráfico 10">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99EAEF" w14:textId="77777777" w:rsidR="006C0D16" w:rsidRDefault="006C0D16" w:rsidP="00CA1AFC">
      <w:pPr>
        <w:pStyle w:val="Prrafodelista"/>
        <w:ind w:left="0"/>
        <w:contextualSpacing w:val="0"/>
        <w:rPr>
          <w:rFonts w:ascii="Arial" w:hAnsi="Arial" w:cs="Arial"/>
          <w:sz w:val="22"/>
          <w:szCs w:val="22"/>
          <w:highlight w:val="yellow"/>
        </w:rPr>
      </w:pPr>
    </w:p>
    <w:p w14:paraId="3DD528D5" w14:textId="77777777" w:rsidR="00F30E78" w:rsidRDefault="00F30E78" w:rsidP="00CA1AFC">
      <w:pPr>
        <w:pStyle w:val="Prrafodelista"/>
        <w:ind w:left="0"/>
        <w:contextualSpacing w:val="0"/>
        <w:rPr>
          <w:rFonts w:ascii="Arial" w:hAnsi="Arial" w:cs="Arial"/>
          <w:sz w:val="22"/>
          <w:szCs w:val="22"/>
        </w:rPr>
      </w:pPr>
    </w:p>
    <w:p w14:paraId="1FD68E2B" w14:textId="603CB63A" w:rsidR="005534D7" w:rsidRDefault="006D47E5" w:rsidP="00CA1AFC">
      <w:pPr>
        <w:pStyle w:val="Prrafodelista"/>
        <w:ind w:left="0"/>
        <w:contextualSpacing w:val="0"/>
        <w:rPr>
          <w:rFonts w:ascii="Arial" w:hAnsi="Arial" w:cs="Arial"/>
          <w:sz w:val="22"/>
          <w:szCs w:val="22"/>
        </w:rPr>
      </w:pPr>
      <w:r w:rsidRPr="008255B6">
        <w:rPr>
          <w:rFonts w:ascii="Arial" w:hAnsi="Arial" w:cs="Arial"/>
          <w:sz w:val="22"/>
          <w:szCs w:val="22"/>
        </w:rPr>
        <w:t>Con base en el listado de funcionarios enviado</w:t>
      </w:r>
      <w:r w:rsidR="00A42035" w:rsidRPr="008255B6">
        <w:rPr>
          <w:rFonts w:ascii="Arial" w:hAnsi="Arial" w:cs="Arial"/>
          <w:sz w:val="22"/>
          <w:szCs w:val="22"/>
        </w:rPr>
        <w:t xml:space="preserve"> po</w:t>
      </w:r>
      <w:r w:rsidR="00F6514D" w:rsidRPr="008255B6">
        <w:rPr>
          <w:rFonts w:ascii="Arial" w:hAnsi="Arial" w:cs="Arial"/>
          <w:sz w:val="22"/>
          <w:szCs w:val="22"/>
        </w:rPr>
        <w:t>r el Grupo de Administración de</w:t>
      </w:r>
      <w:r w:rsidR="00A42035" w:rsidRPr="008255B6">
        <w:rPr>
          <w:rFonts w:ascii="Arial" w:hAnsi="Arial" w:cs="Arial"/>
          <w:sz w:val="22"/>
          <w:szCs w:val="22"/>
        </w:rPr>
        <w:t xml:space="preserve"> Personal de la </w:t>
      </w:r>
      <w:r w:rsidR="00F04372" w:rsidRPr="008255B6">
        <w:rPr>
          <w:rFonts w:ascii="Arial" w:hAnsi="Arial" w:cs="Arial"/>
          <w:sz w:val="22"/>
          <w:szCs w:val="22"/>
        </w:rPr>
        <w:t>Subdirección de Gestión del Talento Humano</w:t>
      </w:r>
      <w:r w:rsidR="00A42035" w:rsidRPr="008255B6">
        <w:rPr>
          <w:rFonts w:ascii="Arial" w:hAnsi="Arial" w:cs="Arial"/>
          <w:sz w:val="22"/>
          <w:szCs w:val="22"/>
        </w:rPr>
        <w:t xml:space="preserve">, se realizó </w:t>
      </w:r>
      <w:r w:rsidR="00EC6326" w:rsidRPr="008255B6">
        <w:rPr>
          <w:rFonts w:ascii="Arial" w:hAnsi="Arial" w:cs="Arial"/>
          <w:sz w:val="22"/>
          <w:szCs w:val="22"/>
        </w:rPr>
        <w:t xml:space="preserve">la </w:t>
      </w:r>
      <w:r w:rsidR="00A42035" w:rsidRPr="008255B6">
        <w:rPr>
          <w:rFonts w:ascii="Arial" w:hAnsi="Arial" w:cs="Arial"/>
          <w:sz w:val="22"/>
          <w:szCs w:val="22"/>
        </w:rPr>
        <w:t xml:space="preserve">comparación </w:t>
      </w:r>
      <w:r w:rsidR="0027380C" w:rsidRPr="008255B6">
        <w:rPr>
          <w:rFonts w:ascii="Arial" w:hAnsi="Arial" w:cs="Arial"/>
          <w:sz w:val="22"/>
          <w:szCs w:val="22"/>
        </w:rPr>
        <w:t>de la planta de personal del Ministerio de Hacienda y Crédito P</w:t>
      </w:r>
      <w:r w:rsidR="00980B13" w:rsidRPr="008255B6">
        <w:rPr>
          <w:rFonts w:ascii="Arial" w:hAnsi="Arial" w:cs="Arial"/>
          <w:sz w:val="22"/>
          <w:szCs w:val="22"/>
        </w:rPr>
        <w:t xml:space="preserve">úblico, distribuida </w:t>
      </w:r>
      <w:r w:rsidR="0027380C" w:rsidRPr="008255B6">
        <w:rPr>
          <w:rFonts w:ascii="Arial" w:hAnsi="Arial" w:cs="Arial"/>
          <w:sz w:val="22"/>
          <w:szCs w:val="22"/>
        </w:rPr>
        <w:t xml:space="preserve">a nivel de </w:t>
      </w:r>
      <w:r w:rsidR="00A42035" w:rsidRPr="008255B6">
        <w:rPr>
          <w:rFonts w:ascii="Arial" w:hAnsi="Arial" w:cs="Arial"/>
          <w:sz w:val="22"/>
          <w:szCs w:val="22"/>
        </w:rPr>
        <w:t xml:space="preserve">cargos, </w:t>
      </w:r>
      <w:r w:rsidR="00EC6326" w:rsidRPr="008255B6">
        <w:rPr>
          <w:rFonts w:ascii="Arial" w:hAnsi="Arial" w:cs="Arial"/>
          <w:sz w:val="22"/>
          <w:szCs w:val="22"/>
        </w:rPr>
        <w:t xml:space="preserve">para el periodo definido como alcance. </w:t>
      </w:r>
      <w:r w:rsidR="00B45C8A">
        <w:rPr>
          <w:rFonts w:ascii="Arial" w:hAnsi="Arial" w:cs="Arial"/>
          <w:sz w:val="22"/>
          <w:szCs w:val="22"/>
        </w:rPr>
        <w:t xml:space="preserve">A </w:t>
      </w:r>
      <w:r w:rsidR="00247692">
        <w:rPr>
          <w:rFonts w:ascii="Arial" w:hAnsi="Arial" w:cs="Arial"/>
          <w:sz w:val="22"/>
          <w:szCs w:val="22"/>
        </w:rPr>
        <w:t>continuación,</w:t>
      </w:r>
      <w:r w:rsidR="00B45C8A">
        <w:rPr>
          <w:rFonts w:ascii="Arial" w:hAnsi="Arial" w:cs="Arial"/>
          <w:sz w:val="22"/>
          <w:szCs w:val="22"/>
        </w:rPr>
        <w:t xml:space="preserve"> se </w:t>
      </w:r>
      <w:r w:rsidRPr="008255B6">
        <w:rPr>
          <w:rFonts w:ascii="Arial" w:hAnsi="Arial" w:cs="Arial"/>
          <w:sz w:val="22"/>
          <w:szCs w:val="22"/>
        </w:rPr>
        <w:t xml:space="preserve">presenta el resultado: </w:t>
      </w:r>
    </w:p>
    <w:p w14:paraId="0518DC12" w14:textId="77777777" w:rsidR="009801CD" w:rsidRDefault="009801CD" w:rsidP="00CA1AFC">
      <w:pPr>
        <w:pStyle w:val="Prrafodelista"/>
        <w:ind w:left="0"/>
        <w:contextualSpacing w:val="0"/>
        <w:rPr>
          <w:rFonts w:ascii="Arial" w:hAnsi="Arial" w:cs="Arial"/>
          <w:sz w:val="22"/>
          <w:szCs w:val="22"/>
        </w:rPr>
      </w:pPr>
    </w:p>
    <w:tbl>
      <w:tblPr>
        <w:tblStyle w:val="Tabladecuadrcula1clara-nfasis1"/>
        <w:tblW w:w="0" w:type="auto"/>
        <w:tblLook w:val="04A0" w:firstRow="1" w:lastRow="0" w:firstColumn="1" w:lastColumn="0" w:noHBand="0" w:noVBand="1"/>
      </w:tblPr>
      <w:tblGrid>
        <w:gridCol w:w="2217"/>
        <w:gridCol w:w="604"/>
        <w:gridCol w:w="663"/>
        <w:gridCol w:w="639"/>
        <w:gridCol w:w="586"/>
        <w:gridCol w:w="644"/>
        <w:gridCol w:w="621"/>
        <w:gridCol w:w="439"/>
        <w:gridCol w:w="795"/>
        <w:gridCol w:w="439"/>
        <w:gridCol w:w="795"/>
        <w:gridCol w:w="439"/>
        <w:gridCol w:w="795"/>
      </w:tblGrid>
      <w:tr w:rsidR="009801CD" w:rsidRPr="00D93B49" w14:paraId="326885FC" w14:textId="77777777" w:rsidTr="00753D4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noWrap/>
            <w:vAlign w:val="center"/>
            <w:hideMark/>
          </w:tcPr>
          <w:p w14:paraId="25BF46DA" w14:textId="77777777" w:rsidR="009801CD" w:rsidRPr="00D93B49" w:rsidRDefault="009801CD" w:rsidP="009801CD">
            <w:pPr>
              <w:spacing w:before="80" w:after="80"/>
              <w:jc w:val="center"/>
              <w:rPr>
                <w:rFonts w:ascii="Arial" w:hAnsi="Arial" w:cs="Arial"/>
                <w:color w:val="FFFFFF" w:themeColor="background1"/>
                <w:sz w:val="20"/>
                <w:szCs w:val="20"/>
              </w:rPr>
            </w:pPr>
            <w:r w:rsidRPr="00D93B49">
              <w:rPr>
                <w:rFonts w:ascii="Arial" w:hAnsi="Arial" w:cs="Arial"/>
                <w:color w:val="FFFFFF" w:themeColor="background1"/>
                <w:sz w:val="20"/>
                <w:szCs w:val="20"/>
              </w:rPr>
              <w:t>Cargo</w:t>
            </w:r>
          </w:p>
        </w:tc>
        <w:tc>
          <w:tcPr>
            <w:tcW w:w="0" w:type="auto"/>
            <w:gridSpan w:val="3"/>
            <w:shd w:val="clear" w:color="auto" w:fill="4F81BD" w:themeFill="accent1"/>
            <w:noWrap/>
            <w:vAlign w:val="center"/>
            <w:hideMark/>
          </w:tcPr>
          <w:p w14:paraId="360DE865"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 xml:space="preserve"> III Trimestre 2019</w:t>
            </w:r>
          </w:p>
        </w:tc>
        <w:tc>
          <w:tcPr>
            <w:tcW w:w="0" w:type="auto"/>
            <w:gridSpan w:val="3"/>
            <w:shd w:val="clear" w:color="auto" w:fill="4F81BD" w:themeFill="accent1"/>
            <w:noWrap/>
            <w:vAlign w:val="center"/>
            <w:hideMark/>
          </w:tcPr>
          <w:p w14:paraId="4E99444E"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III Trimestre 2018</w:t>
            </w:r>
          </w:p>
        </w:tc>
        <w:tc>
          <w:tcPr>
            <w:tcW w:w="0" w:type="auto"/>
            <w:gridSpan w:val="6"/>
            <w:shd w:val="clear" w:color="auto" w:fill="4F81BD" w:themeFill="accent1"/>
            <w:vAlign w:val="center"/>
            <w:hideMark/>
          </w:tcPr>
          <w:p w14:paraId="68DE4777"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Variación Mensual</w:t>
            </w:r>
          </w:p>
        </w:tc>
      </w:tr>
      <w:tr w:rsidR="009801CD" w:rsidRPr="00D93B49" w14:paraId="02485C7B" w14:textId="77777777" w:rsidTr="00753D4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6EE8E1A5" w14:textId="77777777" w:rsidR="009801CD" w:rsidRPr="00D93B49" w:rsidRDefault="009801CD" w:rsidP="009801CD">
            <w:pPr>
              <w:spacing w:before="80" w:after="80"/>
              <w:jc w:val="center"/>
              <w:rPr>
                <w:rFonts w:ascii="Arial" w:hAnsi="Arial" w:cs="Arial"/>
                <w:color w:val="FFFFFF" w:themeColor="background1"/>
                <w:sz w:val="20"/>
                <w:szCs w:val="20"/>
              </w:rPr>
            </w:pPr>
          </w:p>
        </w:tc>
        <w:tc>
          <w:tcPr>
            <w:tcW w:w="0" w:type="auto"/>
            <w:vMerge w:val="restart"/>
            <w:shd w:val="clear" w:color="auto" w:fill="4F81BD" w:themeFill="accent1"/>
            <w:vAlign w:val="center"/>
            <w:hideMark/>
          </w:tcPr>
          <w:p w14:paraId="7725739E"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Jul</w:t>
            </w:r>
          </w:p>
        </w:tc>
        <w:tc>
          <w:tcPr>
            <w:tcW w:w="0" w:type="auto"/>
            <w:vMerge w:val="restart"/>
            <w:shd w:val="clear" w:color="auto" w:fill="4F81BD" w:themeFill="accent1"/>
            <w:vAlign w:val="center"/>
            <w:hideMark/>
          </w:tcPr>
          <w:p w14:paraId="72D17E30"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Ago</w:t>
            </w:r>
          </w:p>
        </w:tc>
        <w:tc>
          <w:tcPr>
            <w:tcW w:w="0" w:type="auto"/>
            <w:vMerge w:val="restart"/>
            <w:shd w:val="clear" w:color="auto" w:fill="4F81BD" w:themeFill="accent1"/>
            <w:vAlign w:val="center"/>
            <w:hideMark/>
          </w:tcPr>
          <w:p w14:paraId="69E2F923"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Sep</w:t>
            </w:r>
          </w:p>
        </w:tc>
        <w:tc>
          <w:tcPr>
            <w:tcW w:w="0" w:type="auto"/>
            <w:vMerge w:val="restart"/>
            <w:shd w:val="clear" w:color="auto" w:fill="4F81BD" w:themeFill="accent1"/>
            <w:vAlign w:val="center"/>
            <w:hideMark/>
          </w:tcPr>
          <w:p w14:paraId="437C9DBD"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Jul</w:t>
            </w:r>
          </w:p>
        </w:tc>
        <w:tc>
          <w:tcPr>
            <w:tcW w:w="0" w:type="auto"/>
            <w:vMerge w:val="restart"/>
            <w:shd w:val="clear" w:color="auto" w:fill="4F81BD" w:themeFill="accent1"/>
            <w:vAlign w:val="center"/>
            <w:hideMark/>
          </w:tcPr>
          <w:p w14:paraId="1EBC3653"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Ago</w:t>
            </w:r>
          </w:p>
        </w:tc>
        <w:tc>
          <w:tcPr>
            <w:tcW w:w="0" w:type="auto"/>
            <w:vMerge w:val="restart"/>
            <w:shd w:val="clear" w:color="auto" w:fill="4F81BD" w:themeFill="accent1"/>
            <w:vAlign w:val="center"/>
            <w:hideMark/>
          </w:tcPr>
          <w:p w14:paraId="357CDFC0"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Sep</w:t>
            </w:r>
          </w:p>
        </w:tc>
        <w:tc>
          <w:tcPr>
            <w:tcW w:w="0" w:type="auto"/>
            <w:gridSpan w:val="2"/>
            <w:shd w:val="clear" w:color="auto" w:fill="4F81BD" w:themeFill="accent1"/>
            <w:vAlign w:val="center"/>
            <w:hideMark/>
          </w:tcPr>
          <w:p w14:paraId="12A09B2D"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Jul</w:t>
            </w:r>
          </w:p>
        </w:tc>
        <w:tc>
          <w:tcPr>
            <w:tcW w:w="0" w:type="auto"/>
            <w:gridSpan w:val="2"/>
            <w:shd w:val="clear" w:color="auto" w:fill="4F81BD" w:themeFill="accent1"/>
            <w:vAlign w:val="center"/>
            <w:hideMark/>
          </w:tcPr>
          <w:p w14:paraId="366DB955"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Ago</w:t>
            </w:r>
          </w:p>
        </w:tc>
        <w:tc>
          <w:tcPr>
            <w:tcW w:w="0" w:type="auto"/>
            <w:gridSpan w:val="2"/>
            <w:shd w:val="clear" w:color="auto" w:fill="4F81BD" w:themeFill="accent1"/>
            <w:vAlign w:val="center"/>
            <w:hideMark/>
          </w:tcPr>
          <w:p w14:paraId="2A6BBD42"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Sep</w:t>
            </w:r>
          </w:p>
        </w:tc>
      </w:tr>
      <w:tr w:rsidR="009801CD" w:rsidRPr="00D93B49" w14:paraId="23F3A13F" w14:textId="77777777" w:rsidTr="00753D4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2D108372" w14:textId="77777777" w:rsidR="009801CD" w:rsidRPr="00D93B49" w:rsidRDefault="009801CD" w:rsidP="009801CD">
            <w:pPr>
              <w:spacing w:before="80" w:after="80"/>
              <w:jc w:val="center"/>
              <w:rPr>
                <w:rFonts w:ascii="Arial" w:hAnsi="Arial" w:cs="Arial"/>
                <w:color w:val="FFFFFF" w:themeColor="background1"/>
                <w:sz w:val="20"/>
                <w:szCs w:val="20"/>
              </w:rPr>
            </w:pPr>
          </w:p>
        </w:tc>
        <w:tc>
          <w:tcPr>
            <w:tcW w:w="0" w:type="auto"/>
            <w:vMerge/>
            <w:shd w:val="clear" w:color="auto" w:fill="4F81BD" w:themeFill="accent1"/>
            <w:vAlign w:val="center"/>
            <w:hideMark/>
          </w:tcPr>
          <w:p w14:paraId="6D8F7F0F"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0" w:type="auto"/>
            <w:vMerge/>
            <w:shd w:val="clear" w:color="auto" w:fill="4F81BD" w:themeFill="accent1"/>
            <w:vAlign w:val="center"/>
            <w:hideMark/>
          </w:tcPr>
          <w:p w14:paraId="350A60B4"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0" w:type="auto"/>
            <w:vMerge/>
            <w:shd w:val="clear" w:color="auto" w:fill="4F81BD" w:themeFill="accent1"/>
            <w:vAlign w:val="center"/>
            <w:hideMark/>
          </w:tcPr>
          <w:p w14:paraId="6A2CB5C6"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0" w:type="auto"/>
            <w:vMerge/>
            <w:shd w:val="clear" w:color="auto" w:fill="4F81BD" w:themeFill="accent1"/>
            <w:vAlign w:val="center"/>
            <w:hideMark/>
          </w:tcPr>
          <w:p w14:paraId="50466BB5"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0" w:type="auto"/>
            <w:vMerge/>
            <w:shd w:val="clear" w:color="auto" w:fill="4F81BD" w:themeFill="accent1"/>
            <w:vAlign w:val="center"/>
            <w:hideMark/>
          </w:tcPr>
          <w:p w14:paraId="389EE57B"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0" w:type="auto"/>
            <w:vMerge/>
            <w:shd w:val="clear" w:color="auto" w:fill="4F81BD" w:themeFill="accent1"/>
            <w:vAlign w:val="center"/>
            <w:hideMark/>
          </w:tcPr>
          <w:p w14:paraId="42D67AA6"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0" w:type="auto"/>
            <w:shd w:val="clear" w:color="auto" w:fill="4F81BD" w:themeFill="accent1"/>
            <w:vAlign w:val="center"/>
            <w:hideMark/>
          </w:tcPr>
          <w:p w14:paraId="392BF96A"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w:t>
            </w:r>
          </w:p>
        </w:tc>
        <w:tc>
          <w:tcPr>
            <w:tcW w:w="0" w:type="auto"/>
            <w:shd w:val="clear" w:color="auto" w:fill="4F81BD" w:themeFill="accent1"/>
            <w:vAlign w:val="center"/>
            <w:hideMark/>
          </w:tcPr>
          <w:p w14:paraId="670C1971"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w:t>
            </w:r>
          </w:p>
        </w:tc>
        <w:tc>
          <w:tcPr>
            <w:tcW w:w="0" w:type="auto"/>
            <w:shd w:val="clear" w:color="auto" w:fill="4F81BD" w:themeFill="accent1"/>
            <w:vAlign w:val="center"/>
            <w:hideMark/>
          </w:tcPr>
          <w:p w14:paraId="5638FE42"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w:t>
            </w:r>
          </w:p>
        </w:tc>
        <w:tc>
          <w:tcPr>
            <w:tcW w:w="0" w:type="auto"/>
            <w:shd w:val="clear" w:color="auto" w:fill="4F81BD" w:themeFill="accent1"/>
            <w:vAlign w:val="center"/>
            <w:hideMark/>
          </w:tcPr>
          <w:p w14:paraId="637F0DA1"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w:t>
            </w:r>
          </w:p>
        </w:tc>
        <w:tc>
          <w:tcPr>
            <w:tcW w:w="0" w:type="auto"/>
            <w:shd w:val="clear" w:color="auto" w:fill="4F81BD" w:themeFill="accent1"/>
            <w:vAlign w:val="center"/>
            <w:hideMark/>
          </w:tcPr>
          <w:p w14:paraId="1C3AC9A9"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w:t>
            </w:r>
          </w:p>
        </w:tc>
        <w:tc>
          <w:tcPr>
            <w:tcW w:w="0" w:type="auto"/>
            <w:shd w:val="clear" w:color="auto" w:fill="4F81BD" w:themeFill="accent1"/>
            <w:vAlign w:val="center"/>
            <w:hideMark/>
          </w:tcPr>
          <w:p w14:paraId="165708A7" w14:textId="77777777" w:rsidR="009801CD" w:rsidRPr="00D93B49" w:rsidRDefault="009801CD" w:rsidP="009801CD">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93B49">
              <w:rPr>
                <w:rFonts w:ascii="Arial" w:hAnsi="Arial" w:cs="Arial"/>
                <w:color w:val="FFFFFF" w:themeColor="background1"/>
                <w:sz w:val="20"/>
                <w:szCs w:val="20"/>
              </w:rPr>
              <w:t>%</w:t>
            </w:r>
          </w:p>
        </w:tc>
      </w:tr>
      <w:tr w:rsidR="009801CD" w:rsidRPr="00D93B49" w14:paraId="665E870C" w14:textId="77777777" w:rsidTr="005F4135">
        <w:trPr>
          <w:trHeight w:val="39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47DB8AA"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t>Ministro</w:t>
            </w:r>
          </w:p>
        </w:tc>
        <w:tc>
          <w:tcPr>
            <w:tcW w:w="0" w:type="auto"/>
            <w:noWrap/>
            <w:vAlign w:val="center"/>
            <w:hideMark/>
          </w:tcPr>
          <w:p w14:paraId="7622363C"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19878BE4"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000E797B"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46571A62"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169BEC02"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76B9D7FF"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52A05895"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6C732B3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noWrap/>
            <w:vAlign w:val="center"/>
            <w:hideMark/>
          </w:tcPr>
          <w:p w14:paraId="194DA3B7"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528E68F0"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3C5CA7A3"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4997F9FF"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r>
      <w:tr w:rsidR="009801CD" w:rsidRPr="00D93B49" w14:paraId="1F3E3902"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36FC847"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t>Viceministros</w:t>
            </w:r>
          </w:p>
        </w:tc>
        <w:tc>
          <w:tcPr>
            <w:tcW w:w="0" w:type="auto"/>
            <w:noWrap/>
            <w:vAlign w:val="center"/>
            <w:hideMark/>
          </w:tcPr>
          <w:p w14:paraId="02631B5F"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w:t>
            </w:r>
          </w:p>
        </w:tc>
        <w:tc>
          <w:tcPr>
            <w:tcW w:w="0" w:type="auto"/>
            <w:noWrap/>
            <w:vAlign w:val="center"/>
            <w:hideMark/>
          </w:tcPr>
          <w:p w14:paraId="2F1DBB3E"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w:t>
            </w:r>
          </w:p>
        </w:tc>
        <w:tc>
          <w:tcPr>
            <w:tcW w:w="0" w:type="auto"/>
            <w:noWrap/>
            <w:vAlign w:val="center"/>
            <w:hideMark/>
          </w:tcPr>
          <w:p w14:paraId="22A5080E"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w:t>
            </w:r>
          </w:p>
        </w:tc>
        <w:tc>
          <w:tcPr>
            <w:tcW w:w="0" w:type="auto"/>
            <w:noWrap/>
            <w:vAlign w:val="center"/>
            <w:hideMark/>
          </w:tcPr>
          <w:p w14:paraId="3032B2FD"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w:t>
            </w:r>
          </w:p>
        </w:tc>
        <w:tc>
          <w:tcPr>
            <w:tcW w:w="0" w:type="auto"/>
            <w:noWrap/>
            <w:vAlign w:val="center"/>
            <w:hideMark/>
          </w:tcPr>
          <w:p w14:paraId="24096CB4"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w:t>
            </w:r>
          </w:p>
        </w:tc>
        <w:tc>
          <w:tcPr>
            <w:tcW w:w="0" w:type="auto"/>
            <w:noWrap/>
            <w:vAlign w:val="center"/>
            <w:hideMark/>
          </w:tcPr>
          <w:p w14:paraId="189BF23C"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w:t>
            </w:r>
          </w:p>
        </w:tc>
        <w:tc>
          <w:tcPr>
            <w:tcW w:w="0" w:type="auto"/>
            <w:noWrap/>
            <w:vAlign w:val="center"/>
            <w:hideMark/>
          </w:tcPr>
          <w:p w14:paraId="31A8AE28"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2F2DFD83"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noWrap/>
            <w:vAlign w:val="center"/>
            <w:hideMark/>
          </w:tcPr>
          <w:p w14:paraId="12636149"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0997E71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23883DD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3CB8F93C"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r>
      <w:tr w:rsidR="009801CD" w:rsidRPr="00D93B49" w14:paraId="3A58771E"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1DBCC5"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lastRenderedPageBreak/>
              <w:t>Secretario General</w:t>
            </w:r>
          </w:p>
        </w:tc>
        <w:tc>
          <w:tcPr>
            <w:tcW w:w="0" w:type="auto"/>
            <w:noWrap/>
            <w:vAlign w:val="center"/>
            <w:hideMark/>
          </w:tcPr>
          <w:p w14:paraId="5CDFB080"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0C82FDAA"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184A0A19"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6B72226B"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149F4BB3"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3E27CA00"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177D2FC7"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389EAD99"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noWrap/>
            <w:vAlign w:val="center"/>
            <w:hideMark/>
          </w:tcPr>
          <w:p w14:paraId="3A76AB49"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7595EE27"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13DE37D2"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4F102B43"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r>
      <w:tr w:rsidR="009801CD" w:rsidRPr="00D93B49" w14:paraId="467AA485"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EDE8234"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t>Directores</w:t>
            </w:r>
          </w:p>
        </w:tc>
        <w:tc>
          <w:tcPr>
            <w:tcW w:w="0" w:type="auto"/>
            <w:noWrap/>
            <w:vAlign w:val="center"/>
            <w:hideMark/>
          </w:tcPr>
          <w:p w14:paraId="6935E998"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8</w:t>
            </w:r>
          </w:p>
        </w:tc>
        <w:tc>
          <w:tcPr>
            <w:tcW w:w="0" w:type="auto"/>
            <w:noWrap/>
            <w:vAlign w:val="center"/>
            <w:hideMark/>
          </w:tcPr>
          <w:p w14:paraId="544F4ADA"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8</w:t>
            </w:r>
          </w:p>
        </w:tc>
        <w:tc>
          <w:tcPr>
            <w:tcW w:w="0" w:type="auto"/>
            <w:noWrap/>
            <w:vAlign w:val="center"/>
            <w:hideMark/>
          </w:tcPr>
          <w:p w14:paraId="00F776D9"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8</w:t>
            </w:r>
          </w:p>
        </w:tc>
        <w:tc>
          <w:tcPr>
            <w:tcW w:w="0" w:type="auto"/>
            <w:noWrap/>
            <w:vAlign w:val="center"/>
            <w:hideMark/>
          </w:tcPr>
          <w:p w14:paraId="30971AA8"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8</w:t>
            </w:r>
          </w:p>
        </w:tc>
        <w:tc>
          <w:tcPr>
            <w:tcW w:w="0" w:type="auto"/>
            <w:noWrap/>
            <w:vAlign w:val="center"/>
            <w:hideMark/>
          </w:tcPr>
          <w:p w14:paraId="2FE65EDF"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8</w:t>
            </w:r>
          </w:p>
        </w:tc>
        <w:tc>
          <w:tcPr>
            <w:tcW w:w="0" w:type="auto"/>
            <w:noWrap/>
            <w:vAlign w:val="center"/>
            <w:hideMark/>
          </w:tcPr>
          <w:p w14:paraId="33D26D10"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7</w:t>
            </w:r>
          </w:p>
        </w:tc>
        <w:tc>
          <w:tcPr>
            <w:tcW w:w="0" w:type="auto"/>
            <w:noWrap/>
            <w:vAlign w:val="center"/>
            <w:hideMark/>
          </w:tcPr>
          <w:p w14:paraId="2AAECB0E"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0EB097D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noWrap/>
            <w:vAlign w:val="center"/>
            <w:hideMark/>
          </w:tcPr>
          <w:p w14:paraId="27BCDFD7"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13E41210"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2F95AE9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vAlign w:val="center"/>
            <w:hideMark/>
          </w:tcPr>
          <w:p w14:paraId="1C56BC18"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14%</w:t>
            </w:r>
          </w:p>
        </w:tc>
      </w:tr>
      <w:tr w:rsidR="009801CD" w:rsidRPr="00D93B49" w14:paraId="77E9DAED"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A06628F"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t>Subdirectores</w:t>
            </w:r>
          </w:p>
        </w:tc>
        <w:tc>
          <w:tcPr>
            <w:tcW w:w="0" w:type="auto"/>
            <w:noWrap/>
            <w:vAlign w:val="center"/>
            <w:hideMark/>
          </w:tcPr>
          <w:p w14:paraId="12000130"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23</w:t>
            </w:r>
          </w:p>
        </w:tc>
        <w:tc>
          <w:tcPr>
            <w:tcW w:w="0" w:type="auto"/>
            <w:noWrap/>
            <w:vAlign w:val="center"/>
            <w:hideMark/>
          </w:tcPr>
          <w:p w14:paraId="253A3DDE"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24</w:t>
            </w:r>
          </w:p>
        </w:tc>
        <w:tc>
          <w:tcPr>
            <w:tcW w:w="0" w:type="auto"/>
            <w:noWrap/>
            <w:vAlign w:val="center"/>
            <w:hideMark/>
          </w:tcPr>
          <w:p w14:paraId="466446AA"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24</w:t>
            </w:r>
          </w:p>
        </w:tc>
        <w:tc>
          <w:tcPr>
            <w:tcW w:w="0" w:type="auto"/>
            <w:noWrap/>
            <w:vAlign w:val="center"/>
            <w:hideMark/>
          </w:tcPr>
          <w:p w14:paraId="0FF7B982"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19</w:t>
            </w:r>
          </w:p>
        </w:tc>
        <w:tc>
          <w:tcPr>
            <w:tcW w:w="0" w:type="auto"/>
            <w:noWrap/>
            <w:vAlign w:val="center"/>
            <w:hideMark/>
          </w:tcPr>
          <w:p w14:paraId="2D946A39"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19</w:t>
            </w:r>
          </w:p>
        </w:tc>
        <w:tc>
          <w:tcPr>
            <w:tcW w:w="0" w:type="auto"/>
            <w:noWrap/>
            <w:vAlign w:val="center"/>
            <w:hideMark/>
          </w:tcPr>
          <w:p w14:paraId="31BBD6D0"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20</w:t>
            </w:r>
          </w:p>
        </w:tc>
        <w:tc>
          <w:tcPr>
            <w:tcW w:w="0" w:type="auto"/>
            <w:noWrap/>
            <w:vAlign w:val="center"/>
            <w:hideMark/>
          </w:tcPr>
          <w:p w14:paraId="0E2CB5B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w:t>
            </w:r>
          </w:p>
        </w:tc>
        <w:tc>
          <w:tcPr>
            <w:tcW w:w="0" w:type="auto"/>
            <w:vAlign w:val="center"/>
            <w:hideMark/>
          </w:tcPr>
          <w:p w14:paraId="64430FC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21%</w:t>
            </w:r>
          </w:p>
        </w:tc>
        <w:tc>
          <w:tcPr>
            <w:tcW w:w="0" w:type="auto"/>
            <w:noWrap/>
            <w:vAlign w:val="center"/>
            <w:hideMark/>
          </w:tcPr>
          <w:p w14:paraId="7BC051C0"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w:t>
            </w:r>
          </w:p>
        </w:tc>
        <w:tc>
          <w:tcPr>
            <w:tcW w:w="0" w:type="auto"/>
            <w:vAlign w:val="center"/>
            <w:hideMark/>
          </w:tcPr>
          <w:p w14:paraId="1C0D2F82"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26%</w:t>
            </w:r>
          </w:p>
        </w:tc>
        <w:tc>
          <w:tcPr>
            <w:tcW w:w="0" w:type="auto"/>
            <w:vAlign w:val="center"/>
            <w:hideMark/>
          </w:tcPr>
          <w:p w14:paraId="40E4525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w:t>
            </w:r>
          </w:p>
        </w:tc>
        <w:tc>
          <w:tcPr>
            <w:tcW w:w="0" w:type="auto"/>
            <w:vAlign w:val="center"/>
            <w:hideMark/>
          </w:tcPr>
          <w:p w14:paraId="12378B5B"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20%</w:t>
            </w:r>
          </w:p>
        </w:tc>
      </w:tr>
      <w:tr w:rsidR="009801CD" w:rsidRPr="00D93B49" w14:paraId="0E44BC0A"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80B121"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t>Jefes de Oficina</w:t>
            </w:r>
          </w:p>
        </w:tc>
        <w:tc>
          <w:tcPr>
            <w:tcW w:w="0" w:type="auto"/>
            <w:noWrap/>
            <w:vAlign w:val="center"/>
            <w:hideMark/>
          </w:tcPr>
          <w:p w14:paraId="211822B8"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w:t>
            </w:r>
          </w:p>
        </w:tc>
        <w:tc>
          <w:tcPr>
            <w:tcW w:w="0" w:type="auto"/>
            <w:noWrap/>
            <w:vAlign w:val="center"/>
            <w:hideMark/>
          </w:tcPr>
          <w:p w14:paraId="35F8BD9E"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w:t>
            </w:r>
          </w:p>
        </w:tc>
        <w:tc>
          <w:tcPr>
            <w:tcW w:w="0" w:type="auto"/>
            <w:noWrap/>
            <w:vAlign w:val="center"/>
            <w:hideMark/>
          </w:tcPr>
          <w:p w14:paraId="228F28E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w:t>
            </w:r>
          </w:p>
        </w:tc>
        <w:tc>
          <w:tcPr>
            <w:tcW w:w="0" w:type="auto"/>
            <w:noWrap/>
            <w:vAlign w:val="center"/>
            <w:hideMark/>
          </w:tcPr>
          <w:p w14:paraId="6920B28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w:t>
            </w:r>
          </w:p>
        </w:tc>
        <w:tc>
          <w:tcPr>
            <w:tcW w:w="0" w:type="auto"/>
            <w:noWrap/>
            <w:vAlign w:val="center"/>
            <w:hideMark/>
          </w:tcPr>
          <w:p w14:paraId="266CEC7C"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w:t>
            </w:r>
          </w:p>
        </w:tc>
        <w:tc>
          <w:tcPr>
            <w:tcW w:w="0" w:type="auto"/>
            <w:noWrap/>
            <w:vAlign w:val="center"/>
            <w:hideMark/>
          </w:tcPr>
          <w:p w14:paraId="3BB920EC"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w:t>
            </w:r>
          </w:p>
        </w:tc>
        <w:tc>
          <w:tcPr>
            <w:tcW w:w="0" w:type="auto"/>
            <w:noWrap/>
            <w:vAlign w:val="center"/>
            <w:hideMark/>
          </w:tcPr>
          <w:p w14:paraId="4830C95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12A8CCA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noWrap/>
            <w:vAlign w:val="center"/>
            <w:hideMark/>
          </w:tcPr>
          <w:p w14:paraId="70BFBF10"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0711C2F3"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4F709AC0"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2DED939D"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r>
      <w:tr w:rsidR="009801CD" w:rsidRPr="00D93B49" w14:paraId="5559FD87"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EE827A"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t>Asesores</w:t>
            </w:r>
          </w:p>
        </w:tc>
        <w:tc>
          <w:tcPr>
            <w:tcW w:w="0" w:type="auto"/>
            <w:noWrap/>
            <w:vAlign w:val="center"/>
            <w:hideMark/>
          </w:tcPr>
          <w:p w14:paraId="42108106"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292</w:t>
            </w:r>
          </w:p>
        </w:tc>
        <w:tc>
          <w:tcPr>
            <w:tcW w:w="0" w:type="auto"/>
            <w:noWrap/>
            <w:vAlign w:val="center"/>
            <w:hideMark/>
          </w:tcPr>
          <w:p w14:paraId="0E32A304"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294</w:t>
            </w:r>
          </w:p>
        </w:tc>
        <w:tc>
          <w:tcPr>
            <w:tcW w:w="0" w:type="auto"/>
            <w:noWrap/>
            <w:vAlign w:val="center"/>
            <w:hideMark/>
          </w:tcPr>
          <w:p w14:paraId="47A49024"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293</w:t>
            </w:r>
          </w:p>
        </w:tc>
        <w:tc>
          <w:tcPr>
            <w:tcW w:w="0" w:type="auto"/>
            <w:noWrap/>
            <w:vAlign w:val="center"/>
            <w:hideMark/>
          </w:tcPr>
          <w:p w14:paraId="0F3A9E0E"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284</w:t>
            </w:r>
          </w:p>
        </w:tc>
        <w:tc>
          <w:tcPr>
            <w:tcW w:w="0" w:type="auto"/>
            <w:noWrap/>
            <w:vAlign w:val="center"/>
            <w:hideMark/>
          </w:tcPr>
          <w:p w14:paraId="56CE44EB"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285</w:t>
            </w:r>
          </w:p>
        </w:tc>
        <w:tc>
          <w:tcPr>
            <w:tcW w:w="0" w:type="auto"/>
            <w:noWrap/>
            <w:vAlign w:val="center"/>
            <w:hideMark/>
          </w:tcPr>
          <w:p w14:paraId="4236D04D"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282</w:t>
            </w:r>
          </w:p>
        </w:tc>
        <w:tc>
          <w:tcPr>
            <w:tcW w:w="0" w:type="auto"/>
            <w:noWrap/>
            <w:vAlign w:val="center"/>
            <w:hideMark/>
          </w:tcPr>
          <w:p w14:paraId="4BE1E72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8</w:t>
            </w:r>
          </w:p>
        </w:tc>
        <w:tc>
          <w:tcPr>
            <w:tcW w:w="0" w:type="auto"/>
            <w:vAlign w:val="center"/>
            <w:hideMark/>
          </w:tcPr>
          <w:p w14:paraId="346D7A17"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3%</w:t>
            </w:r>
          </w:p>
        </w:tc>
        <w:tc>
          <w:tcPr>
            <w:tcW w:w="0" w:type="auto"/>
            <w:noWrap/>
            <w:vAlign w:val="center"/>
            <w:hideMark/>
          </w:tcPr>
          <w:p w14:paraId="66F1A3AA"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9</w:t>
            </w:r>
          </w:p>
        </w:tc>
        <w:tc>
          <w:tcPr>
            <w:tcW w:w="0" w:type="auto"/>
            <w:vAlign w:val="center"/>
            <w:hideMark/>
          </w:tcPr>
          <w:p w14:paraId="5F208C65"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3%</w:t>
            </w:r>
          </w:p>
        </w:tc>
        <w:tc>
          <w:tcPr>
            <w:tcW w:w="0" w:type="auto"/>
            <w:vAlign w:val="center"/>
            <w:hideMark/>
          </w:tcPr>
          <w:p w14:paraId="7EB6DE2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11</w:t>
            </w:r>
          </w:p>
        </w:tc>
        <w:tc>
          <w:tcPr>
            <w:tcW w:w="0" w:type="auto"/>
            <w:vAlign w:val="center"/>
            <w:hideMark/>
          </w:tcPr>
          <w:p w14:paraId="4875416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w:t>
            </w:r>
          </w:p>
        </w:tc>
      </w:tr>
      <w:tr w:rsidR="009801CD" w:rsidRPr="00D93B49" w14:paraId="4E7CF8FD"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601555"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t>Profesionales</w:t>
            </w:r>
          </w:p>
        </w:tc>
        <w:tc>
          <w:tcPr>
            <w:tcW w:w="0" w:type="auto"/>
            <w:noWrap/>
            <w:vAlign w:val="center"/>
            <w:hideMark/>
          </w:tcPr>
          <w:p w14:paraId="191F504C"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156</w:t>
            </w:r>
          </w:p>
        </w:tc>
        <w:tc>
          <w:tcPr>
            <w:tcW w:w="0" w:type="auto"/>
            <w:noWrap/>
            <w:vAlign w:val="center"/>
            <w:hideMark/>
          </w:tcPr>
          <w:p w14:paraId="6158352C"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156</w:t>
            </w:r>
          </w:p>
        </w:tc>
        <w:tc>
          <w:tcPr>
            <w:tcW w:w="0" w:type="auto"/>
            <w:noWrap/>
            <w:vAlign w:val="center"/>
            <w:hideMark/>
          </w:tcPr>
          <w:p w14:paraId="0FFCB05B"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157</w:t>
            </w:r>
          </w:p>
        </w:tc>
        <w:tc>
          <w:tcPr>
            <w:tcW w:w="0" w:type="auto"/>
            <w:noWrap/>
            <w:vAlign w:val="center"/>
            <w:hideMark/>
          </w:tcPr>
          <w:p w14:paraId="6C063E97"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151</w:t>
            </w:r>
          </w:p>
        </w:tc>
        <w:tc>
          <w:tcPr>
            <w:tcW w:w="0" w:type="auto"/>
            <w:noWrap/>
            <w:vAlign w:val="center"/>
            <w:hideMark/>
          </w:tcPr>
          <w:p w14:paraId="469C152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153</w:t>
            </w:r>
          </w:p>
        </w:tc>
        <w:tc>
          <w:tcPr>
            <w:tcW w:w="0" w:type="auto"/>
            <w:noWrap/>
            <w:vAlign w:val="center"/>
            <w:hideMark/>
          </w:tcPr>
          <w:p w14:paraId="6CE43B07"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152</w:t>
            </w:r>
          </w:p>
        </w:tc>
        <w:tc>
          <w:tcPr>
            <w:tcW w:w="0" w:type="auto"/>
            <w:noWrap/>
            <w:vAlign w:val="center"/>
            <w:hideMark/>
          </w:tcPr>
          <w:p w14:paraId="0AB96EC9"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w:t>
            </w:r>
          </w:p>
        </w:tc>
        <w:tc>
          <w:tcPr>
            <w:tcW w:w="0" w:type="auto"/>
            <w:vAlign w:val="center"/>
            <w:hideMark/>
          </w:tcPr>
          <w:p w14:paraId="06DBD69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3%</w:t>
            </w:r>
          </w:p>
        </w:tc>
        <w:tc>
          <w:tcPr>
            <w:tcW w:w="0" w:type="auto"/>
            <w:noWrap/>
            <w:vAlign w:val="center"/>
            <w:hideMark/>
          </w:tcPr>
          <w:p w14:paraId="3AC3E97F"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3</w:t>
            </w:r>
          </w:p>
        </w:tc>
        <w:tc>
          <w:tcPr>
            <w:tcW w:w="0" w:type="auto"/>
            <w:vAlign w:val="center"/>
            <w:hideMark/>
          </w:tcPr>
          <w:p w14:paraId="08E17F09"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w:t>
            </w:r>
          </w:p>
        </w:tc>
        <w:tc>
          <w:tcPr>
            <w:tcW w:w="0" w:type="auto"/>
            <w:vAlign w:val="center"/>
            <w:hideMark/>
          </w:tcPr>
          <w:p w14:paraId="4DD34433"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w:t>
            </w:r>
          </w:p>
        </w:tc>
        <w:tc>
          <w:tcPr>
            <w:tcW w:w="0" w:type="auto"/>
            <w:vAlign w:val="center"/>
            <w:hideMark/>
          </w:tcPr>
          <w:p w14:paraId="3CEC40C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3%</w:t>
            </w:r>
          </w:p>
        </w:tc>
      </w:tr>
      <w:tr w:rsidR="009801CD" w:rsidRPr="00D93B49" w14:paraId="7184B4ED"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68E9B0"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t>Técnicos</w:t>
            </w:r>
          </w:p>
        </w:tc>
        <w:tc>
          <w:tcPr>
            <w:tcW w:w="0" w:type="auto"/>
            <w:noWrap/>
            <w:vAlign w:val="center"/>
            <w:hideMark/>
          </w:tcPr>
          <w:p w14:paraId="72D9CE5D"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48</w:t>
            </w:r>
          </w:p>
        </w:tc>
        <w:tc>
          <w:tcPr>
            <w:tcW w:w="0" w:type="auto"/>
            <w:noWrap/>
            <w:vAlign w:val="center"/>
            <w:hideMark/>
          </w:tcPr>
          <w:p w14:paraId="28CEC64A"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48</w:t>
            </w:r>
          </w:p>
        </w:tc>
        <w:tc>
          <w:tcPr>
            <w:tcW w:w="0" w:type="auto"/>
            <w:noWrap/>
            <w:vAlign w:val="center"/>
            <w:hideMark/>
          </w:tcPr>
          <w:p w14:paraId="1F99CC24"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48</w:t>
            </w:r>
          </w:p>
        </w:tc>
        <w:tc>
          <w:tcPr>
            <w:tcW w:w="0" w:type="auto"/>
            <w:noWrap/>
            <w:vAlign w:val="center"/>
            <w:hideMark/>
          </w:tcPr>
          <w:p w14:paraId="6A3950F3"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50</w:t>
            </w:r>
          </w:p>
        </w:tc>
        <w:tc>
          <w:tcPr>
            <w:tcW w:w="0" w:type="auto"/>
            <w:noWrap/>
            <w:vAlign w:val="center"/>
            <w:hideMark/>
          </w:tcPr>
          <w:p w14:paraId="33E36C3F"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49</w:t>
            </w:r>
          </w:p>
        </w:tc>
        <w:tc>
          <w:tcPr>
            <w:tcW w:w="0" w:type="auto"/>
            <w:noWrap/>
            <w:vAlign w:val="center"/>
            <w:hideMark/>
          </w:tcPr>
          <w:p w14:paraId="36BC6AEE"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49</w:t>
            </w:r>
          </w:p>
        </w:tc>
        <w:tc>
          <w:tcPr>
            <w:tcW w:w="0" w:type="auto"/>
            <w:noWrap/>
            <w:vAlign w:val="center"/>
            <w:hideMark/>
          </w:tcPr>
          <w:p w14:paraId="755EEF38"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w:t>
            </w:r>
          </w:p>
        </w:tc>
        <w:tc>
          <w:tcPr>
            <w:tcW w:w="0" w:type="auto"/>
            <w:vAlign w:val="center"/>
            <w:hideMark/>
          </w:tcPr>
          <w:p w14:paraId="560C317A"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w:t>
            </w:r>
          </w:p>
        </w:tc>
        <w:tc>
          <w:tcPr>
            <w:tcW w:w="0" w:type="auto"/>
            <w:noWrap/>
            <w:vAlign w:val="center"/>
            <w:hideMark/>
          </w:tcPr>
          <w:p w14:paraId="2CD2F228"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vAlign w:val="center"/>
            <w:hideMark/>
          </w:tcPr>
          <w:p w14:paraId="33A0C465"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w:t>
            </w:r>
          </w:p>
        </w:tc>
        <w:tc>
          <w:tcPr>
            <w:tcW w:w="0" w:type="auto"/>
            <w:vAlign w:val="center"/>
            <w:hideMark/>
          </w:tcPr>
          <w:p w14:paraId="399B24B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vAlign w:val="center"/>
            <w:hideMark/>
          </w:tcPr>
          <w:p w14:paraId="0FDB7784"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w:t>
            </w:r>
          </w:p>
        </w:tc>
      </w:tr>
      <w:tr w:rsidR="009801CD" w:rsidRPr="00D93B49" w14:paraId="64CBC8A4"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B1DEE39"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t>Auxiliares</w:t>
            </w:r>
          </w:p>
        </w:tc>
        <w:tc>
          <w:tcPr>
            <w:tcW w:w="0" w:type="auto"/>
            <w:noWrap/>
            <w:vAlign w:val="center"/>
            <w:hideMark/>
          </w:tcPr>
          <w:p w14:paraId="1648B995"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55</w:t>
            </w:r>
          </w:p>
        </w:tc>
        <w:tc>
          <w:tcPr>
            <w:tcW w:w="0" w:type="auto"/>
            <w:noWrap/>
            <w:vAlign w:val="center"/>
            <w:hideMark/>
          </w:tcPr>
          <w:p w14:paraId="7F04376E"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52</w:t>
            </w:r>
          </w:p>
        </w:tc>
        <w:tc>
          <w:tcPr>
            <w:tcW w:w="0" w:type="auto"/>
            <w:noWrap/>
            <w:vAlign w:val="center"/>
            <w:hideMark/>
          </w:tcPr>
          <w:p w14:paraId="5FCF80E7"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53</w:t>
            </w:r>
          </w:p>
        </w:tc>
        <w:tc>
          <w:tcPr>
            <w:tcW w:w="0" w:type="auto"/>
            <w:noWrap/>
            <w:vAlign w:val="center"/>
            <w:hideMark/>
          </w:tcPr>
          <w:p w14:paraId="3691073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58</w:t>
            </w:r>
          </w:p>
        </w:tc>
        <w:tc>
          <w:tcPr>
            <w:tcW w:w="0" w:type="auto"/>
            <w:noWrap/>
            <w:vAlign w:val="center"/>
            <w:hideMark/>
          </w:tcPr>
          <w:p w14:paraId="74CDC48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57</w:t>
            </w:r>
          </w:p>
        </w:tc>
        <w:tc>
          <w:tcPr>
            <w:tcW w:w="0" w:type="auto"/>
            <w:noWrap/>
            <w:vAlign w:val="center"/>
            <w:hideMark/>
          </w:tcPr>
          <w:p w14:paraId="14F883AC"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60</w:t>
            </w:r>
          </w:p>
        </w:tc>
        <w:tc>
          <w:tcPr>
            <w:tcW w:w="0" w:type="auto"/>
            <w:noWrap/>
            <w:vAlign w:val="center"/>
            <w:hideMark/>
          </w:tcPr>
          <w:p w14:paraId="1CE02C3D"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-3</w:t>
            </w:r>
          </w:p>
        </w:tc>
        <w:tc>
          <w:tcPr>
            <w:tcW w:w="0" w:type="auto"/>
            <w:vAlign w:val="center"/>
            <w:hideMark/>
          </w:tcPr>
          <w:p w14:paraId="5F0DCFF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w:t>
            </w:r>
          </w:p>
        </w:tc>
        <w:tc>
          <w:tcPr>
            <w:tcW w:w="0" w:type="auto"/>
            <w:noWrap/>
            <w:vAlign w:val="center"/>
            <w:hideMark/>
          </w:tcPr>
          <w:p w14:paraId="2FF00C3A"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w:t>
            </w:r>
          </w:p>
        </w:tc>
        <w:tc>
          <w:tcPr>
            <w:tcW w:w="0" w:type="auto"/>
            <w:vAlign w:val="center"/>
            <w:hideMark/>
          </w:tcPr>
          <w:p w14:paraId="2711CA37"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-9%</w:t>
            </w:r>
          </w:p>
        </w:tc>
        <w:tc>
          <w:tcPr>
            <w:tcW w:w="0" w:type="auto"/>
            <w:vAlign w:val="center"/>
            <w:hideMark/>
          </w:tcPr>
          <w:p w14:paraId="70875BD8"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-7</w:t>
            </w:r>
          </w:p>
        </w:tc>
        <w:tc>
          <w:tcPr>
            <w:tcW w:w="0" w:type="auto"/>
            <w:vAlign w:val="center"/>
            <w:hideMark/>
          </w:tcPr>
          <w:p w14:paraId="13DB72B2"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-12%</w:t>
            </w:r>
          </w:p>
        </w:tc>
      </w:tr>
      <w:tr w:rsidR="009801CD" w:rsidRPr="00D93B49" w14:paraId="5999AB5F"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DD1B55"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t>Secretarios</w:t>
            </w:r>
          </w:p>
        </w:tc>
        <w:tc>
          <w:tcPr>
            <w:tcW w:w="0" w:type="auto"/>
            <w:noWrap/>
            <w:vAlign w:val="center"/>
            <w:hideMark/>
          </w:tcPr>
          <w:p w14:paraId="556E9153"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70</w:t>
            </w:r>
          </w:p>
        </w:tc>
        <w:tc>
          <w:tcPr>
            <w:tcW w:w="0" w:type="auto"/>
            <w:noWrap/>
            <w:vAlign w:val="center"/>
            <w:hideMark/>
          </w:tcPr>
          <w:p w14:paraId="0DCA0A54"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70</w:t>
            </w:r>
          </w:p>
        </w:tc>
        <w:tc>
          <w:tcPr>
            <w:tcW w:w="0" w:type="auto"/>
            <w:noWrap/>
            <w:vAlign w:val="center"/>
            <w:hideMark/>
          </w:tcPr>
          <w:p w14:paraId="1AFADE95"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70</w:t>
            </w:r>
          </w:p>
        </w:tc>
        <w:tc>
          <w:tcPr>
            <w:tcW w:w="0" w:type="auto"/>
            <w:noWrap/>
            <w:vAlign w:val="center"/>
            <w:hideMark/>
          </w:tcPr>
          <w:p w14:paraId="2539B819"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68</w:t>
            </w:r>
          </w:p>
        </w:tc>
        <w:tc>
          <w:tcPr>
            <w:tcW w:w="0" w:type="auto"/>
            <w:noWrap/>
            <w:vAlign w:val="center"/>
            <w:hideMark/>
          </w:tcPr>
          <w:p w14:paraId="325852E0"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67</w:t>
            </w:r>
          </w:p>
        </w:tc>
        <w:tc>
          <w:tcPr>
            <w:tcW w:w="0" w:type="auto"/>
            <w:noWrap/>
            <w:vAlign w:val="center"/>
            <w:hideMark/>
          </w:tcPr>
          <w:p w14:paraId="01703345"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65</w:t>
            </w:r>
          </w:p>
        </w:tc>
        <w:tc>
          <w:tcPr>
            <w:tcW w:w="0" w:type="auto"/>
            <w:noWrap/>
            <w:vAlign w:val="center"/>
            <w:hideMark/>
          </w:tcPr>
          <w:p w14:paraId="486B9404"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w:t>
            </w:r>
          </w:p>
        </w:tc>
        <w:tc>
          <w:tcPr>
            <w:tcW w:w="0" w:type="auto"/>
            <w:vAlign w:val="center"/>
            <w:hideMark/>
          </w:tcPr>
          <w:p w14:paraId="621A2EE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3%</w:t>
            </w:r>
          </w:p>
        </w:tc>
        <w:tc>
          <w:tcPr>
            <w:tcW w:w="0" w:type="auto"/>
            <w:noWrap/>
            <w:vAlign w:val="center"/>
            <w:hideMark/>
          </w:tcPr>
          <w:p w14:paraId="218623DE"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3</w:t>
            </w:r>
          </w:p>
        </w:tc>
        <w:tc>
          <w:tcPr>
            <w:tcW w:w="0" w:type="auto"/>
            <w:vAlign w:val="center"/>
            <w:hideMark/>
          </w:tcPr>
          <w:p w14:paraId="321ACE38"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4%</w:t>
            </w:r>
          </w:p>
        </w:tc>
        <w:tc>
          <w:tcPr>
            <w:tcW w:w="0" w:type="auto"/>
            <w:vAlign w:val="center"/>
            <w:hideMark/>
          </w:tcPr>
          <w:p w14:paraId="49661AA0"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w:t>
            </w:r>
          </w:p>
        </w:tc>
        <w:tc>
          <w:tcPr>
            <w:tcW w:w="0" w:type="auto"/>
            <w:vAlign w:val="center"/>
            <w:hideMark/>
          </w:tcPr>
          <w:p w14:paraId="6D18559F"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8%</w:t>
            </w:r>
          </w:p>
        </w:tc>
      </w:tr>
      <w:tr w:rsidR="009801CD" w:rsidRPr="00D93B49" w14:paraId="14630A15"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504A07"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t>Analista de Sistemas</w:t>
            </w:r>
          </w:p>
        </w:tc>
        <w:tc>
          <w:tcPr>
            <w:tcW w:w="0" w:type="auto"/>
            <w:noWrap/>
            <w:vAlign w:val="center"/>
            <w:hideMark/>
          </w:tcPr>
          <w:p w14:paraId="5E34EBAC"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noWrap/>
            <w:vAlign w:val="center"/>
            <w:hideMark/>
          </w:tcPr>
          <w:p w14:paraId="2F420C83"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 </w:t>
            </w:r>
          </w:p>
        </w:tc>
        <w:tc>
          <w:tcPr>
            <w:tcW w:w="0" w:type="auto"/>
            <w:noWrap/>
            <w:vAlign w:val="center"/>
            <w:hideMark/>
          </w:tcPr>
          <w:p w14:paraId="13E6CE1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 </w:t>
            </w:r>
          </w:p>
        </w:tc>
        <w:tc>
          <w:tcPr>
            <w:tcW w:w="0" w:type="auto"/>
            <w:noWrap/>
            <w:vAlign w:val="center"/>
            <w:hideMark/>
          </w:tcPr>
          <w:p w14:paraId="187C18CD"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6BD033E8"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2D643767"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noWrap/>
            <w:vAlign w:val="center"/>
            <w:hideMark/>
          </w:tcPr>
          <w:p w14:paraId="78AE4873"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vAlign w:val="center"/>
            <w:hideMark/>
          </w:tcPr>
          <w:p w14:paraId="511E6268"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-100%</w:t>
            </w:r>
          </w:p>
        </w:tc>
        <w:tc>
          <w:tcPr>
            <w:tcW w:w="0" w:type="auto"/>
            <w:noWrap/>
            <w:vAlign w:val="center"/>
            <w:hideMark/>
          </w:tcPr>
          <w:p w14:paraId="15B208B9"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vAlign w:val="center"/>
            <w:hideMark/>
          </w:tcPr>
          <w:p w14:paraId="6A056BFC"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-100%</w:t>
            </w:r>
          </w:p>
        </w:tc>
        <w:tc>
          <w:tcPr>
            <w:tcW w:w="0" w:type="auto"/>
            <w:vAlign w:val="center"/>
            <w:hideMark/>
          </w:tcPr>
          <w:p w14:paraId="6D0C870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vAlign w:val="center"/>
            <w:hideMark/>
          </w:tcPr>
          <w:p w14:paraId="14A4E14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-100%</w:t>
            </w:r>
          </w:p>
        </w:tc>
      </w:tr>
      <w:tr w:rsidR="009801CD" w:rsidRPr="00D93B49" w14:paraId="4977011E"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6867E54" w14:textId="77777777" w:rsidR="009801CD" w:rsidRPr="00D93B49" w:rsidRDefault="009801CD" w:rsidP="009801CD">
            <w:pPr>
              <w:spacing w:before="80" w:after="80"/>
              <w:jc w:val="center"/>
              <w:rPr>
                <w:rFonts w:ascii="Arial" w:hAnsi="Arial" w:cs="Arial"/>
                <w:color w:val="0F243E" w:themeColor="text2" w:themeShade="80"/>
                <w:sz w:val="20"/>
                <w:szCs w:val="20"/>
              </w:rPr>
            </w:pPr>
            <w:r w:rsidRPr="00D93B49">
              <w:rPr>
                <w:rFonts w:ascii="Arial" w:hAnsi="Arial" w:cs="Arial"/>
                <w:color w:val="0F243E" w:themeColor="text2" w:themeShade="80"/>
                <w:sz w:val="20"/>
                <w:szCs w:val="20"/>
              </w:rPr>
              <w:t>Conductores</w:t>
            </w:r>
          </w:p>
        </w:tc>
        <w:tc>
          <w:tcPr>
            <w:tcW w:w="0" w:type="auto"/>
            <w:noWrap/>
            <w:vAlign w:val="center"/>
            <w:hideMark/>
          </w:tcPr>
          <w:p w14:paraId="60A926EB" w14:textId="77777777" w:rsidR="009801CD" w:rsidRPr="00D93B49" w:rsidRDefault="009801CD" w:rsidP="009801CD">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20</w:t>
            </w:r>
          </w:p>
        </w:tc>
        <w:tc>
          <w:tcPr>
            <w:tcW w:w="0" w:type="auto"/>
            <w:noWrap/>
            <w:vAlign w:val="center"/>
            <w:hideMark/>
          </w:tcPr>
          <w:p w14:paraId="5446ED5F"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20</w:t>
            </w:r>
          </w:p>
        </w:tc>
        <w:tc>
          <w:tcPr>
            <w:tcW w:w="0" w:type="auto"/>
            <w:noWrap/>
            <w:vAlign w:val="center"/>
            <w:hideMark/>
          </w:tcPr>
          <w:p w14:paraId="400D33D9"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20</w:t>
            </w:r>
          </w:p>
        </w:tc>
        <w:tc>
          <w:tcPr>
            <w:tcW w:w="0" w:type="auto"/>
            <w:noWrap/>
            <w:vAlign w:val="center"/>
            <w:hideMark/>
          </w:tcPr>
          <w:p w14:paraId="558AD99B"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20</w:t>
            </w:r>
          </w:p>
        </w:tc>
        <w:tc>
          <w:tcPr>
            <w:tcW w:w="0" w:type="auto"/>
            <w:noWrap/>
            <w:vAlign w:val="center"/>
            <w:hideMark/>
          </w:tcPr>
          <w:p w14:paraId="4ACAFDFA"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20</w:t>
            </w:r>
          </w:p>
        </w:tc>
        <w:tc>
          <w:tcPr>
            <w:tcW w:w="0" w:type="auto"/>
            <w:noWrap/>
            <w:vAlign w:val="center"/>
            <w:hideMark/>
          </w:tcPr>
          <w:p w14:paraId="687E4486" w14:textId="77777777" w:rsidR="009801CD" w:rsidRPr="00D93B49" w:rsidRDefault="0050692E" w:rsidP="0050692E">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19</w:t>
            </w:r>
          </w:p>
        </w:tc>
        <w:tc>
          <w:tcPr>
            <w:tcW w:w="0" w:type="auto"/>
            <w:noWrap/>
            <w:vAlign w:val="center"/>
            <w:hideMark/>
          </w:tcPr>
          <w:p w14:paraId="4F17A750"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597A91B6"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noWrap/>
            <w:vAlign w:val="center"/>
            <w:hideMark/>
          </w:tcPr>
          <w:p w14:paraId="4E34D14D"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5B4E5D2C"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0%</w:t>
            </w:r>
          </w:p>
        </w:tc>
        <w:tc>
          <w:tcPr>
            <w:tcW w:w="0" w:type="auto"/>
            <w:vAlign w:val="center"/>
            <w:hideMark/>
          </w:tcPr>
          <w:p w14:paraId="685957E5" w14:textId="77777777" w:rsidR="009801CD" w:rsidRPr="00D93B49" w:rsidRDefault="0050692E"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1</w:t>
            </w:r>
          </w:p>
        </w:tc>
        <w:tc>
          <w:tcPr>
            <w:tcW w:w="0" w:type="auto"/>
            <w:vAlign w:val="center"/>
            <w:hideMark/>
          </w:tcPr>
          <w:p w14:paraId="468DD025" w14:textId="77777777" w:rsidR="009801CD" w:rsidRPr="00D93B49" w:rsidRDefault="0050692E" w:rsidP="0050692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93B49">
              <w:rPr>
                <w:rFonts w:ascii="Arial" w:hAnsi="Arial" w:cs="Arial"/>
                <w:color w:val="0F243E" w:themeColor="text2" w:themeShade="80"/>
                <w:sz w:val="20"/>
                <w:szCs w:val="20"/>
              </w:rPr>
              <w:t>5</w:t>
            </w:r>
            <w:r w:rsidR="009801CD" w:rsidRPr="00D93B49">
              <w:rPr>
                <w:rFonts w:ascii="Arial" w:hAnsi="Arial" w:cs="Arial"/>
                <w:color w:val="0F243E" w:themeColor="text2" w:themeShade="80"/>
                <w:sz w:val="20"/>
                <w:szCs w:val="20"/>
              </w:rPr>
              <w:t>%</w:t>
            </w:r>
          </w:p>
        </w:tc>
      </w:tr>
      <w:tr w:rsidR="009801CD" w:rsidRPr="00D93B49" w14:paraId="72353997" w14:textId="77777777" w:rsidTr="005F4135">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noWrap/>
            <w:vAlign w:val="center"/>
            <w:hideMark/>
          </w:tcPr>
          <w:p w14:paraId="7572C864" w14:textId="77777777" w:rsidR="009801CD" w:rsidRPr="00D93B49" w:rsidRDefault="009801CD" w:rsidP="009801CD">
            <w:pPr>
              <w:spacing w:before="80" w:after="80"/>
              <w:jc w:val="center"/>
              <w:rPr>
                <w:rFonts w:ascii="Arial" w:hAnsi="Arial" w:cs="Arial"/>
                <w:color w:val="FFFFFF" w:themeColor="background1"/>
                <w:sz w:val="20"/>
                <w:szCs w:val="20"/>
              </w:rPr>
            </w:pPr>
            <w:r w:rsidRPr="00D93B49">
              <w:rPr>
                <w:rFonts w:ascii="Arial" w:hAnsi="Arial" w:cs="Arial"/>
                <w:color w:val="FFFFFF" w:themeColor="background1"/>
                <w:sz w:val="20"/>
                <w:szCs w:val="20"/>
              </w:rPr>
              <w:t>Total</w:t>
            </w:r>
          </w:p>
        </w:tc>
        <w:tc>
          <w:tcPr>
            <w:tcW w:w="0" w:type="auto"/>
            <w:shd w:val="clear" w:color="auto" w:fill="4F81BD" w:themeFill="accent1"/>
            <w:noWrap/>
            <w:vAlign w:val="center"/>
            <w:hideMark/>
          </w:tcPr>
          <w:p w14:paraId="4F7EA521"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3B49">
              <w:rPr>
                <w:rFonts w:ascii="Arial" w:hAnsi="Arial" w:cs="Arial"/>
                <w:b/>
                <w:bCs/>
                <w:color w:val="FFFFFF" w:themeColor="background1"/>
                <w:sz w:val="20"/>
                <w:szCs w:val="20"/>
              </w:rPr>
              <w:t>680</w:t>
            </w:r>
          </w:p>
        </w:tc>
        <w:tc>
          <w:tcPr>
            <w:tcW w:w="0" w:type="auto"/>
            <w:shd w:val="clear" w:color="auto" w:fill="4F81BD" w:themeFill="accent1"/>
            <w:noWrap/>
            <w:vAlign w:val="center"/>
            <w:hideMark/>
          </w:tcPr>
          <w:p w14:paraId="4891C61E"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3B49">
              <w:rPr>
                <w:rFonts w:ascii="Arial" w:hAnsi="Arial" w:cs="Arial"/>
                <w:b/>
                <w:bCs/>
                <w:color w:val="FFFFFF" w:themeColor="background1"/>
                <w:sz w:val="20"/>
                <w:szCs w:val="20"/>
              </w:rPr>
              <w:t>680</w:t>
            </w:r>
          </w:p>
        </w:tc>
        <w:tc>
          <w:tcPr>
            <w:tcW w:w="0" w:type="auto"/>
            <w:shd w:val="clear" w:color="auto" w:fill="4F81BD" w:themeFill="accent1"/>
            <w:noWrap/>
            <w:vAlign w:val="center"/>
            <w:hideMark/>
          </w:tcPr>
          <w:p w14:paraId="1B6A52A7"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3B49">
              <w:rPr>
                <w:rFonts w:ascii="Arial" w:hAnsi="Arial" w:cs="Arial"/>
                <w:b/>
                <w:bCs/>
                <w:color w:val="FFFFFF" w:themeColor="background1"/>
                <w:sz w:val="20"/>
                <w:szCs w:val="20"/>
              </w:rPr>
              <w:t>681</w:t>
            </w:r>
          </w:p>
        </w:tc>
        <w:tc>
          <w:tcPr>
            <w:tcW w:w="0" w:type="auto"/>
            <w:shd w:val="clear" w:color="auto" w:fill="4F81BD" w:themeFill="accent1"/>
            <w:noWrap/>
            <w:vAlign w:val="center"/>
            <w:hideMark/>
          </w:tcPr>
          <w:p w14:paraId="58F19DC5"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3B49">
              <w:rPr>
                <w:rFonts w:ascii="Arial" w:hAnsi="Arial" w:cs="Arial"/>
                <w:b/>
                <w:bCs/>
                <w:color w:val="FFFFFF" w:themeColor="background1"/>
                <w:sz w:val="20"/>
                <w:szCs w:val="20"/>
              </w:rPr>
              <w:t>667</w:t>
            </w:r>
          </w:p>
        </w:tc>
        <w:tc>
          <w:tcPr>
            <w:tcW w:w="0" w:type="auto"/>
            <w:shd w:val="clear" w:color="auto" w:fill="4F81BD" w:themeFill="accent1"/>
            <w:noWrap/>
            <w:vAlign w:val="center"/>
            <w:hideMark/>
          </w:tcPr>
          <w:p w14:paraId="483E64E2"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3B49">
              <w:rPr>
                <w:rFonts w:ascii="Arial" w:hAnsi="Arial" w:cs="Arial"/>
                <w:b/>
                <w:bCs/>
                <w:color w:val="FFFFFF" w:themeColor="background1"/>
                <w:sz w:val="20"/>
                <w:szCs w:val="20"/>
              </w:rPr>
              <w:t>667</w:t>
            </w:r>
          </w:p>
        </w:tc>
        <w:tc>
          <w:tcPr>
            <w:tcW w:w="0" w:type="auto"/>
            <w:shd w:val="clear" w:color="auto" w:fill="4F81BD" w:themeFill="accent1"/>
            <w:noWrap/>
            <w:vAlign w:val="center"/>
            <w:hideMark/>
          </w:tcPr>
          <w:p w14:paraId="1CB11589" w14:textId="77777777" w:rsidR="009801CD" w:rsidRPr="00D93B49" w:rsidRDefault="0050692E"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3B49">
              <w:rPr>
                <w:rFonts w:ascii="Arial" w:hAnsi="Arial" w:cs="Arial"/>
                <w:b/>
                <w:bCs/>
                <w:color w:val="FFFFFF" w:themeColor="background1"/>
                <w:sz w:val="20"/>
                <w:szCs w:val="20"/>
              </w:rPr>
              <w:t>663</w:t>
            </w:r>
          </w:p>
        </w:tc>
        <w:tc>
          <w:tcPr>
            <w:tcW w:w="0" w:type="auto"/>
            <w:shd w:val="clear" w:color="auto" w:fill="4F81BD" w:themeFill="accent1"/>
            <w:noWrap/>
            <w:vAlign w:val="center"/>
            <w:hideMark/>
          </w:tcPr>
          <w:p w14:paraId="5093DDAB"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3B49">
              <w:rPr>
                <w:rFonts w:ascii="Arial" w:hAnsi="Arial" w:cs="Arial"/>
                <w:b/>
                <w:bCs/>
                <w:color w:val="FFFFFF" w:themeColor="background1"/>
                <w:sz w:val="20"/>
                <w:szCs w:val="20"/>
              </w:rPr>
              <w:t>13</w:t>
            </w:r>
          </w:p>
        </w:tc>
        <w:tc>
          <w:tcPr>
            <w:tcW w:w="0" w:type="auto"/>
            <w:shd w:val="clear" w:color="auto" w:fill="4F81BD" w:themeFill="accent1"/>
            <w:noWrap/>
            <w:vAlign w:val="center"/>
            <w:hideMark/>
          </w:tcPr>
          <w:p w14:paraId="53ABCC1A" w14:textId="77777777" w:rsidR="009801CD" w:rsidRPr="00D93B49" w:rsidRDefault="005F4135"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3B49">
              <w:rPr>
                <w:rFonts w:ascii="Arial" w:hAnsi="Arial" w:cs="Arial"/>
                <w:b/>
                <w:bCs/>
                <w:color w:val="FFFFFF" w:themeColor="background1"/>
                <w:sz w:val="20"/>
                <w:szCs w:val="20"/>
              </w:rPr>
              <w:t>2</w:t>
            </w:r>
            <w:r w:rsidR="009801CD" w:rsidRPr="00D93B49">
              <w:rPr>
                <w:rFonts w:ascii="Arial" w:hAnsi="Arial" w:cs="Arial"/>
                <w:b/>
                <w:bCs/>
                <w:color w:val="FFFFFF" w:themeColor="background1"/>
                <w:sz w:val="20"/>
                <w:szCs w:val="20"/>
              </w:rPr>
              <w:t>%</w:t>
            </w:r>
          </w:p>
        </w:tc>
        <w:tc>
          <w:tcPr>
            <w:tcW w:w="0" w:type="auto"/>
            <w:shd w:val="clear" w:color="auto" w:fill="4F81BD" w:themeFill="accent1"/>
            <w:noWrap/>
            <w:vAlign w:val="center"/>
            <w:hideMark/>
          </w:tcPr>
          <w:p w14:paraId="00C1D944"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3B49">
              <w:rPr>
                <w:rFonts w:ascii="Arial" w:hAnsi="Arial" w:cs="Arial"/>
                <w:b/>
                <w:bCs/>
                <w:color w:val="FFFFFF" w:themeColor="background1"/>
                <w:sz w:val="20"/>
                <w:szCs w:val="20"/>
              </w:rPr>
              <w:t>13</w:t>
            </w:r>
          </w:p>
        </w:tc>
        <w:tc>
          <w:tcPr>
            <w:tcW w:w="0" w:type="auto"/>
            <w:shd w:val="clear" w:color="auto" w:fill="4F81BD" w:themeFill="accent1"/>
            <w:noWrap/>
            <w:vAlign w:val="center"/>
            <w:hideMark/>
          </w:tcPr>
          <w:p w14:paraId="27B8B4AF" w14:textId="77777777" w:rsidR="009801CD" w:rsidRPr="00D93B49" w:rsidRDefault="009801CD"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3B49">
              <w:rPr>
                <w:rFonts w:ascii="Arial" w:hAnsi="Arial" w:cs="Arial"/>
                <w:b/>
                <w:bCs/>
                <w:color w:val="FFFFFF" w:themeColor="background1"/>
                <w:sz w:val="20"/>
                <w:szCs w:val="20"/>
              </w:rPr>
              <w:t>2%</w:t>
            </w:r>
          </w:p>
        </w:tc>
        <w:tc>
          <w:tcPr>
            <w:tcW w:w="0" w:type="auto"/>
            <w:shd w:val="clear" w:color="auto" w:fill="4F81BD" w:themeFill="accent1"/>
            <w:noWrap/>
            <w:vAlign w:val="center"/>
            <w:hideMark/>
          </w:tcPr>
          <w:p w14:paraId="73F87324" w14:textId="77777777" w:rsidR="009801CD" w:rsidRPr="00D93B49" w:rsidRDefault="002D1D79"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3B49">
              <w:rPr>
                <w:rFonts w:ascii="Arial" w:hAnsi="Arial" w:cs="Arial"/>
                <w:b/>
                <w:bCs/>
                <w:color w:val="FFFFFF" w:themeColor="background1"/>
                <w:sz w:val="20"/>
                <w:szCs w:val="20"/>
              </w:rPr>
              <w:t>18</w:t>
            </w:r>
          </w:p>
        </w:tc>
        <w:tc>
          <w:tcPr>
            <w:tcW w:w="0" w:type="auto"/>
            <w:shd w:val="clear" w:color="auto" w:fill="4F81BD" w:themeFill="accent1"/>
            <w:noWrap/>
            <w:vAlign w:val="center"/>
            <w:hideMark/>
          </w:tcPr>
          <w:p w14:paraId="1D66220E" w14:textId="77777777" w:rsidR="009801CD" w:rsidRPr="00D93B49" w:rsidRDefault="005F4135" w:rsidP="009801C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93B49">
              <w:rPr>
                <w:rFonts w:ascii="Arial" w:hAnsi="Arial" w:cs="Arial"/>
                <w:b/>
                <w:bCs/>
                <w:color w:val="FFFFFF" w:themeColor="background1"/>
                <w:sz w:val="20"/>
                <w:szCs w:val="20"/>
              </w:rPr>
              <w:t>3</w:t>
            </w:r>
            <w:r w:rsidR="009801CD" w:rsidRPr="00D93B49">
              <w:rPr>
                <w:rFonts w:ascii="Arial" w:hAnsi="Arial" w:cs="Arial"/>
                <w:b/>
                <w:bCs/>
                <w:color w:val="FFFFFF" w:themeColor="background1"/>
                <w:sz w:val="20"/>
                <w:szCs w:val="20"/>
              </w:rPr>
              <w:t>%</w:t>
            </w:r>
          </w:p>
        </w:tc>
      </w:tr>
    </w:tbl>
    <w:p w14:paraId="7EEF5322" w14:textId="77777777" w:rsidR="009801CD" w:rsidRPr="008255B6" w:rsidRDefault="009801CD" w:rsidP="00CA1AFC">
      <w:pPr>
        <w:pStyle w:val="Prrafodelista"/>
        <w:ind w:left="0"/>
        <w:contextualSpacing w:val="0"/>
        <w:rPr>
          <w:rFonts w:ascii="Arial" w:hAnsi="Arial" w:cs="Arial"/>
          <w:sz w:val="22"/>
          <w:szCs w:val="22"/>
        </w:rPr>
      </w:pPr>
    </w:p>
    <w:p w14:paraId="2CB2B194" w14:textId="7648889C" w:rsidR="0008378D" w:rsidRDefault="00E07651" w:rsidP="005B7FC5">
      <w:pPr>
        <w:jc w:val="both"/>
        <w:rPr>
          <w:rFonts w:ascii="Arial" w:hAnsi="Arial" w:cs="Arial"/>
          <w:color w:val="000000" w:themeColor="text1"/>
          <w:sz w:val="22"/>
          <w:szCs w:val="22"/>
        </w:rPr>
      </w:pPr>
      <w:r w:rsidRPr="00753D41">
        <w:rPr>
          <w:rFonts w:ascii="Arial" w:hAnsi="Arial" w:cs="Arial"/>
          <w:color w:val="000000" w:themeColor="text1"/>
          <w:sz w:val="22"/>
          <w:szCs w:val="22"/>
        </w:rPr>
        <w:t xml:space="preserve">Según los resultados presentados en la tabla anterior, se observó que para </w:t>
      </w:r>
      <w:r w:rsidR="00753D41">
        <w:rPr>
          <w:rFonts w:ascii="Arial" w:hAnsi="Arial" w:cs="Arial"/>
          <w:color w:val="000000" w:themeColor="text1"/>
          <w:sz w:val="22"/>
          <w:szCs w:val="22"/>
        </w:rPr>
        <w:t>los tres meses analizados se presentaron variaciones positivas</w:t>
      </w:r>
      <w:r w:rsidR="00B10697">
        <w:rPr>
          <w:rFonts w:ascii="Arial" w:hAnsi="Arial" w:cs="Arial"/>
          <w:color w:val="000000" w:themeColor="text1"/>
          <w:sz w:val="22"/>
          <w:szCs w:val="22"/>
        </w:rPr>
        <w:t xml:space="preserve"> [julio 2%, agosto 2% y septiembre 3%]</w:t>
      </w:r>
      <w:r w:rsidR="00753D41">
        <w:rPr>
          <w:rFonts w:ascii="Arial" w:hAnsi="Arial" w:cs="Arial"/>
          <w:color w:val="000000" w:themeColor="text1"/>
          <w:sz w:val="22"/>
          <w:szCs w:val="22"/>
        </w:rPr>
        <w:t>.</w:t>
      </w:r>
      <w:r w:rsidR="00B10697">
        <w:rPr>
          <w:rFonts w:ascii="Arial" w:hAnsi="Arial" w:cs="Arial"/>
          <w:color w:val="000000" w:themeColor="text1"/>
          <w:sz w:val="22"/>
          <w:szCs w:val="22"/>
        </w:rPr>
        <w:t xml:space="preserve"> </w:t>
      </w:r>
      <w:r w:rsidR="00AA66D5">
        <w:rPr>
          <w:rFonts w:ascii="Arial" w:hAnsi="Arial" w:cs="Arial"/>
          <w:color w:val="000000" w:themeColor="text1"/>
          <w:sz w:val="22"/>
          <w:szCs w:val="22"/>
        </w:rPr>
        <w:t xml:space="preserve">Analizando </w:t>
      </w:r>
      <w:r w:rsidR="00B837BC">
        <w:rPr>
          <w:rFonts w:ascii="Arial" w:hAnsi="Arial" w:cs="Arial"/>
          <w:color w:val="000000" w:themeColor="text1"/>
          <w:sz w:val="22"/>
          <w:szCs w:val="22"/>
        </w:rPr>
        <w:t xml:space="preserve">las variaciones por cada cargo, se </w:t>
      </w:r>
      <w:r w:rsidR="00753D41">
        <w:rPr>
          <w:rFonts w:ascii="Arial" w:hAnsi="Arial" w:cs="Arial"/>
          <w:color w:val="000000" w:themeColor="text1"/>
          <w:sz w:val="22"/>
          <w:szCs w:val="22"/>
        </w:rPr>
        <w:t>identificó que el</w:t>
      </w:r>
      <w:r w:rsidR="00B837BC">
        <w:rPr>
          <w:rFonts w:ascii="Arial" w:hAnsi="Arial" w:cs="Arial"/>
          <w:color w:val="000000" w:themeColor="text1"/>
          <w:sz w:val="22"/>
          <w:szCs w:val="22"/>
        </w:rPr>
        <w:t xml:space="preserve"> </w:t>
      </w:r>
      <w:r w:rsidR="00803D48">
        <w:rPr>
          <w:rFonts w:ascii="Arial" w:hAnsi="Arial" w:cs="Arial"/>
          <w:color w:val="000000" w:themeColor="text1"/>
          <w:sz w:val="22"/>
          <w:szCs w:val="22"/>
        </w:rPr>
        <w:t xml:space="preserve">de </w:t>
      </w:r>
      <w:r w:rsidR="0008378D">
        <w:rPr>
          <w:rFonts w:ascii="Arial" w:hAnsi="Arial" w:cs="Arial"/>
          <w:color w:val="000000" w:themeColor="text1"/>
          <w:sz w:val="22"/>
          <w:szCs w:val="22"/>
        </w:rPr>
        <w:t>subdirector</w:t>
      </w:r>
      <w:r w:rsidR="00803D48">
        <w:rPr>
          <w:rFonts w:ascii="Arial" w:hAnsi="Arial" w:cs="Arial"/>
          <w:color w:val="000000" w:themeColor="text1"/>
          <w:sz w:val="22"/>
          <w:szCs w:val="22"/>
        </w:rPr>
        <w:t>,</w:t>
      </w:r>
      <w:r w:rsidR="003F2819">
        <w:rPr>
          <w:rFonts w:ascii="Arial" w:hAnsi="Arial" w:cs="Arial"/>
          <w:color w:val="000000" w:themeColor="text1"/>
          <w:sz w:val="22"/>
          <w:szCs w:val="22"/>
        </w:rPr>
        <w:t xml:space="preserve"> </w:t>
      </w:r>
      <w:r w:rsidR="00B10697">
        <w:rPr>
          <w:rFonts w:ascii="Arial" w:hAnsi="Arial" w:cs="Arial"/>
          <w:color w:val="000000" w:themeColor="text1"/>
          <w:sz w:val="22"/>
          <w:szCs w:val="22"/>
        </w:rPr>
        <w:t>presentó mayor</w:t>
      </w:r>
      <w:r w:rsidR="00DE016E">
        <w:rPr>
          <w:rFonts w:ascii="Arial" w:hAnsi="Arial" w:cs="Arial"/>
          <w:color w:val="000000" w:themeColor="text1"/>
          <w:sz w:val="22"/>
          <w:szCs w:val="22"/>
        </w:rPr>
        <w:t>es</w:t>
      </w:r>
      <w:r w:rsidR="00B10697">
        <w:rPr>
          <w:rFonts w:ascii="Arial" w:hAnsi="Arial" w:cs="Arial"/>
          <w:color w:val="000000" w:themeColor="text1"/>
          <w:sz w:val="22"/>
          <w:szCs w:val="22"/>
        </w:rPr>
        <w:t xml:space="preserve"> variaci</w:t>
      </w:r>
      <w:r w:rsidR="00DE016E">
        <w:rPr>
          <w:rFonts w:ascii="Arial" w:hAnsi="Arial" w:cs="Arial"/>
          <w:color w:val="000000" w:themeColor="text1"/>
          <w:sz w:val="22"/>
          <w:szCs w:val="22"/>
        </w:rPr>
        <w:t>ones</w:t>
      </w:r>
      <w:r w:rsidR="003F2819">
        <w:rPr>
          <w:rFonts w:ascii="Arial" w:hAnsi="Arial" w:cs="Arial"/>
          <w:color w:val="000000" w:themeColor="text1"/>
          <w:sz w:val="22"/>
          <w:szCs w:val="22"/>
        </w:rPr>
        <w:t xml:space="preserve"> </w:t>
      </w:r>
      <w:r w:rsidR="00B837BC">
        <w:rPr>
          <w:rFonts w:ascii="Arial" w:hAnsi="Arial" w:cs="Arial"/>
          <w:color w:val="000000" w:themeColor="text1"/>
          <w:sz w:val="22"/>
          <w:szCs w:val="22"/>
        </w:rPr>
        <w:t>durante los tres meses correspondiente al trimestre analizado.</w:t>
      </w:r>
      <w:r w:rsidR="002D2746">
        <w:rPr>
          <w:rFonts w:ascii="Arial" w:hAnsi="Arial" w:cs="Arial"/>
          <w:color w:val="000000" w:themeColor="text1"/>
          <w:sz w:val="22"/>
          <w:szCs w:val="22"/>
        </w:rPr>
        <w:t xml:space="preserve"> </w:t>
      </w:r>
      <w:r w:rsidR="00E64022">
        <w:rPr>
          <w:rFonts w:ascii="Arial" w:hAnsi="Arial" w:cs="Arial"/>
          <w:color w:val="000000" w:themeColor="text1"/>
          <w:sz w:val="22"/>
          <w:szCs w:val="22"/>
        </w:rPr>
        <w:t>F</w:t>
      </w:r>
      <w:r w:rsidR="00E3161B">
        <w:rPr>
          <w:rFonts w:ascii="Arial" w:hAnsi="Arial" w:cs="Arial"/>
          <w:color w:val="000000" w:themeColor="text1"/>
          <w:sz w:val="22"/>
          <w:szCs w:val="22"/>
        </w:rPr>
        <w:t>rente a la cantidad</w:t>
      </w:r>
      <w:r w:rsidR="00DE016E">
        <w:rPr>
          <w:rFonts w:ascii="Arial" w:hAnsi="Arial" w:cs="Arial"/>
          <w:color w:val="000000" w:themeColor="text1"/>
          <w:sz w:val="22"/>
          <w:szCs w:val="22"/>
        </w:rPr>
        <w:t xml:space="preserve"> de funcionarios, </w:t>
      </w:r>
      <w:r w:rsidR="00803D48">
        <w:rPr>
          <w:rFonts w:ascii="Arial" w:hAnsi="Arial" w:cs="Arial"/>
          <w:color w:val="000000" w:themeColor="text1"/>
          <w:sz w:val="22"/>
          <w:szCs w:val="22"/>
        </w:rPr>
        <w:t xml:space="preserve">se observó que </w:t>
      </w:r>
      <w:r w:rsidR="002D2746">
        <w:rPr>
          <w:rFonts w:ascii="Arial" w:hAnsi="Arial" w:cs="Arial"/>
          <w:color w:val="000000" w:themeColor="text1"/>
          <w:sz w:val="22"/>
          <w:szCs w:val="22"/>
        </w:rPr>
        <w:t>el cargo de asesor</w:t>
      </w:r>
      <w:r w:rsidR="007039A4">
        <w:rPr>
          <w:rFonts w:ascii="Arial" w:hAnsi="Arial" w:cs="Arial"/>
          <w:color w:val="000000" w:themeColor="text1"/>
          <w:sz w:val="22"/>
          <w:szCs w:val="22"/>
        </w:rPr>
        <w:t xml:space="preserve"> </w:t>
      </w:r>
      <w:r w:rsidR="002D2746">
        <w:rPr>
          <w:rFonts w:ascii="Arial" w:hAnsi="Arial" w:cs="Arial"/>
          <w:color w:val="000000" w:themeColor="text1"/>
          <w:sz w:val="22"/>
          <w:szCs w:val="22"/>
        </w:rPr>
        <w:t xml:space="preserve">presentó mayores </w:t>
      </w:r>
      <w:r w:rsidR="00DE016E">
        <w:rPr>
          <w:rFonts w:ascii="Arial" w:hAnsi="Arial" w:cs="Arial"/>
          <w:color w:val="000000" w:themeColor="text1"/>
          <w:sz w:val="22"/>
          <w:szCs w:val="22"/>
        </w:rPr>
        <w:t>incremento</w:t>
      </w:r>
      <w:r w:rsidR="007039A4">
        <w:rPr>
          <w:rFonts w:ascii="Arial" w:hAnsi="Arial" w:cs="Arial"/>
          <w:color w:val="000000" w:themeColor="text1"/>
          <w:sz w:val="22"/>
          <w:szCs w:val="22"/>
        </w:rPr>
        <w:t>s</w:t>
      </w:r>
      <w:r w:rsidR="00DE016E">
        <w:rPr>
          <w:rFonts w:ascii="Arial" w:hAnsi="Arial" w:cs="Arial"/>
          <w:color w:val="000000" w:themeColor="text1"/>
          <w:sz w:val="22"/>
          <w:szCs w:val="22"/>
        </w:rPr>
        <w:t>,</w:t>
      </w:r>
      <w:r w:rsidR="002D2746">
        <w:rPr>
          <w:rFonts w:ascii="Arial" w:hAnsi="Arial" w:cs="Arial"/>
          <w:color w:val="000000" w:themeColor="text1"/>
          <w:sz w:val="22"/>
          <w:szCs w:val="22"/>
        </w:rPr>
        <w:t xml:space="preserve"> así: julio [8], agosto [9], septiembre [11]. </w:t>
      </w:r>
    </w:p>
    <w:p w14:paraId="4900AAFE" w14:textId="13395457" w:rsidR="00B837BC" w:rsidRDefault="00B837BC" w:rsidP="005B7FC5">
      <w:pPr>
        <w:jc w:val="both"/>
        <w:rPr>
          <w:rFonts w:ascii="Arial" w:hAnsi="Arial" w:cs="Arial"/>
          <w:color w:val="000000" w:themeColor="text1"/>
          <w:sz w:val="22"/>
          <w:szCs w:val="22"/>
        </w:rPr>
      </w:pPr>
    </w:p>
    <w:p w14:paraId="38DC11F0" w14:textId="66737E92" w:rsidR="00484891" w:rsidRPr="00484891" w:rsidRDefault="00484891" w:rsidP="00484891">
      <w:pPr>
        <w:jc w:val="both"/>
        <w:rPr>
          <w:rFonts w:ascii="Arial" w:hAnsi="Arial" w:cs="Arial"/>
          <w:color w:val="000000" w:themeColor="text1"/>
          <w:sz w:val="22"/>
          <w:szCs w:val="22"/>
        </w:rPr>
      </w:pPr>
      <w:r w:rsidRPr="00484891">
        <w:rPr>
          <w:rFonts w:ascii="Arial" w:hAnsi="Arial" w:cs="Arial"/>
          <w:color w:val="000000" w:themeColor="text1"/>
          <w:sz w:val="22"/>
          <w:szCs w:val="22"/>
        </w:rPr>
        <w:t xml:space="preserve">Al respecto, la Subdirección de Gestión de Talento Humano informó que esas variaciones correspondieron en parte a que en el trimestre de 2018 </w:t>
      </w:r>
      <w:r w:rsidR="00CF4EB7" w:rsidRPr="00484891">
        <w:rPr>
          <w:rFonts w:ascii="Arial" w:hAnsi="Arial" w:cs="Arial"/>
          <w:color w:val="000000" w:themeColor="text1"/>
          <w:sz w:val="22"/>
          <w:szCs w:val="22"/>
        </w:rPr>
        <w:t>había</w:t>
      </w:r>
      <w:r w:rsidRPr="00484891">
        <w:rPr>
          <w:rFonts w:ascii="Arial" w:hAnsi="Arial" w:cs="Arial"/>
          <w:color w:val="000000" w:themeColor="text1"/>
          <w:sz w:val="22"/>
          <w:szCs w:val="22"/>
        </w:rPr>
        <w:t xml:space="preserve"> cargos de asesores vacantes y para el mismo trimestre de 2019 estos cargos </w:t>
      </w:r>
      <w:r>
        <w:rPr>
          <w:rFonts w:ascii="Arial" w:hAnsi="Arial" w:cs="Arial"/>
          <w:color w:val="000000" w:themeColor="text1"/>
          <w:sz w:val="22"/>
          <w:szCs w:val="22"/>
        </w:rPr>
        <w:t xml:space="preserve">fueron </w:t>
      </w:r>
      <w:r w:rsidRPr="00484891">
        <w:rPr>
          <w:rFonts w:ascii="Arial" w:hAnsi="Arial" w:cs="Arial"/>
          <w:color w:val="000000" w:themeColor="text1"/>
          <w:sz w:val="22"/>
          <w:szCs w:val="22"/>
        </w:rPr>
        <w:t>ocupados. Para el caso de los subdirectores</w:t>
      </w:r>
      <w:r>
        <w:rPr>
          <w:rFonts w:ascii="Arial" w:hAnsi="Arial" w:cs="Arial"/>
          <w:color w:val="000000" w:themeColor="text1"/>
          <w:sz w:val="22"/>
          <w:szCs w:val="22"/>
        </w:rPr>
        <w:t>, la variación positiva</w:t>
      </w:r>
      <w:r w:rsidR="0045514F">
        <w:rPr>
          <w:rFonts w:ascii="Arial" w:hAnsi="Arial" w:cs="Arial"/>
          <w:color w:val="000000" w:themeColor="text1"/>
          <w:sz w:val="22"/>
          <w:szCs w:val="22"/>
        </w:rPr>
        <w:t xml:space="preserve"> </w:t>
      </w:r>
      <w:r>
        <w:rPr>
          <w:rFonts w:ascii="Arial" w:hAnsi="Arial" w:cs="Arial"/>
          <w:color w:val="000000" w:themeColor="text1"/>
          <w:sz w:val="22"/>
          <w:szCs w:val="22"/>
        </w:rPr>
        <w:t xml:space="preserve">se presentó </w:t>
      </w:r>
      <w:r w:rsidR="0045514F">
        <w:rPr>
          <w:rFonts w:ascii="Arial" w:hAnsi="Arial" w:cs="Arial"/>
          <w:color w:val="000000" w:themeColor="text1"/>
          <w:sz w:val="22"/>
          <w:szCs w:val="22"/>
        </w:rPr>
        <w:t xml:space="preserve">por </w:t>
      </w:r>
      <w:r>
        <w:rPr>
          <w:rFonts w:ascii="Arial" w:hAnsi="Arial" w:cs="Arial"/>
          <w:color w:val="000000" w:themeColor="text1"/>
          <w:sz w:val="22"/>
          <w:szCs w:val="22"/>
        </w:rPr>
        <w:t>la misma situación de los asesores, adicionalmente</w:t>
      </w:r>
      <w:r w:rsidR="0045514F">
        <w:rPr>
          <w:rFonts w:ascii="Arial" w:hAnsi="Arial" w:cs="Arial"/>
          <w:color w:val="000000" w:themeColor="text1"/>
          <w:sz w:val="22"/>
          <w:szCs w:val="22"/>
        </w:rPr>
        <w:t>,</w:t>
      </w:r>
      <w:r>
        <w:rPr>
          <w:rFonts w:ascii="Arial" w:hAnsi="Arial" w:cs="Arial"/>
          <w:color w:val="000000" w:themeColor="text1"/>
          <w:sz w:val="22"/>
          <w:szCs w:val="22"/>
        </w:rPr>
        <w:t xml:space="preserve"> </w:t>
      </w:r>
      <w:r w:rsidRPr="00484891">
        <w:rPr>
          <w:rFonts w:ascii="Arial" w:hAnsi="Arial" w:cs="Arial"/>
          <w:color w:val="000000" w:themeColor="text1"/>
          <w:sz w:val="22"/>
          <w:szCs w:val="22"/>
        </w:rPr>
        <w:t xml:space="preserve">fueron creados dos cargos de </w:t>
      </w:r>
      <w:r w:rsidR="002039F0" w:rsidRPr="00484891">
        <w:rPr>
          <w:rFonts w:ascii="Arial" w:hAnsi="Arial" w:cs="Arial"/>
          <w:color w:val="000000" w:themeColor="text1"/>
          <w:sz w:val="22"/>
          <w:szCs w:val="22"/>
        </w:rPr>
        <w:t>subdirectores</w:t>
      </w:r>
      <w:r w:rsidRPr="00484891">
        <w:rPr>
          <w:rFonts w:ascii="Arial" w:hAnsi="Arial" w:cs="Arial"/>
          <w:color w:val="000000" w:themeColor="text1"/>
          <w:sz w:val="22"/>
          <w:szCs w:val="22"/>
        </w:rPr>
        <w:t xml:space="preserve"> de la Dirección General de Política Macroeconómica.</w:t>
      </w:r>
    </w:p>
    <w:p w14:paraId="2AFDD1AA" w14:textId="77777777" w:rsidR="00484891" w:rsidRPr="00484891" w:rsidRDefault="00484891" w:rsidP="00B45C8A">
      <w:pPr>
        <w:jc w:val="both"/>
        <w:rPr>
          <w:rFonts w:ascii="Arial" w:hAnsi="Arial" w:cs="Arial"/>
          <w:color w:val="000000" w:themeColor="text1"/>
          <w:sz w:val="22"/>
          <w:szCs w:val="22"/>
          <w:highlight w:val="yellow"/>
        </w:rPr>
      </w:pPr>
    </w:p>
    <w:p w14:paraId="6D0BC3D1" w14:textId="5E3647E6" w:rsidR="00FE09AA" w:rsidRPr="00102603" w:rsidRDefault="00FE09AA" w:rsidP="00ED2669">
      <w:pPr>
        <w:jc w:val="both"/>
        <w:rPr>
          <w:rFonts w:ascii="Arial" w:hAnsi="Arial" w:cs="Arial"/>
          <w:sz w:val="22"/>
          <w:szCs w:val="22"/>
        </w:rPr>
      </w:pPr>
      <w:r w:rsidRPr="007115AE">
        <w:rPr>
          <w:rFonts w:ascii="Arial" w:hAnsi="Arial" w:cs="Arial"/>
          <w:sz w:val="22"/>
          <w:szCs w:val="22"/>
        </w:rPr>
        <w:t xml:space="preserve">Comparado la planta de personal con corte a 30 de </w:t>
      </w:r>
      <w:r w:rsidR="00B27A21" w:rsidRPr="007115AE">
        <w:rPr>
          <w:rFonts w:ascii="Arial" w:hAnsi="Arial" w:cs="Arial"/>
          <w:sz w:val="22"/>
          <w:szCs w:val="22"/>
        </w:rPr>
        <w:t xml:space="preserve">septiembre </w:t>
      </w:r>
      <w:r w:rsidR="007115AE" w:rsidRPr="007115AE">
        <w:rPr>
          <w:rFonts w:ascii="Arial" w:hAnsi="Arial" w:cs="Arial"/>
          <w:sz w:val="22"/>
          <w:szCs w:val="22"/>
        </w:rPr>
        <w:t>de 2019 [681</w:t>
      </w:r>
      <w:r w:rsidRPr="007115AE">
        <w:rPr>
          <w:rFonts w:ascii="Arial" w:hAnsi="Arial" w:cs="Arial"/>
          <w:sz w:val="22"/>
          <w:szCs w:val="22"/>
        </w:rPr>
        <w:t>] con el mismo periodo de 2018 [6</w:t>
      </w:r>
      <w:r w:rsidR="007115AE" w:rsidRPr="007115AE">
        <w:rPr>
          <w:rFonts w:ascii="Arial" w:hAnsi="Arial" w:cs="Arial"/>
          <w:sz w:val="22"/>
          <w:szCs w:val="22"/>
        </w:rPr>
        <w:t>63</w:t>
      </w:r>
      <w:r w:rsidRPr="007115AE">
        <w:rPr>
          <w:rFonts w:ascii="Arial" w:hAnsi="Arial" w:cs="Arial"/>
          <w:sz w:val="22"/>
          <w:szCs w:val="22"/>
        </w:rPr>
        <w:t xml:space="preserve">] se observó </w:t>
      </w:r>
      <w:r w:rsidR="00843CE4">
        <w:rPr>
          <w:rFonts w:ascii="Arial" w:hAnsi="Arial" w:cs="Arial"/>
          <w:sz w:val="22"/>
          <w:szCs w:val="22"/>
        </w:rPr>
        <w:t xml:space="preserve">un aumentó de </w:t>
      </w:r>
      <w:r w:rsidR="007115AE">
        <w:rPr>
          <w:rFonts w:ascii="Arial" w:hAnsi="Arial" w:cs="Arial"/>
          <w:sz w:val="22"/>
          <w:szCs w:val="22"/>
        </w:rPr>
        <w:t>18</w:t>
      </w:r>
      <w:r w:rsidRPr="007115AE">
        <w:rPr>
          <w:rFonts w:ascii="Arial" w:hAnsi="Arial" w:cs="Arial"/>
          <w:sz w:val="22"/>
          <w:szCs w:val="22"/>
        </w:rPr>
        <w:t xml:space="preserve"> funcionarios [</w:t>
      </w:r>
      <w:r w:rsidR="007115AE">
        <w:rPr>
          <w:rFonts w:ascii="Arial" w:hAnsi="Arial" w:cs="Arial"/>
          <w:sz w:val="22"/>
          <w:szCs w:val="22"/>
        </w:rPr>
        <w:t>3</w:t>
      </w:r>
      <w:r w:rsidRPr="007115AE">
        <w:rPr>
          <w:rFonts w:ascii="Arial" w:hAnsi="Arial" w:cs="Arial"/>
          <w:sz w:val="22"/>
          <w:szCs w:val="22"/>
        </w:rPr>
        <w:t xml:space="preserve"> %]. De igual forma, se comparó la planta de personal al corte del </w:t>
      </w:r>
      <w:r w:rsidR="007115AE">
        <w:rPr>
          <w:rFonts w:ascii="Arial" w:hAnsi="Arial" w:cs="Arial"/>
          <w:sz w:val="22"/>
          <w:szCs w:val="22"/>
        </w:rPr>
        <w:t xml:space="preserve">segundo </w:t>
      </w:r>
      <w:r w:rsidR="00360CC6">
        <w:rPr>
          <w:rFonts w:ascii="Arial" w:hAnsi="Arial" w:cs="Arial"/>
          <w:sz w:val="22"/>
          <w:szCs w:val="22"/>
        </w:rPr>
        <w:t>trimestre [678</w:t>
      </w:r>
      <w:r w:rsidRPr="007115AE">
        <w:rPr>
          <w:rFonts w:ascii="Arial" w:hAnsi="Arial" w:cs="Arial"/>
          <w:sz w:val="22"/>
          <w:szCs w:val="22"/>
        </w:rPr>
        <w:t xml:space="preserve">] y </w:t>
      </w:r>
      <w:r w:rsidR="007115AE">
        <w:rPr>
          <w:rFonts w:ascii="Arial" w:hAnsi="Arial" w:cs="Arial"/>
          <w:sz w:val="22"/>
          <w:szCs w:val="22"/>
        </w:rPr>
        <w:t xml:space="preserve">tercer </w:t>
      </w:r>
      <w:r w:rsidRPr="007115AE">
        <w:rPr>
          <w:rFonts w:ascii="Arial" w:hAnsi="Arial" w:cs="Arial"/>
          <w:sz w:val="22"/>
          <w:szCs w:val="22"/>
        </w:rPr>
        <w:t>trimestre [6</w:t>
      </w:r>
      <w:r w:rsidR="007115AE">
        <w:rPr>
          <w:rFonts w:ascii="Arial" w:hAnsi="Arial" w:cs="Arial"/>
          <w:sz w:val="22"/>
          <w:szCs w:val="22"/>
        </w:rPr>
        <w:t>81</w:t>
      </w:r>
      <w:r w:rsidRPr="007115AE">
        <w:rPr>
          <w:rFonts w:ascii="Arial" w:hAnsi="Arial" w:cs="Arial"/>
          <w:sz w:val="22"/>
          <w:szCs w:val="22"/>
        </w:rPr>
        <w:t xml:space="preserve">] de 2019, encontrando que </w:t>
      </w:r>
      <w:r w:rsidR="00843CE4">
        <w:rPr>
          <w:rFonts w:ascii="Arial" w:hAnsi="Arial" w:cs="Arial"/>
          <w:sz w:val="22"/>
          <w:szCs w:val="22"/>
        </w:rPr>
        <w:t xml:space="preserve">el </w:t>
      </w:r>
      <w:r w:rsidR="00D133E4">
        <w:rPr>
          <w:rFonts w:ascii="Arial" w:hAnsi="Arial" w:cs="Arial"/>
          <w:b/>
          <w:sz w:val="22"/>
          <w:szCs w:val="22"/>
        </w:rPr>
        <w:t xml:space="preserve">aumento </w:t>
      </w:r>
      <w:r w:rsidR="00843CE4">
        <w:rPr>
          <w:rFonts w:ascii="Arial" w:hAnsi="Arial" w:cs="Arial"/>
          <w:sz w:val="22"/>
          <w:szCs w:val="22"/>
        </w:rPr>
        <w:t xml:space="preserve">de un trimestre a otro correspondió a </w:t>
      </w:r>
      <w:r w:rsidR="00360CC6">
        <w:rPr>
          <w:rFonts w:ascii="Arial" w:hAnsi="Arial" w:cs="Arial"/>
          <w:sz w:val="22"/>
          <w:szCs w:val="22"/>
        </w:rPr>
        <w:t xml:space="preserve">3 funcionarios. </w:t>
      </w:r>
      <w:r w:rsidRPr="00102603">
        <w:rPr>
          <w:rFonts w:ascii="Arial" w:hAnsi="Arial" w:cs="Arial"/>
          <w:sz w:val="22"/>
          <w:szCs w:val="22"/>
        </w:rPr>
        <w:t xml:space="preserve">En términos generales, se concluye que la planta de personal </w:t>
      </w:r>
      <w:r w:rsidR="00694AD3">
        <w:rPr>
          <w:rFonts w:ascii="Arial" w:hAnsi="Arial" w:cs="Arial"/>
          <w:sz w:val="22"/>
          <w:szCs w:val="22"/>
        </w:rPr>
        <w:t xml:space="preserve">durante la vigencia 2019 </w:t>
      </w:r>
      <w:r w:rsidRPr="00102603">
        <w:rPr>
          <w:rFonts w:ascii="Arial" w:hAnsi="Arial" w:cs="Arial"/>
          <w:sz w:val="22"/>
          <w:szCs w:val="22"/>
        </w:rPr>
        <w:t xml:space="preserve">se ha mantenido constante, sin registrar variaciones significativas. </w:t>
      </w:r>
    </w:p>
    <w:p w14:paraId="54EA326E" w14:textId="62D8639D" w:rsidR="005D7AEE" w:rsidRDefault="005D7AEE" w:rsidP="000D6841">
      <w:pPr>
        <w:rPr>
          <w:rFonts w:ascii="Arial" w:hAnsi="Arial" w:cs="Arial"/>
          <w:sz w:val="22"/>
          <w:szCs w:val="22"/>
        </w:rPr>
      </w:pPr>
    </w:p>
    <w:p w14:paraId="227273F0" w14:textId="77777777" w:rsidR="00B45C8A" w:rsidRPr="0052636A" w:rsidRDefault="00B45C8A" w:rsidP="000D6841">
      <w:pPr>
        <w:rPr>
          <w:rFonts w:ascii="Arial" w:hAnsi="Arial" w:cs="Arial"/>
          <w:sz w:val="22"/>
          <w:szCs w:val="22"/>
        </w:rPr>
      </w:pPr>
    </w:p>
    <w:p w14:paraId="379D9A2D" w14:textId="77777777" w:rsidR="00392D96" w:rsidRPr="0052636A" w:rsidRDefault="00905284" w:rsidP="0045629B">
      <w:pPr>
        <w:pStyle w:val="Prrafodelista"/>
        <w:numPr>
          <w:ilvl w:val="0"/>
          <w:numId w:val="2"/>
        </w:numPr>
        <w:rPr>
          <w:rFonts w:ascii="Arial" w:hAnsi="Arial" w:cs="Arial"/>
          <w:b/>
          <w:sz w:val="22"/>
          <w:szCs w:val="22"/>
        </w:rPr>
      </w:pPr>
      <w:r w:rsidRPr="0052636A">
        <w:rPr>
          <w:rFonts w:ascii="Arial" w:hAnsi="Arial" w:cs="Arial"/>
          <w:b/>
          <w:sz w:val="22"/>
          <w:szCs w:val="22"/>
        </w:rPr>
        <w:t>Obligaciones por concepto de Gastos de Nómina</w:t>
      </w:r>
    </w:p>
    <w:p w14:paraId="34307F9F" w14:textId="77777777" w:rsidR="00392D96" w:rsidRPr="00A003B6" w:rsidRDefault="00392D96" w:rsidP="000D6841">
      <w:pPr>
        <w:pStyle w:val="Prrafodelista"/>
        <w:ind w:left="360"/>
        <w:contextualSpacing w:val="0"/>
        <w:jc w:val="left"/>
        <w:rPr>
          <w:rFonts w:ascii="Arial" w:hAnsi="Arial" w:cs="Arial"/>
          <w:b/>
          <w:sz w:val="22"/>
          <w:szCs w:val="22"/>
          <w:highlight w:val="yellow"/>
        </w:rPr>
      </w:pPr>
    </w:p>
    <w:p w14:paraId="439CD758" w14:textId="77777777" w:rsidR="00FF1312" w:rsidRPr="0052636A" w:rsidRDefault="0095156A" w:rsidP="0072314D">
      <w:pPr>
        <w:jc w:val="both"/>
        <w:rPr>
          <w:rFonts w:ascii="Arial" w:hAnsi="Arial" w:cs="Arial"/>
          <w:sz w:val="22"/>
          <w:szCs w:val="22"/>
        </w:rPr>
      </w:pPr>
      <w:r w:rsidRPr="0052636A">
        <w:rPr>
          <w:rFonts w:ascii="Arial" w:hAnsi="Arial" w:cs="Arial"/>
          <w:sz w:val="22"/>
          <w:szCs w:val="22"/>
        </w:rPr>
        <w:t xml:space="preserve">En este punto, </w:t>
      </w:r>
      <w:r w:rsidR="003F1CBD" w:rsidRPr="0052636A">
        <w:rPr>
          <w:rFonts w:ascii="Arial" w:hAnsi="Arial" w:cs="Arial"/>
          <w:sz w:val="22"/>
          <w:szCs w:val="22"/>
        </w:rPr>
        <w:t xml:space="preserve">se presenta </w:t>
      </w:r>
      <w:r w:rsidR="006C1A11" w:rsidRPr="0052636A">
        <w:rPr>
          <w:rFonts w:ascii="Arial" w:hAnsi="Arial" w:cs="Arial"/>
          <w:sz w:val="22"/>
          <w:szCs w:val="22"/>
        </w:rPr>
        <w:t>la comparación</w:t>
      </w:r>
      <w:r w:rsidR="00B02FB9" w:rsidRPr="0052636A">
        <w:rPr>
          <w:rFonts w:ascii="Arial" w:hAnsi="Arial" w:cs="Arial"/>
          <w:sz w:val="22"/>
          <w:szCs w:val="22"/>
        </w:rPr>
        <w:t xml:space="preserve"> de los valores obligados por </w:t>
      </w:r>
      <w:r w:rsidR="003F1CBD" w:rsidRPr="0052636A">
        <w:rPr>
          <w:rFonts w:ascii="Arial" w:hAnsi="Arial" w:cs="Arial"/>
          <w:sz w:val="22"/>
          <w:szCs w:val="22"/>
        </w:rPr>
        <w:t>concepto de Gastos de N</w:t>
      </w:r>
      <w:r w:rsidR="00705F96" w:rsidRPr="0052636A">
        <w:rPr>
          <w:rFonts w:ascii="Arial" w:hAnsi="Arial" w:cs="Arial"/>
          <w:sz w:val="22"/>
          <w:szCs w:val="22"/>
        </w:rPr>
        <w:t>ómina</w:t>
      </w:r>
      <w:r w:rsidR="007C483E" w:rsidRPr="0052636A">
        <w:rPr>
          <w:rFonts w:ascii="Arial" w:hAnsi="Arial" w:cs="Arial"/>
          <w:sz w:val="22"/>
          <w:szCs w:val="22"/>
        </w:rPr>
        <w:t xml:space="preserve">, </w:t>
      </w:r>
      <w:r w:rsidR="00B02FB9" w:rsidRPr="0052636A">
        <w:rPr>
          <w:rFonts w:ascii="Arial" w:hAnsi="Arial" w:cs="Arial"/>
          <w:sz w:val="22"/>
          <w:szCs w:val="22"/>
        </w:rPr>
        <w:t>según</w:t>
      </w:r>
      <w:r w:rsidR="007C483E" w:rsidRPr="0052636A">
        <w:rPr>
          <w:rFonts w:ascii="Arial" w:hAnsi="Arial" w:cs="Arial"/>
          <w:sz w:val="22"/>
          <w:szCs w:val="22"/>
        </w:rPr>
        <w:t xml:space="preserve"> la información tomada del </w:t>
      </w:r>
      <w:r w:rsidR="00640C7A" w:rsidRPr="0052636A">
        <w:rPr>
          <w:rFonts w:ascii="Arial" w:hAnsi="Arial" w:cs="Arial"/>
          <w:sz w:val="22"/>
          <w:szCs w:val="22"/>
        </w:rPr>
        <w:t xml:space="preserve">reporte de ejecución presupuestal agregada del </w:t>
      </w:r>
      <w:r w:rsidR="007C483E" w:rsidRPr="0052636A">
        <w:rPr>
          <w:rFonts w:ascii="Arial" w:hAnsi="Arial" w:cs="Arial"/>
          <w:sz w:val="22"/>
          <w:szCs w:val="22"/>
        </w:rPr>
        <w:t>SIIF Nación</w:t>
      </w:r>
      <w:r w:rsidRPr="0052636A">
        <w:rPr>
          <w:rFonts w:ascii="Arial" w:hAnsi="Arial" w:cs="Arial"/>
          <w:sz w:val="22"/>
          <w:szCs w:val="22"/>
        </w:rPr>
        <w:t xml:space="preserve"> para los periodos objeto de verificación</w:t>
      </w:r>
      <w:r w:rsidR="00832A26" w:rsidRPr="0052636A">
        <w:rPr>
          <w:rFonts w:ascii="Arial" w:hAnsi="Arial" w:cs="Arial"/>
          <w:sz w:val="22"/>
          <w:szCs w:val="22"/>
        </w:rPr>
        <w:t xml:space="preserve">, así: </w:t>
      </w:r>
    </w:p>
    <w:p w14:paraId="72FE29FA" w14:textId="77777777" w:rsidR="00FF1312" w:rsidRPr="00A003B6" w:rsidRDefault="00FF1312" w:rsidP="0072314D">
      <w:pPr>
        <w:spacing w:after="200" w:line="276" w:lineRule="auto"/>
        <w:jc w:val="both"/>
        <w:rPr>
          <w:rFonts w:ascii="Arial" w:hAnsi="Arial" w:cs="Arial"/>
          <w:sz w:val="22"/>
          <w:szCs w:val="22"/>
          <w:highlight w:val="yellow"/>
        </w:rPr>
      </w:pPr>
      <w:r w:rsidRPr="00A003B6">
        <w:rPr>
          <w:rFonts w:ascii="Arial" w:hAnsi="Arial" w:cs="Arial"/>
          <w:sz w:val="22"/>
          <w:szCs w:val="22"/>
          <w:highlight w:val="yellow"/>
        </w:rPr>
        <w:br w:type="page"/>
      </w:r>
    </w:p>
    <w:tbl>
      <w:tblPr>
        <w:tblStyle w:val="Tabladelista6concolores-nfasis1"/>
        <w:tblW w:w="0" w:type="auto"/>
        <w:jc w:val="center"/>
        <w:tblLook w:val="04A0" w:firstRow="1" w:lastRow="0" w:firstColumn="1" w:lastColumn="0" w:noHBand="0" w:noVBand="1"/>
      </w:tblPr>
      <w:tblGrid>
        <w:gridCol w:w="1306"/>
        <w:gridCol w:w="2162"/>
        <w:gridCol w:w="2051"/>
        <w:gridCol w:w="1684"/>
        <w:gridCol w:w="1217"/>
      </w:tblGrid>
      <w:tr w:rsidR="00EB4763" w:rsidRPr="00A003B6" w14:paraId="63A01B31" w14:textId="77777777" w:rsidTr="00FF1312">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1B9D41F3" w14:textId="77777777" w:rsidR="005D0CD4" w:rsidRPr="0052636A" w:rsidRDefault="005D0CD4" w:rsidP="00C11CD8">
            <w:pPr>
              <w:spacing w:before="40" w:after="40"/>
              <w:jc w:val="center"/>
              <w:rPr>
                <w:rFonts w:ascii="Arial" w:hAnsi="Arial" w:cs="Arial"/>
                <w:color w:val="FFFFFF" w:themeColor="background1"/>
                <w:sz w:val="20"/>
                <w:szCs w:val="20"/>
              </w:rPr>
            </w:pPr>
            <w:r w:rsidRPr="0052636A">
              <w:rPr>
                <w:rFonts w:ascii="Arial" w:hAnsi="Arial" w:cs="Arial"/>
                <w:color w:val="FFFFFF" w:themeColor="background1"/>
                <w:sz w:val="20"/>
                <w:szCs w:val="20"/>
              </w:rPr>
              <w:lastRenderedPageBreak/>
              <w:t>Periodo</w:t>
            </w:r>
          </w:p>
        </w:tc>
        <w:tc>
          <w:tcPr>
            <w:tcW w:w="0" w:type="auto"/>
            <w:gridSpan w:val="2"/>
            <w:shd w:val="clear" w:color="auto" w:fill="4F81BD" w:themeFill="accent1"/>
            <w:vAlign w:val="center"/>
            <w:hideMark/>
          </w:tcPr>
          <w:p w14:paraId="7AF7D0EE" w14:textId="77777777" w:rsidR="005D0CD4" w:rsidRPr="0052636A" w:rsidRDefault="00642388" w:rsidP="00C11CD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2636A">
              <w:rPr>
                <w:rFonts w:ascii="Arial" w:hAnsi="Arial" w:cs="Arial"/>
                <w:color w:val="FFFFFF" w:themeColor="background1"/>
                <w:sz w:val="20"/>
                <w:szCs w:val="20"/>
              </w:rPr>
              <w:t>Valor Obligado Gastos de Personal  ($)</w:t>
            </w:r>
          </w:p>
        </w:tc>
        <w:tc>
          <w:tcPr>
            <w:tcW w:w="0" w:type="auto"/>
            <w:gridSpan w:val="2"/>
            <w:shd w:val="clear" w:color="auto" w:fill="4F81BD" w:themeFill="accent1"/>
            <w:vAlign w:val="center"/>
            <w:hideMark/>
          </w:tcPr>
          <w:p w14:paraId="10172982" w14:textId="77777777" w:rsidR="005D0CD4" w:rsidRPr="0052636A" w:rsidRDefault="00226656" w:rsidP="00C11CD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2636A">
              <w:rPr>
                <w:rFonts w:ascii="Arial" w:hAnsi="Arial" w:cs="Arial"/>
                <w:color w:val="FFFFFF" w:themeColor="background1"/>
                <w:sz w:val="20"/>
                <w:szCs w:val="20"/>
              </w:rPr>
              <w:t>Variaciones</w:t>
            </w:r>
          </w:p>
        </w:tc>
      </w:tr>
      <w:tr w:rsidR="00EB4763" w:rsidRPr="00A003B6" w14:paraId="37164445" w14:textId="77777777" w:rsidTr="00FF1312">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10402522" w14:textId="77777777" w:rsidR="005D0CD4" w:rsidRPr="0052636A" w:rsidRDefault="005D0CD4" w:rsidP="00C11CD8">
            <w:pPr>
              <w:spacing w:before="40" w:after="40"/>
              <w:rPr>
                <w:rFonts w:ascii="Arial" w:hAnsi="Arial" w:cs="Arial"/>
                <w:color w:val="FFFFFF" w:themeColor="background1"/>
                <w:sz w:val="20"/>
                <w:szCs w:val="20"/>
              </w:rPr>
            </w:pPr>
          </w:p>
        </w:tc>
        <w:tc>
          <w:tcPr>
            <w:tcW w:w="0" w:type="auto"/>
            <w:shd w:val="clear" w:color="auto" w:fill="4F81BD" w:themeFill="accent1"/>
            <w:vAlign w:val="center"/>
            <w:hideMark/>
          </w:tcPr>
          <w:p w14:paraId="07DD4646" w14:textId="77777777" w:rsidR="005D0CD4" w:rsidRPr="0052636A" w:rsidRDefault="005D0CD4" w:rsidP="00C11CD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52636A">
              <w:rPr>
                <w:rFonts w:ascii="Arial" w:hAnsi="Arial" w:cs="Arial"/>
                <w:b/>
                <w:bCs/>
                <w:color w:val="FFFFFF" w:themeColor="background1"/>
                <w:sz w:val="20"/>
                <w:szCs w:val="20"/>
              </w:rPr>
              <w:t>I</w:t>
            </w:r>
            <w:r w:rsidR="00EC2D8C" w:rsidRPr="0052636A">
              <w:rPr>
                <w:rFonts w:ascii="Arial" w:hAnsi="Arial" w:cs="Arial"/>
                <w:b/>
                <w:bCs/>
                <w:color w:val="FFFFFF" w:themeColor="background1"/>
                <w:sz w:val="20"/>
                <w:szCs w:val="20"/>
              </w:rPr>
              <w:t>I</w:t>
            </w:r>
            <w:r w:rsidR="00A41678">
              <w:rPr>
                <w:rFonts w:ascii="Arial" w:hAnsi="Arial" w:cs="Arial"/>
                <w:b/>
                <w:bCs/>
                <w:color w:val="FFFFFF" w:themeColor="background1"/>
                <w:sz w:val="20"/>
                <w:szCs w:val="20"/>
              </w:rPr>
              <w:t>I</w:t>
            </w:r>
            <w:r w:rsidRPr="0052636A">
              <w:rPr>
                <w:rFonts w:ascii="Arial" w:hAnsi="Arial" w:cs="Arial"/>
                <w:b/>
                <w:bCs/>
                <w:color w:val="FFFFFF" w:themeColor="background1"/>
                <w:sz w:val="20"/>
                <w:szCs w:val="20"/>
              </w:rPr>
              <w:t xml:space="preserve"> Trimestre 2019</w:t>
            </w:r>
          </w:p>
        </w:tc>
        <w:tc>
          <w:tcPr>
            <w:tcW w:w="0" w:type="auto"/>
            <w:shd w:val="clear" w:color="auto" w:fill="4F81BD" w:themeFill="accent1"/>
            <w:vAlign w:val="center"/>
            <w:hideMark/>
          </w:tcPr>
          <w:p w14:paraId="4EDD9264" w14:textId="77777777" w:rsidR="005D0CD4" w:rsidRPr="0052636A" w:rsidRDefault="005D0CD4" w:rsidP="00C11CD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52636A">
              <w:rPr>
                <w:rFonts w:ascii="Arial" w:hAnsi="Arial" w:cs="Arial"/>
                <w:b/>
                <w:bCs/>
                <w:color w:val="FFFFFF" w:themeColor="background1"/>
                <w:sz w:val="20"/>
                <w:szCs w:val="20"/>
              </w:rPr>
              <w:t>I</w:t>
            </w:r>
            <w:r w:rsidR="00EC2D8C" w:rsidRPr="0052636A">
              <w:rPr>
                <w:rFonts w:ascii="Arial" w:hAnsi="Arial" w:cs="Arial"/>
                <w:b/>
                <w:bCs/>
                <w:color w:val="FFFFFF" w:themeColor="background1"/>
                <w:sz w:val="20"/>
                <w:szCs w:val="20"/>
              </w:rPr>
              <w:t>I</w:t>
            </w:r>
            <w:r w:rsidR="00A41678">
              <w:rPr>
                <w:rFonts w:ascii="Arial" w:hAnsi="Arial" w:cs="Arial"/>
                <w:b/>
                <w:bCs/>
                <w:color w:val="FFFFFF" w:themeColor="background1"/>
                <w:sz w:val="20"/>
                <w:szCs w:val="20"/>
              </w:rPr>
              <w:t>I</w:t>
            </w:r>
            <w:r w:rsidRPr="0052636A">
              <w:rPr>
                <w:rFonts w:ascii="Arial" w:hAnsi="Arial" w:cs="Arial"/>
                <w:b/>
                <w:bCs/>
                <w:color w:val="FFFFFF" w:themeColor="background1"/>
                <w:sz w:val="20"/>
                <w:szCs w:val="20"/>
              </w:rPr>
              <w:t xml:space="preserve"> Trimestre 2018</w:t>
            </w:r>
          </w:p>
        </w:tc>
        <w:tc>
          <w:tcPr>
            <w:tcW w:w="0" w:type="auto"/>
            <w:shd w:val="clear" w:color="auto" w:fill="4F81BD" w:themeFill="accent1"/>
            <w:vAlign w:val="center"/>
            <w:hideMark/>
          </w:tcPr>
          <w:p w14:paraId="2545F18D" w14:textId="77777777" w:rsidR="005D0CD4" w:rsidRPr="0052636A" w:rsidRDefault="00C15DCD" w:rsidP="00C11CD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52636A">
              <w:rPr>
                <w:rFonts w:ascii="Arial" w:hAnsi="Arial" w:cs="Arial"/>
                <w:b/>
                <w:bCs/>
                <w:color w:val="FFFFFF" w:themeColor="background1"/>
                <w:sz w:val="20"/>
                <w:szCs w:val="20"/>
              </w:rPr>
              <w:t xml:space="preserve">Absoluta </w:t>
            </w:r>
            <w:r w:rsidR="005D0CD4" w:rsidRPr="0052636A">
              <w:rPr>
                <w:rFonts w:ascii="Arial" w:hAnsi="Arial" w:cs="Arial"/>
                <w:b/>
                <w:bCs/>
                <w:color w:val="FFFFFF" w:themeColor="background1"/>
                <w:sz w:val="20"/>
                <w:szCs w:val="20"/>
              </w:rPr>
              <w:t>$</w:t>
            </w:r>
          </w:p>
        </w:tc>
        <w:tc>
          <w:tcPr>
            <w:tcW w:w="0" w:type="auto"/>
            <w:shd w:val="clear" w:color="auto" w:fill="4F81BD" w:themeFill="accent1"/>
            <w:vAlign w:val="center"/>
            <w:hideMark/>
          </w:tcPr>
          <w:p w14:paraId="0750854B" w14:textId="77777777" w:rsidR="005D0CD4" w:rsidRPr="0052636A" w:rsidRDefault="00C15DCD" w:rsidP="00C11CD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52636A">
              <w:rPr>
                <w:rFonts w:ascii="Arial" w:hAnsi="Arial" w:cs="Arial"/>
                <w:b/>
                <w:bCs/>
                <w:color w:val="FFFFFF" w:themeColor="background1"/>
                <w:sz w:val="20"/>
                <w:szCs w:val="20"/>
              </w:rPr>
              <w:t xml:space="preserve">Relativa </w:t>
            </w:r>
            <w:r w:rsidR="005D0CD4" w:rsidRPr="0052636A">
              <w:rPr>
                <w:rFonts w:ascii="Arial" w:hAnsi="Arial" w:cs="Arial"/>
                <w:b/>
                <w:bCs/>
                <w:color w:val="FFFFFF" w:themeColor="background1"/>
                <w:sz w:val="20"/>
                <w:szCs w:val="20"/>
              </w:rPr>
              <w:t>%</w:t>
            </w:r>
          </w:p>
        </w:tc>
      </w:tr>
      <w:tr w:rsidR="00C11CD8" w:rsidRPr="00A003B6" w14:paraId="0F9098C5" w14:textId="77777777" w:rsidTr="00FF1312">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45E37B" w14:textId="77777777" w:rsidR="00C11CD8" w:rsidRPr="00FB7EA4" w:rsidRDefault="00C11CD8" w:rsidP="00C11CD8">
            <w:pPr>
              <w:spacing w:before="40" w:after="4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Julio </w:t>
            </w:r>
          </w:p>
        </w:tc>
        <w:tc>
          <w:tcPr>
            <w:tcW w:w="0" w:type="auto"/>
            <w:vAlign w:val="center"/>
            <w:hideMark/>
          </w:tcPr>
          <w:p w14:paraId="5034CC69" w14:textId="77777777" w:rsidR="00C11CD8" w:rsidRPr="00FB7EA4" w:rsidRDefault="00C11CD8" w:rsidP="00C11CD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5.839.275.142 </w:t>
            </w:r>
          </w:p>
        </w:tc>
        <w:tc>
          <w:tcPr>
            <w:tcW w:w="0" w:type="auto"/>
            <w:vAlign w:val="center"/>
            <w:hideMark/>
          </w:tcPr>
          <w:p w14:paraId="1492B32F" w14:textId="77777777" w:rsidR="00C11CD8" w:rsidRPr="00FB7EA4" w:rsidRDefault="00C11CD8" w:rsidP="00C11CD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6.545.684.118 </w:t>
            </w:r>
          </w:p>
        </w:tc>
        <w:tc>
          <w:tcPr>
            <w:tcW w:w="0" w:type="auto"/>
            <w:vAlign w:val="center"/>
            <w:hideMark/>
          </w:tcPr>
          <w:p w14:paraId="5AF0E026" w14:textId="6E63C272" w:rsidR="00C11CD8" w:rsidRPr="00FB7EA4" w:rsidRDefault="00C11CD8" w:rsidP="00C11CD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w:t>
            </w:r>
            <w:r w:rsidR="00B849B3" w:rsidRPr="00FB7EA4">
              <w:rPr>
                <w:rFonts w:ascii="Arial" w:hAnsi="Arial" w:cs="Arial"/>
                <w:color w:val="0F243E" w:themeColor="text2" w:themeShade="80"/>
                <w:sz w:val="20"/>
                <w:szCs w:val="20"/>
              </w:rPr>
              <w:t>(</w:t>
            </w:r>
            <w:r w:rsidRPr="00FB7EA4">
              <w:rPr>
                <w:rFonts w:ascii="Arial" w:hAnsi="Arial" w:cs="Arial"/>
                <w:color w:val="0F243E" w:themeColor="text2" w:themeShade="80"/>
                <w:sz w:val="20"/>
                <w:szCs w:val="20"/>
              </w:rPr>
              <w:t>706.408.976</w:t>
            </w:r>
            <w:r w:rsidR="00B849B3" w:rsidRPr="00FB7EA4">
              <w:rPr>
                <w:rFonts w:ascii="Arial" w:hAnsi="Arial" w:cs="Arial"/>
                <w:color w:val="0F243E" w:themeColor="text2" w:themeShade="80"/>
                <w:sz w:val="20"/>
                <w:szCs w:val="20"/>
              </w:rPr>
              <w:t>)</w:t>
            </w:r>
            <w:r w:rsidRPr="00FB7EA4">
              <w:rPr>
                <w:rFonts w:ascii="Arial" w:hAnsi="Arial" w:cs="Arial"/>
                <w:color w:val="0F243E" w:themeColor="text2" w:themeShade="80"/>
                <w:sz w:val="20"/>
                <w:szCs w:val="20"/>
              </w:rPr>
              <w:t xml:space="preserve"> </w:t>
            </w:r>
          </w:p>
        </w:tc>
        <w:tc>
          <w:tcPr>
            <w:tcW w:w="0" w:type="auto"/>
            <w:vAlign w:val="center"/>
            <w:hideMark/>
          </w:tcPr>
          <w:p w14:paraId="65D3F5FB" w14:textId="40617858" w:rsidR="00C11CD8" w:rsidRPr="00FB7EA4" w:rsidRDefault="00B849B3" w:rsidP="00C11CD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950565" w:rsidRPr="00FB7EA4">
              <w:rPr>
                <w:rFonts w:ascii="Arial" w:hAnsi="Arial" w:cs="Arial"/>
                <w:color w:val="0F243E" w:themeColor="text2" w:themeShade="80"/>
                <w:sz w:val="20"/>
                <w:szCs w:val="20"/>
              </w:rPr>
              <w:t xml:space="preserve">11 </w:t>
            </w:r>
            <w:r w:rsidR="00C11CD8" w:rsidRPr="00FB7EA4">
              <w:rPr>
                <w:rFonts w:ascii="Arial" w:hAnsi="Arial" w:cs="Arial"/>
                <w:color w:val="0F243E" w:themeColor="text2" w:themeShade="80"/>
                <w:sz w:val="20"/>
                <w:szCs w:val="20"/>
              </w:rPr>
              <w:t>%</w:t>
            </w:r>
            <w:r w:rsidRPr="00FB7EA4">
              <w:rPr>
                <w:rFonts w:ascii="Arial" w:hAnsi="Arial" w:cs="Arial"/>
                <w:color w:val="0F243E" w:themeColor="text2" w:themeShade="80"/>
                <w:sz w:val="20"/>
                <w:szCs w:val="20"/>
              </w:rPr>
              <w:t>)</w:t>
            </w:r>
          </w:p>
        </w:tc>
      </w:tr>
      <w:tr w:rsidR="00C11CD8" w:rsidRPr="00A003B6" w14:paraId="4FFDA454" w14:textId="77777777" w:rsidTr="00FF1312">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39417756" w14:textId="77777777" w:rsidR="00C11CD8" w:rsidRPr="00FB7EA4" w:rsidRDefault="00C11CD8" w:rsidP="00C11CD8">
            <w:pPr>
              <w:spacing w:before="40" w:after="4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Agosto</w:t>
            </w:r>
          </w:p>
        </w:tc>
        <w:tc>
          <w:tcPr>
            <w:tcW w:w="0" w:type="auto"/>
            <w:shd w:val="clear" w:color="auto" w:fill="FFFFFF" w:themeFill="background1"/>
            <w:vAlign w:val="center"/>
            <w:hideMark/>
          </w:tcPr>
          <w:p w14:paraId="1F8BF9CF" w14:textId="77777777" w:rsidR="00C11CD8" w:rsidRPr="00FB7EA4" w:rsidRDefault="00C11CD8" w:rsidP="00C11CD8">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5.654.697.415 </w:t>
            </w:r>
          </w:p>
        </w:tc>
        <w:tc>
          <w:tcPr>
            <w:tcW w:w="0" w:type="auto"/>
            <w:shd w:val="clear" w:color="auto" w:fill="FFFFFF" w:themeFill="background1"/>
            <w:vAlign w:val="center"/>
            <w:hideMark/>
          </w:tcPr>
          <w:p w14:paraId="57FB2C53" w14:textId="77777777" w:rsidR="00C11CD8" w:rsidRPr="00FB7EA4" w:rsidRDefault="00C11CD8" w:rsidP="00C11CD8">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5.511.166.111 </w:t>
            </w:r>
          </w:p>
        </w:tc>
        <w:tc>
          <w:tcPr>
            <w:tcW w:w="0" w:type="auto"/>
            <w:shd w:val="clear" w:color="auto" w:fill="FFFFFF" w:themeFill="background1"/>
            <w:vAlign w:val="center"/>
            <w:hideMark/>
          </w:tcPr>
          <w:p w14:paraId="59E059D9" w14:textId="77777777" w:rsidR="00C11CD8" w:rsidRPr="00FB7EA4" w:rsidRDefault="00C11CD8" w:rsidP="00C11CD8">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143.531.304 </w:t>
            </w:r>
          </w:p>
        </w:tc>
        <w:tc>
          <w:tcPr>
            <w:tcW w:w="0" w:type="auto"/>
            <w:shd w:val="clear" w:color="auto" w:fill="FFFFFF" w:themeFill="background1"/>
            <w:vAlign w:val="center"/>
            <w:hideMark/>
          </w:tcPr>
          <w:p w14:paraId="0EE3B0AD" w14:textId="77777777" w:rsidR="00C11CD8" w:rsidRPr="00FB7EA4" w:rsidRDefault="00950565" w:rsidP="00C11CD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3 </w:t>
            </w:r>
            <w:r w:rsidR="00C11CD8" w:rsidRPr="00FB7EA4">
              <w:rPr>
                <w:rFonts w:ascii="Arial" w:hAnsi="Arial" w:cs="Arial"/>
                <w:color w:val="0F243E" w:themeColor="text2" w:themeShade="80"/>
                <w:sz w:val="20"/>
                <w:szCs w:val="20"/>
              </w:rPr>
              <w:t>%</w:t>
            </w:r>
          </w:p>
        </w:tc>
      </w:tr>
      <w:tr w:rsidR="00C11CD8" w:rsidRPr="00A003B6" w14:paraId="7E9CF996" w14:textId="77777777" w:rsidTr="00AB7485">
        <w:trPr>
          <w:cantSplit/>
          <w:trHeight w:val="511"/>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shd w:val="clear" w:color="auto" w:fill="FFFFFF" w:themeFill="background1"/>
            <w:vAlign w:val="center"/>
            <w:hideMark/>
          </w:tcPr>
          <w:p w14:paraId="50960F4B" w14:textId="77777777" w:rsidR="00C11CD8" w:rsidRPr="00FB7EA4" w:rsidRDefault="00C11CD8" w:rsidP="00C11CD8">
            <w:pPr>
              <w:spacing w:before="40" w:after="4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Septiembre</w:t>
            </w:r>
          </w:p>
        </w:tc>
        <w:tc>
          <w:tcPr>
            <w:tcW w:w="0" w:type="auto"/>
            <w:tcBorders>
              <w:bottom w:val="double" w:sz="4" w:space="0" w:color="4F81BD" w:themeColor="accent1"/>
            </w:tcBorders>
            <w:shd w:val="clear" w:color="auto" w:fill="FFFFFF" w:themeFill="background1"/>
            <w:vAlign w:val="center"/>
            <w:hideMark/>
          </w:tcPr>
          <w:p w14:paraId="27D595DA" w14:textId="77777777" w:rsidR="00C11CD8" w:rsidRPr="00FB7EA4" w:rsidRDefault="00C11CD8" w:rsidP="00C11CD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5.349.366.806 </w:t>
            </w:r>
          </w:p>
        </w:tc>
        <w:tc>
          <w:tcPr>
            <w:tcW w:w="0" w:type="auto"/>
            <w:tcBorders>
              <w:bottom w:val="double" w:sz="4" w:space="0" w:color="4F81BD" w:themeColor="accent1"/>
            </w:tcBorders>
            <w:shd w:val="clear" w:color="auto" w:fill="FFFFFF" w:themeFill="background1"/>
            <w:vAlign w:val="center"/>
            <w:hideMark/>
          </w:tcPr>
          <w:p w14:paraId="47E28B5C" w14:textId="77777777" w:rsidR="00C11CD8" w:rsidRPr="00FB7EA4" w:rsidRDefault="00C11CD8" w:rsidP="00C11CD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5.124.111.783 </w:t>
            </w:r>
          </w:p>
        </w:tc>
        <w:tc>
          <w:tcPr>
            <w:tcW w:w="0" w:type="auto"/>
            <w:tcBorders>
              <w:bottom w:val="double" w:sz="4" w:space="0" w:color="4F81BD" w:themeColor="accent1"/>
            </w:tcBorders>
            <w:shd w:val="clear" w:color="auto" w:fill="FFFFFF" w:themeFill="background1"/>
            <w:vAlign w:val="center"/>
            <w:hideMark/>
          </w:tcPr>
          <w:p w14:paraId="590926FB" w14:textId="77777777" w:rsidR="00C11CD8" w:rsidRPr="00FB7EA4" w:rsidRDefault="00C11CD8" w:rsidP="00C11CD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225.255.023 </w:t>
            </w:r>
          </w:p>
        </w:tc>
        <w:tc>
          <w:tcPr>
            <w:tcW w:w="0" w:type="auto"/>
            <w:tcBorders>
              <w:bottom w:val="double" w:sz="4" w:space="0" w:color="4F81BD" w:themeColor="accent1"/>
            </w:tcBorders>
            <w:shd w:val="clear" w:color="auto" w:fill="FFFFFF" w:themeFill="background1"/>
            <w:vAlign w:val="center"/>
            <w:hideMark/>
          </w:tcPr>
          <w:p w14:paraId="4F294DDD" w14:textId="77777777" w:rsidR="00C11CD8" w:rsidRPr="00FB7EA4" w:rsidRDefault="00950565" w:rsidP="00C11CD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4 </w:t>
            </w:r>
            <w:r w:rsidR="00C11CD8" w:rsidRPr="00FB7EA4">
              <w:rPr>
                <w:rFonts w:ascii="Arial" w:hAnsi="Arial" w:cs="Arial"/>
                <w:color w:val="0F243E" w:themeColor="text2" w:themeShade="80"/>
                <w:sz w:val="20"/>
                <w:szCs w:val="20"/>
              </w:rPr>
              <w:t>%</w:t>
            </w:r>
          </w:p>
        </w:tc>
      </w:tr>
      <w:tr w:rsidR="00C11CD8" w:rsidRPr="00A003B6" w14:paraId="2D7A3D32" w14:textId="77777777" w:rsidTr="00AB7485">
        <w:trPr>
          <w:cnfStyle w:val="000000100000" w:firstRow="0" w:lastRow="0" w:firstColumn="0" w:lastColumn="0" w:oddVBand="0" w:evenVBand="0" w:oddHBand="1" w:evenHBand="0" w:firstRowFirstColumn="0" w:firstRowLastColumn="0" w:lastRowFirstColumn="0" w:lastRowLastColumn="0"/>
          <w:cantSplit/>
          <w:trHeight w:val="389"/>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shd w:val="clear" w:color="auto" w:fill="FFFFFF" w:themeFill="background1"/>
            <w:vAlign w:val="center"/>
            <w:hideMark/>
          </w:tcPr>
          <w:p w14:paraId="671FFBAE" w14:textId="77777777" w:rsidR="00C11CD8" w:rsidRPr="00FB7EA4" w:rsidRDefault="00C11CD8" w:rsidP="00C11CD8">
            <w:pPr>
              <w:spacing w:before="40" w:after="4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Total</w:t>
            </w:r>
          </w:p>
        </w:tc>
        <w:tc>
          <w:tcPr>
            <w:tcW w:w="0" w:type="auto"/>
            <w:tcBorders>
              <w:top w:val="double" w:sz="4" w:space="0" w:color="4F81BD" w:themeColor="accent1"/>
              <w:bottom w:val="double" w:sz="4" w:space="0" w:color="4F81BD" w:themeColor="accent1"/>
            </w:tcBorders>
            <w:shd w:val="clear" w:color="auto" w:fill="FFFFFF" w:themeFill="background1"/>
            <w:vAlign w:val="center"/>
            <w:hideMark/>
          </w:tcPr>
          <w:p w14:paraId="51073CB8" w14:textId="77777777" w:rsidR="00C11CD8" w:rsidRPr="00FB7EA4" w:rsidRDefault="00C11CD8" w:rsidP="00C11CD8">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16.843.339.363 </w:t>
            </w:r>
          </w:p>
        </w:tc>
        <w:tc>
          <w:tcPr>
            <w:tcW w:w="0" w:type="auto"/>
            <w:tcBorders>
              <w:top w:val="double" w:sz="4" w:space="0" w:color="4F81BD" w:themeColor="accent1"/>
              <w:bottom w:val="double" w:sz="4" w:space="0" w:color="4F81BD" w:themeColor="accent1"/>
            </w:tcBorders>
            <w:shd w:val="clear" w:color="auto" w:fill="FFFFFF" w:themeFill="background1"/>
            <w:vAlign w:val="center"/>
            <w:hideMark/>
          </w:tcPr>
          <w:p w14:paraId="1DB13803" w14:textId="77777777" w:rsidR="00C11CD8" w:rsidRPr="00FB7EA4" w:rsidRDefault="00C11CD8" w:rsidP="00C11CD8">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17.180.962.012 </w:t>
            </w:r>
          </w:p>
        </w:tc>
        <w:tc>
          <w:tcPr>
            <w:tcW w:w="0" w:type="auto"/>
            <w:tcBorders>
              <w:top w:val="double" w:sz="4" w:space="0" w:color="4F81BD" w:themeColor="accent1"/>
              <w:bottom w:val="double" w:sz="4" w:space="0" w:color="4F81BD" w:themeColor="accent1"/>
            </w:tcBorders>
            <w:shd w:val="clear" w:color="auto" w:fill="FFFFFF" w:themeFill="background1"/>
            <w:vAlign w:val="center"/>
            <w:hideMark/>
          </w:tcPr>
          <w:p w14:paraId="32BE8469" w14:textId="3A8A0605" w:rsidR="00C11CD8" w:rsidRPr="00FB7EA4" w:rsidRDefault="00C11CD8" w:rsidP="00C11CD8">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w:t>
            </w:r>
            <w:r w:rsidR="00B849B3" w:rsidRPr="00FB7EA4">
              <w:rPr>
                <w:rFonts w:ascii="Arial" w:hAnsi="Arial" w:cs="Arial"/>
                <w:b/>
                <w:bCs/>
                <w:color w:val="0F243E" w:themeColor="text2" w:themeShade="80"/>
                <w:sz w:val="20"/>
                <w:szCs w:val="20"/>
              </w:rPr>
              <w:t>(</w:t>
            </w:r>
            <w:r w:rsidRPr="00FB7EA4">
              <w:rPr>
                <w:rFonts w:ascii="Arial" w:hAnsi="Arial" w:cs="Arial"/>
                <w:b/>
                <w:bCs/>
                <w:color w:val="0F243E" w:themeColor="text2" w:themeShade="80"/>
                <w:sz w:val="20"/>
                <w:szCs w:val="20"/>
              </w:rPr>
              <w:t>337.622.649</w:t>
            </w:r>
            <w:r w:rsidR="00B849B3" w:rsidRPr="00FB7EA4">
              <w:rPr>
                <w:rFonts w:ascii="Arial" w:hAnsi="Arial" w:cs="Arial"/>
                <w:b/>
                <w:bCs/>
                <w:color w:val="0F243E" w:themeColor="text2" w:themeShade="80"/>
                <w:sz w:val="20"/>
                <w:szCs w:val="20"/>
              </w:rPr>
              <w:t>)</w:t>
            </w:r>
            <w:r w:rsidRPr="00FB7EA4">
              <w:rPr>
                <w:rFonts w:ascii="Arial" w:hAnsi="Arial" w:cs="Arial"/>
                <w:b/>
                <w:bCs/>
                <w:color w:val="0F243E" w:themeColor="text2" w:themeShade="80"/>
                <w:sz w:val="20"/>
                <w:szCs w:val="20"/>
              </w:rPr>
              <w:t xml:space="preserve"> </w:t>
            </w:r>
          </w:p>
        </w:tc>
        <w:tc>
          <w:tcPr>
            <w:tcW w:w="0" w:type="auto"/>
            <w:tcBorders>
              <w:top w:val="double" w:sz="4" w:space="0" w:color="4F81BD" w:themeColor="accent1"/>
              <w:bottom w:val="double" w:sz="4" w:space="0" w:color="4F81BD" w:themeColor="accent1"/>
            </w:tcBorders>
            <w:shd w:val="clear" w:color="auto" w:fill="FFFFFF" w:themeFill="background1"/>
            <w:vAlign w:val="center"/>
            <w:hideMark/>
          </w:tcPr>
          <w:p w14:paraId="51EA8842" w14:textId="337EF140" w:rsidR="00C11CD8" w:rsidRPr="00FB7EA4" w:rsidRDefault="00B849B3" w:rsidP="00C11CD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w:t>
            </w:r>
            <w:r w:rsidR="00950565" w:rsidRPr="00FB7EA4">
              <w:rPr>
                <w:rFonts w:ascii="Arial" w:hAnsi="Arial" w:cs="Arial"/>
                <w:b/>
                <w:bCs/>
                <w:color w:val="0F243E" w:themeColor="text2" w:themeShade="80"/>
                <w:sz w:val="20"/>
                <w:szCs w:val="20"/>
              </w:rPr>
              <w:t xml:space="preserve">2 </w:t>
            </w:r>
            <w:r w:rsidR="00C11CD8" w:rsidRPr="00FB7EA4">
              <w:rPr>
                <w:rFonts w:ascii="Arial" w:hAnsi="Arial" w:cs="Arial"/>
                <w:b/>
                <w:bCs/>
                <w:color w:val="0F243E" w:themeColor="text2" w:themeShade="80"/>
                <w:sz w:val="20"/>
                <w:szCs w:val="20"/>
              </w:rPr>
              <w:t>%</w:t>
            </w:r>
            <w:r w:rsidRPr="00FB7EA4">
              <w:rPr>
                <w:rFonts w:ascii="Arial" w:hAnsi="Arial" w:cs="Arial"/>
                <w:b/>
                <w:bCs/>
                <w:color w:val="0F243E" w:themeColor="text2" w:themeShade="80"/>
                <w:sz w:val="20"/>
                <w:szCs w:val="20"/>
              </w:rPr>
              <w:t>)</w:t>
            </w:r>
          </w:p>
        </w:tc>
      </w:tr>
    </w:tbl>
    <w:p w14:paraId="458A6C3F" w14:textId="77777777" w:rsidR="0038391E" w:rsidRPr="00A003B6" w:rsidRDefault="0038391E" w:rsidP="00DE18F3">
      <w:pPr>
        <w:rPr>
          <w:rFonts w:ascii="Arial" w:hAnsi="Arial" w:cs="Arial"/>
          <w:sz w:val="22"/>
          <w:szCs w:val="22"/>
          <w:highlight w:val="yellow"/>
          <w14:textOutline w14:w="9525" w14:cap="rnd" w14:cmpd="sng" w14:algn="ctr">
            <w14:solidFill>
              <w14:schemeClr w14:val="accent1">
                <w14:lumMod w14:val="50000"/>
              </w14:schemeClr>
            </w14:solidFill>
            <w14:prstDash w14:val="solid"/>
            <w14:bevel/>
          </w14:textOutline>
        </w:rPr>
      </w:pPr>
    </w:p>
    <w:p w14:paraId="6A6798DB" w14:textId="77777777" w:rsidR="00832A26" w:rsidRPr="00C347FA" w:rsidRDefault="00832A26" w:rsidP="00DE18F3">
      <w:pPr>
        <w:jc w:val="both"/>
        <w:rPr>
          <w:rFonts w:ascii="Arial" w:hAnsi="Arial" w:cs="Arial"/>
          <w:sz w:val="22"/>
          <w:szCs w:val="22"/>
        </w:rPr>
      </w:pPr>
      <w:r w:rsidRPr="00C347FA">
        <w:rPr>
          <w:rFonts w:ascii="Arial" w:hAnsi="Arial" w:cs="Arial"/>
          <w:sz w:val="22"/>
          <w:szCs w:val="22"/>
        </w:rPr>
        <w:t xml:space="preserve">Es de precisar que, </w:t>
      </w:r>
      <w:r w:rsidR="00A32F2B" w:rsidRPr="00C347FA">
        <w:rPr>
          <w:rFonts w:ascii="Arial" w:hAnsi="Arial" w:cs="Arial"/>
          <w:sz w:val="22"/>
          <w:szCs w:val="22"/>
        </w:rPr>
        <w:t xml:space="preserve">de </w:t>
      </w:r>
      <w:r w:rsidR="002A7D90" w:rsidRPr="00C347FA">
        <w:rPr>
          <w:rFonts w:ascii="Arial" w:hAnsi="Arial" w:cs="Arial"/>
          <w:sz w:val="22"/>
          <w:szCs w:val="22"/>
        </w:rPr>
        <w:t>l</w:t>
      </w:r>
      <w:r w:rsidRPr="00C347FA">
        <w:rPr>
          <w:rFonts w:ascii="Arial" w:hAnsi="Arial" w:cs="Arial"/>
          <w:sz w:val="22"/>
          <w:szCs w:val="22"/>
        </w:rPr>
        <w:t xml:space="preserve">os valores </w:t>
      </w:r>
      <w:r w:rsidR="00A32F2B" w:rsidRPr="00C347FA">
        <w:rPr>
          <w:rFonts w:ascii="Arial" w:hAnsi="Arial" w:cs="Arial"/>
          <w:sz w:val="22"/>
          <w:szCs w:val="22"/>
        </w:rPr>
        <w:t xml:space="preserve">correspondientes a los </w:t>
      </w:r>
      <w:r w:rsidRPr="00C347FA">
        <w:rPr>
          <w:rFonts w:ascii="Arial" w:hAnsi="Arial" w:cs="Arial"/>
          <w:sz w:val="22"/>
          <w:szCs w:val="22"/>
        </w:rPr>
        <w:t xml:space="preserve">gastos de personal presentados en la tabla anterior, se excluyó el </w:t>
      </w:r>
      <w:r w:rsidR="00A32F2B" w:rsidRPr="00C347FA">
        <w:rPr>
          <w:rFonts w:ascii="Arial" w:hAnsi="Arial" w:cs="Arial"/>
          <w:sz w:val="22"/>
          <w:szCs w:val="22"/>
        </w:rPr>
        <w:t xml:space="preserve">concerniente </w:t>
      </w:r>
      <w:r w:rsidRPr="00C347FA">
        <w:rPr>
          <w:rFonts w:ascii="Arial" w:hAnsi="Arial" w:cs="Arial"/>
          <w:sz w:val="22"/>
          <w:szCs w:val="22"/>
        </w:rPr>
        <w:t>a las horas extras, dado que, dicho concepto es analizado de forma</w:t>
      </w:r>
      <w:r w:rsidR="00C656B1" w:rsidRPr="00C347FA">
        <w:rPr>
          <w:rFonts w:ascii="Arial" w:hAnsi="Arial" w:cs="Arial"/>
          <w:sz w:val="22"/>
          <w:szCs w:val="22"/>
        </w:rPr>
        <w:t xml:space="preserve"> independiente en </w:t>
      </w:r>
      <w:r w:rsidR="001D7870" w:rsidRPr="00C347FA">
        <w:rPr>
          <w:rFonts w:ascii="Arial" w:hAnsi="Arial" w:cs="Arial"/>
          <w:sz w:val="22"/>
          <w:szCs w:val="22"/>
        </w:rPr>
        <w:t xml:space="preserve">el siguiente </w:t>
      </w:r>
      <w:r w:rsidR="00C656B1" w:rsidRPr="00C347FA">
        <w:rPr>
          <w:rFonts w:ascii="Arial" w:hAnsi="Arial" w:cs="Arial"/>
          <w:sz w:val="22"/>
          <w:szCs w:val="22"/>
        </w:rPr>
        <w:t>ítem</w:t>
      </w:r>
      <w:r w:rsidR="001D7870" w:rsidRPr="00C347FA">
        <w:rPr>
          <w:rFonts w:ascii="Arial" w:hAnsi="Arial" w:cs="Arial"/>
          <w:sz w:val="22"/>
          <w:szCs w:val="22"/>
        </w:rPr>
        <w:t xml:space="preserve"> </w:t>
      </w:r>
      <w:r w:rsidR="00C656B1" w:rsidRPr="00C347FA">
        <w:rPr>
          <w:rFonts w:ascii="Arial" w:hAnsi="Arial" w:cs="Arial"/>
          <w:sz w:val="22"/>
          <w:szCs w:val="22"/>
        </w:rPr>
        <w:t>este informe</w:t>
      </w:r>
      <w:r w:rsidR="00C5433C" w:rsidRPr="00C347FA">
        <w:rPr>
          <w:rFonts w:ascii="Arial" w:hAnsi="Arial" w:cs="Arial"/>
          <w:sz w:val="22"/>
          <w:szCs w:val="22"/>
        </w:rPr>
        <w:t xml:space="preserve">. </w:t>
      </w:r>
    </w:p>
    <w:p w14:paraId="235FFFF3" w14:textId="77777777" w:rsidR="0072314D" w:rsidRPr="00A003B6" w:rsidRDefault="0072314D" w:rsidP="00DE18F3">
      <w:pPr>
        <w:rPr>
          <w:rFonts w:ascii="Arial" w:hAnsi="Arial" w:cs="Arial"/>
          <w:sz w:val="22"/>
          <w:szCs w:val="22"/>
          <w:highlight w:val="yellow"/>
        </w:rPr>
      </w:pPr>
    </w:p>
    <w:p w14:paraId="34EAC074" w14:textId="1E8CCFDA" w:rsidR="0029527A" w:rsidRPr="0003615B" w:rsidRDefault="001D65A4" w:rsidP="00FE1F83">
      <w:pPr>
        <w:pStyle w:val="Prrafodelista"/>
        <w:autoSpaceDE w:val="0"/>
        <w:autoSpaceDN w:val="0"/>
        <w:adjustRightInd w:val="0"/>
        <w:ind w:left="0"/>
        <w:contextualSpacing w:val="0"/>
        <w:rPr>
          <w:rFonts w:ascii="Arial" w:hAnsi="Arial" w:cs="Arial"/>
          <w:color w:val="000000"/>
          <w:sz w:val="22"/>
          <w:szCs w:val="22"/>
        </w:rPr>
      </w:pPr>
      <w:r w:rsidRPr="0003615B">
        <w:rPr>
          <w:rFonts w:ascii="Arial" w:hAnsi="Arial" w:cs="Arial"/>
          <w:sz w:val="22"/>
          <w:szCs w:val="22"/>
        </w:rPr>
        <w:t>Frente a l</w:t>
      </w:r>
      <w:r w:rsidR="00E32427" w:rsidRPr="0003615B">
        <w:rPr>
          <w:rFonts w:ascii="Arial" w:hAnsi="Arial" w:cs="Arial"/>
          <w:sz w:val="22"/>
          <w:szCs w:val="22"/>
        </w:rPr>
        <w:t xml:space="preserve">as obligaciones </w:t>
      </w:r>
      <w:r w:rsidR="000735EA" w:rsidRPr="0003615B">
        <w:rPr>
          <w:rFonts w:ascii="Arial" w:hAnsi="Arial" w:cs="Arial"/>
          <w:sz w:val="22"/>
          <w:szCs w:val="22"/>
        </w:rPr>
        <w:t>p</w:t>
      </w:r>
      <w:r w:rsidR="00E32427" w:rsidRPr="0003615B">
        <w:rPr>
          <w:rFonts w:ascii="Arial" w:hAnsi="Arial" w:cs="Arial"/>
          <w:sz w:val="22"/>
          <w:szCs w:val="22"/>
        </w:rPr>
        <w:t xml:space="preserve">or concepto de </w:t>
      </w:r>
      <w:r w:rsidR="007D3ADA" w:rsidRPr="0003615B">
        <w:rPr>
          <w:rFonts w:ascii="Arial" w:hAnsi="Arial" w:cs="Arial"/>
          <w:sz w:val="22"/>
          <w:szCs w:val="22"/>
        </w:rPr>
        <w:t>gastos de n</w:t>
      </w:r>
      <w:r w:rsidR="00E32427" w:rsidRPr="0003615B">
        <w:rPr>
          <w:rFonts w:ascii="Arial" w:hAnsi="Arial" w:cs="Arial"/>
          <w:sz w:val="22"/>
          <w:szCs w:val="22"/>
        </w:rPr>
        <w:t>ómina</w:t>
      </w:r>
      <w:r w:rsidR="007D3F7B" w:rsidRPr="0003615B">
        <w:rPr>
          <w:rFonts w:ascii="Arial" w:hAnsi="Arial" w:cs="Arial"/>
          <w:sz w:val="22"/>
          <w:szCs w:val="22"/>
        </w:rPr>
        <w:t xml:space="preserve"> </w:t>
      </w:r>
      <w:r w:rsidR="006132EA" w:rsidRPr="0003615B">
        <w:rPr>
          <w:rFonts w:ascii="Arial" w:hAnsi="Arial" w:cs="Arial"/>
          <w:sz w:val="22"/>
          <w:szCs w:val="22"/>
        </w:rPr>
        <w:t>para el periodo objeto de análisis</w:t>
      </w:r>
      <w:r w:rsidR="007D3F7B" w:rsidRPr="0003615B">
        <w:rPr>
          <w:rFonts w:ascii="Arial" w:hAnsi="Arial" w:cs="Arial"/>
          <w:sz w:val="22"/>
          <w:szCs w:val="22"/>
        </w:rPr>
        <w:t>,</w:t>
      </w:r>
      <w:r w:rsidR="006132EA" w:rsidRPr="0003615B">
        <w:rPr>
          <w:rFonts w:ascii="Arial" w:hAnsi="Arial" w:cs="Arial"/>
          <w:sz w:val="22"/>
          <w:szCs w:val="22"/>
        </w:rPr>
        <w:t xml:space="preserve"> </w:t>
      </w:r>
      <w:r w:rsidR="00440029" w:rsidRPr="0003615B">
        <w:rPr>
          <w:rFonts w:ascii="Arial" w:hAnsi="Arial" w:cs="Arial"/>
          <w:sz w:val="22"/>
          <w:szCs w:val="22"/>
        </w:rPr>
        <w:t xml:space="preserve">se </w:t>
      </w:r>
      <w:r w:rsidR="00EB2E54" w:rsidRPr="0003615B">
        <w:rPr>
          <w:rFonts w:ascii="Arial" w:hAnsi="Arial" w:cs="Arial"/>
          <w:sz w:val="22"/>
          <w:szCs w:val="22"/>
        </w:rPr>
        <w:t>presentó un</w:t>
      </w:r>
      <w:r w:rsidR="007D3ADA" w:rsidRPr="0003615B">
        <w:rPr>
          <w:rFonts w:ascii="Arial" w:hAnsi="Arial" w:cs="Arial"/>
          <w:sz w:val="22"/>
          <w:szCs w:val="22"/>
        </w:rPr>
        <w:t xml:space="preserve">a </w:t>
      </w:r>
      <w:r w:rsidR="007D3ADA" w:rsidRPr="0003615B">
        <w:rPr>
          <w:rFonts w:ascii="Arial" w:hAnsi="Arial" w:cs="Arial"/>
          <w:b/>
          <w:sz w:val="22"/>
          <w:szCs w:val="22"/>
        </w:rPr>
        <w:t>disminución</w:t>
      </w:r>
      <w:r w:rsidR="007D3ADA" w:rsidRPr="0003615B">
        <w:rPr>
          <w:rFonts w:ascii="Arial" w:hAnsi="Arial" w:cs="Arial"/>
          <w:sz w:val="22"/>
          <w:szCs w:val="22"/>
        </w:rPr>
        <w:t xml:space="preserve"> de </w:t>
      </w:r>
      <w:r w:rsidR="00EB2E54" w:rsidRPr="0003615B">
        <w:rPr>
          <w:rFonts w:ascii="Arial" w:hAnsi="Arial" w:cs="Arial"/>
          <w:sz w:val="22"/>
          <w:szCs w:val="22"/>
        </w:rPr>
        <w:t>$</w:t>
      </w:r>
      <w:r w:rsidR="00E52C57" w:rsidRPr="0003615B">
        <w:rPr>
          <w:rFonts w:ascii="Arial" w:hAnsi="Arial" w:cs="Arial"/>
          <w:sz w:val="22"/>
          <w:szCs w:val="22"/>
        </w:rPr>
        <w:t xml:space="preserve"> </w:t>
      </w:r>
      <w:r w:rsidR="007D3ADA" w:rsidRPr="0003615B">
        <w:rPr>
          <w:rFonts w:ascii="Arial" w:hAnsi="Arial" w:cs="Arial"/>
          <w:sz w:val="22"/>
          <w:szCs w:val="22"/>
        </w:rPr>
        <w:t>337.622.649</w:t>
      </w:r>
      <w:r w:rsidR="0095156A" w:rsidRPr="0003615B">
        <w:rPr>
          <w:rFonts w:ascii="Arial" w:hAnsi="Arial" w:cs="Arial"/>
          <w:sz w:val="22"/>
          <w:szCs w:val="22"/>
        </w:rPr>
        <w:t>,</w:t>
      </w:r>
      <w:r w:rsidR="00642388" w:rsidRPr="0003615B">
        <w:rPr>
          <w:rFonts w:ascii="Arial" w:hAnsi="Arial" w:cs="Arial"/>
          <w:sz w:val="22"/>
          <w:szCs w:val="22"/>
        </w:rPr>
        <w:t xml:space="preserve"> </w:t>
      </w:r>
      <w:r w:rsidR="0095156A" w:rsidRPr="0003615B">
        <w:rPr>
          <w:rFonts w:ascii="Arial" w:hAnsi="Arial" w:cs="Arial"/>
          <w:sz w:val="22"/>
          <w:szCs w:val="22"/>
        </w:rPr>
        <w:t>representa</w:t>
      </w:r>
      <w:r w:rsidR="00BE4929" w:rsidRPr="0003615B">
        <w:rPr>
          <w:rFonts w:ascii="Arial" w:hAnsi="Arial" w:cs="Arial"/>
          <w:sz w:val="22"/>
          <w:szCs w:val="22"/>
        </w:rPr>
        <w:t>n</w:t>
      </w:r>
      <w:r w:rsidR="0095156A" w:rsidRPr="0003615B">
        <w:rPr>
          <w:rFonts w:ascii="Arial" w:hAnsi="Arial" w:cs="Arial"/>
          <w:sz w:val="22"/>
          <w:szCs w:val="22"/>
        </w:rPr>
        <w:t xml:space="preserve">do una </w:t>
      </w:r>
      <w:r w:rsidR="0095156A" w:rsidRPr="0003615B">
        <w:rPr>
          <w:rFonts w:ascii="Arial" w:hAnsi="Arial" w:cs="Arial"/>
          <w:b/>
          <w:sz w:val="22"/>
          <w:szCs w:val="22"/>
        </w:rPr>
        <w:t>variación</w:t>
      </w:r>
      <w:r w:rsidR="007D3F7B" w:rsidRPr="0003615B">
        <w:rPr>
          <w:rFonts w:ascii="Arial" w:hAnsi="Arial" w:cs="Arial"/>
          <w:b/>
          <w:sz w:val="22"/>
          <w:szCs w:val="22"/>
        </w:rPr>
        <w:t xml:space="preserve"> </w:t>
      </w:r>
      <w:r w:rsidR="007D3ADA" w:rsidRPr="0003615B">
        <w:rPr>
          <w:rFonts w:ascii="Arial" w:hAnsi="Arial" w:cs="Arial"/>
          <w:b/>
          <w:sz w:val="22"/>
          <w:szCs w:val="22"/>
        </w:rPr>
        <w:t xml:space="preserve">negativa </w:t>
      </w:r>
      <w:r w:rsidR="007D3F7B" w:rsidRPr="0003615B">
        <w:rPr>
          <w:rFonts w:ascii="Arial" w:hAnsi="Arial" w:cs="Arial"/>
          <w:sz w:val="22"/>
          <w:szCs w:val="22"/>
        </w:rPr>
        <w:t xml:space="preserve">de </w:t>
      </w:r>
      <w:r w:rsidR="007D3ADA" w:rsidRPr="0003615B">
        <w:rPr>
          <w:rFonts w:ascii="Arial" w:hAnsi="Arial" w:cs="Arial"/>
          <w:sz w:val="22"/>
          <w:szCs w:val="22"/>
        </w:rPr>
        <w:t xml:space="preserve">2 </w:t>
      </w:r>
      <w:r w:rsidR="004521FD" w:rsidRPr="0003615B">
        <w:rPr>
          <w:rFonts w:ascii="Arial" w:hAnsi="Arial" w:cs="Arial"/>
          <w:sz w:val="22"/>
          <w:szCs w:val="22"/>
        </w:rPr>
        <w:t>%.</w:t>
      </w:r>
      <w:r w:rsidR="00EB2E54" w:rsidRPr="0003615B">
        <w:rPr>
          <w:rFonts w:ascii="Arial" w:hAnsi="Arial" w:cs="Arial"/>
          <w:sz w:val="22"/>
          <w:szCs w:val="22"/>
        </w:rPr>
        <w:t xml:space="preserve"> </w:t>
      </w:r>
      <w:r w:rsidR="00950565" w:rsidRPr="0003615B">
        <w:rPr>
          <w:rFonts w:ascii="Arial" w:hAnsi="Arial" w:cs="Arial"/>
          <w:sz w:val="22"/>
          <w:szCs w:val="22"/>
        </w:rPr>
        <w:t xml:space="preserve">Con respecto al periodo de julio se observó una disminución del </w:t>
      </w:r>
      <w:r w:rsidR="00D83F22" w:rsidRPr="0003615B">
        <w:rPr>
          <w:rFonts w:ascii="Arial" w:hAnsi="Arial" w:cs="Arial"/>
          <w:sz w:val="22"/>
          <w:szCs w:val="22"/>
        </w:rPr>
        <w:t xml:space="preserve">11% </w:t>
      </w:r>
      <w:r w:rsidR="00B87385" w:rsidRPr="0003615B">
        <w:rPr>
          <w:rFonts w:ascii="Arial" w:hAnsi="Arial" w:cs="Arial"/>
          <w:sz w:val="22"/>
          <w:szCs w:val="22"/>
        </w:rPr>
        <w:t xml:space="preserve">de la vigencia 2019, comparado con la vigencia 2018. </w:t>
      </w:r>
      <w:r w:rsidR="00BF68C8" w:rsidRPr="0003615B">
        <w:rPr>
          <w:rFonts w:ascii="Arial" w:hAnsi="Arial" w:cs="Arial"/>
          <w:sz w:val="22"/>
          <w:szCs w:val="22"/>
        </w:rPr>
        <w:t>Sobre el particular, se identificó</w:t>
      </w:r>
      <w:r w:rsidR="00DE18F3" w:rsidRPr="0003615B">
        <w:rPr>
          <w:rFonts w:ascii="Arial" w:hAnsi="Arial" w:cs="Arial"/>
          <w:sz w:val="22"/>
          <w:szCs w:val="22"/>
        </w:rPr>
        <w:t xml:space="preserve"> </w:t>
      </w:r>
      <w:r w:rsidR="0029527A" w:rsidRPr="0003615B">
        <w:rPr>
          <w:rFonts w:ascii="Arial" w:hAnsi="Arial" w:cs="Arial"/>
          <w:sz w:val="22"/>
          <w:szCs w:val="22"/>
        </w:rPr>
        <w:t xml:space="preserve">que </w:t>
      </w:r>
      <w:r w:rsidR="0029527A" w:rsidRPr="0003615B">
        <w:rPr>
          <w:rFonts w:ascii="Arial" w:hAnsi="Arial" w:cs="Arial"/>
          <w:color w:val="000000"/>
          <w:sz w:val="22"/>
          <w:szCs w:val="22"/>
        </w:rPr>
        <w:t xml:space="preserve">la prima de </w:t>
      </w:r>
      <w:r w:rsidR="00546624">
        <w:rPr>
          <w:rFonts w:ascii="Arial" w:hAnsi="Arial" w:cs="Arial"/>
          <w:color w:val="000000"/>
          <w:sz w:val="22"/>
          <w:szCs w:val="22"/>
        </w:rPr>
        <w:t>s</w:t>
      </w:r>
      <w:r w:rsidR="0029527A" w:rsidRPr="0003615B">
        <w:rPr>
          <w:rFonts w:ascii="Arial" w:hAnsi="Arial" w:cs="Arial"/>
          <w:color w:val="000000"/>
          <w:sz w:val="22"/>
          <w:szCs w:val="22"/>
        </w:rPr>
        <w:t xml:space="preserve">ervicios para las vigencias analizadas [2019 comparado 2018], se obligaron en periodos diferentes. Para la vigencia 2018, se obligó el gasto en el mes de </w:t>
      </w:r>
      <w:r w:rsidR="00546624">
        <w:rPr>
          <w:rFonts w:ascii="Arial" w:hAnsi="Arial" w:cs="Arial"/>
          <w:color w:val="000000"/>
          <w:sz w:val="22"/>
          <w:szCs w:val="22"/>
        </w:rPr>
        <w:t>j</w:t>
      </w:r>
      <w:r w:rsidR="0029527A" w:rsidRPr="0003615B">
        <w:rPr>
          <w:rFonts w:ascii="Arial" w:hAnsi="Arial" w:cs="Arial"/>
          <w:color w:val="000000"/>
          <w:sz w:val="22"/>
          <w:szCs w:val="22"/>
        </w:rPr>
        <w:t xml:space="preserve">ulio de 2018 por valor de $ 1.530.745.746. Para la vigencia 2019, </w:t>
      </w:r>
      <w:r w:rsidR="0003615B">
        <w:rPr>
          <w:rFonts w:ascii="Arial" w:hAnsi="Arial" w:cs="Arial"/>
          <w:color w:val="000000"/>
          <w:sz w:val="22"/>
          <w:szCs w:val="22"/>
        </w:rPr>
        <w:t xml:space="preserve">dicho </w:t>
      </w:r>
      <w:r w:rsidR="0029527A" w:rsidRPr="0003615B">
        <w:rPr>
          <w:rFonts w:ascii="Arial" w:hAnsi="Arial" w:cs="Arial"/>
          <w:color w:val="000000"/>
          <w:sz w:val="22"/>
          <w:szCs w:val="22"/>
        </w:rPr>
        <w:t xml:space="preserve">concepto fue obligado el 28 de junio de 2019 por valor de $1.624.321.376. </w:t>
      </w:r>
    </w:p>
    <w:p w14:paraId="2CE5FE4E" w14:textId="77777777" w:rsidR="00D50475" w:rsidRPr="0003615B" w:rsidRDefault="00D50475" w:rsidP="00DE18F3">
      <w:pPr>
        <w:jc w:val="both"/>
        <w:rPr>
          <w:rFonts w:ascii="Arial" w:hAnsi="Arial" w:cs="Arial"/>
          <w:sz w:val="22"/>
          <w:szCs w:val="22"/>
        </w:rPr>
      </w:pPr>
    </w:p>
    <w:p w14:paraId="0E59B9DA" w14:textId="5C4BDFE1" w:rsidR="008517AF" w:rsidRDefault="000973F8" w:rsidP="00DE18F3">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Finalmente, se concluye </w:t>
      </w:r>
      <w:r w:rsidR="00C820D7" w:rsidRPr="00FE1F83">
        <w:rPr>
          <w:rFonts w:ascii="Arial" w:hAnsi="Arial" w:cs="Arial"/>
          <w:color w:val="000000"/>
          <w:sz w:val="22"/>
          <w:szCs w:val="22"/>
        </w:rPr>
        <w:t>que</w:t>
      </w:r>
      <w:r w:rsidR="00AA2C3F">
        <w:rPr>
          <w:rFonts w:ascii="Arial" w:hAnsi="Arial" w:cs="Arial"/>
          <w:color w:val="000000"/>
          <w:sz w:val="22"/>
          <w:szCs w:val="22"/>
        </w:rPr>
        <w:t xml:space="preserve"> la variación</w:t>
      </w:r>
      <w:r w:rsidR="009738B0">
        <w:rPr>
          <w:rFonts w:ascii="Arial" w:hAnsi="Arial" w:cs="Arial"/>
          <w:color w:val="000000"/>
          <w:sz w:val="22"/>
          <w:szCs w:val="22"/>
        </w:rPr>
        <w:t xml:space="preserve"> negativa</w:t>
      </w:r>
      <w:r w:rsidR="00AA2C3F">
        <w:rPr>
          <w:rFonts w:ascii="Arial" w:hAnsi="Arial" w:cs="Arial"/>
          <w:color w:val="000000"/>
          <w:sz w:val="22"/>
          <w:szCs w:val="22"/>
        </w:rPr>
        <w:t xml:space="preserve"> observada </w:t>
      </w:r>
      <w:r w:rsidR="009F000A">
        <w:rPr>
          <w:rFonts w:ascii="Arial" w:hAnsi="Arial" w:cs="Arial"/>
          <w:color w:val="000000"/>
          <w:sz w:val="22"/>
          <w:szCs w:val="22"/>
        </w:rPr>
        <w:t xml:space="preserve">para el </w:t>
      </w:r>
      <w:r w:rsidR="009738B0">
        <w:rPr>
          <w:rFonts w:ascii="Arial" w:hAnsi="Arial" w:cs="Arial"/>
          <w:color w:val="000000"/>
          <w:sz w:val="22"/>
          <w:szCs w:val="22"/>
        </w:rPr>
        <w:t>periodo d</w:t>
      </w:r>
      <w:r w:rsidR="009F000A">
        <w:rPr>
          <w:rFonts w:ascii="Arial" w:hAnsi="Arial" w:cs="Arial"/>
          <w:color w:val="000000"/>
          <w:sz w:val="22"/>
          <w:szCs w:val="22"/>
        </w:rPr>
        <w:t>e julio</w:t>
      </w:r>
      <w:r w:rsidR="000F7AC1">
        <w:rPr>
          <w:rFonts w:ascii="Arial" w:hAnsi="Arial" w:cs="Arial"/>
          <w:color w:val="000000"/>
          <w:sz w:val="22"/>
          <w:szCs w:val="22"/>
        </w:rPr>
        <w:t>, en parte obedecieron</w:t>
      </w:r>
      <w:r w:rsidR="009738B0">
        <w:rPr>
          <w:rFonts w:ascii="Arial" w:hAnsi="Arial" w:cs="Arial"/>
          <w:color w:val="000000"/>
          <w:sz w:val="22"/>
          <w:szCs w:val="22"/>
        </w:rPr>
        <w:t xml:space="preserve"> al </w:t>
      </w:r>
      <w:r w:rsidR="009F000A">
        <w:rPr>
          <w:rFonts w:ascii="Arial" w:hAnsi="Arial" w:cs="Arial"/>
          <w:color w:val="000000"/>
          <w:sz w:val="22"/>
          <w:szCs w:val="22"/>
        </w:rPr>
        <w:t xml:space="preserve">gasto de </w:t>
      </w:r>
      <w:r w:rsidR="00AA2C3F" w:rsidRPr="00FE1F83">
        <w:rPr>
          <w:rFonts w:ascii="Arial" w:hAnsi="Arial" w:cs="Arial"/>
          <w:color w:val="000000"/>
          <w:sz w:val="22"/>
          <w:szCs w:val="22"/>
        </w:rPr>
        <w:t xml:space="preserve">prima de </w:t>
      </w:r>
      <w:r w:rsidR="009F000A">
        <w:rPr>
          <w:rFonts w:ascii="Arial" w:hAnsi="Arial" w:cs="Arial"/>
          <w:color w:val="000000"/>
          <w:sz w:val="22"/>
          <w:szCs w:val="22"/>
        </w:rPr>
        <w:t xml:space="preserve">servicio, </w:t>
      </w:r>
      <w:r w:rsidR="001B286E">
        <w:rPr>
          <w:rFonts w:ascii="Arial" w:hAnsi="Arial" w:cs="Arial"/>
          <w:color w:val="000000"/>
          <w:sz w:val="22"/>
          <w:szCs w:val="22"/>
        </w:rPr>
        <w:t xml:space="preserve">toda vez </w:t>
      </w:r>
      <w:r w:rsidR="009F000A">
        <w:rPr>
          <w:rFonts w:ascii="Arial" w:hAnsi="Arial" w:cs="Arial"/>
          <w:color w:val="000000"/>
          <w:sz w:val="22"/>
          <w:szCs w:val="22"/>
        </w:rPr>
        <w:t>que se efectuó el respectivo registro</w:t>
      </w:r>
      <w:r w:rsidR="009738B0">
        <w:rPr>
          <w:rFonts w:ascii="Arial" w:hAnsi="Arial" w:cs="Arial"/>
          <w:color w:val="000000"/>
          <w:sz w:val="22"/>
          <w:szCs w:val="22"/>
        </w:rPr>
        <w:t xml:space="preserve"> de la obligación en trimestres </w:t>
      </w:r>
      <w:r w:rsidR="009F000A">
        <w:rPr>
          <w:rFonts w:ascii="Arial" w:hAnsi="Arial" w:cs="Arial"/>
          <w:color w:val="000000"/>
          <w:sz w:val="22"/>
          <w:szCs w:val="22"/>
        </w:rPr>
        <w:t>diferentes en c</w:t>
      </w:r>
      <w:r w:rsidR="001B286E">
        <w:rPr>
          <w:rFonts w:ascii="Arial" w:hAnsi="Arial" w:cs="Arial"/>
          <w:color w:val="000000"/>
          <w:sz w:val="22"/>
          <w:szCs w:val="22"/>
        </w:rPr>
        <w:t xml:space="preserve">ada vigencia analizada. </w:t>
      </w:r>
    </w:p>
    <w:p w14:paraId="233B8690" w14:textId="77777777" w:rsidR="009F000A" w:rsidRDefault="009F000A" w:rsidP="00DE18F3">
      <w:pPr>
        <w:autoSpaceDE w:val="0"/>
        <w:autoSpaceDN w:val="0"/>
        <w:adjustRightInd w:val="0"/>
        <w:jc w:val="both"/>
        <w:rPr>
          <w:rFonts w:ascii="Arial" w:hAnsi="Arial" w:cs="Arial"/>
          <w:color w:val="000000"/>
          <w:sz w:val="22"/>
          <w:szCs w:val="22"/>
          <w:highlight w:val="yellow"/>
        </w:rPr>
      </w:pPr>
    </w:p>
    <w:p w14:paraId="3DA5F5CA" w14:textId="77777777" w:rsidR="00DF23CA" w:rsidRPr="009C3D4C" w:rsidRDefault="00DF23CA" w:rsidP="008517AF">
      <w:pPr>
        <w:tabs>
          <w:tab w:val="left" w:pos="284"/>
        </w:tabs>
        <w:rPr>
          <w:rFonts w:ascii="Arial" w:hAnsi="Arial" w:cs="Arial"/>
          <w:b/>
          <w:sz w:val="22"/>
          <w:szCs w:val="22"/>
        </w:rPr>
      </w:pPr>
    </w:p>
    <w:p w14:paraId="22D3180F" w14:textId="77777777" w:rsidR="0036775C" w:rsidRPr="009C3D4C" w:rsidRDefault="00E7227A" w:rsidP="008517AF">
      <w:pPr>
        <w:tabs>
          <w:tab w:val="left" w:pos="284"/>
        </w:tabs>
        <w:rPr>
          <w:rFonts w:ascii="Arial" w:hAnsi="Arial" w:cs="Arial"/>
          <w:b/>
          <w:sz w:val="22"/>
          <w:szCs w:val="22"/>
        </w:rPr>
      </w:pPr>
      <w:r w:rsidRPr="009C3D4C">
        <w:rPr>
          <w:rFonts w:ascii="Arial" w:hAnsi="Arial" w:cs="Arial"/>
          <w:b/>
          <w:sz w:val="22"/>
          <w:szCs w:val="22"/>
        </w:rPr>
        <w:t xml:space="preserve">2.2. </w:t>
      </w:r>
      <w:r w:rsidR="005457C7" w:rsidRPr="009C3D4C">
        <w:rPr>
          <w:rFonts w:ascii="Arial" w:hAnsi="Arial" w:cs="Arial"/>
          <w:b/>
          <w:sz w:val="22"/>
          <w:szCs w:val="22"/>
        </w:rPr>
        <w:t>HORAS EXTRAS</w:t>
      </w:r>
      <w:r w:rsidR="00AD13AE" w:rsidRPr="009C3D4C">
        <w:rPr>
          <w:rFonts w:ascii="Arial" w:hAnsi="Arial" w:cs="Arial"/>
          <w:b/>
          <w:sz w:val="22"/>
          <w:szCs w:val="22"/>
        </w:rPr>
        <w:t xml:space="preserve"> </w:t>
      </w:r>
    </w:p>
    <w:p w14:paraId="174EAA7A" w14:textId="77777777" w:rsidR="008517AF" w:rsidRPr="009C3D4C" w:rsidRDefault="008517AF" w:rsidP="008517AF">
      <w:pPr>
        <w:tabs>
          <w:tab w:val="left" w:pos="284"/>
        </w:tabs>
        <w:rPr>
          <w:rFonts w:ascii="Arial" w:hAnsi="Arial" w:cs="Arial"/>
          <w:b/>
          <w:sz w:val="22"/>
          <w:szCs w:val="22"/>
        </w:rPr>
      </w:pPr>
    </w:p>
    <w:p w14:paraId="3FEED88C" w14:textId="77777777" w:rsidR="00E21ED4" w:rsidRPr="009C3D4C" w:rsidRDefault="00B54E34" w:rsidP="00707E61">
      <w:pPr>
        <w:pStyle w:val="Default"/>
        <w:jc w:val="both"/>
        <w:rPr>
          <w:sz w:val="22"/>
          <w:szCs w:val="22"/>
        </w:rPr>
      </w:pPr>
      <w:r w:rsidRPr="009C3D4C">
        <w:rPr>
          <w:sz w:val="22"/>
          <w:szCs w:val="22"/>
        </w:rPr>
        <w:t>L</w:t>
      </w:r>
      <w:r w:rsidR="008517AF" w:rsidRPr="009C3D4C">
        <w:rPr>
          <w:sz w:val="22"/>
          <w:szCs w:val="22"/>
        </w:rPr>
        <w:t>a Directiva Presidencial 09 de 2018</w:t>
      </w:r>
      <w:r w:rsidRPr="009C3D4C">
        <w:rPr>
          <w:sz w:val="22"/>
          <w:szCs w:val="22"/>
        </w:rPr>
        <w:t xml:space="preserve">, en el </w:t>
      </w:r>
      <w:r w:rsidR="008517AF" w:rsidRPr="009C3D4C">
        <w:rPr>
          <w:sz w:val="22"/>
          <w:szCs w:val="22"/>
        </w:rPr>
        <w:t>numeral</w:t>
      </w:r>
      <w:r w:rsidRPr="009C3D4C">
        <w:rPr>
          <w:sz w:val="22"/>
          <w:szCs w:val="22"/>
        </w:rPr>
        <w:t xml:space="preserve"> 1 </w:t>
      </w:r>
      <w:r w:rsidR="008517AF" w:rsidRPr="009C3D4C">
        <w:rPr>
          <w:sz w:val="22"/>
          <w:szCs w:val="22"/>
        </w:rPr>
        <w:t>[subnumeral 1.7</w:t>
      </w:r>
      <w:r w:rsidRPr="009C3D4C">
        <w:rPr>
          <w:sz w:val="22"/>
          <w:szCs w:val="22"/>
        </w:rPr>
        <w:t xml:space="preserve"> - Literal A</w:t>
      </w:r>
      <w:r w:rsidR="008517AF" w:rsidRPr="009C3D4C">
        <w:rPr>
          <w:sz w:val="22"/>
          <w:szCs w:val="22"/>
        </w:rPr>
        <w:t>]</w:t>
      </w:r>
      <w:r w:rsidRPr="009C3D4C">
        <w:rPr>
          <w:sz w:val="22"/>
          <w:szCs w:val="22"/>
        </w:rPr>
        <w:t>,</w:t>
      </w:r>
      <w:r w:rsidR="008517AF" w:rsidRPr="009C3D4C">
        <w:rPr>
          <w:sz w:val="22"/>
          <w:szCs w:val="22"/>
        </w:rPr>
        <w:t xml:space="preserve"> definió: «Racionalizar las horas extras de todo el personal, ajustándolas a las estrictamente necesarias». </w:t>
      </w:r>
      <w:r w:rsidRPr="009C3D4C">
        <w:rPr>
          <w:sz w:val="22"/>
          <w:szCs w:val="22"/>
        </w:rPr>
        <w:t xml:space="preserve">Con el fin de </w:t>
      </w:r>
      <w:r w:rsidR="00707E61" w:rsidRPr="009C3D4C">
        <w:rPr>
          <w:sz w:val="22"/>
          <w:szCs w:val="22"/>
        </w:rPr>
        <w:t xml:space="preserve">confirmar la aplicación de la medida de austeridad del gasto antes citada, se comparó el número de horas extras laboradas en </w:t>
      </w:r>
      <w:r w:rsidR="009C3D4C">
        <w:rPr>
          <w:sz w:val="22"/>
          <w:szCs w:val="22"/>
        </w:rPr>
        <w:t xml:space="preserve">julio, agosto y septiembre </w:t>
      </w:r>
      <w:r w:rsidR="00707E61" w:rsidRPr="009C3D4C">
        <w:rPr>
          <w:sz w:val="22"/>
          <w:szCs w:val="22"/>
        </w:rPr>
        <w:t xml:space="preserve">del año </w:t>
      </w:r>
      <w:r w:rsidRPr="009C3D4C">
        <w:rPr>
          <w:sz w:val="22"/>
          <w:szCs w:val="22"/>
        </w:rPr>
        <w:t>2019, frente</w:t>
      </w:r>
      <w:r w:rsidR="00707E61" w:rsidRPr="009C3D4C">
        <w:rPr>
          <w:sz w:val="22"/>
          <w:szCs w:val="22"/>
        </w:rPr>
        <w:t xml:space="preserve"> a iguale</w:t>
      </w:r>
      <w:r w:rsidR="009C3D4C">
        <w:rPr>
          <w:sz w:val="22"/>
          <w:szCs w:val="22"/>
        </w:rPr>
        <w:t xml:space="preserve">s periodos de la vigencia 2018. </w:t>
      </w:r>
      <w:r w:rsidR="00707E61" w:rsidRPr="009C3D4C">
        <w:rPr>
          <w:sz w:val="22"/>
          <w:szCs w:val="22"/>
        </w:rPr>
        <w:t xml:space="preserve">Lo anterior, con base en la </w:t>
      </w:r>
      <w:r w:rsidR="001D1E6F" w:rsidRPr="009C3D4C">
        <w:rPr>
          <w:sz w:val="22"/>
          <w:szCs w:val="22"/>
        </w:rPr>
        <w:t xml:space="preserve">información </w:t>
      </w:r>
      <w:r w:rsidR="0012637D" w:rsidRPr="009C3D4C">
        <w:rPr>
          <w:sz w:val="22"/>
          <w:szCs w:val="22"/>
        </w:rPr>
        <w:t>suministrada por el Grupo de A</w:t>
      </w:r>
      <w:r w:rsidR="00CB186D" w:rsidRPr="009C3D4C">
        <w:rPr>
          <w:sz w:val="22"/>
          <w:szCs w:val="22"/>
        </w:rPr>
        <w:t>dministración de Personal</w:t>
      </w:r>
      <w:r w:rsidR="00707E61" w:rsidRPr="009C3D4C">
        <w:rPr>
          <w:sz w:val="22"/>
          <w:szCs w:val="22"/>
        </w:rPr>
        <w:t>.</w:t>
      </w:r>
      <w:r w:rsidR="00A931A7" w:rsidRPr="009C3D4C">
        <w:rPr>
          <w:sz w:val="22"/>
          <w:szCs w:val="22"/>
        </w:rPr>
        <w:t xml:space="preserve"> </w:t>
      </w:r>
      <w:r w:rsidR="001C2379" w:rsidRPr="009C3D4C">
        <w:rPr>
          <w:sz w:val="22"/>
          <w:szCs w:val="22"/>
        </w:rPr>
        <w:t>El resultado s</w:t>
      </w:r>
      <w:r w:rsidR="00D4642A" w:rsidRPr="009C3D4C">
        <w:rPr>
          <w:sz w:val="22"/>
          <w:szCs w:val="22"/>
        </w:rPr>
        <w:t xml:space="preserve">e </w:t>
      </w:r>
      <w:r w:rsidRPr="009C3D4C">
        <w:rPr>
          <w:sz w:val="22"/>
          <w:szCs w:val="22"/>
        </w:rPr>
        <w:t xml:space="preserve">presenta </w:t>
      </w:r>
      <w:r w:rsidR="00D4642A" w:rsidRPr="009C3D4C">
        <w:rPr>
          <w:sz w:val="22"/>
          <w:szCs w:val="22"/>
        </w:rPr>
        <w:t>en la siguiente tabla:</w:t>
      </w:r>
    </w:p>
    <w:p w14:paraId="48F63E9D" w14:textId="77777777" w:rsidR="00707E61" w:rsidRPr="00A003B6" w:rsidRDefault="00707E61" w:rsidP="00707E61">
      <w:pPr>
        <w:pStyle w:val="Default"/>
        <w:rPr>
          <w:sz w:val="22"/>
          <w:szCs w:val="22"/>
          <w:highlight w:val="yellow"/>
        </w:rPr>
      </w:pPr>
    </w:p>
    <w:tbl>
      <w:tblPr>
        <w:tblStyle w:val="Tabladecuadrcula1clara-nfasis1"/>
        <w:tblW w:w="10060" w:type="dxa"/>
        <w:tblLayout w:type="fixed"/>
        <w:tblLook w:val="04A0" w:firstRow="1" w:lastRow="0" w:firstColumn="1" w:lastColumn="0" w:noHBand="0" w:noVBand="1"/>
      </w:tblPr>
      <w:tblGrid>
        <w:gridCol w:w="3256"/>
        <w:gridCol w:w="708"/>
        <w:gridCol w:w="709"/>
        <w:gridCol w:w="709"/>
        <w:gridCol w:w="709"/>
        <w:gridCol w:w="708"/>
        <w:gridCol w:w="709"/>
        <w:gridCol w:w="851"/>
        <w:gridCol w:w="850"/>
        <w:gridCol w:w="851"/>
      </w:tblGrid>
      <w:tr w:rsidR="00D15567" w:rsidRPr="00C30B29" w14:paraId="3345484F" w14:textId="77777777" w:rsidTr="0062493A">
        <w:trPr>
          <w:cnfStyle w:val="100000000000" w:firstRow="1" w:lastRow="0" w:firstColumn="0" w:lastColumn="0" w:oddVBand="0" w:evenVBand="0" w:oddHBand="0" w:evenHBand="0" w:firstRowFirstColumn="0" w:firstRowLastColumn="0" w:lastRowFirstColumn="0" w:lastRowLastColumn="0"/>
          <w:trHeight w:val="517"/>
          <w:tblHeader/>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4F81BD" w:themeFill="accent1"/>
            <w:vAlign w:val="center"/>
            <w:hideMark/>
          </w:tcPr>
          <w:p w14:paraId="29CCD904" w14:textId="77777777" w:rsidR="001E280D" w:rsidRPr="00C30B29" w:rsidRDefault="001E280D" w:rsidP="00C30B29">
            <w:pPr>
              <w:spacing w:before="40" w:after="40"/>
              <w:jc w:val="center"/>
              <w:rPr>
                <w:rFonts w:ascii="Arial" w:hAnsi="Arial" w:cs="Arial"/>
                <w:color w:val="FFFFFF" w:themeColor="background1"/>
                <w:sz w:val="18"/>
                <w:szCs w:val="18"/>
              </w:rPr>
            </w:pPr>
            <w:r w:rsidRPr="00C30B29">
              <w:rPr>
                <w:rFonts w:ascii="Arial" w:hAnsi="Arial" w:cs="Arial"/>
                <w:color w:val="FFFFFF" w:themeColor="background1"/>
                <w:sz w:val="18"/>
                <w:szCs w:val="18"/>
              </w:rPr>
              <w:t xml:space="preserve">Dependencia </w:t>
            </w:r>
          </w:p>
        </w:tc>
        <w:tc>
          <w:tcPr>
            <w:tcW w:w="2126" w:type="dxa"/>
            <w:gridSpan w:val="3"/>
            <w:vMerge w:val="restart"/>
            <w:shd w:val="clear" w:color="auto" w:fill="4F81BD" w:themeFill="accent1"/>
            <w:vAlign w:val="center"/>
            <w:hideMark/>
          </w:tcPr>
          <w:p w14:paraId="32AE28F9" w14:textId="77777777" w:rsidR="001E280D" w:rsidRPr="00C30B29" w:rsidRDefault="00D016BE" w:rsidP="00C30B29">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30B29">
              <w:rPr>
                <w:rFonts w:ascii="Arial" w:hAnsi="Arial" w:cs="Arial"/>
                <w:color w:val="FFFFFF" w:themeColor="background1"/>
                <w:sz w:val="18"/>
                <w:szCs w:val="18"/>
              </w:rPr>
              <w:t>I</w:t>
            </w:r>
            <w:r w:rsidR="001E280D" w:rsidRPr="00C30B29">
              <w:rPr>
                <w:rFonts w:ascii="Arial" w:hAnsi="Arial" w:cs="Arial"/>
                <w:color w:val="FFFFFF" w:themeColor="background1"/>
                <w:sz w:val="18"/>
                <w:szCs w:val="18"/>
              </w:rPr>
              <w:t>II Trimestre de 2019</w:t>
            </w:r>
          </w:p>
        </w:tc>
        <w:tc>
          <w:tcPr>
            <w:tcW w:w="2126" w:type="dxa"/>
            <w:gridSpan w:val="3"/>
            <w:vMerge w:val="restart"/>
            <w:shd w:val="clear" w:color="auto" w:fill="4F81BD" w:themeFill="accent1"/>
            <w:vAlign w:val="center"/>
            <w:hideMark/>
          </w:tcPr>
          <w:p w14:paraId="5E66ACFA" w14:textId="77777777" w:rsidR="001E280D" w:rsidRPr="00C30B29" w:rsidRDefault="00D016BE" w:rsidP="00C30B29">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30B29">
              <w:rPr>
                <w:rFonts w:ascii="Arial" w:hAnsi="Arial" w:cs="Arial"/>
                <w:color w:val="FFFFFF" w:themeColor="background1"/>
                <w:sz w:val="18"/>
                <w:szCs w:val="18"/>
              </w:rPr>
              <w:t>I</w:t>
            </w:r>
            <w:r w:rsidR="001E280D" w:rsidRPr="00C30B29">
              <w:rPr>
                <w:rFonts w:ascii="Arial" w:hAnsi="Arial" w:cs="Arial"/>
                <w:color w:val="FFFFFF" w:themeColor="background1"/>
                <w:sz w:val="18"/>
                <w:szCs w:val="18"/>
              </w:rPr>
              <w:t xml:space="preserve"> II Trimestre de 2018</w:t>
            </w:r>
          </w:p>
        </w:tc>
        <w:tc>
          <w:tcPr>
            <w:tcW w:w="2552" w:type="dxa"/>
            <w:gridSpan w:val="3"/>
            <w:vMerge w:val="restart"/>
            <w:shd w:val="clear" w:color="auto" w:fill="4F81BD" w:themeFill="accent1"/>
            <w:vAlign w:val="center"/>
            <w:hideMark/>
          </w:tcPr>
          <w:p w14:paraId="2406C877" w14:textId="77777777" w:rsidR="001E280D" w:rsidRPr="00C30B29" w:rsidRDefault="001E280D" w:rsidP="00C30B29">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30B29">
              <w:rPr>
                <w:rFonts w:ascii="Arial" w:hAnsi="Arial" w:cs="Arial"/>
                <w:color w:val="FFFFFF" w:themeColor="background1"/>
                <w:sz w:val="18"/>
                <w:szCs w:val="18"/>
              </w:rPr>
              <w:t>Variaciones</w:t>
            </w:r>
          </w:p>
        </w:tc>
      </w:tr>
      <w:tr w:rsidR="00D15567" w:rsidRPr="00C30B29" w14:paraId="4A094C19" w14:textId="77777777" w:rsidTr="0062493A">
        <w:trPr>
          <w:trHeight w:val="517"/>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4F81BD" w:themeFill="accent1"/>
            <w:vAlign w:val="center"/>
            <w:hideMark/>
          </w:tcPr>
          <w:p w14:paraId="03F3D8B1" w14:textId="77777777" w:rsidR="001E280D" w:rsidRPr="00C30B29" w:rsidRDefault="001E280D" w:rsidP="00C30B29">
            <w:pPr>
              <w:spacing w:before="40" w:after="40"/>
              <w:rPr>
                <w:rFonts w:ascii="Arial" w:hAnsi="Arial" w:cs="Arial"/>
                <w:color w:val="FFFFFF" w:themeColor="background1"/>
                <w:sz w:val="18"/>
                <w:szCs w:val="18"/>
              </w:rPr>
            </w:pPr>
          </w:p>
        </w:tc>
        <w:tc>
          <w:tcPr>
            <w:tcW w:w="2126" w:type="dxa"/>
            <w:gridSpan w:val="3"/>
            <w:vMerge/>
            <w:shd w:val="clear" w:color="auto" w:fill="4F81BD" w:themeFill="accent1"/>
            <w:vAlign w:val="center"/>
            <w:hideMark/>
          </w:tcPr>
          <w:p w14:paraId="3CCCB78C" w14:textId="77777777" w:rsidR="001E280D" w:rsidRPr="00C30B29" w:rsidRDefault="001E280D" w:rsidP="00C30B29">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2126" w:type="dxa"/>
            <w:gridSpan w:val="3"/>
            <w:vMerge/>
            <w:shd w:val="clear" w:color="auto" w:fill="4F81BD" w:themeFill="accent1"/>
            <w:vAlign w:val="center"/>
            <w:hideMark/>
          </w:tcPr>
          <w:p w14:paraId="14AA4702" w14:textId="77777777" w:rsidR="001E280D" w:rsidRPr="00C30B29" w:rsidRDefault="001E280D" w:rsidP="00C30B29">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2552" w:type="dxa"/>
            <w:gridSpan w:val="3"/>
            <w:vMerge/>
            <w:shd w:val="clear" w:color="auto" w:fill="4F81BD" w:themeFill="accent1"/>
            <w:vAlign w:val="center"/>
            <w:hideMark/>
          </w:tcPr>
          <w:p w14:paraId="6372E6B3" w14:textId="77777777" w:rsidR="001E280D" w:rsidRPr="00C30B29" w:rsidRDefault="001E280D" w:rsidP="00C30B29">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r>
      <w:tr w:rsidR="00D016BE" w:rsidRPr="00C30B29" w14:paraId="26861ED1" w14:textId="77777777" w:rsidTr="00B379A4">
        <w:tc>
          <w:tcPr>
            <w:cnfStyle w:val="001000000000" w:firstRow="0" w:lastRow="0" w:firstColumn="1" w:lastColumn="0" w:oddVBand="0" w:evenVBand="0" w:oddHBand="0" w:evenHBand="0" w:firstRowFirstColumn="0" w:firstRowLastColumn="0" w:lastRowFirstColumn="0" w:lastRowLastColumn="0"/>
            <w:tcW w:w="3256" w:type="dxa"/>
            <w:vMerge/>
            <w:shd w:val="clear" w:color="auto" w:fill="4F81BD" w:themeFill="accent1"/>
            <w:vAlign w:val="center"/>
            <w:hideMark/>
          </w:tcPr>
          <w:p w14:paraId="61B94A93" w14:textId="77777777" w:rsidR="00D016BE" w:rsidRPr="00C30B29" w:rsidRDefault="00D016BE" w:rsidP="00C30B29">
            <w:pPr>
              <w:spacing w:before="40" w:after="40"/>
              <w:rPr>
                <w:rFonts w:ascii="Arial" w:hAnsi="Arial" w:cs="Arial"/>
                <w:color w:val="FFFFFF" w:themeColor="background1"/>
                <w:sz w:val="18"/>
                <w:szCs w:val="18"/>
              </w:rPr>
            </w:pPr>
          </w:p>
        </w:tc>
        <w:tc>
          <w:tcPr>
            <w:tcW w:w="708" w:type="dxa"/>
            <w:shd w:val="clear" w:color="auto" w:fill="4F81BD" w:themeFill="accent1"/>
            <w:vAlign w:val="center"/>
            <w:hideMark/>
          </w:tcPr>
          <w:p w14:paraId="1C6ECE09" w14:textId="77777777" w:rsidR="00D016BE" w:rsidRPr="00C30B29" w:rsidRDefault="00D016BE" w:rsidP="00C30B2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sz w:val="18"/>
                <w:szCs w:val="18"/>
              </w:rPr>
            </w:pPr>
            <w:r w:rsidRPr="00C30B29">
              <w:rPr>
                <w:rFonts w:ascii="Arial" w:hAnsi="Arial" w:cs="Arial"/>
                <w:color w:val="FFFFFF"/>
                <w:sz w:val="18"/>
                <w:szCs w:val="18"/>
              </w:rPr>
              <w:t>Jul</w:t>
            </w:r>
          </w:p>
        </w:tc>
        <w:tc>
          <w:tcPr>
            <w:tcW w:w="709" w:type="dxa"/>
            <w:shd w:val="clear" w:color="auto" w:fill="4F81BD" w:themeFill="accent1"/>
            <w:vAlign w:val="center"/>
            <w:hideMark/>
          </w:tcPr>
          <w:p w14:paraId="61E2E092" w14:textId="77777777" w:rsidR="00D016BE" w:rsidRPr="00C30B29" w:rsidRDefault="00D016BE" w:rsidP="00C30B2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sz w:val="18"/>
                <w:szCs w:val="18"/>
              </w:rPr>
            </w:pPr>
            <w:r w:rsidRPr="00C30B29">
              <w:rPr>
                <w:rFonts w:ascii="Arial" w:hAnsi="Arial" w:cs="Arial"/>
                <w:color w:val="FFFFFF"/>
                <w:sz w:val="18"/>
                <w:szCs w:val="18"/>
              </w:rPr>
              <w:t>Ago</w:t>
            </w:r>
          </w:p>
        </w:tc>
        <w:tc>
          <w:tcPr>
            <w:tcW w:w="709" w:type="dxa"/>
            <w:shd w:val="clear" w:color="auto" w:fill="4F81BD" w:themeFill="accent1"/>
            <w:vAlign w:val="center"/>
            <w:hideMark/>
          </w:tcPr>
          <w:p w14:paraId="57CE2ECF" w14:textId="77777777" w:rsidR="00D016BE" w:rsidRPr="00C30B29" w:rsidRDefault="00D016BE" w:rsidP="00C30B2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sz w:val="18"/>
                <w:szCs w:val="18"/>
              </w:rPr>
            </w:pPr>
            <w:r w:rsidRPr="00C30B29">
              <w:rPr>
                <w:rFonts w:ascii="Arial" w:hAnsi="Arial" w:cs="Arial"/>
                <w:color w:val="FFFFFF"/>
                <w:sz w:val="18"/>
                <w:szCs w:val="18"/>
              </w:rPr>
              <w:t>Sep</w:t>
            </w:r>
          </w:p>
        </w:tc>
        <w:tc>
          <w:tcPr>
            <w:tcW w:w="709" w:type="dxa"/>
            <w:shd w:val="clear" w:color="auto" w:fill="4F81BD" w:themeFill="accent1"/>
            <w:vAlign w:val="center"/>
            <w:hideMark/>
          </w:tcPr>
          <w:p w14:paraId="1BE69903" w14:textId="77777777" w:rsidR="00D016BE" w:rsidRPr="00C30B29" w:rsidRDefault="00D016BE" w:rsidP="00C30B2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sz w:val="18"/>
                <w:szCs w:val="18"/>
              </w:rPr>
            </w:pPr>
            <w:r w:rsidRPr="00C30B29">
              <w:rPr>
                <w:rFonts w:ascii="Arial" w:hAnsi="Arial" w:cs="Arial"/>
                <w:color w:val="FFFFFF"/>
                <w:sz w:val="18"/>
                <w:szCs w:val="18"/>
              </w:rPr>
              <w:t>Jul</w:t>
            </w:r>
          </w:p>
        </w:tc>
        <w:tc>
          <w:tcPr>
            <w:tcW w:w="708" w:type="dxa"/>
            <w:shd w:val="clear" w:color="auto" w:fill="4F81BD" w:themeFill="accent1"/>
            <w:vAlign w:val="center"/>
            <w:hideMark/>
          </w:tcPr>
          <w:p w14:paraId="7888CB72" w14:textId="77777777" w:rsidR="00D016BE" w:rsidRPr="00C30B29" w:rsidRDefault="00D016BE" w:rsidP="00C30B2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sz w:val="18"/>
                <w:szCs w:val="18"/>
              </w:rPr>
            </w:pPr>
            <w:r w:rsidRPr="00C30B29">
              <w:rPr>
                <w:rFonts w:ascii="Arial" w:hAnsi="Arial" w:cs="Arial"/>
                <w:color w:val="FFFFFF"/>
                <w:sz w:val="18"/>
                <w:szCs w:val="18"/>
              </w:rPr>
              <w:t>Ago</w:t>
            </w:r>
          </w:p>
        </w:tc>
        <w:tc>
          <w:tcPr>
            <w:tcW w:w="709" w:type="dxa"/>
            <w:shd w:val="clear" w:color="auto" w:fill="4F81BD" w:themeFill="accent1"/>
            <w:vAlign w:val="center"/>
            <w:hideMark/>
          </w:tcPr>
          <w:p w14:paraId="32F1DFEF" w14:textId="77777777" w:rsidR="00D016BE" w:rsidRPr="00C30B29" w:rsidRDefault="00D016BE" w:rsidP="00C30B2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sz w:val="18"/>
                <w:szCs w:val="18"/>
              </w:rPr>
            </w:pPr>
            <w:r w:rsidRPr="00C30B29">
              <w:rPr>
                <w:rFonts w:ascii="Arial" w:hAnsi="Arial" w:cs="Arial"/>
                <w:color w:val="FFFFFF"/>
                <w:sz w:val="18"/>
                <w:szCs w:val="18"/>
              </w:rPr>
              <w:t>Sep</w:t>
            </w:r>
          </w:p>
        </w:tc>
        <w:tc>
          <w:tcPr>
            <w:tcW w:w="851" w:type="dxa"/>
            <w:shd w:val="clear" w:color="auto" w:fill="4F81BD" w:themeFill="accent1"/>
            <w:vAlign w:val="center"/>
            <w:hideMark/>
          </w:tcPr>
          <w:p w14:paraId="04288FB2" w14:textId="77777777" w:rsidR="00D016BE" w:rsidRPr="00C30B29" w:rsidRDefault="00D016BE" w:rsidP="00C30B2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sz w:val="18"/>
                <w:szCs w:val="18"/>
              </w:rPr>
            </w:pPr>
            <w:r w:rsidRPr="00C30B29">
              <w:rPr>
                <w:rFonts w:ascii="Arial" w:hAnsi="Arial" w:cs="Arial"/>
                <w:color w:val="FFFFFF"/>
                <w:sz w:val="18"/>
                <w:szCs w:val="18"/>
              </w:rPr>
              <w:t>Jul</w:t>
            </w:r>
          </w:p>
        </w:tc>
        <w:tc>
          <w:tcPr>
            <w:tcW w:w="850" w:type="dxa"/>
            <w:shd w:val="clear" w:color="auto" w:fill="4F81BD" w:themeFill="accent1"/>
            <w:vAlign w:val="center"/>
            <w:hideMark/>
          </w:tcPr>
          <w:p w14:paraId="231D5829" w14:textId="77777777" w:rsidR="00D016BE" w:rsidRPr="00C30B29" w:rsidRDefault="00D016BE" w:rsidP="00C30B2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sz w:val="18"/>
                <w:szCs w:val="18"/>
              </w:rPr>
            </w:pPr>
            <w:r w:rsidRPr="00C30B29">
              <w:rPr>
                <w:rFonts w:ascii="Arial" w:hAnsi="Arial" w:cs="Arial"/>
                <w:color w:val="FFFFFF"/>
                <w:sz w:val="18"/>
                <w:szCs w:val="18"/>
              </w:rPr>
              <w:t>Ago</w:t>
            </w:r>
          </w:p>
        </w:tc>
        <w:tc>
          <w:tcPr>
            <w:tcW w:w="851" w:type="dxa"/>
            <w:shd w:val="clear" w:color="auto" w:fill="4F81BD" w:themeFill="accent1"/>
            <w:vAlign w:val="center"/>
            <w:hideMark/>
          </w:tcPr>
          <w:p w14:paraId="37CBF516" w14:textId="77777777" w:rsidR="00D016BE" w:rsidRPr="00C30B29" w:rsidRDefault="00D016BE" w:rsidP="00C30B2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sz w:val="18"/>
                <w:szCs w:val="18"/>
              </w:rPr>
            </w:pPr>
            <w:r w:rsidRPr="00C30B29">
              <w:rPr>
                <w:rFonts w:ascii="Arial" w:hAnsi="Arial" w:cs="Arial"/>
                <w:color w:val="FFFFFF"/>
                <w:sz w:val="18"/>
                <w:szCs w:val="18"/>
              </w:rPr>
              <w:t>Sep</w:t>
            </w:r>
          </w:p>
        </w:tc>
      </w:tr>
      <w:tr w:rsidR="00AC4F46" w:rsidRPr="00C30B29" w14:paraId="3BB6B4BB"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0258F8E5" w14:textId="77777777" w:rsidR="00AC4F46" w:rsidRPr="00C30B29" w:rsidRDefault="00AC4F46" w:rsidP="00C30B29">
            <w:pPr>
              <w:spacing w:before="40" w:after="40"/>
              <w:rPr>
                <w:rFonts w:ascii="Arial" w:hAnsi="Arial" w:cs="Arial"/>
                <w:b w:val="0"/>
                <w:color w:val="0F243E"/>
                <w:sz w:val="18"/>
                <w:szCs w:val="18"/>
              </w:rPr>
            </w:pPr>
            <w:r w:rsidRPr="00C30B29">
              <w:rPr>
                <w:rFonts w:ascii="Arial" w:hAnsi="Arial" w:cs="Arial"/>
                <w:b w:val="0"/>
                <w:color w:val="0F243E"/>
                <w:sz w:val="18"/>
                <w:szCs w:val="18"/>
              </w:rPr>
              <w:t xml:space="preserve">Despacho del Ministro </w:t>
            </w:r>
          </w:p>
        </w:tc>
        <w:tc>
          <w:tcPr>
            <w:tcW w:w="708" w:type="dxa"/>
            <w:noWrap/>
            <w:vAlign w:val="center"/>
          </w:tcPr>
          <w:p w14:paraId="2A5108D0" w14:textId="3A0A2CD1"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581</w:t>
            </w:r>
          </w:p>
        </w:tc>
        <w:tc>
          <w:tcPr>
            <w:tcW w:w="709" w:type="dxa"/>
            <w:noWrap/>
            <w:vAlign w:val="center"/>
          </w:tcPr>
          <w:p w14:paraId="01CBE012" w14:textId="3366194E"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580</w:t>
            </w:r>
          </w:p>
        </w:tc>
        <w:tc>
          <w:tcPr>
            <w:tcW w:w="709" w:type="dxa"/>
            <w:noWrap/>
            <w:vAlign w:val="center"/>
          </w:tcPr>
          <w:p w14:paraId="055FC81E" w14:textId="6EE594D5"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574</w:t>
            </w:r>
          </w:p>
        </w:tc>
        <w:tc>
          <w:tcPr>
            <w:tcW w:w="709" w:type="dxa"/>
            <w:noWrap/>
            <w:vAlign w:val="center"/>
          </w:tcPr>
          <w:p w14:paraId="468CD582" w14:textId="788BA4DD"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573</w:t>
            </w:r>
          </w:p>
        </w:tc>
        <w:tc>
          <w:tcPr>
            <w:tcW w:w="708" w:type="dxa"/>
            <w:noWrap/>
            <w:vAlign w:val="center"/>
          </w:tcPr>
          <w:p w14:paraId="23E7A5F3" w14:textId="2040AB4C"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599</w:t>
            </w:r>
          </w:p>
        </w:tc>
        <w:tc>
          <w:tcPr>
            <w:tcW w:w="709" w:type="dxa"/>
            <w:noWrap/>
            <w:vAlign w:val="center"/>
          </w:tcPr>
          <w:p w14:paraId="08D61BA5" w14:textId="6BF84392"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579</w:t>
            </w:r>
          </w:p>
        </w:tc>
        <w:tc>
          <w:tcPr>
            <w:tcW w:w="851" w:type="dxa"/>
            <w:noWrap/>
            <w:vAlign w:val="center"/>
          </w:tcPr>
          <w:p w14:paraId="18EF3D8B"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w:t>
            </w:r>
          </w:p>
        </w:tc>
        <w:tc>
          <w:tcPr>
            <w:tcW w:w="850" w:type="dxa"/>
            <w:noWrap/>
            <w:vAlign w:val="center"/>
          </w:tcPr>
          <w:p w14:paraId="2D18C49B" w14:textId="7A7CBDA4" w:rsidR="00AC4F46" w:rsidRPr="00C30B29" w:rsidRDefault="009D76B8"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Pr>
                <w:rFonts w:ascii="Arial" w:hAnsi="Arial" w:cs="Arial"/>
                <w:color w:val="0F243E"/>
                <w:sz w:val="18"/>
                <w:szCs w:val="18"/>
              </w:rPr>
              <w:t>(</w:t>
            </w:r>
            <w:r w:rsidR="00AC4F46" w:rsidRPr="00C30B29">
              <w:rPr>
                <w:rFonts w:ascii="Arial" w:hAnsi="Arial" w:cs="Arial"/>
                <w:color w:val="0F243E"/>
                <w:sz w:val="18"/>
                <w:szCs w:val="18"/>
              </w:rPr>
              <w:t>3%</w:t>
            </w:r>
            <w:r>
              <w:rPr>
                <w:rFonts w:ascii="Arial" w:hAnsi="Arial" w:cs="Arial"/>
                <w:color w:val="0F243E"/>
                <w:sz w:val="18"/>
                <w:szCs w:val="18"/>
              </w:rPr>
              <w:t>)</w:t>
            </w:r>
          </w:p>
        </w:tc>
        <w:tc>
          <w:tcPr>
            <w:tcW w:w="851" w:type="dxa"/>
            <w:noWrap/>
            <w:vAlign w:val="center"/>
          </w:tcPr>
          <w:p w14:paraId="2A3B303F" w14:textId="314921E3" w:rsidR="00AC4F46" w:rsidRPr="00C30B29" w:rsidRDefault="0062493A"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Pr>
                <w:rFonts w:ascii="Arial" w:hAnsi="Arial" w:cs="Arial"/>
                <w:color w:val="0F243E"/>
                <w:sz w:val="18"/>
                <w:szCs w:val="18"/>
              </w:rPr>
              <w:t>(</w:t>
            </w:r>
            <w:r w:rsidR="00AC4F46" w:rsidRPr="00C30B29">
              <w:rPr>
                <w:rFonts w:ascii="Arial" w:hAnsi="Arial" w:cs="Arial"/>
                <w:color w:val="0F243E"/>
                <w:sz w:val="18"/>
                <w:szCs w:val="18"/>
              </w:rPr>
              <w:t>1%</w:t>
            </w:r>
            <w:r>
              <w:rPr>
                <w:rFonts w:ascii="Arial" w:hAnsi="Arial" w:cs="Arial"/>
                <w:color w:val="0F243E"/>
                <w:sz w:val="18"/>
                <w:szCs w:val="18"/>
              </w:rPr>
              <w:t>)</w:t>
            </w:r>
          </w:p>
        </w:tc>
      </w:tr>
      <w:tr w:rsidR="00AC4F46" w:rsidRPr="00C30B29" w14:paraId="11EDBD8F"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6B404D96" w14:textId="77777777" w:rsidR="00AC4F46" w:rsidRPr="00C30B29" w:rsidRDefault="00AC4F46" w:rsidP="00C30B29">
            <w:pPr>
              <w:spacing w:before="40" w:after="40"/>
              <w:rPr>
                <w:rFonts w:ascii="Arial" w:hAnsi="Arial" w:cs="Arial"/>
                <w:b w:val="0"/>
                <w:color w:val="0F243E"/>
                <w:sz w:val="18"/>
                <w:szCs w:val="18"/>
              </w:rPr>
            </w:pPr>
            <w:r w:rsidRPr="00C30B29">
              <w:rPr>
                <w:rFonts w:ascii="Arial" w:hAnsi="Arial" w:cs="Arial"/>
                <w:b w:val="0"/>
                <w:color w:val="0F243E"/>
                <w:sz w:val="18"/>
                <w:szCs w:val="18"/>
              </w:rPr>
              <w:t xml:space="preserve">Secretaría General </w:t>
            </w:r>
          </w:p>
        </w:tc>
        <w:tc>
          <w:tcPr>
            <w:tcW w:w="708" w:type="dxa"/>
            <w:noWrap/>
            <w:vAlign w:val="center"/>
          </w:tcPr>
          <w:p w14:paraId="1CED63AA" w14:textId="2E452463"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50</w:t>
            </w:r>
          </w:p>
        </w:tc>
        <w:tc>
          <w:tcPr>
            <w:tcW w:w="709" w:type="dxa"/>
            <w:noWrap/>
            <w:vAlign w:val="center"/>
          </w:tcPr>
          <w:p w14:paraId="5A152116" w14:textId="2D91B69E"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117</w:t>
            </w:r>
          </w:p>
        </w:tc>
        <w:tc>
          <w:tcPr>
            <w:tcW w:w="709" w:type="dxa"/>
            <w:noWrap/>
            <w:vAlign w:val="center"/>
          </w:tcPr>
          <w:p w14:paraId="77A328E6" w14:textId="071F92DD"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142</w:t>
            </w:r>
          </w:p>
        </w:tc>
        <w:tc>
          <w:tcPr>
            <w:tcW w:w="709" w:type="dxa"/>
            <w:noWrap/>
            <w:vAlign w:val="center"/>
          </w:tcPr>
          <w:p w14:paraId="4964EC93" w14:textId="1C48FAF0"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50</w:t>
            </w:r>
          </w:p>
        </w:tc>
        <w:tc>
          <w:tcPr>
            <w:tcW w:w="708" w:type="dxa"/>
            <w:noWrap/>
            <w:vAlign w:val="center"/>
          </w:tcPr>
          <w:p w14:paraId="3FD4A855" w14:textId="36CF832F"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50</w:t>
            </w:r>
          </w:p>
        </w:tc>
        <w:tc>
          <w:tcPr>
            <w:tcW w:w="709" w:type="dxa"/>
            <w:noWrap/>
            <w:vAlign w:val="center"/>
          </w:tcPr>
          <w:p w14:paraId="5C4A920E" w14:textId="51E86C2D"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49</w:t>
            </w:r>
          </w:p>
        </w:tc>
        <w:tc>
          <w:tcPr>
            <w:tcW w:w="851" w:type="dxa"/>
            <w:noWrap/>
            <w:vAlign w:val="center"/>
          </w:tcPr>
          <w:p w14:paraId="33D2005F"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0%</w:t>
            </w:r>
          </w:p>
        </w:tc>
        <w:tc>
          <w:tcPr>
            <w:tcW w:w="850" w:type="dxa"/>
            <w:noWrap/>
            <w:vAlign w:val="center"/>
          </w:tcPr>
          <w:p w14:paraId="1A651BD3"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134%</w:t>
            </w:r>
          </w:p>
        </w:tc>
        <w:tc>
          <w:tcPr>
            <w:tcW w:w="851" w:type="dxa"/>
            <w:noWrap/>
            <w:vAlign w:val="center"/>
          </w:tcPr>
          <w:p w14:paraId="33E922ED"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187%</w:t>
            </w:r>
          </w:p>
        </w:tc>
      </w:tr>
      <w:tr w:rsidR="00AC4F46" w:rsidRPr="00C30B29" w14:paraId="1D19DBC8"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688DDA28" w14:textId="77777777" w:rsidR="00AC4F46" w:rsidRPr="00C30B29" w:rsidRDefault="00AC4F46" w:rsidP="00C30B29">
            <w:pPr>
              <w:spacing w:before="40" w:after="40"/>
              <w:rPr>
                <w:rFonts w:ascii="Arial" w:hAnsi="Arial" w:cs="Arial"/>
                <w:b w:val="0"/>
                <w:color w:val="0F243E"/>
                <w:sz w:val="18"/>
                <w:szCs w:val="18"/>
              </w:rPr>
            </w:pPr>
            <w:r w:rsidRPr="00C30B29">
              <w:rPr>
                <w:rFonts w:ascii="Arial" w:hAnsi="Arial" w:cs="Arial"/>
                <w:b w:val="0"/>
                <w:color w:val="0F243E"/>
                <w:sz w:val="18"/>
                <w:szCs w:val="18"/>
              </w:rPr>
              <w:t>Despacho del Viceministro Técnico</w:t>
            </w:r>
          </w:p>
        </w:tc>
        <w:tc>
          <w:tcPr>
            <w:tcW w:w="708" w:type="dxa"/>
            <w:noWrap/>
            <w:vAlign w:val="center"/>
          </w:tcPr>
          <w:p w14:paraId="24F72E1D" w14:textId="5C8AECD6"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173</w:t>
            </w:r>
          </w:p>
        </w:tc>
        <w:tc>
          <w:tcPr>
            <w:tcW w:w="709" w:type="dxa"/>
            <w:noWrap/>
            <w:vAlign w:val="center"/>
          </w:tcPr>
          <w:p w14:paraId="39B0D27F" w14:textId="58ACBC8F"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171</w:t>
            </w:r>
          </w:p>
        </w:tc>
        <w:tc>
          <w:tcPr>
            <w:tcW w:w="709" w:type="dxa"/>
            <w:noWrap/>
            <w:vAlign w:val="center"/>
          </w:tcPr>
          <w:p w14:paraId="4F88224F" w14:textId="75CAAC96"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163</w:t>
            </w:r>
          </w:p>
        </w:tc>
        <w:tc>
          <w:tcPr>
            <w:tcW w:w="709" w:type="dxa"/>
            <w:noWrap/>
            <w:vAlign w:val="center"/>
          </w:tcPr>
          <w:p w14:paraId="3499182D" w14:textId="7B4BF33F"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104</w:t>
            </w:r>
          </w:p>
        </w:tc>
        <w:tc>
          <w:tcPr>
            <w:tcW w:w="708" w:type="dxa"/>
            <w:noWrap/>
            <w:vAlign w:val="center"/>
          </w:tcPr>
          <w:p w14:paraId="70414A44" w14:textId="2BBFA25D"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109</w:t>
            </w:r>
          </w:p>
        </w:tc>
        <w:tc>
          <w:tcPr>
            <w:tcW w:w="709" w:type="dxa"/>
            <w:noWrap/>
            <w:vAlign w:val="center"/>
          </w:tcPr>
          <w:p w14:paraId="13CAFD54" w14:textId="71C4819B"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100</w:t>
            </w:r>
          </w:p>
        </w:tc>
        <w:tc>
          <w:tcPr>
            <w:tcW w:w="851" w:type="dxa"/>
            <w:noWrap/>
            <w:vAlign w:val="center"/>
          </w:tcPr>
          <w:p w14:paraId="6D654545"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67%</w:t>
            </w:r>
          </w:p>
        </w:tc>
        <w:tc>
          <w:tcPr>
            <w:tcW w:w="850" w:type="dxa"/>
            <w:noWrap/>
            <w:vAlign w:val="center"/>
          </w:tcPr>
          <w:p w14:paraId="611F6C63"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57%</w:t>
            </w:r>
          </w:p>
        </w:tc>
        <w:tc>
          <w:tcPr>
            <w:tcW w:w="851" w:type="dxa"/>
            <w:noWrap/>
            <w:vAlign w:val="center"/>
          </w:tcPr>
          <w:p w14:paraId="0D8E09C7"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63%</w:t>
            </w:r>
          </w:p>
        </w:tc>
      </w:tr>
      <w:tr w:rsidR="00AC4F46" w:rsidRPr="00C30B29" w14:paraId="58595BC9"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04113BE3" w14:textId="77777777" w:rsidR="00AC4F46" w:rsidRPr="00C30B29" w:rsidRDefault="00AC4F46" w:rsidP="00C30B29">
            <w:pPr>
              <w:spacing w:before="40" w:after="40"/>
              <w:rPr>
                <w:rFonts w:ascii="Arial" w:hAnsi="Arial" w:cs="Arial"/>
                <w:b w:val="0"/>
                <w:color w:val="0F243E"/>
                <w:sz w:val="18"/>
                <w:szCs w:val="18"/>
              </w:rPr>
            </w:pPr>
            <w:r w:rsidRPr="00C30B29">
              <w:rPr>
                <w:rFonts w:ascii="Arial" w:hAnsi="Arial" w:cs="Arial"/>
                <w:b w:val="0"/>
                <w:color w:val="0F243E"/>
                <w:sz w:val="18"/>
                <w:szCs w:val="18"/>
              </w:rPr>
              <w:t>Despacho del Viceministerio General</w:t>
            </w:r>
          </w:p>
        </w:tc>
        <w:tc>
          <w:tcPr>
            <w:tcW w:w="708" w:type="dxa"/>
            <w:noWrap/>
            <w:vAlign w:val="center"/>
          </w:tcPr>
          <w:p w14:paraId="243317BB" w14:textId="1AACFD83"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146</w:t>
            </w:r>
          </w:p>
        </w:tc>
        <w:tc>
          <w:tcPr>
            <w:tcW w:w="709" w:type="dxa"/>
            <w:noWrap/>
            <w:vAlign w:val="center"/>
          </w:tcPr>
          <w:p w14:paraId="5722377A" w14:textId="79865B22"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126</w:t>
            </w:r>
          </w:p>
        </w:tc>
        <w:tc>
          <w:tcPr>
            <w:tcW w:w="709" w:type="dxa"/>
            <w:noWrap/>
            <w:vAlign w:val="center"/>
          </w:tcPr>
          <w:p w14:paraId="56B7154A" w14:textId="326331AC"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132</w:t>
            </w:r>
          </w:p>
        </w:tc>
        <w:tc>
          <w:tcPr>
            <w:tcW w:w="709" w:type="dxa"/>
            <w:noWrap/>
            <w:vAlign w:val="center"/>
          </w:tcPr>
          <w:p w14:paraId="48B8AD25" w14:textId="227552F3"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135</w:t>
            </w:r>
          </w:p>
        </w:tc>
        <w:tc>
          <w:tcPr>
            <w:tcW w:w="708" w:type="dxa"/>
            <w:noWrap/>
            <w:vAlign w:val="center"/>
          </w:tcPr>
          <w:p w14:paraId="6FD7488B" w14:textId="09FC085A"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97</w:t>
            </w:r>
          </w:p>
        </w:tc>
        <w:tc>
          <w:tcPr>
            <w:tcW w:w="709" w:type="dxa"/>
            <w:noWrap/>
            <w:vAlign w:val="center"/>
          </w:tcPr>
          <w:p w14:paraId="3106F01D" w14:textId="24D91088"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131</w:t>
            </w:r>
          </w:p>
        </w:tc>
        <w:tc>
          <w:tcPr>
            <w:tcW w:w="851" w:type="dxa"/>
            <w:noWrap/>
            <w:vAlign w:val="center"/>
          </w:tcPr>
          <w:p w14:paraId="72364680"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8%</w:t>
            </w:r>
          </w:p>
        </w:tc>
        <w:tc>
          <w:tcPr>
            <w:tcW w:w="850" w:type="dxa"/>
            <w:noWrap/>
            <w:vAlign w:val="center"/>
          </w:tcPr>
          <w:p w14:paraId="273B7EA8"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30%</w:t>
            </w:r>
          </w:p>
        </w:tc>
        <w:tc>
          <w:tcPr>
            <w:tcW w:w="851" w:type="dxa"/>
            <w:noWrap/>
            <w:vAlign w:val="center"/>
          </w:tcPr>
          <w:p w14:paraId="3076CB13"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w:t>
            </w:r>
          </w:p>
        </w:tc>
      </w:tr>
      <w:tr w:rsidR="00AC4F46" w:rsidRPr="00C30B29" w14:paraId="51422BDA"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77231D96" w14:textId="77777777" w:rsidR="00AC4F46" w:rsidRPr="00C30B29" w:rsidRDefault="00AC4F46" w:rsidP="00C30B29">
            <w:pPr>
              <w:spacing w:before="40" w:after="40"/>
              <w:rPr>
                <w:rFonts w:ascii="Arial" w:hAnsi="Arial" w:cs="Arial"/>
                <w:b w:val="0"/>
                <w:color w:val="0F243E"/>
                <w:sz w:val="18"/>
                <w:szCs w:val="18"/>
              </w:rPr>
            </w:pPr>
            <w:r w:rsidRPr="00C30B29">
              <w:rPr>
                <w:rFonts w:ascii="Arial" w:hAnsi="Arial" w:cs="Arial"/>
                <w:b w:val="0"/>
                <w:color w:val="0F243E"/>
                <w:sz w:val="18"/>
                <w:szCs w:val="18"/>
              </w:rPr>
              <w:t>Dirección Administrativa</w:t>
            </w:r>
          </w:p>
        </w:tc>
        <w:tc>
          <w:tcPr>
            <w:tcW w:w="708" w:type="dxa"/>
            <w:noWrap/>
            <w:vAlign w:val="center"/>
          </w:tcPr>
          <w:p w14:paraId="1932EF18" w14:textId="365BEED9"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46</w:t>
            </w:r>
          </w:p>
        </w:tc>
        <w:tc>
          <w:tcPr>
            <w:tcW w:w="709" w:type="dxa"/>
            <w:noWrap/>
            <w:vAlign w:val="center"/>
          </w:tcPr>
          <w:p w14:paraId="520B18E6" w14:textId="7FE6D292"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100</w:t>
            </w:r>
          </w:p>
        </w:tc>
        <w:tc>
          <w:tcPr>
            <w:tcW w:w="709" w:type="dxa"/>
            <w:noWrap/>
            <w:vAlign w:val="center"/>
          </w:tcPr>
          <w:p w14:paraId="0EC71DB4" w14:textId="55291FC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100</w:t>
            </w:r>
          </w:p>
        </w:tc>
        <w:tc>
          <w:tcPr>
            <w:tcW w:w="709" w:type="dxa"/>
            <w:noWrap/>
            <w:vAlign w:val="center"/>
          </w:tcPr>
          <w:p w14:paraId="07CB3652" w14:textId="25B4EF22"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115</w:t>
            </w:r>
          </w:p>
        </w:tc>
        <w:tc>
          <w:tcPr>
            <w:tcW w:w="708" w:type="dxa"/>
            <w:noWrap/>
            <w:vAlign w:val="center"/>
          </w:tcPr>
          <w:p w14:paraId="19EF968C" w14:textId="2946BD06"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95</w:t>
            </w:r>
          </w:p>
        </w:tc>
        <w:tc>
          <w:tcPr>
            <w:tcW w:w="709" w:type="dxa"/>
            <w:noWrap/>
            <w:vAlign w:val="center"/>
          </w:tcPr>
          <w:p w14:paraId="176F3986" w14:textId="19CE6892"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93</w:t>
            </w:r>
          </w:p>
        </w:tc>
        <w:tc>
          <w:tcPr>
            <w:tcW w:w="851" w:type="dxa"/>
            <w:noWrap/>
            <w:vAlign w:val="center"/>
          </w:tcPr>
          <w:p w14:paraId="20FE9A28" w14:textId="02F24B85" w:rsidR="00AC4F46" w:rsidRPr="00C30B29" w:rsidRDefault="009D76B8"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Pr>
                <w:rFonts w:ascii="Arial" w:hAnsi="Arial" w:cs="Arial"/>
                <w:color w:val="0F243E"/>
                <w:sz w:val="18"/>
                <w:szCs w:val="18"/>
              </w:rPr>
              <w:t>(</w:t>
            </w:r>
            <w:r w:rsidR="00AC4F46" w:rsidRPr="00C30B29">
              <w:rPr>
                <w:rFonts w:ascii="Arial" w:hAnsi="Arial" w:cs="Arial"/>
                <w:color w:val="0F243E"/>
                <w:sz w:val="18"/>
                <w:szCs w:val="18"/>
              </w:rPr>
              <w:t>60%</w:t>
            </w:r>
            <w:r>
              <w:rPr>
                <w:rFonts w:ascii="Arial" w:hAnsi="Arial" w:cs="Arial"/>
                <w:color w:val="0F243E"/>
                <w:sz w:val="18"/>
                <w:szCs w:val="18"/>
              </w:rPr>
              <w:t>)</w:t>
            </w:r>
          </w:p>
        </w:tc>
        <w:tc>
          <w:tcPr>
            <w:tcW w:w="850" w:type="dxa"/>
            <w:noWrap/>
            <w:vAlign w:val="center"/>
          </w:tcPr>
          <w:p w14:paraId="626CA727"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6%</w:t>
            </w:r>
          </w:p>
        </w:tc>
        <w:tc>
          <w:tcPr>
            <w:tcW w:w="851" w:type="dxa"/>
            <w:noWrap/>
            <w:vAlign w:val="center"/>
          </w:tcPr>
          <w:p w14:paraId="7D556CF7"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8%</w:t>
            </w:r>
          </w:p>
        </w:tc>
      </w:tr>
      <w:tr w:rsidR="00AC4F46" w:rsidRPr="00C30B29" w14:paraId="27F1B5F7"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7299283A" w14:textId="77777777" w:rsidR="00AC4F46" w:rsidRPr="00C30B29" w:rsidRDefault="00AC4F46" w:rsidP="00C30B29">
            <w:pPr>
              <w:spacing w:before="40" w:after="40"/>
              <w:rPr>
                <w:rFonts w:ascii="Arial" w:hAnsi="Arial" w:cs="Arial"/>
                <w:b w:val="0"/>
                <w:color w:val="0F243E"/>
                <w:sz w:val="18"/>
                <w:szCs w:val="18"/>
              </w:rPr>
            </w:pPr>
            <w:r w:rsidRPr="00C30B29">
              <w:rPr>
                <w:rFonts w:ascii="Arial" w:hAnsi="Arial" w:cs="Arial"/>
                <w:b w:val="0"/>
                <w:color w:val="0F243E"/>
                <w:sz w:val="18"/>
                <w:szCs w:val="18"/>
              </w:rPr>
              <w:t>Dirección General del Presupuesto Público Nacional</w:t>
            </w:r>
          </w:p>
        </w:tc>
        <w:tc>
          <w:tcPr>
            <w:tcW w:w="708" w:type="dxa"/>
            <w:noWrap/>
            <w:vAlign w:val="center"/>
          </w:tcPr>
          <w:p w14:paraId="78A937B2" w14:textId="1E8E7744"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144</w:t>
            </w:r>
          </w:p>
        </w:tc>
        <w:tc>
          <w:tcPr>
            <w:tcW w:w="709" w:type="dxa"/>
            <w:noWrap/>
            <w:vAlign w:val="center"/>
          </w:tcPr>
          <w:p w14:paraId="0ECAA6F8" w14:textId="5A823774"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135</w:t>
            </w:r>
          </w:p>
        </w:tc>
        <w:tc>
          <w:tcPr>
            <w:tcW w:w="709" w:type="dxa"/>
            <w:noWrap/>
            <w:vAlign w:val="center"/>
          </w:tcPr>
          <w:p w14:paraId="0F7442F3" w14:textId="31740291"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165</w:t>
            </w:r>
          </w:p>
        </w:tc>
        <w:tc>
          <w:tcPr>
            <w:tcW w:w="709" w:type="dxa"/>
            <w:noWrap/>
            <w:vAlign w:val="center"/>
          </w:tcPr>
          <w:p w14:paraId="7A39295C" w14:textId="0F6BD8CF"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44</w:t>
            </w:r>
          </w:p>
        </w:tc>
        <w:tc>
          <w:tcPr>
            <w:tcW w:w="708" w:type="dxa"/>
            <w:noWrap/>
            <w:vAlign w:val="center"/>
          </w:tcPr>
          <w:p w14:paraId="7DF49A64" w14:textId="3769484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49</w:t>
            </w:r>
          </w:p>
        </w:tc>
        <w:tc>
          <w:tcPr>
            <w:tcW w:w="709" w:type="dxa"/>
            <w:noWrap/>
            <w:vAlign w:val="center"/>
          </w:tcPr>
          <w:p w14:paraId="2BD3E4CB" w14:textId="5D06A5C8"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48</w:t>
            </w:r>
          </w:p>
        </w:tc>
        <w:tc>
          <w:tcPr>
            <w:tcW w:w="851" w:type="dxa"/>
            <w:noWrap/>
            <w:vAlign w:val="center"/>
          </w:tcPr>
          <w:p w14:paraId="7AFCF9F6"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230%</w:t>
            </w:r>
          </w:p>
        </w:tc>
        <w:tc>
          <w:tcPr>
            <w:tcW w:w="850" w:type="dxa"/>
            <w:noWrap/>
            <w:vAlign w:val="center"/>
          </w:tcPr>
          <w:p w14:paraId="560E57BD"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174%</w:t>
            </w:r>
          </w:p>
        </w:tc>
        <w:tc>
          <w:tcPr>
            <w:tcW w:w="851" w:type="dxa"/>
            <w:noWrap/>
            <w:vAlign w:val="center"/>
          </w:tcPr>
          <w:p w14:paraId="7F48D3C9"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241%</w:t>
            </w:r>
          </w:p>
        </w:tc>
      </w:tr>
      <w:tr w:rsidR="00AC4F46" w:rsidRPr="00C30B29" w14:paraId="6BB17459"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7EDE8697" w14:textId="77777777" w:rsidR="00AC4F46" w:rsidRPr="00C30B29" w:rsidRDefault="00AC4F46" w:rsidP="00C30B29">
            <w:pPr>
              <w:spacing w:before="40" w:after="40"/>
              <w:rPr>
                <w:rFonts w:ascii="Arial" w:hAnsi="Arial" w:cs="Arial"/>
                <w:b w:val="0"/>
                <w:color w:val="0F243E"/>
                <w:sz w:val="18"/>
                <w:szCs w:val="18"/>
              </w:rPr>
            </w:pPr>
            <w:r w:rsidRPr="00C30B29">
              <w:rPr>
                <w:rFonts w:ascii="Arial" w:hAnsi="Arial" w:cs="Arial"/>
                <w:b w:val="0"/>
                <w:color w:val="0F243E"/>
                <w:sz w:val="18"/>
                <w:szCs w:val="18"/>
              </w:rPr>
              <w:t>Dirección General de Crédito Público y Tesoro Nacional</w:t>
            </w:r>
          </w:p>
        </w:tc>
        <w:tc>
          <w:tcPr>
            <w:tcW w:w="708" w:type="dxa"/>
            <w:noWrap/>
            <w:vAlign w:val="center"/>
          </w:tcPr>
          <w:p w14:paraId="39DE4219" w14:textId="62C006D9"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100</w:t>
            </w:r>
          </w:p>
        </w:tc>
        <w:tc>
          <w:tcPr>
            <w:tcW w:w="709" w:type="dxa"/>
            <w:noWrap/>
            <w:vAlign w:val="center"/>
          </w:tcPr>
          <w:p w14:paraId="1E9A7AA6" w14:textId="7BD3A82B"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100</w:t>
            </w:r>
          </w:p>
        </w:tc>
        <w:tc>
          <w:tcPr>
            <w:tcW w:w="709" w:type="dxa"/>
            <w:noWrap/>
            <w:vAlign w:val="center"/>
          </w:tcPr>
          <w:p w14:paraId="275FE34F" w14:textId="250EC9DF"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100</w:t>
            </w:r>
          </w:p>
        </w:tc>
        <w:tc>
          <w:tcPr>
            <w:tcW w:w="709" w:type="dxa"/>
            <w:noWrap/>
            <w:vAlign w:val="center"/>
          </w:tcPr>
          <w:p w14:paraId="24A01F99" w14:textId="4363353F"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100</w:t>
            </w:r>
          </w:p>
        </w:tc>
        <w:tc>
          <w:tcPr>
            <w:tcW w:w="708" w:type="dxa"/>
            <w:noWrap/>
            <w:vAlign w:val="center"/>
          </w:tcPr>
          <w:p w14:paraId="2DE8F884" w14:textId="4FFE9C6F"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99</w:t>
            </w:r>
          </w:p>
        </w:tc>
        <w:tc>
          <w:tcPr>
            <w:tcW w:w="709" w:type="dxa"/>
            <w:noWrap/>
            <w:vAlign w:val="center"/>
          </w:tcPr>
          <w:p w14:paraId="5D92A1D0" w14:textId="75C43366"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100</w:t>
            </w:r>
          </w:p>
        </w:tc>
        <w:tc>
          <w:tcPr>
            <w:tcW w:w="851" w:type="dxa"/>
            <w:noWrap/>
            <w:vAlign w:val="center"/>
          </w:tcPr>
          <w:p w14:paraId="5D569BCD"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0%</w:t>
            </w:r>
          </w:p>
        </w:tc>
        <w:tc>
          <w:tcPr>
            <w:tcW w:w="850" w:type="dxa"/>
            <w:noWrap/>
            <w:vAlign w:val="center"/>
          </w:tcPr>
          <w:p w14:paraId="5EA3EF3F"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w:t>
            </w:r>
          </w:p>
        </w:tc>
        <w:tc>
          <w:tcPr>
            <w:tcW w:w="851" w:type="dxa"/>
            <w:noWrap/>
            <w:vAlign w:val="center"/>
          </w:tcPr>
          <w:p w14:paraId="521E33AE" w14:textId="77777777"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0%</w:t>
            </w:r>
          </w:p>
        </w:tc>
      </w:tr>
      <w:tr w:rsidR="00AC4F46" w:rsidRPr="00C30B29" w14:paraId="54D3F84B"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11C967E1" w14:textId="77777777" w:rsidR="00AC4F46" w:rsidRPr="00C30B29" w:rsidRDefault="00AC4F46" w:rsidP="00C30B29">
            <w:pPr>
              <w:spacing w:before="40" w:after="40"/>
              <w:rPr>
                <w:rFonts w:ascii="Arial" w:hAnsi="Arial" w:cs="Arial"/>
                <w:b w:val="0"/>
                <w:color w:val="0F243E"/>
                <w:sz w:val="18"/>
                <w:szCs w:val="18"/>
              </w:rPr>
            </w:pPr>
            <w:r w:rsidRPr="00C30B29">
              <w:rPr>
                <w:rFonts w:ascii="Arial" w:hAnsi="Arial" w:cs="Arial"/>
                <w:b w:val="0"/>
                <w:color w:val="0F243E"/>
                <w:sz w:val="18"/>
                <w:szCs w:val="18"/>
              </w:rPr>
              <w:t>Dirección General de Apoyo Fiscal</w:t>
            </w:r>
          </w:p>
        </w:tc>
        <w:tc>
          <w:tcPr>
            <w:tcW w:w="708" w:type="dxa"/>
            <w:noWrap/>
            <w:vAlign w:val="center"/>
          </w:tcPr>
          <w:p w14:paraId="76A2EBCA" w14:textId="02F4D189"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60</w:t>
            </w:r>
          </w:p>
        </w:tc>
        <w:tc>
          <w:tcPr>
            <w:tcW w:w="709" w:type="dxa"/>
            <w:noWrap/>
            <w:vAlign w:val="center"/>
          </w:tcPr>
          <w:p w14:paraId="633CA868" w14:textId="05172374"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71</w:t>
            </w:r>
          </w:p>
        </w:tc>
        <w:tc>
          <w:tcPr>
            <w:tcW w:w="709" w:type="dxa"/>
            <w:noWrap/>
            <w:vAlign w:val="center"/>
          </w:tcPr>
          <w:p w14:paraId="291579B8" w14:textId="1E204755"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76</w:t>
            </w:r>
          </w:p>
        </w:tc>
        <w:tc>
          <w:tcPr>
            <w:tcW w:w="709" w:type="dxa"/>
            <w:noWrap/>
            <w:vAlign w:val="center"/>
          </w:tcPr>
          <w:p w14:paraId="37EB5CD0" w14:textId="575D4C23"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106</w:t>
            </w:r>
          </w:p>
        </w:tc>
        <w:tc>
          <w:tcPr>
            <w:tcW w:w="708" w:type="dxa"/>
            <w:noWrap/>
            <w:vAlign w:val="center"/>
          </w:tcPr>
          <w:p w14:paraId="5B5470A7" w14:textId="313EC6C3"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117</w:t>
            </w:r>
          </w:p>
        </w:tc>
        <w:tc>
          <w:tcPr>
            <w:tcW w:w="709" w:type="dxa"/>
            <w:noWrap/>
            <w:vAlign w:val="center"/>
          </w:tcPr>
          <w:p w14:paraId="51728F62" w14:textId="505BFDD5" w:rsidR="00AC4F46" w:rsidRPr="00C30B29" w:rsidRDefault="00AC4F46"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C30B29">
              <w:rPr>
                <w:rFonts w:ascii="Arial" w:hAnsi="Arial" w:cs="Arial"/>
                <w:color w:val="0F243E"/>
                <w:sz w:val="18"/>
                <w:szCs w:val="18"/>
              </w:rPr>
              <w:t>104</w:t>
            </w:r>
          </w:p>
        </w:tc>
        <w:tc>
          <w:tcPr>
            <w:tcW w:w="851" w:type="dxa"/>
            <w:noWrap/>
            <w:vAlign w:val="center"/>
          </w:tcPr>
          <w:p w14:paraId="32F37ED7" w14:textId="78EC7E40" w:rsidR="00AC4F46" w:rsidRPr="00C30B29" w:rsidRDefault="0062493A"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Pr>
                <w:rFonts w:ascii="Arial" w:hAnsi="Arial" w:cs="Arial"/>
                <w:color w:val="0F243E"/>
                <w:sz w:val="18"/>
                <w:szCs w:val="18"/>
              </w:rPr>
              <w:t>(</w:t>
            </w:r>
            <w:r w:rsidR="00AC4F46" w:rsidRPr="00C30B29">
              <w:rPr>
                <w:rFonts w:ascii="Arial" w:hAnsi="Arial" w:cs="Arial"/>
                <w:color w:val="0F243E"/>
                <w:sz w:val="18"/>
                <w:szCs w:val="18"/>
              </w:rPr>
              <w:t>44%</w:t>
            </w:r>
            <w:r>
              <w:rPr>
                <w:rFonts w:ascii="Arial" w:hAnsi="Arial" w:cs="Arial"/>
                <w:color w:val="0F243E"/>
                <w:sz w:val="18"/>
                <w:szCs w:val="18"/>
              </w:rPr>
              <w:t>)</w:t>
            </w:r>
          </w:p>
        </w:tc>
        <w:tc>
          <w:tcPr>
            <w:tcW w:w="850" w:type="dxa"/>
            <w:noWrap/>
            <w:vAlign w:val="center"/>
          </w:tcPr>
          <w:p w14:paraId="4255C896" w14:textId="4C623DB0" w:rsidR="00AC4F46" w:rsidRPr="00C30B29" w:rsidRDefault="0062493A"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Pr>
                <w:rFonts w:ascii="Arial" w:hAnsi="Arial" w:cs="Arial"/>
                <w:color w:val="0F243E"/>
                <w:sz w:val="18"/>
                <w:szCs w:val="18"/>
              </w:rPr>
              <w:t>(</w:t>
            </w:r>
            <w:r w:rsidR="00AC4F46" w:rsidRPr="00C30B29">
              <w:rPr>
                <w:rFonts w:ascii="Arial" w:hAnsi="Arial" w:cs="Arial"/>
                <w:color w:val="0F243E"/>
                <w:sz w:val="18"/>
                <w:szCs w:val="18"/>
              </w:rPr>
              <w:t>39%</w:t>
            </w:r>
            <w:r>
              <w:rPr>
                <w:rFonts w:ascii="Arial" w:hAnsi="Arial" w:cs="Arial"/>
                <w:color w:val="0F243E"/>
                <w:sz w:val="18"/>
                <w:szCs w:val="18"/>
              </w:rPr>
              <w:t>)</w:t>
            </w:r>
          </w:p>
        </w:tc>
        <w:tc>
          <w:tcPr>
            <w:tcW w:w="851" w:type="dxa"/>
            <w:noWrap/>
            <w:vAlign w:val="center"/>
          </w:tcPr>
          <w:p w14:paraId="6FFCEB18" w14:textId="563D9DAA" w:rsidR="00AC4F46" w:rsidRPr="00C30B29" w:rsidRDefault="0062493A" w:rsidP="007D4B0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Pr>
                <w:rFonts w:ascii="Arial" w:hAnsi="Arial" w:cs="Arial"/>
                <w:color w:val="0F243E"/>
                <w:sz w:val="18"/>
                <w:szCs w:val="18"/>
              </w:rPr>
              <w:t>(</w:t>
            </w:r>
            <w:r w:rsidR="00AC4F46" w:rsidRPr="00C30B29">
              <w:rPr>
                <w:rFonts w:ascii="Arial" w:hAnsi="Arial" w:cs="Arial"/>
                <w:color w:val="0F243E"/>
                <w:sz w:val="18"/>
                <w:szCs w:val="18"/>
              </w:rPr>
              <w:t>28%</w:t>
            </w:r>
            <w:r>
              <w:rPr>
                <w:rFonts w:ascii="Arial" w:hAnsi="Arial" w:cs="Arial"/>
                <w:color w:val="0F243E"/>
                <w:sz w:val="18"/>
                <w:szCs w:val="18"/>
              </w:rPr>
              <w:t>)</w:t>
            </w:r>
          </w:p>
        </w:tc>
      </w:tr>
      <w:tr w:rsidR="00AC4F46" w:rsidRPr="00C30B29" w14:paraId="6A03FD23"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62E949C2"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lastRenderedPageBreak/>
              <w:t xml:space="preserve"> Dirección General de Política de Macroeconómica </w:t>
            </w:r>
          </w:p>
        </w:tc>
        <w:tc>
          <w:tcPr>
            <w:tcW w:w="708" w:type="dxa"/>
            <w:noWrap/>
            <w:vAlign w:val="center"/>
          </w:tcPr>
          <w:p w14:paraId="2ABF82A0" w14:textId="7425A9CB"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709" w:type="dxa"/>
            <w:noWrap/>
            <w:vAlign w:val="center"/>
          </w:tcPr>
          <w:p w14:paraId="1003043A" w14:textId="63EFD3A5"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709" w:type="dxa"/>
            <w:noWrap/>
            <w:vAlign w:val="center"/>
          </w:tcPr>
          <w:p w14:paraId="5EC5DF37" w14:textId="0297475F"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709" w:type="dxa"/>
            <w:noWrap/>
            <w:vAlign w:val="center"/>
          </w:tcPr>
          <w:p w14:paraId="68111905" w14:textId="2664D98A"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55</w:t>
            </w:r>
          </w:p>
        </w:tc>
        <w:tc>
          <w:tcPr>
            <w:tcW w:w="708" w:type="dxa"/>
            <w:noWrap/>
            <w:vAlign w:val="center"/>
          </w:tcPr>
          <w:p w14:paraId="72F9BF10" w14:textId="05FA5A92"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9" w:type="dxa"/>
            <w:noWrap/>
            <w:vAlign w:val="center"/>
          </w:tcPr>
          <w:p w14:paraId="7223B861" w14:textId="707158C2"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851" w:type="dxa"/>
            <w:noWrap/>
            <w:vAlign w:val="center"/>
          </w:tcPr>
          <w:p w14:paraId="5F654CE9" w14:textId="77777777" w:rsidR="00AC4F46" w:rsidRPr="00FB7EA4"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82%</w:t>
            </w:r>
          </w:p>
        </w:tc>
        <w:tc>
          <w:tcPr>
            <w:tcW w:w="850" w:type="dxa"/>
            <w:noWrap/>
            <w:vAlign w:val="center"/>
          </w:tcPr>
          <w:p w14:paraId="4C44613B" w14:textId="77777777" w:rsidR="00AC4F46" w:rsidRPr="00FB7EA4" w:rsidRDefault="00F40093"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851" w:type="dxa"/>
            <w:noWrap/>
            <w:vAlign w:val="center"/>
          </w:tcPr>
          <w:p w14:paraId="7653056C" w14:textId="77777777" w:rsidR="00AC4F46" w:rsidRPr="00FB7EA4" w:rsidRDefault="00F40093"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r>
      <w:tr w:rsidR="00AC4F46" w:rsidRPr="00C30B29" w14:paraId="4FB0CEF0"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36132020"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Dirección General de Participaciones Estatales</w:t>
            </w:r>
          </w:p>
        </w:tc>
        <w:tc>
          <w:tcPr>
            <w:tcW w:w="708" w:type="dxa"/>
            <w:noWrap/>
            <w:vAlign w:val="center"/>
          </w:tcPr>
          <w:p w14:paraId="16C4417F" w14:textId="4766F822"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709" w:type="dxa"/>
            <w:noWrap/>
            <w:vAlign w:val="center"/>
          </w:tcPr>
          <w:p w14:paraId="02115EC3" w14:textId="544A16ED"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96</w:t>
            </w:r>
          </w:p>
        </w:tc>
        <w:tc>
          <w:tcPr>
            <w:tcW w:w="709" w:type="dxa"/>
            <w:noWrap/>
            <w:vAlign w:val="center"/>
          </w:tcPr>
          <w:p w14:paraId="6F6D061A" w14:textId="77CE0BC2"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87</w:t>
            </w:r>
          </w:p>
        </w:tc>
        <w:tc>
          <w:tcPr>
            <w:tcW w:w="709" w:type="dxa"/>
            <w:noWrap/>
            <w:vAlign w:val="center"/>
          </w:tcPr>
          <w:p w14:paraId="448FF42E" w14:textId="36A5F907"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8" w:type="dxa"/>
            <w:noWrap/>
            <w:vAlign w:val="center"/>
          </w:tcPr>
          <w:p w14:paraId="6197664B" w14:textId="184F5C95"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9" w:type="dxa"/>
            <w:noWrap/>
            <w:vAlign w:val="center"/>
          </w:tcPr>
          <w:p w14:paraId="083C466F" w14:textId="379F8E34"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851" w:type="dxa"/>
            <w:noWrap/>
            <w:vAlign w:val="center"/>
          </w:tcPr>
          <w:p w14:paraId="0B66B51E" w14:textId="77777777" w:rsidR="00AC4F46" w:rsidRPr="00FB7EA4" w:rsidRDefault="00F40093"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850" w:type="dxa"/>
            <w:noWrap/>
            <w:vAlign w:val="center"/>
          </w:tcPr>
          <w:p w14:paraId="7E3EFA7D" w14:textId="77777777" w:rsidR="00AC4F46" w:rsidRPr="00FB7EA4" w:rsidRDefault="00F40093"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851" w:type="dxa"/>
            <w:noWrap/>
            <w:vAlign w:val="center"/>
          </w:tcPr>
          <w:p w14:paraId="511C8F43" w14:textId="77777777" w:rsidR="00AC4F46" w:rsidRPr="00FB7EA4" w:rsidRDefault="00F40093"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r>
      <w:tr w:rsidR="00AC4F46" w:rsidRPr="00C30B29" w14:paraId="2157061A"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4CFF9F9C"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 xml:space="preserve"> Dirección General de Regulación Económica de la Seguridad Social </w:t>
            </w:r>
          </w:p>
        </w:tc>
        <w:tc>
          <w:tcPr>
            <w:tcW w:w="708" w:type="dxa"/>
            <w:noWrap/>
            <w:vAlign w:val="center"/>
          </w:tcPr>
          <w:p w14:paraId="059AF606" w14:textId="7F1F4511"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709" w:type="dxa"/>
            <w:noWrap/>
            <w:vAlign w:val="center"/>
          </w:tcPr>
          <w:p w14:paraId="24DCE932" w14:textId="6DA997C2"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709" w:type="dxa"/>
            <w:noWrap/>
            <w:vAlign w:val="center"/>
          </w:tcPr>
          <w:p w14:paraId="49EAF2AA" w14:textId="2AEFB550"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709" w:type="dxa"/>
            <w:noWrap/>
            <w:vAlign w:val="center"/>
          </w:tcPr>
          <w:p w14:paraId="556C32E2" w14:textId="490B7728"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8" w:type="dxa"/>
            <w:noWrap/>
            <w:vAlign w:val="center"/>
          </w:tcPr>
          <w:p w14:paraId="32E8DAC0" w14:textId="57E7231B"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9" w:type="dxa"/>
            <w:noWrap/>
            <w:vAlign w:val="center"/>
          </w:tcPr>
          <w:p w14:paraId="2A1CB8A4" w14:textId="593A9A06"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851" w:type="dxa"/>
            <w:noWrap/>
            <w:vAlign w:val="center"/>
          </w:tcPr>
          <w:p w14:paraId="2AE42A98" w14:textId="77777777" w:rsidR="00AC4F46" w:rsidRPr="00FB7EA4" w:rsidRDefault="00E96ADE"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850" w:type="dxa"/>
            <w:noWrap/>
            <w:vAlign w:val="center"/>
          </w:tcPr>
          <w:p w14:paraId="0E42D9D8" w14:textId="77777777" w:rsidR="00AC4F46" w:rsidRPr="00FB7EA4" w:rsidRDefault="00E96ADE"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851" w:type="dxa"/>
            <w:noWrap/>
            <w:vAlign w:val="center"/>
          </w:tcPr>
          <w:p w14:paraId="35ABF807" w14:textId="77777777" w:rsidR="00AC4F46" w:rsidRPr="00FB7EA4" w:rsidRDefault="00E96ADE"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r>
      <w:tr w:rsidR="00AC4F46" w:rsidRPr="00C30B29" w14:paraId="1F523532"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2291D9F4"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Dirección de Tecnología</w:t>
            </w:r>
          </w:p>
        </w:tc>
        <w:tc>
          <w:tcPr>
            <w:tcW w:w="708" w:type="dxa"/>
            <w:noWrap/>
            <w:vAlign w:val="center"/>
          </w:tcPr>
          <w:p w14:paraId="50633C8F" w14:textId="3833C281"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118</w:t>
            </w:r>
          </w:p>
        </w:tc>
        <w:tc>
          <w:tcPr>
            <w:tcW w:w="709" w:type="dxa"/>
            <w:noWrap/>
            <w:vAlign w:val="center"/>
          </w:tcPr>
          <w:p w14:paraId="0A170867" w14:textId="34B99F0A"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709" w:type="dxa"/>
            <w:noWrap/>
            <w:vAlign w:val="center"/>
          </w:tcPr>
          <w:p w14:paraId="30AA11B7" w14:textId="1DF78A4F"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709" w:type="dxa"/>
            <w:noWrap/>
            <w:vAlign w:val="center"/>
          </w:tcPr>
          <w:p w14:paraId="07765919" w14:textId="3C81BCF6"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708" w:type="dxa"/>
            <w:noWrap/>
            <w:vAlign w:val="center"/>
          </w:tcPr>
          <w:p w14:paraId="6244CFB9" w14:textId="583AEF0D"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709" w:type="dxa"/>
            <w:noWrap/>
            <w:vAlign w:val="center"/>
          </w:tcPr>
          <w:p w14:paraId="04E1DC87" w14:textId="67F19CB6"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851" w:type="dxa"/>
            <w:noWrap/>
            <w:vAlign w:val="center"/>
          </w:tcPr>
          <w:p w14:paraId="67D5E53B" w14:textId="77777777" w:rsidR="00AC4F46" w:rsidRPr="00FB7EA4"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18%</w:t>
            </w:r>
          </w:p>
        </w:tc>
        <w:tc>
          <w:tcPr>
            <w:tcW w:w="850" w:type="dxa"/>
            <w:noWrap/>
            <w:vAlign w:val="center"/>
          </w:tcPr>
          <w:p w14:paraId="13C7FF7F" w14:textId="77777777" w:rsidR="00AC4F46" w:rsidRPr="00FB7EA4"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0%</w:t>
            </w:r>
          </w:p>
        </w:tc>
        <w:tc>
          <w:tcPr>
            <w:tcW w:w="851" w:type="dxa"/>
            <w:noWrap/>
            <w:vAlign w:val="center"/>
          </w:tcPr>
          <w:p w14:paraId="7AA176A9" w14:textId="77777777" w:rsidR="00AC4F46" w:rsidRPr="00FB7EA4"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0%</w:t>
            </w:r>
          </w:p>
        </w:tc>
      </w:tr>
      <w:tr w:rsidR="00AC4F46" w:rsidRPr="00C30B29" w14:paraId="001161DA"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2FCF861F"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Oficina Asesora de Jurídica</w:t>
            </w:r>
          </w:p>
        </w:tc>
        <w:tc>
          <w:tcPr>
            <w:tcW w:w="708" w:type="dxa"/>
            <w:noWrap/>
            <w:vAlign w:val="center"/>
          </w:tcPr>
          <w:p w14:paraId="47592DA0" w14:textId="3B15EDE6"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32</w:t>
            </w:r>
          </w:p>
        </w:tc>
        <w:tc>
          <w:tcPr>
            <w:tcW w:w="709" w:type="dxa"/>
            <w:noWrap/>
            <w:vAlign w:val="center"/>
          </w:tcPr>
          <w:p w14:paraId="43382F36" w14:textId="53546D17"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48</w:t>
            </w:r>
          </w:p>
        </w:tc>
        <w:tc>
          <w:tcPr>
            <w:tcW w:w="709" w:type="dxa"/>
            <w:noWrap/>
            <w:vAlign w:val="center"/>
          </w:tcPr>
          <w:p w14:paraId="5D780D85" w14:textId="71EA8B3C"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52</w:t>
            </w:r>
          </w:p>
        </w:tc>
        <w:tc>
          <w:tcPr>
            <w:tcW w:w="709" w:type="dxa"/>
            <w:noWrap/>
            <w:vAlign w:val="center"/>
          </w:tcPr>
          <w:p w14:paraId="61AB9E87" w14:textId="4DEC7EDF"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11</w:t>
            </w:r>
          </w:p>
        </w:tc>
        <w:tc>
          <w:tcPr>
            <w:tcW w:w="708" w:type="dxa"/>
            <w:noWrap/>
            <w:vAlign w:val="center"/>
          </w:tcPr>
          <w:p w14:paraId="0FED7A83" w14:textId="04CC1771"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56</w:t>
            </w:r>
          </w:p>
        </w:tc>
        <w:tc>
          <w:tcPr>
            <w:tcW w:w="709" w:type="dxa"/>
            <w:noWrap/>
            <w:vAlign w:val="center"/>
          </w:tcPr>
          <w:p w14:paraId="2481A26C" w14:textId="24AC0924"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50</w:t>
            </w:r>
          </w:p>
        </w:tc>
        <w:tc>
          <w:tcPr>
            <w:tcW w:w="851" w:type="dxa"/>
            <w:noWrap/>
            <w:vAlign w:val="center"/>
          </w:tcPr>
          <w:p w14:paraId="1C40D0DE" w14:textId="77777777" w:rsidR="00AC4F46" w:rsidRPr="00FB7EA4"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203%</w:t>
            </w:r>
          </w:p>
        </w:tc>
        <w:tc>
          <w:tcPr>
            <w:tcW w:w="850" w:type="dxa"/>
            <w:noWrap/>
            <w:vAlign w:val="center"/>
          </w:tcPr>
          <w:p w14:paraId="7D99A0FF" w14:textId="35FB8177"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15%</w:t>
            </w:r>
            <w:r w:rsidRPr="00FB7EA4">
              <w:rPr>
                <w:rFonts w:ascii="Arial" w:hAnsi="Arial" w:cs="Arial"/>
                <w:color w:val="0F243E" w:themeColor="text2" w:themeShade="80"/>
                <w:sz w:val="18"/>
                <w:szCs w:val="18"/>
              </w:rPr>
              <w:t>)</w:t>
            </w:r>
          </w:p>
        </w:tc>
        <w:tc>
          <w:tcPr>
            <w:tcW w:w="851" w:type="dxa"/>
            <w:noWrap/>
            <w:vAlign w:val="center"/>
          </w:tcPr>
          <w:p w14:paraId="09C25A5D" w14:textId="77777777" w:rsidR="00AC4F46" w:rsidRPr="00FB7EA4"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3%</w:t>
            </w:r>
          </w:p>
        </w:tc>
      </w:tr>
      <w:tr w:rsidR="00AC4F46" w:rsidRPr="00C30B29" w14:paraId="76CB7FA2"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35E3A749"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Subdirección de Servicios</w:t>
            </w:r>
          </w:p>
        </w:tc>
        <w:tc>
          <w:tcPr>
            <w:tcW w:w="708" w:type="dxa"/>
            <w:noWrap/>
            <w:vAlign w:val="center"/>
          </w:tcPr>
          <w:p w14:paraId="7995731C" w14:textId="0C5D9049" w:rsidR="00AC4F46" w:rsidRPr="00FB7EA4" w:rsidRDefault="00CB7F73"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0</w:t>
            </w:r>
          </w:p>
        </w:tc>
        <w:tc>
          <w:tcPr>
            <w:tcW w:w="709" w:type="dxa"/>
            <w:noWrap/>
            <w:vAlign w:val="center"/>
          </w:tcPr>
          <w:p w14:paraId="756DED9C" w14:textId="68B0EE09" w:rsidR="00AC4F46" w:rsidRPr="00FB7EA4" w:rsidRDefault="00CB7F73"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0</w:t>
            </w:r>
          </w:p>
        </w:tc>
        <w:tc>
          <w:tcPr>
            <w:tcW w:w="709" w:type="dxa"/>
            <w:noWrap/>
            <w:vAlign w:val="center"/>
          </w:tcPr>
          <w:p w14:paraId="15415E01" w14:textId="3F186525" w:rsidR="00AC4F46" w:rsidRPr="00FB7EA4" w:rsidRDefault="00CB7F73"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0</w:t>
            </w:r>
          </w:p>
        </w:tc>
        <w:tc>
          <w:tcPr>
            <w:tcW w:w="709" w:type="dxa"/>
            <w:noWrap/>
            <w:vAlign w:val="center"/>
          </w:tcPr>
          <w:p w14:paraId="07C0083C" w14:textId="6382011B"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127</w:t>
            </w:r>
          </w:p>
        </w:tc>
        <w:tc>
          <w:tcPr>
            <w:tcW w:w="708" w:type="dxa"/>
            <w:noWrap/>
            <w:vAlign w:val="center"/>
          </w:tcPr>
          <w:p w14:paraId="6D089E4A" w14:textId="0D71517D"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22</w:t>
            </w:r>
          </w:p>
        </w:tc>
        <w:tc>
          <w:tcPr>
            <w:tcW w:w="709" w:type="dxa"/>
            <w:noWrap/>
            <w:vAlign w:val="center"/>
          </w:tcPr>
          <w:p w14:paraId="7EAD7B6F" w14:textId="4F4FD25F"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851" w:type="dxa"/>
            <w:noWrap/>
            <w:vAlign w:val="center"/>
          </w:tcPr>
          <w:p w14:paraId="60654995" w14:textId="77777777" w:rsidR="00AC4F46" w:rsidRPr="00FB7EA4" w:rsidRDefault="00526593"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100%</w:t>
            </w:r>
            <w:r w:rsidRPr="00FB7EA4">
              <w:rPr>
                <w:rFonts w:ascii="Arial" w:hAnsi="Arial" w:cs="Arial"/>
                <w:color w:val="0F243E" w:themeColor="text2" w:themeShade="80"/>
                <w:sz w:val="18"/>
                <w:szCs w:val="18"/>
              </w:rPr>
              <w:t>)</w:t>
            </w:r>
          </w:p>
        </w:tc>
        <w:tc>
          <w:tcPr>
            <w:tcW w:w="850" w:type="dxa"/>
            <w:noWrap/>
            <w:vAlign w:val="center"/>
          </w:tcPr>
          <w:p w14:paraId="28C4C780" w14:textId="77777777" w:rsidR="00AC4F46" w:rsidRPr="00FB7EA4" w:rsidRDefault="00526593"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100%</w:t>
            </w:r>
            <w:r w:rsidRPr="00FB7EA4">
              <w:rPr>
                <w:rFonts w:ascii="Arial" w:hAnsi="Arial" w:cs="Arial"/>
                <w:color w:val="0F243E" w:themeColor="text2" w:themeShade="80"/>
                <w:sz w:val="18"/>
                <w:szCs w:val="18"/>
              </w:rPr>
              <w:t>)</w:t>
            </w:r>
          </w:p>
        </w:tc>
        <w:tc>
          <w:tcPr>
            <w:tcW w:w="851" w:type="dxa"/>
            <w:noWrap/>
            <w:vAlign w:val="center"/>
          </w:tcPr>
          <w:p w14:paraId="20264255" w14:textId="77777777" w:rsidR="00AC4F46" w:rsidRPr="00FB7EA4" w:rsidRDefault="00526593"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100%</w:t>
            </w:r>
            <w:r w:rsidRPr="00FB7EA4">
              <w:rPr>
                <w:rFonts w:ascii="Arial" w:hAnsi="Arial" w:cs="Arial"/>
                <w:color w:val="0F243E" w:themeColor="text2" w:themeShade="80"/>
                <w:sz w:val="18"/>
                <w:szCs w:val="18"/>
              </w:rPr>
              <w:t>)</w:t>
            </w:r>
          </w:p>
        </w:tc>
      </w:tr>
      <w:tr w:rsidR="00AC4F46" w:rsidRPr="00C30B29" w14:paraId="19DAB274"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77EC5200"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Subdirección de Administración de Recursos Tecnológicos</w:t>
            </w:r>
          </w:p>
        </w:tc>
        <w:tc>
          <w:tcPr>
            <w:tcW w:w="708" w:type="dxa"/>
            <w:noWrap/>
            <w:vAlign w:val="center"/>
          </w:tcPr>
          <w:p w14:paraId="4012B66C" w14:textId="44465590"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37</w:t>
            </w:r>
          </w:p>
        </w:tc>
        <w:tc>
          <w:tcPr>
            <w:tcW w:w="709" w:type="dxa"/>
            <w:noWrap/>
            <w:vAlign w:val="center"/>
          </w:tcPr>
          <w:p w14:paraId="28ED20C8" w14:textId="594D40FD"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31</w:t>
            </w:r>
          </w:p>
        </w:tc>
        <w:tc>
          <w:tcPr>
            <w:tcW w:w="709" w:type="dxa"/>
            <w:noWrap/>
            <w:vAlign w:val="center"/>
          </w:tcPr>
          <w:p w14:paraId="2C0F6070" w14:textId="6E145028"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60</w:t>
            </w:r>
          </w:p>
        </w:tc>
        <w:tc>
          <w:tcPr>
            <w:tcW w:w="709" w:type="dxa"/>
            <w:noWrap/>
            <w:vAlign w:val="center"/>
          </w:tcPr>
          <w:p w14:paraId="64F382F9" w14:textId="5EEB9DDF"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22</w:t>
            </w:r>
          </w:p>
        </w:tc>
        <w:tc>
          <w:tcPr>
            <w:tcW w:w="708" w:type="dxa"/>
            <w:noWrap/>
            <w:vAlign w:val="center"/>
          </w:tcPr>
          <w:p w14:paraId="6CF485F0" w14:textId="10145AAB"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51</w:t>
            </w:r>
          </w:p>
        </w:tc>
        <w:tc>
          <w:tcPr>
            <w:tcW w:w="709" w:type="dxa"/>
            <w:noWrap/>
            <w:vAlign w:val="center"/>
          </w:tcPr>
          <w:p w14:paraId="7BC32F36" w14:textId="77E6FFC0"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61</w:t>
            </w:r>
          </w:p>
        </w:tc>
        <w:tc>
          <w:tcPr>
            <w:tcW w:w="851" w:type="dxa"/>
            <w:noWrap/>
            <w:vAlign w:val="center"/>
          </w:tcPr>
          <w:p w14:paraId="09F72188" w14:textId="77777777" w:rsidR="00AC4F46" w:rsidRPr="00FB7EA4"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66%</w:t>
            </w:r>
          </w:p>
        </w:tc>
        <w:tc>
          <w:tcPr>
            <w:tcW w:w="850" w:type="dxa"/>
            <w:noWrap/>
            <w:vAlign w:val="center"/>
          </w:tcPr>
          <w:p w14:paraId="68CE1C12" w14:textId="2E95391E"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40%</w:t>
            </w:r>
            <w:r w:rsidRPr="00FB7EA4">
              <w:rPr>
                <w:rFonts w:ascii="Arial" w:hAnsi="Arial" w:cs="Arial"/>
                <w:color w:val="0F243E" w:themeColor="text2" w:themeShade="80"/>
                <w:sz w:val="18"/>
                <w:szCs w:val="18"/>
              </w:rPr>
              <w:t>)</w:t>
            </w:r>
          </w:p>
        </w:tc>
        <w:tc>
          <w:tcPr>
            <w:tcW w:w="851" w:type="dxa"/>
            <w:noWrap/>
            <w:vAlign w:val="center"/>
          </w:tcPr>
          <w:p w14:paraId="4617CB2F" w14:textId="795ABABC"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2%</w:t>
            </w:r>
            <w:r w:rsidRPr="00FB7EA4">
              <w:rPr>
                <w:rFonts w:ascii="Arial" w:hAnsi="Arial" w:cs="Arial"/>
                <w:color w:val="0F243E" w:themeColor="text2" w:themeShade="80"/>
                <w:sz w:val="18"/>
                <w:szCs w:val="18"/>
              </w:rPr>
              <w:t>)</w:t>
            </w:r>
          </w:p>
        </w:tc>
      </w:tr>
      <w:tr w:rsidR="00AC4F46" w:rsidRPr="00C30B29" w14:paraId="4AA9CBD0"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75FCC096"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Subdirección de Gestión de Talento Humano</w:t>
            </w:r>
          </w:p>
        </w:tc>
        <w:tc>
          <w:tcPr>
            <w:tcW w:w="708" w:type="dxa"/>
            <w:noWrap/>
            <w:vAlign w:val="center"/>
          </w:tcPr>
          <w:p w14:paraId="7C754063" w14:textId="73EE5A57"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9" w:type="dxa"/>
            <w:noWrap/>
            <w:vAlign w:val="center"/>
          </w:tcPr>
          <w:p w14:paraId="39340695" w14:textId="1A0CA389"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9" w:type="dxa"/>
            <w:noWrap/>
            <w:vAlign w:val="center"/>
          </w:tcPr>
          <w:p w14:paraId="1BED5C45" w14:textId="71EA6FD8"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8</w:t>
            </w:r>
          </w:p>
        </w:tc>
        <w:tc>
          <w:tcPr>
            <w:tcW w:w="709" w:type="dxa"/>
            <w:noWrap/>
            <w:vAlign w:val="center"/>
          </w:tcPr>
          <w:p w14:paraId="7BF98A3F" w14:textId="49D1B0B2"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35</w:t>
            </w:r>
          </w:p>
        </w:tc>
        <w:tc>
          <w:tcPr>
            <w:tcW w:w="708" w:type="dxa"/>
            <w:noWrap/>
            <w:vAlign w:val="center"/>
          </w:tcPr>
          <w:p w14:paraId="2F398228" w14:textId="0C7486FE"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37</w:t>
            </w:r>
          </w:p>
        </w:tc>
        <w:tc>
          <w:tcPr>
            <w:tcW w:w="709" w:type="dxa"/>
            <w:noWrap/>
            <w:vAlign w:val="center"/>
          </w:tcPr>
          <w:p w14:paraId="4C430854" w14:textId="6D6B6815"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33</w:t>
            </w:r>
          </w:p>
        </w:tc>
        <w:tc>
          <w:tcPr>
            <w:tcW w:w="851" w:type="dxa"/>
            <w:noWrap/>
            <w:vAlign w:val="center"/>
          </w:tcPr>
          <w:p w14:paraId="42A36983" w14:textId="52702C12"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100%</w:t>
            </w:r>
            <w:r w:rsidRPr="00FB7EA4">
              <w:rPr>
                <w:rFonts w:ascii="Arial" w:hAnsi="Arial" w:cs="Arial"/>
                <w:color w:val="0F243E" w:themeColor="text2" w:themeShade="80"/>
                <w:sz w:val="18"/>
                <w:szCs w:val="18"/>
              </w:rPr>
              <w:t>)</w:t>
            </w:r>
          </w:p>
        </w:tc>
        <w:tc>
          <w:tcPr>
            <w:tcW w:w="850" w:type="dxa"/>
            <w:noWrap/>
            <w:vAlign w:val="center"/>
          </w:tcPr>
          <w:p w14:paraId="1213AF1E" w14:textId="77777777" w:rsidR="00AC4F46" w:rsidRPr="00FB7EA4" w:rsidRDefault="003003DD"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100%</w:t>
            </w:r>
            <w:r w:rsidRPr="00FB7EA4">
              <w:rPr>
                <w:rFonts w:ascii="Arial" w:hAnsi="Arial" w:cs="Arial"/>
                <w:color w:val="0F243E" w:themeColor="text2" w:themeShade="80"/>
                <w:sz w:val="18"/>
                <w:szCs w:val="18"/>
              </w:rPr>
              <w:t>)</w:t>
            </w:r>
          </w:p>
        </w:tc>
        <w:tc>
          <w:tcPr>
            <w:tcW w:w="851" w:type="dxa"/>
            <w:noWrap/>
            <w:vAlign w:val="center"/>
          </w:tcPr>
          <w:p w14:paraId="1831D44A" w14:textId="3AD8C6AA"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75%</w:t>
            </w:r>
            <w:r w:rsidRPr="00FB7EA4">
              <w:rPr>
                <w:rFonts w:ascii="Arial" w:hAnsi="Arial" w:cs="Arial"/>
                <w:color w:val="0F243E" w:themeColor="text2" w:themeShade="80"/>
                <w:sz w:val="18"/>
                <w:szCs w:val="18"/>
              </w:rPr>
              <w:t>)</w:t>
            </w:r>
          </w:p>
        </w:tc>
      </w:tr>
      <w:tr w:rsidR="00AC4F46" w:rsidRPr="00C30B29" w14:paraId="79680094"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6EFCB57D"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Subdirección Financiera</w:t>
            </w:r>
          </w:p>
        </w:tc>
        <w:tc>
          <w:tcPr>
            <w:tcW w:w="708" w:type="dxa"/>
            <w:noWrap/>
            <w:vAlign w:val="center"/>
          </w:tcPr>
          <w:p w14:paraId="6FCB6ED3" w14:textId="4C84D51B"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35</w:t>
            </w:r>
          </w:p>
        </w:tc>
        <w:tc>
          <w:tcPr>
            <w:tcW w:w="709" w:type="dxa"/>
            <w:noWrap/>
            <w:vAlign w:val="center"/>
          </w:tcPr>
          <w:p w14:paraId="6A677C93" w14:textId="1EF040CE"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36</w:t>
            </w:r>
          </w:p>
        </w:tc>
        <w:tc>
          <w:tcPr>
            <w:tcW w:w="709" w:type="dxa"/>
            <w:noWrap/>
            <w:vAlign w:val="center"/>
          </w:tcPr>
          <w:p w14:paraId="1F231136" w14:textId="01F2EA11"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36</w:t>
            </w:r>
          </w:p>
        </w:tc>
        <w:tc>
          <w:tcPr>
            <w:tcW w:w="709" w:type="dxa"/>
            <w:noWrap/>
            <w:vAlign w:val="center"/>
          </w:tcPr>
          <w:p w14:paraId="1F57F71F" w14:textId="5F0A4FBD"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8" w:type="dxa"/>
            <w:noWrap/>
            <w:vAlign w:val="center"/>
          </w:tcPr>
          <w:p w14:paraId="0CB02413" w14:textId="29A1DD08"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9" w:type="dxa"/>
            <w:noWrap/>
            <w:vAlign w:val="center"/>
          </w:tcPr>
          <w:p w14:paraId="5C64AF23" w14:textId="41A93E71"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851" w:type="dxa"/>
            <w:noWrap/>
            <w:vAlign w:val="center"/>
          </w:tcPr>
          <w:p w14:paraId="1D9FC16F" w14:textId="77777777" w:rsidR="00AC4F46" w:rsidRPr="00FB7EA4" w:rsidRDefault="003003DD"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850" w:type="dxa"/>
            <w:noWrap/>
            <w:vAlign w:val="center"/>
          </w:tcPr>
          <w:p w14:paraId="14CC927F" w14:textId="77777777" w:rsidR="00AC4F46" w:rsidRPr="00FB7EA4" w:rsidRDefault="003003DD"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851" w:type="dxa"/>
            <w:noWrap/>
            <w:vAlign w:val="center"/>
          </w:tcPr>
          <w:p w14:paraId="071CDD72" w14:textId="77777777" w:rsidR="00AC4F46" w:rsidRPr="00FB7EA4" w:rsidRDefault="003003DD"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r>
      <w:tr w:rsidR="00AC4F46" w:rsidRPr="00C30B29" w14:paraId="5F486184"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25EB2760"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Grupo de Pagaduría</w:t>
            </w:r>
          </w:p>
        </w:tc>
        <w:tc>
          <w:tcPr>
            <w:tcW w:w="708" w:type="dxa"/>
            <w:noWrap/>
            <w:vAlign w:val="center"/>
          </w:tcPr>
          <w:p w14:paraId="49526039" w14:textId="14CD5A48"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60</w:t>
            </w:r>
          </w:p>
        </w:tc>
        <w:tc>
          <w:tcPr>
            <w:tcW w:w="709" w:type="dxa"/>
            <w:noWrap/>
            <w:vAlign w:val="center"/>
          </w:tcPr>
          <w:p w14:paraId="78423615" w14:textId="250D3ED8"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40</w:t>
            </w:r>
          </w:p>
        </w:tc>
        <w:tc>
          <w:tcPr>
            <w:tcW w:w="709" w:type="dxa"/>
            <w:noWrap/>
            <w:vAlign w:val="center"/>
          </w:tcPr>
          <w:p w14:paraId="1F21B97E" w14:textId="4F0D84E0"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40</w:t>
            </w:r>
          </w:p>
        </w:tc>
        <w:tc>
          <w:tcPr>
            <w:tcW w:w="709" w:type="dxa"/>
            <w:noWrap/>
            <w:vAlign w:val="center"/>
          </w:tcPr>
          <w:p w14:paraId="6BD5E5F8" w14:textId="650D27DC"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50</w:t>
            </w:r>
          </w:p>
        </w:tc>
        <w:tc>
          <w:tcPr>
            <w:tcW w:w="708" w:type="dxa"/>
            <w:noWrap/>
            <w:vAlign w:val="center"/>
          </w:tcPr>
          <w:p w14:paraId="07E45B13" w14:textId="44BF13FD"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50</w:t>
            </w:r>
          </w:p>
        </w:tc>
        <w:tc>
          <w:tcPr>
            <w:tcW w:w="709" w:type="dxa"/>
            <w:noWrap/>
            <w:vAlign w:val="center"/>
          </w:tcPr>
          <w:p w14:paraId="5E86A4AB" w14:textId="716EAE6B"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50</w:t>
            </w:r>
          </w:p>
        </w:tc>
        <w:tc>
          <w:tcPr>
            <w:tcW w:w="851" w:type="dxa"/>
            <w:noWrap/>
            <w:vAlign w:val="center"/>
          </w:tcPr>
          <w:p w14:paraId="6E6819DF" w14:textId="77777777" w:rsidR="00AC4F46" w:rsidRPr="00FB7EA4"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20%</w:t>
            </w:r>
          </w:p>
        </w:tc>
        <w:tc>
          <w:tcPr>
            <w:tcW w:w="850" w:type="dxa"/>
            <w:noWrap/>
            <w:vAlign w:val="center"/>
          </w:tcPr>
          <w:p w14:paraId="2AB5737A" w14:textId="288D2C29"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20%</w:t>
            </w:r>
            <w:r w:rsidRPr="00FB7EA4">
              <w:rPr>
                <w:rFonts w:ascii="Arial" w:hAnsi="Arial" w:cs="Arial"/>
                <w:color w:val="0F243E" w:themeColor="text2" w:themeShade="80"/>
                <w:sz w:val="18"/>
                <w:szCs w:val="18"/>
              </w:rPr>
              <w:t>)</w:t>
            </w:r>
          </w:p>
        </w:tc>
        <w:tc>
          <w:tcPr>
            <w:tcW w:w="851" w:type="dxa"/>
            <w:noWrap/>
            <w:vAlign w:val="center"/>
          </w:tcPr>
          <w:p w14:paraId="0E1BE5B7" w14:textId="28625C16"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20%</w:t>
            </w:r>
            <w:r w:rsidRPr="00FB7EA4">
              <w:rPr>
                <w:rFonts w:ascii="Arial" w:hAnsi="Arial" w:cs="Arial"/>
                <w:color w:val="0F243E" w:themeColor="text2" w:themeShade="80"/>
                <w:sz w:val="18"/>
                <w:szCs w:val="18"/>
              </w:rPr>
              <w:t>)</w:t>
            </w:r>
          </w:p>
        </w:tc>
      </w:tr>
      <w:tr w:rsidR="00AC4F46" w:rsidRPr="00C30B29" w14:paraId="2D4B5166"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76D1DC17"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Grupo de Contabilidad</w:t>
            </w:r>
          </w:p>
        </w:tc>
        <w:tc>
          <w:tcPr>
            <w:tcW w:w="708" w:type="dxa"/>
            <w:noWrap/>
            <w:vAlign w:val="center"/>
          </w:tcPr>
          <w:p w14:paraId="6BF56812" w14:textId="64B90171" w:rsidR="00AC4F46" w:rsidRPr="00FB7EA4" w:rsidRDefault="00CB7F73"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0</w:t>
            </w:r>
          </w:p>
        </w:tc>
        <w:tc>
          <w:tcPr>
            <w:tcW w:w="709" w:type="dxa"/>
            <w:noWrap/>
            <w:vAlign w:val="center"/>
          </w:tcPr>
          <w:p w14:paraId="40A67559" w14:textId="6B07CCD4" w:rsidR="00AC4F46" w:rsidRPr="00FB7EA4" w:rsidRDefault="00CB7F73"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0</w:t>
            </w:r>
          </w:p>
        </w:tc>
        <w:tc>
          <w:tcPr>
            <w:tcW w:w="709" w:type="dxa"/>
            <w:noWrap/>
            <w:vAlign w:val="center"/>
          </w:tcPr>
          <w:p w14:paraId="4CF0A615" w14:textId="4CEC09DB" w:rsidR="00AC4F46" w:rsidRPr="00FB7EA4" w:rsidRDefault="00CB7F73"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0</w:t>
            </w:r>
          </w:p>
        </w:tc>
        <w:tc>
          <w:tcPr>
            <w:tcW w:w="709" w:type="dxa"/>
            <w:noWrap/>
            <w:vAlign w:val="center"/>
          </w:tcPr>
          <w:p w14:paraId="472049CC" w14:textId="5394275F"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47</w:t>
            </w:r>
          </w:p>
        </w:tc>
        <w:tc>
          <w:tcPr>
            <w:tcW w:w="708" w:type="dxa"/>
            <w:noWrap/>
            <w:vAlign w:val="center"/>
          </w:tcPr>
          <w:p w14:paraId="3CBBEC9A" w14:textId="75B753EE"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48</w:t>
            </w:r>
          </w:p>
        </w:tc>
        <w:tc>
          <w:tcPr>
            <w:tcW w:w="709" w:type="dxa"/>
            <w:noWrap/>
            <w:vAlign w:val="center"/>
          </w:tcPr>
          <w:p w14:paraId="1070B374" w14:textId="151BCB4C"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49</w:t>
            </w:r>
          </w:p>
        </w:tc>
        <w:tc>
          <w:tcPr>
            <w:tcW w:w="851" w:type="dxa"/>
            <w:noWrap/>
            <w:vAlign w:val="center"/>
          </w:tcPr>
          <w:p w14:paraId="4EA12502" w14:textId="77777777" w:rsidR="00AC4F46" w:rsidRPr="00FB7EA4" w:rsidRDefault="001260B8"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100%</w:t>
            </w:r>
            <w:r w:rsidRPr="00FB7EA4">
              <w:rPr>
                <w:rFonts w:ascii="Arial" w:hAnsi="Arial" w:cs="Arial"/>
                <w:color w:val="0F243E" w:themeColor="text2" w:themeShade="80"/>
                <w:sz w:val="18"/>
                <w:szCs w:val="18"/>
              </w:rPr>
              <w:t>)</w:t>
            </w:r>
          </w:p>
        </w:tc>
        <w:tc>
          <w:tcPr>
            <w:tcW w:w="850" w:type="dxa"/>
            <w:noWrap/>
            <w:vAlign w:val="center"/>
          </w:tcPr>
          <w:p w14:paraId="17159C97" w14:textId="77777777" w:rsidR="00AC4F46" w:rsidRPr="00FB7EA4" w:rsidRDefault="001260B8"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100%</w:t>
            </w:r>
            <w:r w:rsidRPr="00FB7EA4">
              <w:rPr>
                <w:rFonts w:ascii="Arial" w:hAnsi="Arial" w:cs="Arial"/>
                <w:color w:val="0F243E" w:themeColor="text2" w:themeShade="80"/>
                <w:sz w:val="18"/>
                <w:szCs w:val="18"/>
              </w:rPr>
              <w:t>)</w:t>
            </w:r>
          </w:p>
        </w:tc>
        <w:tc>
          <w:tcPr>
            <w:tcW w:w="851" w:type="dxa"/>
            <w:noWrap/>
            <w:vAlign w:val="center"/>
          </w:tcPr>
          <w:p w14:paraId="3324FEAF" w14:textId="77777777" w:rsidR="00AC4F46" w:rsidRPr="00FB7EA4" w:rsidRDefault="001260B8"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100%</w:t>
            </w:r>
            <w:r w:rsidRPr="00FB7EA4">
              <w:rPr>
                <w:rFonts w:ascii="Arial" w:hAnsi="Arial" w:cs="Arial"/>
                <w:color w:val="0F243E" w:themeColor="text2" w:themeShade="80"/>
                <w:sz w:val="18"/>
                <w:szCs w:val="18"/>
              </w:rPr>
              <w:t>)</w:t>
            </w:r>
          </w:p>
        </w:tc>
      </w:tr>
      <w:tr w:rsidR="00AC4F46" w:rsidRPr="00C30B29" w14:paraId="4CE983A1"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3D7E7705"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Grupo de Administración de Personal</w:t>
            </w:r>
          </w:p>
        </w:tc>
        <w:tc>
          <w:tcPr>
            <w:tcW w:w="708" w:type="dxa"/>
            <w:noWrap/>
            <w:vAlign w:val="center"/>
          </w:tcPr>
          <w:p w14:paraId="37A8C0CD" w14:textId="6652E392"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26</w:t>
            </w:r>
          </w:p>
        </w:tc>
        <w:tc>
          <w:tcPr>
            <w:tcW w:w="709" w:type="dxa"/>
            <w:noWrap/>
            <w:vAlign w:val="center"/>
          </w:tcPr>
          <w:p w14:paraId="5FF944F9" w14:textId="14F14463"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9" w:type="dxa"/>
            <w:noWrap/>
            <w:vAlign w:val="center"/>
          </w:tcPr>
          <w:p w14:paraId="78D7EFC0" w14:textId="06D95678"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9" w:type="dxa"/>
            <w:noWrap/>
            <w:vAlign w:val="center"/>
          </w:tcPr>
          <w:p w14:paraId="0F159D27" w14:textId="04EF5F15"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45</w:t>
            </w:r>
          </w:p>
        </w:tc>
        <w:tc>
          <w:tcPr>
            <w:tcW w:w="708" w:type="dxa"/>
            <w:noWrap/>
            <w:vAlign w:val="center"/>
          </w:tcPr>
          <w:p w14:paraId="4B3A9325" w14:textId="6E1F5A87"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61</w:t>
            </w:r>
          </w:p>
        </w:tc>
        <w:tc>
          <w:tcPr>
            <w:tcW w:w="709" w:type="dxa"/>
            <w:noWrap/>
            <w:vAlign w:val="center"/>
          </w:tcPr>
          <w:p w14:paraId="212BD234" w14:textId="43E0EC32"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45</w:t>
            </w:r>
          </w:p>
        </w:tc>
        <w:tc>
          <w:tcPr>
            <w:tcW w:w="851" w:type="dxa"/>
            <w:noWrap/>
            <w:vAlign w:val="center"/>
          </w:tcPr>
          <w:p w14:paraId="292BCD9D" w14:textId="62C01F35"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42%</w:t>
            </w:r>
            <w:r w:rsidRPr="00FB7EA4">
              <w:rPr>
                <w:rFonts w:ascii="Arial" w:hAnsi="Arial" w:cs="Arial"/>
                <w:color w:val="0F243E" w:themeColor="text2" w:themeShade="80"/>
                <w:sz w:val="18"/>
                <w:szCs w:val="18"/>
              </w:rPr>
              <w:t>)</w:t>
            </w:r>
          </w:p>
        </w:tc>
        <w:tc>
          <w:tcPr>
            <w:tcW w:w="850" w:type="dxa"/>
            <w:noWrap/>
            <w:vAlign w:val="center"/>
          </w:tcPr>
          <w:p w14:paraId="107BC6C5" w14:textId="77777777" w:rsidR="00AC4F46" w:rsidRPr="00FB7EA4" w:rsidRDefault="008245E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100%</w:t>
            </w:r>
            <w:r w:rsidRPr="00FB7EA4">
              <w:rPr>
                <w:rFonts w:ascii="Arial" w:hAnsi="Arial" w:cs="Arial"/>
                <w:color w:val="0F243E" w:themeColor="text2" w:themeShade="80"/>
                <w:sz w:val="18"/>
                <w:szCs w:val="18"/>
              </w:rPr>
              <w:t>)</w:t>
            </w:r>
          </w:p>
        </w:tc>
        <w:tc>
          <w:tcPr>
            <w:tcW w:w="851" w:type="dxa"/>
            <w:noWrap/>
            <w:vAlign w:val="center"/>
          </w:tcPr>
          <w:p w14:paraId="77853906" w14:textId="77777777" w:rsidR="00AC4F46" w:rsidRPr="00FB7EA4" w:rsidRDefault="008245E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100%</w:t>
            </w:r>
            <w:r w:rsidRPr="00FB7EA4">
              <w:rPr>
                <w:rFonts w:ascii="Arial" w:hAnsi="Arial" w:cs="Arial"/>
                <w:color w:val="0F243E" w:themeColor="text2" w:themeShade="80"/>
                <w:sz w:val="18"/>
                <w:szCs w:val="18"/>
              </w:rPr>
              <w:t>)</w:t>
            </w:r>
          </w:p>
        </w:tc>
      </w:tr>
      <w:tr w:rsidR="00AC4F46" w:rsidRPr="00C30B29" w14:paraId="0B4DDBE1"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356B996C"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Grupo de Historias Laborales</w:t>
            </w:r>
          </w:p>
        </w:tc>
        <w:tc>
          <w:tcPr>
            <w:tcW w:w="708" w:type="dxa"/>
            <w:noWrap/>
            <w:vAlign w:val="center"/>
          </w:tcPr>
          <w:p w14:paraId="7BE98738" w14:textId="26D21D72"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28</w:t>
            </w:r>
          </w:p>
        </w:tc>
        <w:tc>
          <w:tcPr>
            <w:tcW w:w="709" w:type="dxa"/>
            <w:noWrap/>
            <w:vAlign w:val="center"/>
          </w:tcPr>
          <w:p w14:paraId="48F55805" w14:textId="65C06BBD"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19</w:t>
            </w:r>
          </w:p>
        </w:tc>
        <w:tc>
          <w:tcPr>
            <w:tcW w:w="709" w:type="dxa"/>
            <w:noWrap/>
            <w:vAlign w:val="center"/>
          </w:tcPr>
          <w:p w14:paraId="073E8838" w14:textId="604AE12B"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20</w:t>
            </w:r>
          </w:p>
        </w:tc>
        <w:tc>
          <w:tcPr>
            <w:tcW w:w="709" w:type="dxa"/>
            <w:noWrap/>
            <w:vAlign w:val="center"/>
          </w:tcPr>
          <w:p w14:paraId="04FC7C01" w14:textId="33AD0B02"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109</w:t>
            </w:r>
          </w:p>
        </w:tc>
        <w:tc>
          <w:tcPr>
            <w:tcW w:w="708" w:type="dxa"/>
            <w:noWrap/>
            <w:vAlign w:val="center"/>
          </w:tcPr>
          <w:p w14:paraId="652DD38E" w14:textId="108C2425"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69</w:t>
            </w:r>
          </w:p>
        </w:tc>
        <w:tc>
          <w:tcPr>
            <w:tcW w:w="709" w:type="dxa"/>
            <w:noWrap/>
            <w:vAlign w:val="center"/>
          </w:tcPr>
          <w:p w14:paraId="2A19DA56" w14:textId="6B535FCD"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70</w:t>
            </w:r>
          </w:p>
        </w:tc>
        <w:tc>
          <w:tcPr>
            <w:tcW w:w="851" w:type="dxa"/>
            <w:noWrap/>
            <w:vAlign w:val="center"/>
          </w:tcPr>
          <w:p w14:paraId="3CD9D05C" w14:textId="5F0951D4"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74%</w:t>
            </w:r>
            <w:r w:rsidRPr="00FB7EA4">
              <w:rPr>
                <w:rFonts w:ascii="Arial" w:hAnsi="Arial" w:cs="Arial"/>
                <w:color w:val="0F243E" w:themeColor="text2" w:themeShade="80"/>
                <w:sz w:val="18"/>
                <w:szCs w:val="18"/>
              </w:rPr>
              <w:t>)</w:t>
            </w:r>
          </w:p>
        </w:tc>
        <w:tc>
          <w:tcPr>
            <w:tcW w:w="850" w:type="dxa"/>
            <w:noWrap/>
            <w:vAlign w:val="center"/>
          </w:tcPr>
          <w:p w14:paraId="0B1B3F54" w14:textId="6C54F1FB" w:rsidR="00AC4F46" w:rsidRPr="00FB7EA4" w:rsidRDefault="009D76B8"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73%</w:t>
            </w:r>
            <w:r w:rsidRPr="00FB7EA4">
              <w:rPr>
                <w:rFonts w:ascii="Arial" w:hAnsi="Arial" w:cs="Arial"/>
                <w:color w:val="0F243E" w:themeColor="text2" w:themeShade="80"/>
                <w:sz w:val="18"/>
                <w:szCs w:val="18"/>
              </w:rPr>
              <w:t>)</w:t>
            </w:r>
          </w:p>
        </w:tc>
        <w:tc>
          <w:tcPr>
            <w:tcW w:w="851" w:type="dxa"/>
            <w:noWrap/>
            <w:vAlign w:val="center"/>
          </w:tcPr>
          <w:p w14:paraId="2F592E31" w14:textId="1BB651AE"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72%</w:t>
            </w:r>
            <w:r w:rsidRPr="00FB7EA4">
              <w:rPr>
                <w:rFonts w:ascii="Arial" w:hAnsi="Arial" w:cs="Arial"/>
                <w:color w:val="0F243E" w:themeColor="text2" w:themeShade="80"/>
                <w:sz w:val="18"/>
                <w:szCs w:val="18"/>
              </w:rPr>
              <w:t>)</w:t>
            </w:r>
          </w:p>
        </w:tc>
      </w:tr>
      <w:tr w:rsidR="00AC4F46" w:rsidRPr="00C30B29" w14:paraId="523C5785"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44F9048E"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 xml:space="preserve"> Grupo de Logística  y Suministros</w:t>
            </w:r>
          </w:p>
        </w:tc>
        <w:tc>
          <w:tcPr>
            <w:tcW w:w="708" w:type="dxa"/>
            <w:noWrap/>
            <w:vAlign w:val="center"/>
          </w:tcPr>
          <w:p w14:paraId="20308FCF" w14:textId="788F3CCC"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421</w:t>
            </w:r>
          </w:p>
        </w:tc>
        <w:tc>
          <w:tcPr>
            <w:tcW w:w="709" w:type="dxa"/>
            <w:noWrap/>
            <w:vAlign w:val="center"/>
          </w:tcPr>
          <w:p w14:paraId="0209B1F9" w14:textId="2A1C4BBB"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352</w:t>
            </w:r>
          </w:p>
        </w:tc>
        <w:tc>
          <w:tcPr>
            <w:tcW w:w="709" w:type="dxa"/>
            <w:noWrap/>
            <w:vAlign w:val="center"/>
          </w:tcPr>
          <w:p w14:paraId="48FD52A8" w14:textId="1A9214E2"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406</w:t>
            </w:r>
          </w:p>
        </w:tc>
        <w:tc>
          <w:tcPr>
            <w:tcW w:w="709" w:type="dxa"/>
            <w:noWrap/>
            <w:vAlign w:val="center"/>
          </w:tcPr>
          <w:p w14:paraId="3958CF86" w14:textId="7137F4AB"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950</w:t>
            </w:r>
          </w:p>
        </w:tc>
        <w:tc>
          <w:tcPr>
            <w:tcW w:w="708" w:type="dxa"/>
            <w:noWrap/>
            <w:vAlign w:val="center"/>
          </w:tcPr>
          <w:p w14:paraId="1F1E2604" w14:textId="0AB24AC5"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951</w:t>
            </w:r>
          </w:p>
        </w:tc>
        <w:tc>
          <w:tcPr>
            <w:tcW w:w="709" w:type="dxa"/>
            <w:noWrap/>
            <w:vAlign w:val="center"/>
          </w:tcPr>
          <w:p w14:paraId="62A5353A" w14:textId="74EB2AC6"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1.023</w:t>
            </w:r>
          </w:p>
        </w:tc>
        <w:tc>
          <w:tcPr>
            <w:tcW w:w="851" w:type="dxa"/>
            <w:noWrap/>
            <w:vAlign w:val="center"/>
          </w:tcPr>
          <w:p w14:paraId="76F7E0BD" w14:textId="57757F70"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56%</w:t>
            </w:r>
            <w:r w:rsidRPr="00FB7EA4">
              <w:rPr>
                <w:rFonts w:ascii="Arial" w:hAnsi="Arial" w:cs="Arial"/>
                <w:color w:val="0F243E" w:themeColor="text2" w:themeShade="80"/>
                <w:sz w:val="18"/>
                <w:szCs w:val="18"/>
              </w:rPr>
              <w:t>)</w:t>
            </w:r>
          </w:p>
        </w:tc>
        <w:tc>
          <w:tcPr>
            <w:tcW w:w="850" w:type="dxa"/>
            <w:noWrap/>
            <w:vAlign w:val="center"/>
          </w:tcPr>
          <w:p w14:paraId="1E75975E" w14:textId="45752405" w:rsidR="00AC4F46" w:rsidRPr="00FB7EA4" w:rsidRDefault="009D76B8"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63%</w:t>
            </w:r>
            <w:r w:rsidRPr="00FB7EA4">
              <w:rPr>
                <w:rFonts w:ascii="Arial" w:hAnsi="Arial" w:cs="Arial"/>
                <w:color w:val="0F243E" w:themeColor="text2" w:themeShade="80"/>
                <w:sz w:val="18"/>
                <w:szCs w:val="18"/>
              </w:rPr>
              <w:t>)</w:t>
            </w:r>
          </w:p>
        </w:tc>
        <w:tc>
          <w:tcPr>
            <w:tcW w:w="851" w:type="dxa"/>
            <w:noWrap/>
            <w:vAlign w:val="center"/>
          </w:tcPr>
          <w:p w14:paraId="203CA96C" w14:textId="689626EB"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60%</w:t>
            </w:r>
            <w:r w:rsidRPr="00FB7EA4">
              <w:rPr>
                <w:rFonts w:ascii="Arial" w:hAnsi="Arial" w:cs="Arial"/>
                <w:color w:val="0F243E" w:themeColor="text2" w:themeShade="80"/>
                <w:sz w:val="18"/>
                <w:szCs w:val="18"/>
              </w:rPr>
              <w:t>)</w:t>
            </w:r>
          </w:p>
        </w:tc>
      </w:tr>
      <w:tr w:rsidR="00AC4F46" w:rsidRPr="00C30B29" w14:paraId="0233189A"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6FF66780"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Grupo de Infraestructura</w:t>
            </w:r>
          </w:p>
        </w:tc>
        <w:tc>
          <w:tcPr>
            <w:tcW w:w="708" w:type="dxa"/>
            <w:noWrap/>
            <w:vAlign w:val="center"/>
          </w:tcPr>
          <w:p w14:paraId="5AED7FB3" w14:textId="7CD4EB82"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22</w:t>
            </w:r>
          </w:p>
        </w:tc>
        <w:tc>
          <w:tcPr>
            <w:tcW w:w="709" w:type="dxa"/>
            <w:noWrap/>
            <w:vAlign w:val="center"/>
          </w:tcPr>
          <w:p w14:paraId="6448ECF0" w14:textId="0F5BC48E"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31</w:t>
            </w:r>
          </w:p>
        </w:tc>
        <w:tc>
          <w:tcPr>
            <w:tcW w:w="709" w:type="dxa"/>
            <w:noWrap/>
            <w:vAlign w:val="center"/>
          </w:tcPr>
          <w:p w14:paraId="5CB69724" w14:textId="0AFA5B0B"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40</w:t>
            </w:r>
          </w:p>
        </w:tc>
        <w:tc>
          <w:tcPr>
            <w:tcW w:w="709" w:type="dxa"/>
            <w:noWrap/>
            <w:vAlign w:val="center"/>
          </w:tcPr>
          <w:p w14:paraId="63D125C1" w14:textId="67CA8CF5"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50</w:t>
            </w:r>
          </w:p>
        </w:tc>
        <w:tc>
          <w:tcPr>
            <w:tcW w:w="708" w:type="dxa"/>
            <w:noWrap/>
            <w:vAlign w:val="center"/>
          </w:tcPr>
          <w:p w14:paraId="69A2499B" w14:textId="608E7B87"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49</w:t>
            </w:r>
          </w:p>
        </w:tc>
        <w:tc>
          <w:tcPr>
            <w:tcW w:w="709" w:type="dxa"/>
            <w:noWrap/>
            <w:vAlign w:val="center"/>
          </w:tcPr>
          <w:p w14:paraId="11EEC01D" w14:textId="5525D2CB"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49</w:t>
            </w:r>
          </w:p>
        </w:tc>
        <w:tc>
          <w:tcPr>
            <w:tcW w:w="851" w:type="dxa"/>
            <w:noWrap/>
            <w:vAlign w:val="center"/>
          </w:tcPr>
          <w:p w14:paraId="0F4CD53B" w14:textId="1DF4E04C"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56%</w:t>
            </w:r>
            <w:r w:rsidRPr="00FB7EA4">
              <w:rPr>
                <w:rFonts w:ascii="Arial" w:hAnsi="Arial" w:cs="Arial"/>
                <w:color w:val="0F243E" w:themeColor="text2" w:themeShade="80"/>
                <w:sz w:val="18"/>
                <w:szCs w:val="18"/>
              </w:rPr>
              <w:t>)</w:t>
            </w:r>
          </w:p>
        </w:tc>
        <w:tc>
          <w:tcPr>
            <w:tcW w:w="850" w:type="dxa"/>
            <w:noWrap/>
            <w:vAlign w:val="center"/>
          </w:tcPr>
          <w:p w14:paraId="119CF0DC" w14:textId="1576B392" w:rsidR="00AC4F46" w:rsidRPr="00FB7EA4" w:rsidRDefault="009D76B8"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36%</w:t>
            </w:r>
            <w:r w:rsidRPr="00FB7EA4">
              <w:rPr>
                <w:rFonts w:ascii="Arial" w:hAnsi="Arial" w:cs="Arial"/>
                <w:color w:val="0F243E" w:themeColor="text2" w:themeShade="80"/>
                <w:sz w:val="18"/>
                <w:szCs w:val="18"/>
              </w:rPr>
              <w:t>)</w:t>
            </w:r>
          </w:p>
        </w:tc>
        <w:tc>
          <w:tcPr>
            <w:tcW w:w="851" w:type="dxa"/>
            <w:noWrap/>
            <w:vAlign w:val="center"/>
          </w:tcPr>
          <w:p w14:paraId="4CD0D2C8" w14:textId="606A9F72"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18%</w:t>
            </w:r>
            <w:r w:rsidRPr="00FB7EA4">
              <w:rPr>
                <w:rFonts w:ascii="Arial" w:hAnsi="Arial" w:cs="Arial"/>
                <w:color w:val="0F243E" w:themeColor="text2" w:themeShade="80"/>
                <w:sz w:val="18"/>
                <w:szCs w:val="18"/>
              </w:rPr>
              <w:t>)</w:t>
            </w:r>
          </w:p>
        </w:tc>
      </w:tr>
      <w:tr w:rsidR="00AC4F46" w:rsidRPr="00C30B29" w14:paraId="2EE77E25"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7D438C88"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Grupo de Gestión de Información</w:t>
            </w:r>
          </w:p>
        </w:tc>
        <w:tc>
          <w:tcPr>
            <w:tcW w:w="708" w:type="dxa"/>
            <w:noWrap/>
            <w:vAlign w:val="center"/>
          </w:tcPr>
          <w:p w14:paraId="23732D47" w14:textId="27148D0A"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21</w:t>
            </w:r>
          </w:p>
        </w:tc>
        <w:tc>
          <w:tcPr>
            <w:tcW w:w="709" w:type="dxa"/>
            <w:noWrap/>
            <w:vAlign w:val="center"/>
          </w:tcPr>
          <w:p w14:paraId="149CCE8B" w14:textId="5A73838F"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27</w:t>
            </w:r>
          </w:p>
        </w:tc>
        <w:tc>
          <w:tcPr>
            <w:tcW w:w="709" w:type="dxa"/>
            <w:noWrap/>
            <w:vAlign w:val="center"/>
          </w:tcPr>
          <w:p w14:paraId="5EAC647D" w14:textId="1A4092A3"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28</w:t>
            </w:r>
          </w:p>
        </w:tc>
        <w:tc>
          <w:tcPr>
            <w:tcW w:w="709" w:type="dxa"/>
            <w:noWrap/>
            <w:vAlign w:val="center"/>
          </w:tcPr>
          <w:p w14:paraId="1697FFE1" w14:textId="3536280E"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25</w:t>
            </w:r>
          </w:p>
        </w:tc>
        <w:tc>
          <w:tcPr>
            <w:tcW w:w="708" w:type="dxa"/>
            <w:noWrap/>
            <w:vAlign w:val="center"/>
          </w:tcPr>
          <w:p w14:paraId="604026DD" w14:textId="79AB68A4"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28</w:t>
            </w:r>
          </w:p>
        </w:tc>
        <w:tc>
          <w:tcPr>
            <w:tcW w:w="709" w:type="dxa"/>
            <w:noWrap/>
            <w:vAlign w:val="center"/>
          </w:tcPr>
          <w:p w14:paraId="181FDB1B" w14:textId="3FDA4753"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28</w:t>
            </w:r>
          </w:p>
        </w:tc>
        <w:tc>
          <w:tcPr>
            <w:tcW w:w="851" w:type="dxa"/>
            <w:noWrap/>
            <w:vAlign w:val="center"/>
          </w:tcPr>
          <w:p w14:paraId="19256717" w14:textId="7C820539" w:rsidR="00AC4F46" w:rsidRPr="00FB7EA4" w:rsidRDefault="0062493A"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17%</w:t>
            </w:r>
            <w:r w:rsidRPr="00FB7EA4">
              <w:rPr>
                <w:rFonts w:ascii="Arial" w:hAnsi="Arial" w:cs="Arial"/>
                <w:color w:val="0F243E" w:themeColor="text2" w:themeShade="80"/>
                <w:sz w:val="18"/>
                <w:szCs w:val="18"/>
              </w:rPr>
              <w:t>)</w:t>
            </w:r>
          </w:p>
        </w:tc>
        <w:tc>
          <w:tcPr>
            <w:tcW w:w="850" w:type="dxa"/>
            <w:noWrap/>
            <w:vAlign w:val="center"/>
          </w:tcPr>
          <w:p w14:paraId="4AF08D62" w14:textId="6B99135F" w:rsidR="00AC4F46" w:rsidRPr="00FB7EA4" w:rsidRDefault="009D76B8"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3%</w:t>
            </w:r>
            <w:r w:rsidRPr="00FB7EA4">
              <w:rPr>
                <w:rFonts w:ascii="Arial" w:hAnsi="Arial" w:cs="Arial"/>
                <w:color w:val="0F243E" w:themeColor="text2" w:themeShade="80"/>
                <w:sz w:val="18"/>
                <w:szCs w:val="18"/>
              </w:rPr>
              <w:t>)</w:t>
            </w:r>
          </w:p>
        </w:tc>
        <w:tc>
          <w:tcPr>
            <w:tcW w:w="851" w:type="dxa"/>
            <w:noWrap/>
            <w:vAlign w:val="center"/>
          </w:tcPr>
          <w:p w14:paraId="096CD301" w14:textId="77777777" w:rsidR="00AC4F46" w:rsidRPr="00FB7EA4"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0%</w:t>
            </w:r>
          </w:p>
        </w:tc>
      </w:tr>
      <w:tr w:rsidR="00AC4F46" w:rsidRPr="00C30B29" w14:paraId="27BE67B5"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01DF0E70"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 xml:space="preserve">Grupo de Análisis Presupuestal </w:t>
            </w:r>
          </w:p>
        </w:tc>
        <w:tc>
          <w:tcPr>
            <w:tcW w:w="708" w:type="dxa"/>
            <w:noWrap/>
            <w:vAlign w:val="center"/>
          </w:tcPr>
          <w:p w14:paraId="65398C9E" w14:textId="33EF1CC9"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9" w:type="dxa"/>
            <w:noWrap/>
            <w:vAlign w:val="center"/>
          </w:tcPr>
          <w:p w14:paraId="6BD47080" w14:textId="7730187E"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16</w:t>
            </w:r>
          </w:p>
        </w:tc>
        <w:tc>
          <w:tcPr>
            <w:tcW w:w="709" w:type="dxa"/>
            <w:noWrap/>
            <w:vAlign w:val="center"/>
          </w:tcPr>
          <w:p w14:paraId="4FECCCF2" w14:textId="0B2892F0"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9" w:type="dxa"/>
            <w:noWrap/>
            <w:vAlign w:val="center"/>
          </w:tcPr>
          <w:p w14:paraId="4A7F2FDD" w14:textId="5811024F"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44</w:t>
            </w:r>
          </w:p>
        </w:tc>
        <w:tc>
          <w:tcPr>
            <w:tcW w:w="708" w:type="dxa"/>
            <w:noWrap/>
            <w:vAlign w:val="center"/>
          </w:tcPr>
          <w:p w14:paraId="0C5C03DC" w14:textId="1F928451"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9" w:type="dxa"/>
            <w:noWrap/>
            <w:vAlign w:val="center"/>
          </w:tcPr>
          <w:p w14:paraId="410CC8D7" w14:textId="52EAD551"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851" w:type="dxa"/>
            <w:noWrap/>
            <w:vAlign w:val="center"/>
          </w:tcPr>
          <w:p w14:paraId="2281C99B" w14:textId="77777777" w:rsidR="00AC4F46" w:rsidRPr="00FB7EA4" w:rsidRDefault="006912A5"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100%</w:t>
            </w:r>
            <w:r w:rsidRPr="00FB7EA4">
              <w:rPr>
                <w:rFonts w:ascii="Arial" w:hAnsi="Arial" w:cs="Arial"/>
                <w:color w:val="0F243E" w:themeColor="text2" w:themeShade="80"/>
                <w:sz w:val="18"/>
                <w:szCs w:val="18"/>
              </w:rPr>
              <w:t>)</w:t>
            </w:r>
          </w:p>
        </w:tc>
        <w:tc>
          <w:tcPr>
            <w:tcW w:w="850" w:type="dxa"/>
            <w:noWrap/>
            <w:vAlign w:val="center"/>
          </w:tcPr>
          <w:p w14:paraId="68200F8E" w14:textId="77777777" w:rsidR="00AC4F46" w:rsidRPr="00FB7EA4" w:rsidRDefault="00277F47"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851" w:type="dxa"/>
            <w:noWrap/>
            <w:vAlign w:val="center"/>
          </w:tcPr>
          <w:p w14:paraId="3101A908" w14:textId="77777777" w:rsidR="00AC4F46" w:rsidRPr="00FB7EA4" w:rsidRDefault="00277F47"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r>
      <w:tr w:rsidR="00AC4F46" w:rsidRPr="00C30B29" w14:paraId="14CB47D0" w14:textId="77777777" w:rsidTr="00B379A4">
        <w:tc>
          <w:tcPr>
            <w:cnfStyle w:val="001000000000" w:firstRow="0" w:lastRow="0" w:firstColumn="1" w:lastColumn="0" w:oddVBand="0" w:evenVBand="0" w:oddHBand="0" w:evenHBand="0" w:firstRowFirstColumn="0" w:firstRowLastColumn="0" w:lastRowFirstColumn="0" w:lastRowLastColumn="0"/>
            <w:tcW w:w="3256" w:type="dxa"/>
            <w:noWrap/>
            <w:vAlign w:val="center"/>
          </w:tcPr>
          <w:p w14:paraId="4E9D4F63" w14:textId="77777777" w:rsidR="00AC4F46" w:rsidRPr="00FB7EA4" w:rsidRDefault="00AC4F46" w:rsidP="00883528">
            <w:pPr>
              <w:spacing w:before="80" w:after="80"/>
              <w:rPr>
                <w:rFonts w:ascii="Arial" w:hAnsi="Arial" w:cs="Arial"/>
                <w:b w:val="0"/>
                <w:color w:val="0F243E" w:themeColor="text2" w:themeShade="80"/>
                <w:sz w:val="18"/>
                <w:szCs w:val="18"/>
              </w:rPr>
            </w:pPr>
            <w:r w:rsidRPr="00FB7EA4">
              <w:rPr>
                <w:rFonts w:ascii="Arial" w:hAnsi="Arial" w:cs="Arial"/>
                <w:b w:val="0"/>
                <w:color w:val="0F243E" w:themeColor="text2" w:themeShade="80"/>
                <w:sz w:val="18"/>
                <w:szCs w:val="18"/>
              </w:rPr>
              <w:t xml:space="preserve">Grupo de Gestión de Liquidez </w:t>
            </w:r>
          </w:p>
        </w:tc>
        <w:tc>
          <w:tcPr>
            <w:tcW w:w="708" w:type="dxa"/>
            <w:noWrap/>
            <w:vAlign w:val="center"/>
          </w:tcPr>
          <w:p w14:paraId="03FB717E" w14:textId="154B6BD8" w:rsidR="00AC4F46" w:rsidRPr="00FB7EA4" w:rsidRDefault="00CB7F73"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0</w:t>
            </w:r>
          </w:p>
        </w:tc>
        <w:tc>
          <w:tcPr>
            <w:tcW w:w="709" w:type="dxa"/>
            <w:noWrap/>
            <w:vAlign w:val="center"/>
          </w:tcPr>
          <w:p w14:paraId="603DB129" w14:textId="15CC4D5C" w:rsidR="00AC4F46" w:rsidRPr="00FB7EA4" w:rsidRDefault="00CB7F73"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0</w:t>
            </w:r>
          </w:p>
        </w:tc>
        <w:tc>
          <w:tcPr>
            <w:tcW w:w="709" w:type="dxa"/>
            <w:noWrap/>
            <w:vAlign w:val="center"/>
          </w:tcPr>
          <w:p w14:paraId="39C24930" w14:textId="725155CF" w:rsidR="00AC4F46" w:rsidRPr="00FB7EA4" w:rsidRDefault="00CB7F73"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0</w:t>
            </w:r>
          </w:p>
        </w:tc>
        <w:tc>
          <w:tcPr>
            <w:tcW w:w="709" w:type="dxa"/>
            <w:noWrap/>
            <w:vAlign w:val="center"/>
          </w:tcPr>
          <w:p w14:paraId="6D7E815D" w14:textId="5B5BD694"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708" w:type="dxa"/>
            <w:noWrap/>
            <w:vAlign w:val="center"/>
          </w:tcPr>
          <w:p w14:paraId="2935BF34" w14:textId="6D43C4DA"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52</w:t>
            </w:r>
          </w:p>
        </w:tc>
        <w:tc>
          <w:tcPr>
            <w:tcW w:w="709" w:type="dxa"/>
            <w:noWrap/>
            <w:vAlign w:val="center"/>
          </w:tcPr>
          <w:p w14:paraId="0DF4EF75" w14:textId="5BE3DE46" w:rsidR="00AC4F46" w:rsidRPr="00FB7EA4"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p>
        </w:tc>
        <w:tc>
          <w:tcPr>
            <w:tcW w:w="851" w:type="dxa"/>
            <w:noWrap/>
            <w:vAlign w:val="center"/>
          </w:tcPr>
          <w:p w14:paraId="08930C83" w14:textId="77777777" w:rsidR="00AC4F46" w:rsidRPr="00FB7EA4" w:rsidRDefault="00277F47"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c>
          <w:tcPr>
            <w:tcW w:w="850" w:type="dxa"/>
            <w:noWrap/>
            <w:vAlign w:val="center"/>
          </w:tcPr>
          <w:p w14:paraId="0C53A920" w14:textId="77777777" w:rsidR="00AC4F46" w:rsidRPr="00FB7EA4" w:rsidRDefault="00277F47"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w:t>
            </w:r>
            <w:r w:rsidR="00AC4F46" w:rsidRPr="00FB7EA4">
              <w:rPr>
                <w:rFonts w:ascii="Arial" w:hAnsi="Arial" w:cs="Arial"/>
                <w:color w:val="0F243E" w:themeColor="text2" w:themeShade="80"/>
                <w:sz w:val="18"/>
                <w:szCs w:val="18"/>
              </w:rPr>
              <w:t>100%</w:t>
            </w:r>
            <w:r w:rsidRPr="00FB7EA4">
              <w:rPr>
                <w:rFonts w:ascii="Arial" w:hAnsi="Arial" w:cs="Arial"/>
                <w:color w:val="0F243E" w:themeColor="text2" w:themeShade="80"/>
                <w:sz w:val="18"/>
                <w:szCs w:val="18"/>
              </w:rPr>
              <w:t>)</w:t>
            </w:r>
          </w:p>
        </w:tc>
        <w:tc>
          <w:tcPr>
            <w:tcW w:w="851" w:type="dxa"/>
            <w:noWrap/>
            <w:vAlign w:val="center"/>
          </w:tcPr>
          <w:p w14:paraId="008BF88F" w14:textId="77777777" w:rsidR="00AC4F46" w:rsidRPr="00FB7EA4" w:rsidRDefault="002A2477"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100%</w:t>
            </w:r>
          </w:p>
        </w:tc>
      </w:tr>
      <w:tr w:rsidR="00AC4F46" w:rsidRPr="00C30B29" w14:paraId="2C0BB20D" w14:textId="77777777" w:rsidTr="00B379A4">
        <w:tc>
          <w:tcPr>
            <w:cnfStyle w:val="001000000000" w:firstRow="0" w:lastRow="0" w:firstColumn="1" w:lastColumn="0" w:oddVBand="0" w:evenVBand="0" w:oddHBand="0" w:evenHBand="0" w:firstRowFirstColumn="0" w:firstRowLastColumn="0" w:lastRowFirstColumn="0" w:lastRowLastColumn="0"/>
            <w:tcW w:w="3256" w:type="dxa"/>
            <w:shd w:val="clear" w:color="auto" w:fill="4F81BD" w:themeFill="accent1"/>
            <w:noWrap/>
            <w:vAlign w:val="center"/>
            <w:hideMark/>
          </w:tcPr>
          <w:p w14:paraId="558EC370" w14:textId="77777777" w:rsidR="00AC4F46" w:rsidRPr="00C30B29" w:rsidRDefault="00AC4F46" w:rsidP="00883528">
            <w:pPr>
              <w:spacing w:before="80" w:after="80"/>
              <w:rPr>
                <w:rFonts w:ascii="Arial" w:hAnsi="Arial" w:cs="Arial"/>
                <w:color w:val="FFFFFF" w:themeColor="background1"/>
                <w:sz w:val="18"/>
                <w:szCs w:val="18"/>
              </w:rPr>
            </w:pPr>
            <w:r w:rsidRPr="00C30B29">
              <w:rPr>
                <w:rFonts w:ascii="Arial" w:hAnsi="Arial" w:cs="Arial"/>
                <w:color w:val="FFFFFF" w:themeColor="background1"/>
                <w:sz w:val="18"/>
                <w:szCs w:val="18"/>
              </w:rPr>
              <w:t>Total</w:t>
            </w:r>
          </w:p>
        </w:tc>
        <w:tc>
          <w:tcPr>
            <w:tcW w:w="708" w:type="dxa"/>
            <w:shd w:val="clear" w:color="auto" w:fill="4F81BD" w:themeFill="accent1"/>
            <w:noWrap/>
            <w:vAlign w:val="center"/>
          </w:tcPr>
          <w:p w14:paraId="60EC92F7" w14:textId="77777777" w:rsidR="00AC4F46" w:rsidRPr="00C30B29"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C30B29">
              <w:rPr>
                <w:rFonts w:ascii="Arial" w:hAnsi="Arial" w:cs="Arial"/>
                <w:b/>
                <w:bCs/>
                <w:color w:val="FFFFFF" w:themeColor="background1"/>
                <w:sz w:val="18"/>
                <w:szCs w:val="18"/>
              </w:rPr>
              <w:t xml:space="preserve">             2.400 </w:t>
            </w:r>
          </w:p>
        </w:tc>
        <w:tc>
          <w:tcPr>
            <w:tcW w:w="709" w:type="dxa"/>
            <w:shd w:val="clear" w:color="auto" w:fill="4F81BD" w:themeFill="accent1"/>
            <w:noWrap/>
            <w:vAlign w:val="center"/>
          </w:tcPr>
          <w:p w14:paraId="6ECEE5D8" w14:textId="77777777" w:rsidR="00AC4F46" w:rsidRPr="00C30B29"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C30B29">
              <w:rPr>
                <w:rFonts w:ascii="Arial" w:hAnsi="Arial" w:cs="Arial"/>
                <w:b/>
                <w:bCs/>
                <w:color w:val="FFFFFF" w:themeColor="background1"/>
                <w:sz w:val="18"/>
                <w:szCs w:val="18"/>
              </w:rPr>
              <w:t xml:space="preserve">                2.394 </w:t>
            </w:r>
          </w:p>
        </w:tc>
        <w:tc>
          <w:tcPr>
            <w:tcW w:w="709" w:type="dxa"/>
            <w:shd w:val="clear" w:color="auto" w:fill="4F81BD" w:themeFill="accent1"/>
            <w:noWrap/>
            <w:vAlign w:val="center"/>
          </w:tcPr>
          <w:p w14:paraId="125480B0" w14:textId="77777777" w:rsidR="00AC4F46" w:rsidRPr="00C30B29"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C30B29">
              <w:rPr>
                <w:rFonts w:ascii="Arial" w:hAnsi="Arial" w:cs="Arial"/>
                <w:b/>
                <w:bCs/>
                <w:color w:val="FFFFFF" w:themeColor="background1"/>
                <w:sz w:val="18"/>
                <w:szCs w:val="18"/>
              </w:rPr>
              <w:t xml:space="preserve">                      2.526 </w:t>
            </w:r>
          </w:p>
        </w:tc>
        <w:tc>
          <w:tcPr>
            <w:tcW w:w="709" w:type="dxa"/>
            <w:shd w:val="clear" w:color="auto" w:fill="4F81BD" w:themeFill="accent1"/>
            <w:noWrap/>
            <w:vAlign w:val="center"/>
          </w:tcPr>
          <w:p w14:paraId="4ED9A519" w14:textId="77777777" w:rsidR="00AC4F46" w:rsidRPr="00C30B29"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C30B29">
              <w:rPr>
                <w:rFonts w:ascii="Arial" w:hAnsi="Arial" w:cs="Arial"/>
                <w:b/>
                <w:bCs/>
                <w:color w:val="FFFFFF" w:themeColor="background1"/>
                <w:sz w:val="18"/>
                <w:szCs w:val="18"/>
              </w:rPr>
              <w:t xml:space="preserve">                    2.897 </w:t>
            </w:r>
          </w:p>
        </w:tc>
        <w:tc>
          <w:tcPr>
            <w:tcW w:w="708" w:type="dxa"/>
            <w:shd w:val="clear" w:color="auto" w:fill="4F81BD" w:themeFill="accent1"/>
            <w:noWrap/>
            <w:vAlign w:val="center"/>
          </w:tcPr>
          <w:p w14:paraId="0E9F7CA9" w14:textId="77777777" w:rsidR="00AC4F46" w:rsidRPr="00C30B29"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C30B29">
              <w:rPr>
                <w:rFonts w:ascii="Arial" w:hAnsi="Arial" w:cs="Arial"/>
                <w:b/>
                <w:bCs/>
                <w:color w:val="FFFFFF" w:themeColor="background1"/>
                <w:sz w:val="18"/>
                <w:szCs w:val="18"/>
              </w:rPr>
              <w:t xml:space="preserve">             2.789 </w:t>
            </w:r>
          </w:p>
        </w:tc>
        <w:tc>
          <w:tcPr>
            <w:tcW w:w="709" w:type="dxa"/>
            <w:shd w:val="clear" w:color="auto" w:fill="4F81BD" w:themeFill="accent1"/>
            <w:noWrap/>
            <w:vAlign w:val="center"/>
          </w:tcPr>
          <w:p w14:paraId="177E2B4D" w14:textId="77777777" w:rsidR="00AC4F46" w:rsidRPr="00C30B29"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C30B29">
              <w:rPr>
                <w:rFonts w:ascii="Arial" w:hAnsi="Arial" w:cs="Arial"/>
                <w:b/>
                <w:bCs/>
                <w:color w:val="FFFFFF" w:themeColor="background1"/>
                <w:sz w:val="18"/>
                <w:szCs w:val="18"/>
              </w:rPr>
              <w:t xml:space="preserve">             2.864 </w:t>
            </w:r>
          </w:p>
        </w:tc>
        <w:tc>
          <w:tcPr>
            <w:tcW w:w="851" w:type="dxa"/>
            <w:shd w:val="clear" w:color="auto" w:fill="4F81BD" w:themeFill="accent1"/>
            <w:noWrap/>
            <w:vAlign w:val="center"/>
          </w:tcPr>
          <w:p w14:paraId="5E4FDC86" w14:textId="77777777" w:rsidR="00AC4F46" w:rsidRPr="00C30B29"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C30B29">
              <w:rPr>
                <w:rFonts w:ascii="Arial" w:hAnsi="Arial" w:cs="Arial"/>
                <w:b/>
                <w:bCs/>
                <w:color w:val="FFFFFF" w:themeColor="background1"/>
                <w:sz w:val="18"/>
                <w:szCs w:val="18"/>
              </w:rPr>
              <w:t>(17%)</w:t>
            </w:r>
          </w:p>
        </w:tc>
        <w:tc>
          <w:tcPr>
            <w:tcW w:w="850" w:type="dxa"/>
            <w:shd w:val="clear" w:color="auto" w:fill="4F81BD" w:themeFill="accent1"/>
            <w:noWrap/>
            <w:vAlign w:val="center"/>
          </w:tcPr>
          <w:p w14:paraId="38CBD952" w14:textId="77777777" w:rsidR="00AC4F46" w:rsidRPr="00C30B29"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C30B29">
              <w:rPr>
                <w:rFonts w:ascii="Arial" w:hAnsi="Arial" w:cs="Arial"/>
                <w:b/>
                <w:bCs/>
                <w:color w:val="FFFFFF" w:themeColor="background1"/>
                <w:sz w:val="18"/>
                <w:szCs w:val="18"/>
              </w:rPr>
              <w:t>(14%)</w:t>
            </w:r>
          </w:p>
        </w:tc>
        <w:tc>
          <w:tcPr>
            <w:tcW w:w="851" w:type="dxa"/>
            <w:shd w:val="clear" w:color="auto" w:fill="4F81BD" w:themeFill="accent1"/>
            <w:noWrap/>
            <w:vAlign w:val="center"/>
          </w:tcPr>
          <w:p w14:paraId="7F5CF40E" w14:textId="77777777" w:rsidR="00AC4F46" w:rsidRPr="00C30B29" w:rsidRDefault="00AC4F46" w:rsidP="00883528">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C30B29">
              <w:rPr>
                <w:rFonts w:ascii="Arial" w:hAnsi="Arial" w:cs="Arial"/>
                <w:b/>
                <w:bCs/>
                <w:color w:val="FFFFFF" w:themeColor="background1"/>
                <w:sz w:val="18"/>
                <w:szCs w:val="18"/>
              </w:rPr>
              <w:t>(12%)</w:t>
            </w:r>
          </w:p>
        </w:tc>
      </w:tr>
      <w:tr w:rsidR="00D15567" w:rsidRPr="00C30B29" w14:paraId="503E2DEA" w14:textId="77777777" w:rsidTr="0062493A">
        <w:tc>
          <w:tcPr>
            <w:cnfStyle w:val="001000000000" w:firstRow="0" w:lastRow="0" w:firstColumn="1" w:lastColumn="0" w:oddVBand="0" w:evenVBand="0" w:oddHBand="0" w:evenHBand="0" w:firstRowFirstColumn="0" w:firstRowLastColumn="0" w:lastRowFirstColumn="0" w:lastRowLastColumn="0"/>
            <w:tcW w:w="3256" w:type="dxa"/>
            <w:shd w:val="clear" w:color="auto" w:fill="4F81BD" w:themeFill="accent1"/>
            <w:noWrap/>
            <w:vAlign w:val="center"/>
            <w:hideMark/>
          </w:tcPr>
          <w:p w14:paraId="57BA6507" w14:textId="77777777" w:rsidR="006B26E4" w:rsidRPr="00C30B29" w:rsidRDefault="006B26E4" w:rsidP="00883528">
            <w:pPr>
              <w:spacing w:before="80" w:after="80"/>
              <w:rPr>
                <w:rFonts w:ascii="Arial" w:hAnsi="Arial" w:cs="Arial"/>
                <w:color w:val="FFFFFF" w:themeColor="background1"/>
                <w:sz w:val="18"/>
                <w:szCs w:val="18"/>
              </w:rPr>
            </w:pPr>
            <w:r w:rsidRPr="00C30B29">
              <w:rPr>
                <w:rFonts w:ascii="Arial" w:hAnsi="Arial" w:cs="Arial"/>
                <w:color w:val="FFFFFF" w:themeColor="background1"/>
                <w:sz w:val="18"/>
                <w:szCs w:val="18"/>
              </w:rPr>
              <w:t>Total Trimestre</w:t>
            </w:r>
          </w:p>
        </w:tc>
        <w:tc>
          <w:tcPr>
            <w:tcW w:w="2126" w:type="dxa"/>
            <w:gridSpan w:val="3"/>
            <w:shd w:val="clear" w:color="auto" w:fill="4F81BD" w:themeFill="accent1"/>
            <w:vAlign w:val="center"/>
          </w:tcPr>
          <w:p w14:paraId="24C2A240" w14:textId="77777777" w:rsidR="006B26E4" w:rsidRPr="00C30B29" w:rsidRDefault="00E821E2"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C30B29">
              <w:rPr>
                <w:rFonts w:ascii="Arial" w:hAnsi="Arial" w:cs="Arial"/>
                <w:b/>
                <w:bCs/>
                <w:color w:val="FFFFFF" w:themeColor="background1"/>
                <w:sz w:val="18"/>
                <w:szCs w:val="18"/>
              </w:rPr>
              <w:t>7.320</w:t>
            </w:r>
          </w:p>
        </w:tc>
        <w:tc>
          <w:tcPr>
            <w:tcW w:w="2126" w:type="dxa"/>
            <w:gridSpan w:val="3"/>
            <w:shd w:val="clear" w:color="auto" w:fill="4F81BD" w:themeFill="accent1"/>
            <w:noWrap/>
            <w:vAlign w:val="center"/>
          </w:tcPr>
          <w:p w14:paraId="59D72985" w14:textId="77777777" w:rsidR="006B26E4" w:rsidRPr="00C30B29" w:rsidRDefault="00E821E2"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C30B29">
              <w:rPr>
                <w:rFonts w:ascii="Arial" w:hAnsi="Arial" w:cs="Arial"/>
                <w:b/>
                <w:bCs/>
                <w:color w:val="FFFFFF" w:themeColor="background1"/>
                <w:sz w:val="18"/>
                <w:szCs w:val="18"/>
              </w:rPr>
              <w:t>8.549</w:t>
            </w:r>
          </w:p>
        </w:tc>
        <w:tc>
          <w:tcPr>
            <w:tcW w:w="2552" w:type="dxa"/>
            <w:gridSpan w:val="3"/>
            <w:shd w:val="clear" w:color="auto" w:fill="4F81BD" w:themeFill="accent1"/>
            <w:noWrap/>
            <w:vAlign w:val="center"/>
          </w:tcPr>
          <w:p w14:paraId="2E60BCF7" w14:textId="77777777" w:rsidR="006B26E4" w:rsidRPr="00C30B29" w:rsidRDefault="00AC4F46"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C30B29">
              <w:rPr>
                <w:rFonts w:ascii="Arial" w:hAnsi="Arial" w:cs="Arial"/>
                <w:b/>
                <w:bCs/>
                <w:color w:val="FFFFFF" w:themeColor="background1"/>
                <w:sz w:val="18"/>
                <w:szCs w:val="18"/>
              </w:rPr>
              <w:t>(1.230)</w:t>
            </w:r>
          </w:p>
        </w:tc>
      </w:tr>
      <w:tr w:rsidR="00D15567" w:rsidRPr="00C30B29" w14:paraId="527E4749" w14:textId="77777777" w:rsidTr="0062493A">
        <w:tc>
          <w:tcPr>
            <w:cnfStyle w:val="001000000000" w:firstRow="0" w:lastRow="0" w:firstColumn="1" w:lastColumn="0" w:oddVBand="0" w:evenVBand="0" w:oddHBand="0" w:evenHBand="0" w:firstRowFirstColumn="0" w:firstRowLastColumn="0" w:lastRowFirstColumn="0" w:lastRowLastColumn="0"/>
            <w:tcW w:w="3256" w:type="dxa"/>
            <w:shd w:val="clear" w:color="auto" w:fill="4F81BD" w:themeFill="accent1"/>
            <w:noWrap/>
            <w:vAlign w:val="center"/>
            <w:hideMark/>
          </w:tcPr>
          <w:p w14:paraId="7C745035" w14:textId="77777777" w:rsidR="006B26E4" w:rsidRPr="00C30B29" w:rsidRDefault="006B26E4" w:rsidP="00883528">
            <w:pPr>
              <w:spacing w:before="80" w:after="80"/>
              <w:rPr>
                <w:rFonts w:ascii="Arial" w:hAnsi="Arial" w:cs="Arial"/>
                <w:color w:val="FFFFFF" w:themeColor="background1"/>
                <w:sz w:val="18"/>
                <w:szCs w:val="18"/>
              </w:rPr>
            </w:pPr>
            <w:r w:rsidRPr="00C30B29">
              <w:rPr>
                <w:rFonts w:ascii="Arial" w:hAnsi="Arial" w:cs="Arial"/>
                <w:color w:val="FFFFFF" w:themeColor="background1"/>
                <w:sz w:val="18"/>
                <w:szCs w:val="18"/>
              </w:rPr>
              <w:t xml:space="preserve">Variación </w:t>
            </w:r>
          </w:p>
        </w:tc>
        <w:tc>
          <w:tcPr>
            <w:tcW w:w="6804" w:type="dxa"/>
            <w:gridSpan w:val="9"/>
            <w:shd w:val="clear" w:color="auto" w:fill="4F81BD" w:themeFill="accent1"/>
            <w:vAlign w:val="center"/>
          </w:tcPr>
          <w:p w14:paraId="1535F82B" w14:textId="77777777" w:rsidR="006B26E4" w:rsidRPr="00C30B29" w:rsidRDefault="00CD2A57" w:rsidP="00883528">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C30B29">
              <w:rPr>
                <w:rFonts w:ascii="Arial" w:hAnsi="Arial" w:cs="Arial"/>
                <w:b/>
                <w:bCs/>
                <w:color w:val="FFFFFF" w:themeColor="background1"/>
                <w:sz w:val="18"/>
                <w:szCs w:val="18"/>
              </w:rPr>
              <w:t>(14%)</w:t>
            </w:r>
          </w:p>
        </w:tc>
      </w:tr>
    </w:tbl>
    <w:p w14:paraId="5181A82A" w14:textId="77777777" w:rsidR="00707E61" w:rsidRPr="00A003B6" w:rsidRDefault="00707E61" w:rsidP="00707E61">
      <w:pPr>
        <w:pStyle w:val="Default"/>
        <w:rPr>
          <w:sz w:val="23"/>
          <w:szCs w:val="23"/>
          <w:highlight w:val="yellow"/>
        </w:rPr>
      </w:pPr>
    </w:p>
    <w:p w14:paraId="761D3BA1" w14:textId="29BA818D" w:rsidR="00766DA3" w:rsidRPr="00A73AF1" w:rsidRDefault="00640AF6" w:rsidP="00E66711">
      <w:pPr>
        <w:jc w:val="both"/>
        <w:rPr>
          <w:rFonts w:ascii="Arial" w:hAnsi="Arial" w:cs="Arial"/>
          <w:sz w:val="22"/>
          <w:szCs w:val="22"/>
        </w:rPr>
      </w:pPr>
      <w:r w:rsidRPr="00A73AF1">
        <w:rPr>
          <w:rFonts w:ascii="Arial" w:hAnsi="Arial" w:cs="Arial"/>
          <w:sz w:val="22"/>
          <w:szCs w:val="22"/>
        </w:rPr>
        <w:t>D</w:t>
      </w:r>
      <w:r w:rsidR="00277B4B" w:rsidRPr="00A73AF1">
        <w:rPr>
          <w:rFonts w:ascii="Arial" w:hAnsi="Arial" w:cs="Arial"/>
          <w:sz w:val="22"/>
          <w:szCs w:val="22"/>
        </w:rPr>
        <w:t>e acuerdo con lo observado</w:t>
      </w:r>
      <w:r w:rsidR="00D02412" w:rsidRPr="00A73AF1">
        <w:rPr>
          <w:rFonts w:ascii="Arial" w:hAnsi="Arial" w:cs="Arial"/>
          <w:sz w:val="22"/>
          <w:szCs w:val="22"/>
        </w:rPr>
        <w:t xml:space="preserve">, </w:t>
      </w:r>
      <w:r w:rsidR="00277B4B" w:rsidRPr="00A73AF1">
        <w:rPr>
          <w:rFonts w:ascii="Arial" w:hAnsi="Arial" w:cs="Arial"/>
          <w:sz w:val="22"/>
          <w:szCs w:val="22"/>
        </w:rPr>
        <w:t xml:space="preserve">para el </w:t>
      </w:r>
      <w:r w:rsidR="00A73AF1">
        <w:rPr>
          <w:rFonts w:ascii="Arial" w:hAnsi="Arial" w:cs="Arial"/>
          <w:sz w:val="22"/>
          <w:szCs w:val="22"/>
        </w:rPr>
        <w:t xml:space="preserve">tercer </w:t>
      </w:r>
      <w:r w:rsidR="00766DA3" w:rsidRPr="00A73AF1">
        <w:rPr>
          <w:rFonts w:ascii="Arial" w:hAnsi="Arial" w:cs="Arial"/>
          <w:sz w:val="22"/>
          <w:szCs w:val="22"/>
        </w:rPr>
        <w:t>trimestre</w:t>
      </w:r>
      <w:r w:rsidR="00277B4B" w:rsidRPr="00A73AF1">
        <w:rPr>
          <w:rFonts w:ascii="Arial" w:hAnsi="Arial" w:cs="Arial"/>
          <w:sz w:val="22"/>
          <w:szCs w:val="22"/>
        </w:rPr>
        <w:t xml:space="preserve"> de 201</w:t>
      </w:r>
      <w:r w:rsidR="00C817B1" w:rsidRPr="00A73AF1">
        <w:rPr>
          <w:rFonts w:ascii="Arial" w:hAnsi="Arial" w:cs="Arial"/>
          <w:sz w:val="22"/>
          <w:szCs w:val="22"/>
        </w:rPr>
        <w:t>9</w:t>
      </w:r>
      <w:r w:rsidR="00277B4B" w:rsidRPr="00A73AF1">
        <w:rPr>
          <w:rFonts w:ascii="Arial" w:hAnsi="Arial" w:cs="Arial"/>
          <w:sz w:val="22"/>
          <w:szCs w:val="22"/>
        </w:rPr>
        <w:t xml:space="preserve"> se presentó un</w:t>
      </w:r>
      <w:r w:rsidR="00663871" w:rsidRPr="00A73AF1">
        <w:rPr>
          <w:rFonts w:ascii="Arial" w:hAnsi="Arial" w:cs="Arial"/>
          <w:sz w:val="22"/>
          <w:szCs w:val="22"/>
        </w:rPr>
        <w:t xml:space="preserve"> </w:t>
      </w:r>
      <w:r w:rsidR="00277B4B" w:rsidRPr="00A73AF1">
        <w:rPr>
          <w:rFonts w:ascii="Arial" w:hAnsi="Arial" w:cs="Arial"/>
          <w:b/>
          <w:sz w:val="22"/>
          <w:szCs w:val="22"/>
        </w:rPr>
        <w:t>decrecimiento</w:t>
      </w:r>
      <w:r w:rsidR="00277B4B" w:rsidRPr="00A73AF1">
        <w:rPr>
          <w:rFonts w:ascii="Arial" w:hAnsi="Arial" w:cs="Arial"/>
          <w:sz w:val="22"/>
          <w:szCs w:val="22"/>
        </w:rPr>
        <w:t xml:space="preserve"> </w:t>
      </w:r>
      <w:r w:rsidR="00A73AF1">
        <w:rPr>
          <w:rFonts w:ascii="Arial" w:hAnsi="Arial" w:cs="Arial"/>
          <w:sz w:val="22"/>
          <w:szCs w:val="22"/>
        </w:rPr>
        <w:t xml:space="preserve">del 14%, correspondiente a 1.230 </w:t>
      </w:r>
      <w:r w:rsidR="00277B4B" w:rsidRPr="00A73AF1">
        <w:rPr>
          <w:rFonts w:ascii="Arial" w:hAnsi="Arial" w:cs="Arial"/>
          <w:sz w:val="22"/>
          <w:szCs w:val="22"/>
        </w:rPr>
        <w:t>horas extras laboradas fr</w:t>
      </w:r>
      <w:r w:rsidR="00A10553" w:rsidRPr="00A73AF1">
        <w:rPr>
          <w:rFonts w:ascii="Arial" w:hAnsi="Arial" w:cs="Arial"/>
          <w:sz w:val="22"/>
          <w:szCs w:val="22"/>
        </w:rPr>
        <w:t>ente a igual trimestre de 201</w:t>
      </w:r>
      <w:r w:rsidR="00663871" w:rsidRPr="00A73AF1">
        <w:rPr>
          <w:rFonts w:ascii="Arial" w:hAnsi="Arial" w:cs="Arial"/>
          <w:sz w:val="22"/>
          <w:szCs w:val="22"/>
        </w:rPr>
        <w:t>8</w:t>
      </w:r>
      <w:r w:rsidR="00A10553" w:rsidRPr="00A73AF1">
        <w:rPr>
          <w:rFonts w:ascii="Arial" w:hAnsi="Arial" w:cs="Arial"/>
          <w:sz w:val="22"/>
          <w:szCs w:val="22"/>
        </w:rPr>
        <w:t xml:space="preserve">. </w:t>
      </w:r>
    </w:p>
    <w:p w14:paraId="5A8590AA" w14:textId="77777777" w:rsidR="00FB59BE" w:rsidRPr="00A003B6" w:rsidRDefault="00FB59BE" w:rsidP="00502813">
      <w:pPr>
        <w:jc w:val="both"/>
        <w:rPr>
          <w:rFonts w:ascii="Arial" w:hAnsi="Arial" w:cs="Arial"/>
          <w:sz w:val="22"/>
          <w:szCs w:val="22"/>
          <w:highlight w:val="yellow"/>
        </w:rPr>
      </w:pPr>
    </w:p>
    <w:p w14:paraId="510BA94A" w14:textId="77777777" w:rsidR="00A161B9" w:rsidRPr="0071078B" w:rsidRDefault="005D5A2A" w:rsidP="00502813">
      <w:pPr>
        <w:spacing w:line="233" w:lineRule="auto"/>
        <w:jc w:val="both"/>
        <w:rPr>
          <w:rFonts w:ascii="Arial" w:hAnsi="Arial" w:cs="Arial"/>
          <w:sz w:val="22"/>
          <w:szCs w:val="22"/>
        </w:rPr>
      </w:pPr>
      <w:r w:rsidRPr="0071078B">
        <w:rPr>
          <w:rFonts w:ascii="Arial" w:hAnsi="Arial" w:cs="Arial"/>
          <w:sz w:val="22"/>
          <w:szCs w:val="22"/>
        </w:rPr>
        <w:t xml:space="preserve">Con respecto a la cantidad de horas liquidadas </w:t>
      </w:r>
      <w:r w:rsidR="00A94C59" w:rsidRPr="0071078B">
        <w:rPr>
          <w:rFonts w:ascii="Arial" w:hAnsi="Arial" w:cs="Arial"/>
          <w:sz w:val="22"/>
          <w:szCs w:val="22"/>
        </w:rPr>
        <w:t xml:space="preserve">para el </w:t>
      </w:r>
      <w:r w:rsidR="0071078B" w:rsidRPr="0071078B">
        <w:rPr>
          <w:rFonts w:ascii="Arial" w:hAnsi="Arial" w:cs="Arial"/>
          <w:sz w:val="22"/>
          <w:szCs w:val="22"/>
        </w:rPr>
        <w:t>tercer trimestre</w:t>
      </w:r>
      <w:r w:rsidR="00E26467" w:rsidRPr="0071078B">
        <w:rPr>
          <w:rFonts w:ascii="Arial" w:hAnsi="Arial" w:cs="Arial"/>
          <w:sz w:val="22"/>
          <w:szCs w:val="22"/>
        </w:rPr>
        <w:t xml:space="preserve"> de 201</w:t>
      </w:r>
      <w:r w:rsidR="00D03A7C" w:rsidRPr="0071078B">
        <w:rPr>
          <w:rFonts w:ascii="Arial" w:hAnsi="Arial" w:cs="Arial"/>
          <w:sz w:val="22"/>
          <w:szCs w:val="22"/>
        </w:rPr>
        <w:t>9</w:t>
      </w:r>
      <w:r w:rsidR="00E26467" w:rsidRPr="0071078B">
        <w:rPr>
          <w:rFonts w:ascii="Arial" w:hAnsi="Arial" w:cs="Arial"/>
          <w:sz w:val="22"/>
          <w:szCs w:val="22"/>
        </w:rPr>
        <w:t xml:space="preserve"> (</w:t>
      </w:r>
      <w:r w:rsidR="00D03A7C" w:rsidRPr="0071078B">
        <w:rPr>
          <w:rFonts w:ascii="Arial" w:hAnsi="Arial" w:cs="Arial"/>
          <w:sz w:val="22"/>
          <w:szCs w:val="22"/>
        </w:rPr>
        <w:t>7.</w:t>
      </w:r>
      <w:r w:rsidR="0071078B">
        <w:rPr>
          <w:rFonts w:ascii="Arial" w:hAnsi="Arial" w:cs="Arial"/>
          <w:sz w:val="22"/>
          <w:szCs w:val="22"/>
        </w:rPr>
        <w:t>320</w:t>
      </w:r>
      <w:r w:rsidR="00E26467" w:rsidRPr="0071078B">
        <w:rPr>
          <w:rFonts w:ascii="Arial" w:hAnsi="Arial" w:cs="Arial"/>
          <w:sz w:val="22"/>
          <w:szCs w:val="22"/>
        </w:rPr>
        <w:t>)</w:t>
      </w:r>
      <w:r w:rsidR="00A94C59" w:rsidRPr="0071078B">
        <w:rPr>
          <w:rFonts w:ascii="Arial" w:hAnsi="Arial" w:cs="Arial"/>
          <w:sz w:val="22"/>
          <w:szCs w:val="22"/>
        </w:rPr>
        <w:t xml:space="preserve"> </w:t>
      </w:r>
      <w:r w:rsidRPr="0071078B">
        <w:rPr>
          <w:rFonts w:ascii="Arial" w:hAnsi="Arial" w:cs="Arial"/>
          <w:sz w:val="22"/>
          <w:szCs w:val="22"/>
        </w:rPr>
        <w:t>se</w:t>
      </w:r>
      <w:r w:rsidR="00B259EF" w:rsidRPr="0071078B">
        <w:rPr>
          <w:rFonts w:ascii="Arial" w:hAnsi="Arial" w:cs="Arial"/>
          <w:sz w:val="22"/>
          <w:szCs w:val="22"/>
        </w:rPr>
        <w:t xml:space="preserve"> identificó </w:t>
      </w:r>
      <w:r w:rsidR="00A94C59" w:rsidRPr="0071078B">
        <w:rPr>
          <w:rFonts w:ascii="Arial" w:hAnsi="Arial" w:cs="Arial"/>
          <w:sz w:val="22"/>
          <w:szCs w:val="22"/>
        </w:rPr>
        <w:t>que el</w:t>
      </w:r>
      <w:r w:rsidR="00806926">
        <w:rPr>
          <w:rFonts w:ascii="Arial" w:hAnsi="Arial" w:cs="Arial"/>
          <w:sz w:val="22"/>
          <w:szCs w:val="22"/>
        </w:rPr>
        <w:t xml:space="preserve"> </w:t>
      </w:r>
      <w:r w:rsidR="00806926" w:rsidRPr="0071078B">
        <w:rPr>
          <w:rFonts w:ascii="Arial" w:hAnsi="Arial" w:cs="Arial"/>
          <w:sz w:val="22"/>
          <w:szCs w:val="22"/>
        </w:rPr>
        <w:t>Despacho del Ministro</w:t>
      </w:r>
      <w:r w:rsidR="00A94C59" w:rsidRPr="0071078B">
        <w:rPr>
          <w:rFonts w:ascii="Arial" w:hAnsi="Arial" w:cs="Arial"/>
          <w:sz w:val="22"/>
          <w:szCs w:val="22"/>
        </w:rPr>
        <w:t xml:space="preserve"> </w:t>
      </w:r>
      <w:r w:rsidR="00806926">
        <w:rPr>
          <w:rFonts w:ascii="Arial" w:hAnsi="Arial" w:cs="Arial"/>
          <w:sz w:val="22"/>
          <w:szCs w:val="22"/>
        </w:rPr>
        <w:t xml:space="preserve">y el </w:t>
      </w:r>
      <w:r w:rsidR="00A94C59" w:rsidRPr="0071078B">
        <w:rPr>
          <w:rFonts w:ascii="Arial" w:hAnsi="Arial" w:cs="Arial"/>
          <w:sz w:val="22"/>
          <w:szCs w:val="22"/>
        </w:rPr>
        <w:t xml:space="preserve">Grupo de Logística y Suministros de la Subdirección de Servicios </w:t>
      </w:r>
      <w:r w:rsidR="00806926">
        <w:rPr>
          <w:rFonts w:ascii="Arial" w:hAnsi="Arial" w:cs="Arial"/>
          <w:sz w:val="22"/>
          <w:szCs w:val="22"/>
        </w:rPr>
        <w:t xml:space="preserve">fueron </w:t>
      </w:r>
      <w:r w:rsidR="00A94C59" w:rsidRPr="0071078B">
        <w:rPr>
          <w:rFonts w:ascii="Arial" w:hAnsi="Arial" w:cs="Arial"/>
          <w:sz w:val="22"/>
          <w:szCs w:val="22"/>
        </w:rPr>
        <w:t xml:space="preserve">las áreas con mayor cantidad de horas extras liquidadas, representado el </w:t>
      </w:r>
      <w:r w:rsidR="00786E2E" w:rsidRPr="0071078B">
        <w:rPr>
          <w:rFonts w:ascii="Arial" w:hAnsi="Arial" w:cs="Arial"/>
          <w:sz w:val="22"/>
          <w:szCs w:val="22"/>
        </w:rPr>
        <w:t>2</w:t>
      </w:r>
      <w:r w:rsidR="00806926">
        <w:rPr>
          <w:rFonts w:ascii="Arial" w:hAnsi="Arial" w:cs="Arial"/>
          <w:sz w:val="22"/>
          <w:szCs w:val="22"/>
        </w:rPr>
        <w:t>4</w:t>
      </w:r>
      <w:r w:rsidR="00A94C59" w:rsidRPr="0071078B">
        <w:rPr>
          <w:rFonts w:ascii="Arial" w:hAnsi="Arial" w:cs="Arial"/>
          <w:sz w:val="22"/>
          <w:szCs w:val="22"/>
        </w:rPr>
        <w:t xml:space="preserve">% y </w:t>
      </w:r>
      <w:r w:rsidR="00806926">
        <w:rPr>
          <w:rFonts w:ascii="Arial" w:hAnsi="Arial" w:cs="Arial"/>
          <w:sz w:val="22"/>
          <w:szCs w:val="22"/>
        </w:rPr>
        <w:t>16</w:t>
      </w:r>
      <w:r w:rsidR="007909D1">
        <w:rPr>
          <w:rFonts w:ascii="Arial" w:hAnsi="Arial" w:cs="Arial"/>
          <w:sz w:val="22"/>
          <w:szCs w:val="22"/>
        </w:rPr>
        <w:t xml:space="preserve"> % respectivamente. </w:t>
      </w:r>
      <w:r w:rsidR="00A94C59" w:rsidRPr="0071078B">
        <w:rPr>
          <w:rFonts w:ascii="Arial" w:hAnsi="Arial" w:cs="Arial"/>
          <w:sz w:val="22"/>
          <w:szCs w:val="22"/>
        </w:rPr>
        <w:t xml:space="preserve">Frente a lo anterior, </w:t>
      </w:r>
      <w:r w:rsidR="007909D1" w:rsidRPr="007909D1">
        <w:rPr>
          <w:rFonts w:ascii="Arial" w:hAnsi="Arial" w:cs="Arial"/>
          <w:sz w:val="22"/>
          <w:szCs w:val="22"/>
        </w:rPr>
        <w:t xml:space="preserve">se aclara que dichas áreas tienen asignados funcionarios que se desempeñan como </w:t>
      </w:r>
      <w:r w:rsidR="00A161B9" w:rsidRPr="007909D1">
        <w:rPr>
          <w:rFonts w:ascii="Arial" w:hAnsi="Arial" w:cs="Arial"/>
          <w:sz w:val="22"/>
          <w:szCs w:val="22"/>
        </w:rPr>
        <w:t xml:space="preserve">conductores de los vehículos </w:t>
      </w:r>
      <w:r w:rsidR="007909D1" w:rsidRPr="007909D1">
        <w:rPr>
          <w:rFonts w:ascii="Arial" w:hAnsi="Arial" w:cs="Arial"/>
          <w:sz w:val="22"/>
          <w:szCs w:val="22"/>
        </w:rPr>
        <w:t xml:space="preserve">oficiales para el Despacho del Ministro </w:t>
      </w:r>
      <w:r w:rsidR="00A161B9" w:rsidRPr="007909D1">
        <w:rPr>
          <w:rFonts w:ascii="Arial" w:hAnsi="Arial" w:cs="Arial"/>
          <w:sz w:val="22"/>
          <w:szCs w:val="22"/>
        </w:rPr>
        <w:t xml:space="preserve">y </w:t>
      </w:r>
      <w:r w:rsidR="00A161B9" w:rsidRPr="00CB7F73">
        <w:rPr>
          <w:rFonts w:ascii="Arial" w:hAnsi="Arial" w:cs="Arial"/>
          <w:color w:val="0F243E" w:themeColor="text2" w:themeShade="80"/>
          <w:sz w:val="22"/>
          <w:szCs w:val="22"/>
        </w:rPr>
        <w:t>operativos,</w:t>
      </w:r>
      <w:r w:rsidR="007909D1" w:rsidRPr="00CB7F73">
        <w:rPr>
          <w:rFonts w:ascii="Arial" w:hAnsi="Arial" w:cs="Arial"/>
          <w:color w:val="0F243E" w:themeColor="text2" w:themeShade="80"/>
          <w:sz w:val="22"/>
          <w:szCs w:val="22"/>
        </w:rPr>
        <w:t xml:space="preserve"> siendo el cargo de conductor l</w:t>
      </w:r>
      <w:r w:rsidR="00A161B9" w:rsidRPr="00CB7F73">
        <w:rPr>
          <w:rFonts w:ascii="Arial" w:hAnsi="Arial" w:cs="Arial"/>
          <w:color w:val="0F243E" w:themeColor="text2" w:themeShade="80"/>
          <w:sz w:val="22"/>
          <w:szCs w:val="22"/>
        </w:rPr>
        <w:t xml:space="preserve">os que tienen un mayor número de horas extras </w:t>
      </w:r>
      <w:r w:rsidR="00A161B9" w:rsidRPr="007909D1">
        <w:rPr>
          <w:rFonts w:ascii="Arial" w:hAnsi="Arial" w:cs="Arial"/>
          <w:sz w:val="22"/>
          <w:szCs w:val="22"/>
        </w:rPr>
        <w:t>autorizadas (100 horas por mes).</w:t>
      </w:r>
    </w:p>
    <w:p w14:paraId="00F9C501" w14:textId="0059FC48" w:rsidR="00AC07AE" w:rsidRDefault="00CB7F73" w:rsidP="00A54A46">
      <w:pPr>
        <w:ind w:left="708" w:hanging="708"/>
        <w:jc w:val="center"/>
        <w:rPr>
          <w:noProof/>
          <w:highlight w:val="yellow"/>
        </w:rPr>
      </w:pPr>
      <w:r>
        <w:rPr>
          <w:noProof/>
        </w:rPr>
        <w:lastRenderedPageBreak/>
        <w:drawing>
          <wp:inline distT="0" distB="0" distL="0" distR="0" wp14:anchorId="17301386" wp14:editId="1E03EAEC">
            <wp:extent cx="6151880" cy="4250690"/>
            <wp:effectExtent l="0" t="0" r="1270" b="0"/>
            <wp:docPr id="3" name="Gráfico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CEB21B" w14:textId="77777777" w:rsidR="001664FC" w:rsidRDefault="001664FC" w:rsidP="00A54A46">
      <w:pPr>
        <w:jc w:val="both"/>
        <w:rPr>
          <w:rFonts w:ascii="Arial" w:hAnsi="Arial" w:cs="Arial"/>
          <w:sz w:val="22"/>
          <w:szCs w:val="22"/>
        </w:rPr>
      </w:pPr>
    </w:p>
    <w:p w14:paraId="7AA0A289" w14:textId="064A8B4D" w:rsidR="000D6530" w:rsidRPr="00BB04EC" w:rsidRDefault="000D6530" w:rsidP="00A54A46">
      <w:pPr>
        <w:jc w:val="both"/>
        <w:rPr>
          <w:rFonts w:ascii="Arial" w:hAnsi="Arial" w:cs="Arial"/>
          <w:sz w:val="22"/>
          <w:szCs w:val="22"/>
        </w:rPr>
      </w:pPr>
      <w:r w:rsidRPr="00BB04EC">
        <w:rPr>
          <w:rFonts w:ascii="Arial" w:hAnsi="Arial" w:cs="Arial"/>
          <w:sz w:val="22"/>
          <w:szCs w:val="22"/>
        </w:rPr>
        <w:t xml:space="preserve">Es importante mencionar que, </w:t>
      </w:r>
      <w:r w:rsidR="00026928">
        <w:rPr>
          <w:rFonts w:ascii="Arial" w:hAnsi="Arial" w:cs="Arial"/>
          <w:sz w:val="22"/>
          <w:szCs w:val="22"/>
        </w:rPr>
        <w:t xml:space="preserve">para el </w:t>
      </w:r>
      <w:r w:rsidRPr="00BB04EC">
        <w:rPr>
          <w:rFonts w:ascii="Arial" w:hAnsi="Arial" w:cs="Arial"/>
          <w:sz w:val="22"/>
          <w:szCs w:val="22"/>
        </w:rPr>
        <w:t xml:space="preserve">Grupo de Logística y Suministros de la Subdirección de Servicios, se observó que las horas liquidadas para el </w:t>
      </w:r>
      <w:r w:rsidR="00026928">
        <w:rPr>
          <w:rFonts w:ascii="Arial" w:hAnsi="Arial" w:cs="Arial"/>
          <w:sz w:val="22"/>
          <w:szCs w:val="22"/>
        </w:rPr>
        <w:t xml:space="preserve">tercer </w:t>
      </w:r>
      <w:r w:rsidRPr="00BB04EC">
        <w:rPr>
          <w:rFonts w:ascii="Arial" w:hAnsi="Arial" w:cs="Arial"/>
          <w:sz w:val="22"/>
          <w:szCs w:val="22"/>
        </w:rPr>
        <w:t>trimestre de 2019 [</w:t>
      </w:r>
      <w:r w:rsidR="00232515" w:rsidRPr="00BB04EC">
        <w:rPr>
          <w:rFonts w:ascii="Arial" w:hAnsi="Arial" w:cs="Arial"/>
          <w:sz w:val="22"/>
          <w:szCs w:val="22"/>
        </w:rPr>
        <w:t xml:space="preserve"> numero de </w:t>
      </w:r>
      <w:r w:rsidRPr="00BB04EC">
        <w:rPr>
          <w:rFonts w:ascii="Arial" w:hAnsi="Arial" w:cs="Arial"/>
          <w:sz w:val="22"/>
          <w:szCs w:val="22"/>
        </w:rPr>
        <w:t>1.</w:t>
      </w:r>
      <w:r w:rsidR="00BB04EC">
        <w:rPr>
          <w:rFonts w:ascii="Arial" w:hAnsi="Arial" w:cs="Arial"/>
          <w:sz w:val="22"/>
          <w:szCs w:val="22"/>
        </w:rPr>
        <w:t>735</w:t>
      </w:r>
      <w:r w:rsidRPr="00BB04EC">
        <w:rPr>
          <w:rFonts w:ascii="Arial" w:hAnsi="Arial" w:cs="Arial"/>
          <w:sz w:val="22"/>
          <w:szCs w:val="22"/>
        </w:rPr>
        <w:t xml:space="preserve">] disminuyeron en 10 puntos porcentuales, comparadas con el </w:t>
      </w:r>
      <w:r w:rsidR="00BB04EC">
        <w:rPr>
          <w:rFonts w:ascii="Arial" w:hAnsi="Arial" w:cs="Arial"/>
          <w:sz w:val="22"/>
          <w:szCs w:val="22"/>
        </w:rPr>
        <w:t xml:space="preserve">segundo </w:t>
      </w:r>
      <w:r w:rsidRPr="00BB04EC">
        <w:rPr>
          <w:rFonts w:ascii="Arial" w:hAnsi="Arial" w:cs="Arial"/>
          <w:sz w:val="22"/>
          <w:szCs w:val="22"/>
        </w:rPr>
        <w:t>trimestre de la vigencia actual [</w:t>
      </w:r>
      <w:r w:rsidR="00232515" w:rsidRPr="00BB04EC">
        <w:rPr>
          <w:rFonts w:ascii="Arial" w:hAnsi="Arial" w:cs="Arial"/>
          <w:sz w:val="22"/>
          <w:szCs w:val="22"/>
        </w:rPr>
        <w:t xml:space="preserve"> número de horas </w:t>
      </w:r>
      <w:r w:rsidR="00BB04EC">
        <w:rPr>
          <w:rFonts w:ascii="Arial" w:hAnsi="Arial" w:cs="Arial"/>
          <w:sz w:val="22"/>
          <w:szCs w:val="22"/>
        </w:rPr>
        <w:t>1.995</w:t>
      </w:r>
      <w:r w:rsidRPr="00BB04EC">
        <w:rPr>
          <w:rFonts w:ascii="Arial" w:hAnsi="Arial" w:cs="Arial"/>
          <w:sz w:val="22"/>
          <w:szCs w:val="22"/>
        </w:rPr>
        <w:t xml:space="preserve">]. </w:t>
      </w:r>
    </w:p>
    <w:p w14:paraId="7F88696C" w14:textId="77777777" w:rsidR="00A54A46" w:rsidRPr="00A003B6" w:rsidRDefault="00A54A46" w:rsidP="00FA4CCD">
      <w:pPr>
        <w:spacing w:line="168" w:lineRule="auto"/>
        <w:jc w:val="both"/>
        <w:rPr>
          <w:rFonts w:ascii="Arial" w:hAnsi="Arial" w:cs="Arial"/>
          <w:sz w:val="22"/>
          <w:szCs w:val="22"/>
          <w:highlight w:val="yellow"/>
        </w:rPr>
      </w:pPr>
    </w:p>
    <w:p w14:paraId="2F416260" w14:textId="533BE211" w:rsidR="005204C0" w:rsidRPr="00235544" w:rsidRDefault="002E2635" w:rsidP="00A54A46">
      <w:pPr>
        <w:jc w:val="both"/>
        <w:rPr>
          <w:rFonts w:ascii="Arial" w:hAnsi="Arial" w:cs="Arial"/>
          <w:sz w:val="22"/>
          <w:szCs w:val="22"/>
        </w:rPr>
      </w:pPr>
      <w:r w:rsidRPr="00235544">
        <w:rPr>
          <w:rFonts w:ascii="Arial" w:hAnsi="Arial" w:cs="Arial"/>
          <w:sz w:val="22"/>
          <w:szCs w:val="22"/>
        </w:rPr>
        <w:t xml:space="preserve">Ahora bien, </w:t>
      </w:r>
      <w:r w:rsidR="00DC6DC5" w:rsidRPr="00235544">
        <w:rPr>
          <w:rFonts w:ascii="Arial" w:hAnsi="Arial" w:cs="Arial"/>
          <w:sz w:val="22"/>
          <w:szCs w:val="22"/>
        </w:rPr>
        <w:t xml:space="preserve">en </w:t>
      </w:r>
      <w:r w:rsidR="00FA4CCD" w:rsidRPr="00235544">
        <w:rPr>
          <w:rFonts w:ascii="Arial" w:hAnsi="Arial" w:cs="Arial"/>
          <w:sz w:val="22"/>
          <w:szCs w:val="22"/>
        </w:rPr>
        <w:t xml:space="preserve">cuanto al total de </w:t>
      </w:r>
      <w:r w:rsidRPr="00235544">
        <w:rPr>
          <w:rFonts w:ascii="Arial" w:hAnsi="Arial" w:cs="Arial"/>
          <w:sz w:val="22"/>
          <w:szCs w:val="22"/>
        </w:rPr>
        <w:t xml:space="preserve">horas extras liquidadas </w:t>
      </w:r>
      <w:r w:rsidR="005F56A4" w:rsidRPr="00235544">
        <w:rPr>
          <w:rFonts w:ascii="Arial" w:hAnsi="Arial" w:cs="Arial"/>
          <w:sz w:val="22"/>
          <w:szCs w:val="22"/>
        </w:rPr>
        <w:t xml:space="preserve">para el </w:t>
      </w:r>
      <w:r w:rsidR="00235544" w:rsidRPr="00235544">
        <w:rPr>
          <w:rFonts w:ascii="Arial" w:hAnsi="Arial" w:cs="Arial"/>
          <w:sz w:val="22"/>
          <w:szCs w:val="22"/>
        </w:rPr>
        <w:t>tercer trimestre</w:t>
      </w:r>
      <w:r w:rsidR="00DC6DC5" w:rsidRPr="00235544">
        <w:rPr>
          <w:rFonts w:ascii="Arial" w:hAnsi="Arial" w:cs="Arial"/>
          <w:sz w:val="22"/>
          <w:szCs w:val="22"/>
        </w:rPr>
        <w:t xml:space="preserve"> de 2019 comparado con el mismo trimestre de 2018, se</w:t>
      </w:r>
      <w:r w:rsidR="00286BCD" w:rsidRPr="00235544">
        <w:rPr>
          <w:rFonts w:ascii="Arial" w:hAnsi="Arial" w:cs="Arial"/>
          <w:sz w:val="22"/>
          <w:szCs w:val="22"/>
        </w:rPr>
        <w:t xml:space="preserve"> destaca </w:t>
      </w:r>
      <w:r w:rsidR="00EF480B" w:rsidRPr="00235544">
        <w:rPr>
          <w:rFonts w:ascii="Arial" w:hAnsi="Arial" w:cs="Arial"/>
          <w:sz w:val="22"/>
          <w:szCs w:val="22"/>
        </w:rPr>
        <w:t>que,</w:t>
      </w:r>
      <w:r w:rsidR="00FF1EA0" w:rsidRPr="00235544">
        <w:rPr>
          <w:rFonts w:ascii="Arial" w:hAnsi="Arial" w:cs="Arial"/>
          <w:sz w:val="22"/>
          <w:szCs w:val="22"/>
        </w:rPr>
        <w:t xml:space="preserve"> </w:t>
      </w:r>
      <w:r w:rsidR="008B3A82" w:rsidRPr="00235544">
        <w:rPr>
          <w:rFonts w:ascii="Arial" w:hAnsi="Arial" w:cs="Arial"/>
          <w:sz w:val="22"/>
          <w:szCs w:val="22"/>
        </w:rPr>
        <w:t>de las 2</w:t>
      </w:r>
      <w:r w:rsidR="00601760">
        <w:rPr>
          <w:rFonts w:ascii="Arial" w:hAnsi="Arial" w:cs="Arial"/>
          <w:sz w:val="22"/>
          <w:szCs w:val="22"/>
        </w:rPr>
        <w:t>6</w:t>
      </w:r>
      <w:r w:rsidR="008B3A82" w:rsidRPr="00235544">
        <w:rPr>
          <w:rFonts w:ascii="Arial" w:hAnsi="Arial" w:cs="Arial"/>
          <w:sz w:val="22"/>
          <w:szCs w:val="22"/>
        </w:rPr>
        <w:t xml:space="preserve"> dep</w:t>
      </w:r>
      <w:r w:rsidR="00FF1EA0" w:rsidRPr="00235544">
        <w:rPr>
          <w:rFonts w:ascii="Arial" w:hAnsi="Arial" w:cs="Arial"/>
          <w:sz w:val="22"/>
          <w:szCs w:val="22"/>
        </w:rPr>
        <w:t>endencias,</w:t>
      </w:r>
      <w:r w:rsidR="00FB67CA">
        <w:rPr>
          <w:rFonts w:ascii="Arial" w:hAnsi="Arial" w:cs="Arial"/>
          <w:sz w:val="22"/>
          <w:szCs w:val="22"/>
        </w:rPr>
        <w:t xml:space="preserve"> </w:t>
      </w:r>
      <w:r w:rsidR="0089199A">
        <w:rPr>
          <w:rFonts w:ascii="Arial" w:hAnsi="Arial" w:cs="Arial"/>
          <w:sz w:val="22"/>
          <w:szCs w:val="22"/>
        </w:rPr>
        <w:t xml:space="preserve">el 58% </w:t>
      </w:r>
      <w:r w:rsidR="00FF1EA0" w:rsidRPr="00235544">
        <w:rPr>
          <w:rFonts w:ascii="Arial" w:hAnsi="Arial" w:cs="Arial"/>
          <w:sz w:val="22"/>
          <w:szCs w:val="22"/>
        </w:rPr>
        <w:t>de ellas presentaron</w:t>
      </w:r>
      <w:r w:rsidR="008B3A82" w:rsidRPr="00235544">
        <w:rPr>
          <w:rFonts w:ascii="Arial" w:hAnsi="Arial" w:cs="Arial"/>
          <w:sz w:val="22"/>
          <w:szCs w:val="22"/>
        </w:rPr>
        <w:t xml:space="preserve"> disminución en la cantidad de horas extras</w:t>
      </w:r>
      <w:r w:rsidR="00E846CA" w:rsidRPr="00235544">
        <w:rPr>
          <w:rFonts w:ascii="Arial" w:hAnsi="Arial" w:cs="Arial"/>
          <w:sz w:val="22"/>
          <w:szCs w:val="22"/>
        </w:rPr>
        <w:t>, así:</w:t>
      </w:r>
      <w:r w:rsidR="005204C0" w:rsidRPr="00235544">
        <w:rPr>
          <w:rFonts w:ascii="Arial" w:hAnsi="Arial" w:cs="Arial"/>
          <w:sz w:val="22"/>
          <w:szCs w:val="22"/>
        </w:rPr>
        <w:t xml:space="preserve"> </w:t>
      </w:r>
    </w:p>
    <w:p w14:paraId="7A67C660" w14:textId="77777777" w:rsidR="00A54A46" w:rsidRPr="00235544" w:rsidRDefault="00A54A46" w:rsidP="00A54A46">
      <w:pPr>
        <w:jc w:val="both"/>
        <w:rPr>
          <w:rFonts w:ascii="Arial" w:hAnsi="Arial" w:cs="Arial"/>
          <w:sz w:val="22"/>
          <w:szCs w:val="22"/>
        </w:rPr>
      </w:pPr>
    </w:p>
    <w:tbl>
      <w:tblPr>
        <w:tblStyle w:val="Tabladecuadrcula2-nfasis1"/>
        <w:tblW w:w="0" w:type="auto"/>
        <w:tblLook w:val="04A0" w:firstRow="1" w:lastRow="0" w:firstColumn="1" w:lastColumn="0" w:noHBand="0" w:noVBand="1"/>
      </w:tblPr>
      <w:tblGrid>
        <w:gridCol w:w="4253"/>
        <w:gridCol w:w="1984"/>
        <w:gridCol w:w="1985"/>
        <w:gridCol w:w="1466"/>
      </w:tblGrid>
      <w:tr w:rsidR="0072446C" w:rsidRPr="00535647" w14:paraId="78741164" w14:textId="77777777" w:rsidTr="004E4695">
        <w:trPr>
          <w:cnfStyle w:val="100000000000" w:firstRow="1" w:lastRow="0" w:firstColumn="0" w:lastColumn="0" w:oddVBand="0" w:evenVBand="0" w:oddHBand="0" w:evenHBand="0" w:firstRowFirstColumn="0" w:firstRowLastColumn="0" w:lastRowFirstColumn="0" w:lastRowLastColumn="0"/>
          <w:cantSplit/>
          <w:trHeight w:val="353"/>
          <w:tblHead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tcBorders>
            <w:noWrap/>
            <w:vAlign w:val="center"/>
            <w:hideMark/>
          </w:tcPr>
          <w:p w14:paraId="7A325858" w14:textId="77777777" w:rsidR="0072446C" w:rsidRPr="00535647" w:rsidRDefault="0072446C" w:rsidP="00FB1C99">
            <w:pPr>
              <w:spacing w:before="60" w:after="60"/>
              <w:jc w:val="center"/>
              <w:rPr>
                <w:rFonts w:ascii="Arial" w:hAnsi="Arial" w:cs="Arial"/>
                <w:b w:val="0"/>
                <w:color w:val="244061" w:themeColor="accent1" w:themeShade="80"/>
                <w:sz w:val="20"/>
                <w:szCs w:val="20"/>
              </w:rPr>
            </w:pPr>
            <w:r w:rsidRPr="00535647">
              <w:rPr>
                <w:rFonts w:ascii="Arial" w:hAnsi="Arial" w:cs="Arial"/>
                <w:b w:val="0"/>
                <w:color w:val="0F243E" w:themeColor="text2" w:themeShade="80"/>
                <w:sz w:val="20"/>
                <w:szCs w:val="20"/>
              </w:rPr>
              <w:t xml:space="preserve">Disminución en Cantidad de Horas Extras </w:t>
            </w:r>
          </w:p>
        </w:tc>
      </w:tr>
      <w:tr w:rsidR="0072446C" w:rsidRPr="00535647" w14:paraId="38CB29C1" w14:textId="77777777" w:rsidTr="004E469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53" w:type="dxa"/>
            <w:tcBorders>
              <w:top w:val="single" w:sz="12" w:space="0" w:color="4F81BD" w:themeColor="accent1"/>
            </w:tcBorders>
            <w:shd w:val="clear" w:color="auto" w:fill="4F81BD" w:themeFill="accent1"/>
            <w:vAlign w:val="center"/>
            <w:hideMark/>
          </w:tcPr>
          <w:p w14:paraId="17CC190D" w14:textId="77777777" w:rsidR="0072446C" w:rsidRPr="00535647" w:rsidRDefault="0072446C" w:rsidP="00FB1C99">
            <w:pPr>
              <w:spacing w:before="60" w:after="60"/>
              <w:jc w:val="center"/>
              <w:rPr>
                <w:rFonts w:ascii="Arial" w:hAnsi="Arial" w:cs="Arial"/>
                <w:color w:val="FFFFFF" w:themeColor="background1"/>
                <w:sz w:val="20"/>
                <w:szCs w:val="20"/>
              </w:rPr>
            </w:pPr>
            <w:r w:rsidRPr="00535647">
              <w:rPr>
                <w:rFonts w:ascii="Arial" w:hAnsi="Arial" w:cs="Arial"/>
                <w:color w:val="FFFFFF" w:themeColor="background1"/>
                <w:sz w:val="20"/>
                <w:szCs w:val="20"/>
              </w:rPr>
              <w:t xml:space="preserve"> Dependencia  </w:t>
            </w:r>
          </w:p>
        </w:tc>
        <w:tc>
          <w:tcPr>
            <w:tcW w:w="1984" w:type="dxa"/>
            <w:shd w:val="clear" w:color="auto" w:fill="4F81BD" w:themeFill="accent1"/>
            <w:vAlign w:val="center"/>
            <w:hideMark/>
          </w:tcPr>
          <w:p w14:paraId="0BE9B49C" w14:textId="77777777" w:rsidR="0072446C" w:rsidRPr="00535647" w:rsidRDefault="00BB7D8C" w:rsidP="00FB1C9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35647">
              <w:rPr>
                <w:rFonts w:ascii="Arial" w:hAnsi="Arial" w:cs="Arial"/>
                <w:color w:val="FFFFFF" w:themeColor="background1"/>
                <w:sz w:val="20"/>
                <w:szCs w:val="20"/>
              </w:rPr>
              <w:t xml:space="preserve"> </w:t>
            </w:r>
            <w:r w:rsidR="0072446C" w:rsidRPr="00535647">
              <w:rPr>
                <w:rFonts w:ascii="Arial" w:hAnsi="Arial" w:cs="Arial"/>
                <w:color w:val="FFFFFF" w:themeColor="background1"/>
                <w:sz w:val="20"/>
                <w:szCs w:val="20"/>
              </w:rPr>
              <w:t xml:space="preserve"> </w:t>
            </w:r>
            <w:r w:rsidR="00601760" w:rsidRPr="00535647">
              <w:rPr>
                <w:rFonts w:ascii="Arial" w:hAnsi="Arial" w:cs="Arial"/>
                <w:color w:val="FFFFFF" w:themeColor="background1"/>
                <w:sz w:val="20"/>
                <w:szCs w:val="20"/>
              </w:rPr>
              <w:t>I</w:t>
            </w:r>
            <w:r w:rsidR="0072446C" w:rsidRPr="00535647">
              <w:rPr>
                <w:rFonts w:ascii="Arial" w:hAnsi="Arial" w:cs="Arial"/>
                <w:color w:val="FFFFFF" w:themeColor="background1"/>
                <w:sz w:val="20"/>
                <w:szCs w:val="20"/>
              </w:rPr>
              <w:t xml:space="preserve">II Trimestre 2019 </w:t>
            </w:r>
          </w:p>
        </w:tc>
        <w:tc>
          <w:tcPr>
            <w:tcW w:w="1985" w:type="dxa"/>
            <w:tcBorders>
              <w:top w:val="single" w:sz="4" w:space="0" w:color="4F81BD" w:themeColor="accent1"/>
            </w:tcBorders>
            <w:shd w:val="clear" w:color="auto" w:fill="4F81BD" w:themeFill="accent1"/>
            <w:vAlign w:val="center"/>
            <w:hideMark/>
          </w:tcPr>
          <w:p w14:paraId="1FC27095" w14:textId="77777777" w:rsidR="0072446C" w:rsidRPr="00535647" w:rsidRDefault="000D1D43" w:rsidP="000D1D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I</w:t>
            </w:r>
            <w:r w:rsidR="0072446C" w:rsidRPr="00535647">
              <w:rPr>
                <w:rFonts w:ascii="Arial" w:hAnsi="Arial" w:cs="Arial"/>
                <w:color w:val="FFFFFF" w:themeColor="background1"/>
                <w:sz w:val="20"/>
                <w:szCs w:val="20"/>
              </w:rPr>
              <w:t xml:space="preserve">II Trimestre  2018 </w:t>
            </w:r>
          </w:p>
        </w:tc>
        <w:tc>
          <w:tcPr>
            <w:tcW w:w="1466" w:type="dxa"/>
            <w:shd w:val="clear" w:color="auto" w:fill="4F81BD" w:themeFill="accent1"/>
            <w:vAlign w:val="center"/>
            <w:hideMark/>
          </w:tcPr>
          <w:p w14:paraId="0165C88B" w14:textId="77777777" w:rsidR="0072446C" w:rsidRPr="00535647" w:rsidRDefault="0072446C" w:rsidP="00FB1C9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35647">
              <w:rPr>
                <w:rFonts w:ascii="Arial" w:hAnsi="Arial" w:cs="Arial"/>
                <w:color w:val="FFFFFF" w:themeColor="background1"/>
                <w:sz w:val="20"/>
                <w:szCs w:val="20"/>
              </w:rPr>
              <w:t xml:space="preserve"> Variación  </w:t>
            </w:r>
          </w:p>
        </w:tc>
      </w:tr>
      <w:tr w:rsidR="004E4695" w:rsidRPr="00535647" w14:paraId="7C64784F" w14:textId="77777777" w:rsidTr="004E469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650D9FDD"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Subdirección de Servicios</w:t>
            </w:r>
          </w:p>
        </w:tc>
        <w:tc>
          <w:tcPr>
            <w:tcW w:w="1984" w:type="dxa"/>
            <w:shd w:val="clear" w:color="auto" w:fill="FFFFFF" w:themeFill="background1"/>
            <w:noWrap/>
            <w:vAlign w:val="center"/>
            <w:hideMark/>
          </w:tcPr>
          <w:p w14:paraId="56BAC2EA"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w:t>
            </w:r>
            <w:r w:rsidR="00535647" w:rsidRPr="00FB7EA4">
              <w:rPr>
                <w:rFonts w:ascii="Arial" w:hAnsi="Arial" w:cs="Arial"/>
                <w:color w:val="0F243E" w:themeColor="text2" w:themeShade="80"/>
                <w:sz w:val="20"/>
                <w:szCs w:val="20"/>
              </w:rPr>
              <w:t>0</w:t>
            </w:r>
            <w:r w:rsidRPr="00FB7EA4">
              <w:rPr>
                <w:rFonts w:ascii="Arial" w:hAnsi="Arial" w:cs="Arial"/>
                <w:color w:val="0F243E" w:themeColor="text2" w:themeShade="80"/>
                <w:sz w:val="20"/>
                <w:szCs w:val="20"/>
              </w:rPr>
              <w:t xml:space="preserve"> </w:t>
            </w:r>
          </w:p>
        </w:tc>
        <w:tc>
          <w:tcPr>
            <w:tcW w:w="1985" w:type="dxa"/>
            <w:shd w:val="clear" w:color="auto" w:fill="FFFFFF" w:themeFill="background1"/>
            <w:noWrap/>
            <w:vAlign w:val="center"/>
            <w:hideMark/>
          </w:tcPr>
          <w:p w14:paraId="55D47ED9"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249 </w:t>
            </w:r>
          </w:p>
        </w:tc>
        <w:tc>
          <w:tcPr>
            <w:tcW w:w="1466" w:type="dxa"/>
            <w:shd w:val="clear" w:color="auto" w:fill="FFFFFF" w:themeFill="background1"/>
            <w:noWrap/>
            <w:vAlign w:val="center"/>
            <w:hideMark/>
          </w:tcPr>
          <w:p w14:paraId="54131DA0" w14:textId="77777777" w:rsidR="004E4695" w:rsidRPr="00FB7EA4" w:rsidRDefault="004E4695" w:rsidP="0053564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-100%</w:t>
            </w:r>
          </w:p>
        </w:tc>
      </w:tr>
      <w:tr w:rsidR="004E4695" w:rsidRPr="00535647" w14:paraId="5E8735BA" w14:textId="77777777" w:rsidTr="004E4695">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35687233"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Grupo de Contabilidad</w:t>
            </w:r>
          </w:p>
        </w:tc>
        <w:tc>
          <w:tcPr>
            <w:tcW w:w="1984" w:type="dxa"/>
            <w:shd w:val="clear" w:color="auto" w:fill="FFFFFF" w:themeFill="background1"/>
            <w:noWrap/>
            <w:vAlign w:val="center"/>
            <w:hideMark/>
          </w:tcPr>
          <w:p w14:paraId="02F1DFFA"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w:t>
            </w:r>
            <w:r w:rsidR="00535647" w:rsidRPr="00FB7EA4">
              <w:rPr>
                <w:rFonts w:ascii="Arial" w:hAnsi="Arial" w:cs="Arial"/>
                <w:color w:val="0F243E" w:themeColor="text2" w:themeShade="80"/>
                <w:sz w:val="20"/>
                <w:szCs w:val="20"/>
              </w:rPr>
              <w:t>0</w:t>
            </w:r>
            <w:r w:rsidRPr="00FB7EA4">
              <w:rPr>
                <w:rFonts w:ascii="Arial" w:hAnsi="Arial" w:cs="Arial"/>
                <w:color w:val="0F243E" w:themeColor="text2" w:themeShade="80"/>
                <w:sz w:val="20"/>
                <w:szCs w:val="20"/>
              </w:rPr>
              <w:t xml:space="preserve"> </w:t>
            </w:r>
          </w:p>
        </w:tc>
        <w:tc>
          <w:tcPr>
            <w:tcW w:w="1985" w:type="dxa"/>
            <w:shd w:val="clear" w:color="auto" w:fill="FFFFFF" w:themeFill="background1"/>
            <w:noWrap/>
            <w:vAlign w:val="center"/>
            <w:hideMark/>
          </w:tcPr>
          <w:p w14:paraId="142A3E4F"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144 </w:t>
            </w:r>
          </w:p>
        </w:tc>
        <w:tc>
          <w:tcPr>
            <w:tcW w:w="1466" w:type="dxa"/>
            <w:shd w:val="clear" w:color="auto" w:fill="FFFFFF" w:themeFill="background1"/>
            <w:noWrap/>
            <w:vAlign w:val="center"/>
            <w:hideMark/>
          </w:tcPr>
          <w:p w14:paraId="33A510ED" w14:textId="77777777" w:rsidR="004E4695" w:rsidRPr="00FB7EA4" w:rsidRDefault="004E4695" w:rsidP="0053564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-100%</w:t>
            </w:r>
          </w:p>
        </w:tc>
      </w:tr>
      <w:tr w:rsidR="004E4695" w:rsidRPr="00535647" w14:paraId="38E8EA76" w14:textId="77777777" w:rsidTr="004E469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0425146A"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 xml:space="preserve">Grupo de Gestión de Liquidez </w:t>
            </w:r>
          </w:p>
        </w:tc>
        <w:tc>
          <w:tcPr>
            <w:tcW w:w="1984" w:type="dxa"/>
            <w:shd w:val="clear" w:color="auto" w:fill="FFFFFF" w:themeFill="background1"/>
            <w:noWrap/>
            <w:vAlign w:val="center"/>
            <w:hideMark/>
          </w:tcPr>
          <w:p w14:paraId="1D8CD2F1" w14:textId="77777777" w:rsidR="004E4695" w:rsidRPr="00FB7EA4" w:rsidRDefault="00535647"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0</w:t>
            </w:r>
          </w:p>
        </w:tc>
        <w:tc>
          <w:tcPr>
            <w:tcW w:w="1985" w:type="dxa"/>
            <w:shd w:val="clear" w:color="auto" w:fill="FFFFFF" w:themeFill="background1"/>
            <w:noWrap/>
            <w:vAlign w:val="center"/>
            <w:hideMark/>
          </w:tcPr>
          <w:p w14:paraId="3E853660"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52 </w:t>
            </w:r>
          </w:p>
        </w:tc>
        <w:tc>
          <w:tcPr>
            <w:tcW w:w="1466" w:type="dxa"/>
            <w:shd w:val="clear" w:color="auto" w:fill="FFFFFF" w:themeFill="background1"/>
            <w:noWrap/>
            <w:vAlign w:val="center"/>
            <w:hideMark/>
          </w:tcPr>
          <w:p w14:paraId="1783DE03" w14:textId="77777777" w:rsidR="004E4695" w:rsidRPr="00FB7EA4" w:rsidRDefault="004E4695" w:rsidP="0053564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-100%</w:t>
            </w:r>
          </w:p>
        </w:tc>
      </w:tr>
      <w:tr w:rsidR="004E4695" w:rsidRPr="00535647" w14:paraId="360C1AEA" w14:textId="77777777" w:rsidTr="004E4695">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5A7794BF"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Subdirección de Gestión de Talento Humano</w:t>
            </w:r>
          </w:p>
        </w:tc>
        <w:tc>
          <w:tcPr>
            <w:tcW w:w="1984" w:type="dxa"/>
            <w:shd w:val="clear" w:color="auto" w:fill="FFFFFF" w:themeFill="background1"/>
            <w:noWrap/>
            <w:vAlign w:val="center"/>
            <w:hideMark/>
          </w:tcPr>
          <w:p w14:paraId="38924219"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 </w:t>
            </w:r>
          </w:p>
        </w:tc>
        <w:tc>
          <w:tcPr>
            <w:tcW w:w="1985" w:type="dxa"/>
            <w:shd w:val="clear" w:color="auto" w:fill="FFFFFF" w:themeFill="background1"/>
            <w:noWrap/>
            <w:vAlign w:val="center"/>
            <w:hideMark/>
          </w:tcPr>
          <w:p w14:paraId="5DFE8356"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104 </w:t>
            </w:r>
          </w:p>
        </w:tc>
        <w:tc>
          <w:tcPr>
            <w:tcW w:w="1466" w:type="dxa"/>
            <w:shd w:val="clear" w:color="auto" w:fill="FFFFFF" w:themeFill="background1"/>
            <w:noWrap/>
            <w:vAlign w:val="center"/>
            <w:hideMark/>
          </w:tcPr>
          <w:p w14:paraId="0801544F" w14:textId="77777777" w:rsidR="004E4695" w:rsidRPr="00FB7EA4" w:rsidRDefault="004E4695" w:rsidP="0053564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-92%</w:t>
            </w:r>
          </w:p>
        </w:tc>
      </w:tr>
      <w:tr w:rsidR="004E4695" w:rsidRPr="00535647" w14:paraId="646C8EC2" w14:textId="77777777" w:rsidTr="004E469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0971500A"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Grupo de Administración de Personal</w:t>
            </w:r>
          </w:p>
        </w:tc>
        <w:tc>
          <w:tcPr>
            <w:tcW w:w="1984" w:type="dxa"/>
            <w:shd w:val="clear" w:color="auto" w:fill="FFFFFF" w:themeFill="background1"/>
            <w:noWrap/>
            <w:vAlign w:val="center"/>
            <w:hideMark/>
          </w:tcPr>
          <w:p w14:paraId="5B18389E"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26 </w:t>
            </w:r>
          </w:p>
        </w:tc>
        <w:tc>
          <w:tcPr>
            <w:tcW w:w="1985" w:type="dxa"/>
            <w:shd w:val="clear" w:color="auto" w:fill="FFFFFF" w:themeFill="background1"/>
            <w:noWrap/>
            <w:vAlign w:val="center"/>
            <w:hideMark/>
          </w:tcPr>
          <w:p w14:paraId="4B40ECF3"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151 </w:t>
            </w:r>
          </w:p>
        </w:tc>
        <w:tc>
          <w:tcPr>
            <w:tcW w:w="1466" w:type="dxa"/>
            <w:shd w:val="clear" w:color="auto" w:fill="FFFFFF" w:themeFill="background1"/>
            <w:noWrap/>
            <w:vAlign w:val="center"/>
            <w:hideMark/>
          </w:tcPr>
          <w:p w14:paraId="14CF012B" w14:textId="77777777" w:rsidR="004E4695" w:rsidRPr="00FB7EA4" w:rsidRDefault="004E4695" w:rsidP="0053564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-83%</w:t>
            </w:r>
          </w:p>
        </w:tc>
      </w:tr>
      <w:tr w:rsidR="004E4695" w:rsidRPr="00535647" w14:paraId="16DAED57" w14:textId="77777777" w:rsidTr="004E4695">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33AD94E6"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Grupo de Historias Laborales</w:t>
            </w:r>
          </w:p>
        </w:tc>
        <w:tc>
          <w:tcPr>
            <w:tcW w:w="1984" w:type="dxa"/>
            <w:shd w:val="clear" w:color="auto" w:fill="FFFFFF" w:themeFill="background1"/>
            <w:noWrap/>
            <w:vAlign w:val="center"/>
            <w:hideMark/>
          </w:tcPr>
          <w:p w14:paraId="25360F07"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66 </w:t>
            </w:r>
          </w:p>
        </w:tc>
        <w:tc>
          <w:tcPr>
            <w:tcW w:w="1985" w:type="dxa"/>
            <w:shd w:val="clear" w:color="auto" w:fill="FFFFFF" w:themeFill="background1"/>
            <w:noWrap/>
            <w:vAlign w:val="center"/>
            <w:hideMark/>
          </w:tcPr>
          <w:p w14:paraId="25EB405C"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249 </w:t>
            </w:r>
          </w:p>
        </w:tc>
        <w:tc>
          <w:tcPr>
            <w:tcW w:w="1466" w:type="dxa"/>
            <w:shd w:val="clear" w:color="auto" w:fill="FFFFFF" w:themeFill="background1"/>
            <w:noWrap/>
            <w:vAlign w:val="center"/>
            <w:hideMark/>
          </w:tcPr>
          <w:p w14:paraId="4D10C178" w14:textId="77777777" w:rsidR="004E4695" w:rsidRPr="00FB7EA4" w:rsidRDefault="004E4695" w:rsidP="0053564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-73%</w:t>
            </w:r>
          </w:p>
        </w:tc>
      </w:tr>
      <w:tr w:rsidR="004E4695" w:rsidRPr="00535647" w14:paraId="0B602435" w14:textId="77777777" w:rsidTr="004E469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67CFE6CA"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 xml:space="preserve">Grupo de Análisis Presupuestal </w:t>
            </w:r>
          </w:p>
        </w:tc>
        <w:tc>
          <w:tcPr>
            <w:tcW w:w="1984" w:type="dxa"/>
            <w:shd w:val="clear" w:color="auto" w:fill="FFFFFF" w:themeFill="background1"/>
            <w:noWrap/>
            <w:vAlign w:val="center"/>
            <w:hideMark/>
          </w:tcPr>
          <w:p w14:paraId="2DD5B876"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16 </w:t>
            </w:r>
          </w:p>
        </w:tc>
        <w:tc>
          <w:tcPr>
            <w:tcW w:w="1985" w:type="dxa"/>
            <w:shd w:val="clear" w:color="auto" w:fill="FFFFFF" w:themeFill="background1"/>
            <w:noWrap/>
            <w:vAlign w:val="center"/>
            <w:hideMark/>
          </w:tcPr>
          <w:p w14:paraId="7B1261FA"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44 </w:t>
            </w:r>
          </w:p>
        </w:tc>
        <w:tc>
          <w:tcPr>
            <w:tcW w:w="1466" w:type="dxa"/>
            <w:shd w:val="clear" w:color="auto" w:fill="FFFFFF" w:themeFill="background1"/>
            <w:noWrap/>
            <w:vAlign w:val="center"/>
            <w:hideMark/>
          </w:tcPr>
          <w:p w14:paraId="0B45AF3B" w14:textId="77777777" w:rsidR="004E4695" w:rsidRPr="00FB7EA4" w:rsidRDefault="004E4695" w:rsidP="0053564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-64%</w:t>
            </w:r>
          </w:p>
        </w:tc>
      </w:tr>
      <w:tr w:rsidR="004E4695" w:rsidRPr="00535647" w14:paraId="3DAD2E26" w14:textId="77777777" w:rsidTr="004E4695">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0259BA75"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 xml:space="preserve"> Grupo de Logística  y Suministros</w:t>
            </w:r>
          </w:p>
        </w:tc>
        <w:tc>
          <w:tcPr>
            <w:tcW w:w="1984" w:type="dxa"/>
            <w:shd w:val="clear" w:color="auto" w:fill="FFFFFF" w:themeFill="background1"/>
            <w:noWrap/>
            <w:vAlign w:val="center"/>
            <w:hideMark/>
          </w:tcPr>
          <w:p w14:paraId="4752CCA1"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1.179 </w:t>
            </w:r>
          </w:p>
        </w:tc>
        <w:tc>
          <w:tcPr>
            <w:tcW w:w="1985" w:type="dxa"/>
            <w:shd w:val="clear" w:color="auto" w:fill="FFFFFF" w:themeFill="background1"/>
            <w:noWrap/>
            <w:vAlign w:val="center"/>
            <w:hideMark/>
          </w:tcPr>
          <w:p w14:paraId="4E812A2F"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2.925 </w:t>
            </w:r>
          </w:p>
        </w:tc>
        <w:tc>
          <w:tcPr>
            <w:tcW w:w="1466" w:type="dxa"/>
            <w:shd w:val="clear" w:color="auto" w:fill="FFFFFF" w:themeFill="background1"/>
            <w:noWrap/>
            <w:vAlign w:val="center"/>
            <w:hideMark/>
          </w:tcPr>
          <w:p w14:paraId="4C3C3AEB" w14:textId="77777777" w:rsidR="004E4695" w:rsidRPr="00FB7EA4" w:rsidRDefault="004E4695" w:rsidP="0053564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-60%</w:t>
            </w:r>
          </w:p>
        </w:tc>
      </w:tr>
      <w:tr w:rsidR="004E4695" w:rsidRPr="00535647" w14:paraId="0B875E57" w14:textId="77777777" w:rsidTr="004E469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37D04D69"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Dirección General de Apoyo Fiscal</w:t>
            </w:r>
          </w:p>
        </w:tc>
        <w:tc>
          <w:tcPr>
            <w:tcW w:w="1984" w:type="dxa"/>
            <w:shd w:val="clear" w:color="auto" w:fill="FFFFFF" w:themeFill="background1"/>
            <w:noWrap/>
            <w:vAlign w:val="center"/>
            <w:hideMark/>
          </w:tcPr>
          <w:p w14:paraId="4D36744F"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206 </w:t>
            </w:r>
          </w:p>
        </w:tc>
        <w:tc>
          <w:tcPr>
            <w:tcW w:w="1985" w:type="dxa"/>
            <w:shd w:val="clear" w:color="auto" w:fill="FFFFFF" w:themeFill="background1"/>
            <w:noWrap/>
            <w:vAlign w:val="center"/>
            <w:hideMark/>
          </w:tcPr>
          <w:p w14:paraId="3D18D942"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328 </w:t>
            </w:r>
          </w:p>
        </w:tc>
        <w:tc>
          <w:tcPr>
            <w:tcW w:w="1466" w:type="dxa"/>
            <w:shd w:val="clear" w:color="auto" w:fill="FFFFFF" w:themeFill="background1"/>
            <w:noWrap/>
            <w:vAlign w:val="center"/>
            <w:hideMark/>
          </w:tcPr>
          <w:p w14:paraId="7D539BA7" w14:textId="77777777" w:rsidR="004E4695" w:rsidRPr="00FB7EA4" w:rsidRDefault="004E4695" w:rsidP="0053564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-37%</w:t>
            </w:r>
          </w:p>
        </w:tc>
      </w:tr>
      <w:tr w:rsidR="004E4695" w:rsidRPr="00535647" w14:paraId="5E6BC0E1" w14:textId="77777777" w:rsidTr="004E4695">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633AEF11"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lastRenderedPageBreak/>
              <w:t>Grupo de Infraestructura</w:t>
            </w:r>
          </w:p>
        </w:tc>
        <w:tc>
          <w:tcPr>
            <w:tcW w:w="1984" w:type="dxa"/>
            <w:shd w:val="clear" w:color="auto" w:fill="FFFFFF" w:themeFill="background1"/>
            <w:noWrap/>
            <w:vAlign w:val="center"/>
            <w:hideMark/>
          </w:tcPr>
          <w:p w14:paraId="66F2599B"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93 </w:t>
            </w:r>
          </w:p>
        </w:tc>
        <w:tc>
          <w:tcPr>
            <w:tcW w:w="1985" w:type="dxa"/>
            <w:shd w:val="clear" w:color="auto" w:fill="FFFFFF" w:themeFill="background1"/>
            <w:noWrap/>
            <w:vAlign w:val="center"/>
            <w:hideMark/>
          </w:tcPr>
          <w:p w14:paraId="7A6487DD" w14:textId="77777777" w:rsidR="004E4695" w:rsidRPr="00FB7EA4" w:rsidRDefault="004E4695" w:rsidP="00FB1C99">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147 </w:t>
            </w:r>
          </w:p>
        </w:tc>
        <w:tc>
          <w:tcPr>
            <w:tcW w:w="1466" w:type="dxa"/>
            <w:shd w:val="clear" w:color="auto" w:fill="FFFFFF" w:themeFill="background1"/>
            <w:noWrap/>
            <w:vAlign w:val="center"/>
            <w:hideMark/>
          </w:tcPr>
          <w:p w14:paraId="7DBD3373" w14:textId="77777777" w:rsidR="004E4695" w:rsidRPr="00FB7EA4" w:rsidRDefault="004E4695" w:rsidP="0053564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-37%</w:t>
            </w:r>
          </w:p>
        </w:tc>
      </w:tr>
      <w:tr w:rsidR="004E4695" w:rsidRPr="00535647" w14:paraId="475B515D" w14:textId="77777777" w:rsidTr="004E469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66D36C8D"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Dirección Administrativa</w:t>
            </w:r>
          </w:p>
        </w:tc>
        <w:tc>
          <w:tcPr>
            <w:tcW w:w="1984" w:type="dxa"/>
            <w:shd w:val="clear" w:color="auto" w:fill="FFFFFF" w:themeFill="background1"/>
            <w:noWrap/>
            <w:vAlign w:val="center"/>
            <w:hideMark/>
          </w:tcPr>
          <w:p w14:paraId="57F83DE1"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246 </w:t>
            </w:r>
          </w:p>
        </w:tc>
        <w:tc>
          <w:tcPr>
            <w:tcW w:w="1985" w:type="dxa"/>
            <w:shd w:val="clear" w:color="auto" w:fill="FFFFFF" w:themeFill="background1"/>
            <w:noWrap/>
            <w:vAlign w:val="center"/>
            <w:hideMark/>
          </w:tcPr>
          <w:p w14:paraId="696AC6B7"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302 </w:t>
            </w:r>
          </w:p>
        </w:tc>
        <w:tc>
          <w:tcPr>
            <w:tcW w:w="1466" w:type="dxa"/>
            <w:shd w:val="clear" w:color="auto" w:fill="FFFFFF" w:themeFill="background1"/>
            <w:noWrap/>
            <w:vAlign w:val="center"/>
            <w:hideMark/>
          </w:tcPr>
          <w:p w14:paraId="40563C7D" w14:textId="77777777" w:rsidR="004E4695" w:rsidRPr="00FB7EA4" w:rsidRDefault="004E4695" w:rsidP="0053564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-19%</w:t>
            </w:r>
          </w:p>
        </w:tc>
      </w:tr>
      <w:tr w:rsidR="004E4695" w:rsidRPr="00535647" w14:paraId="6D309516" w14:textId="77777777" w:rsidTr="004E4695">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154D4158"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Grupo de Pagaduría</w:t>
            </w:r>
          </w:p>
        </w:tc>
        <w:tc>
          <w:tcPr>
            <w:tcW w:w="1984" w:type="dxa"/>
            <w:shd w:val="clear" w:color="auto" w:fill="FFFFFF" w:themeFill="background1"/>
            <w:noWrap/>
            <w:vAlign w:val="center"/>
            <w:hideMark/>
          </w:tcPr>
          <w:p w14:paraId="4FD0774D"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140 </w:t>
            </w:r>
          </w:p>
        </w:tc>
        <w:tc>
          <w:tcPr>
            <w:tcW w:w="1985" w:type="dxa"/>
            <w:shd w:val="clear" w:color="auto" w:fill="FFFFFF" w:themeFill="background1"/>
            <w:noWrap/>
            <w:vAlign w:val="center"/>
            <w:hideMark/>
          </w:tcPr>
          <w:p w14:paraId="0B7DB6DE"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150 </w:t>
            </w:r>
          </w:p>
        </w:tc>
        <w:tc>
          <w:tcPr>
            <w:tcW w:w="1466" w:type="dxa"/>
            <w:shd w:val="clear" w:color="auto" w:fill="FFFFFF" w:themeFill="background1"/>
            <w:noWrap/>
            <w:vAlign w:val="center"/>
            <w:hideMark/>
          </w:tcPr>
          <w:p w14:paraId="70DD19B8" w14:textId="77777777" w:rsidR="004E4695" w:rsidRPr="00FB7EA4" w:rsidRDefault="004E4695" w:rsidP="0053564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-7%</w:t>
            </w:r>
          </w:p>
        </w:tc>
      </w:tr>
      <w:tr w:rsidR="004E4695" w:rsidRPr="00535647" w14:paraId="64BCA19D" w14:textId="77777777" w:rsidTr="004E469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7BD466E6"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Grupo de Gestión de Información</w:t>
            </w:r>
          </w:p>
        </w:tc>
        <w:tc>
          <w:tcPr>
            <w:tcW w:w="1984" w:type="dxa"/>
            <w:shd w:val="clear" w:color="auto" w:fill="FFFFFF" w:themeFill="background1"/>
            <w:noWrap/>
            <w:vAlign w:val="center"/>
            <w:hideMark/>
          </w:tcPr>
          <w:p w14:paraId="1E7C73C7"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76 </w:t>
            </w:r>
          </w:p>
        </w:tc>
        <w:tc>
          <w:tcPr>
            <w:tcW w:w="1985" w:type="dxa"/>
            <w:shd w:val="clear" w:color="auto" w:fill="FFFFFF" w:themeFill="background1"/>
            <w:noWrap/>
            <w:vAlign w:val="center"/>
            <w:hideMark/>
          </w:tcPr>
          <w:p w14:paraId="27725443"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81 </w:t>
            </w:r>
          </w:p>
        </w:tc>
        <w:tc>
          <w:tcPr>
            <w:tcW w:w="1466" w:type="dxa"/>
            <w:shd w:val="clear" w:color="auto" w:fill="FFFFFF" w:themeFill="background1"/>
            <w:noWrap/>
            <w:vAlign w:val="center"/>
            <w:hideMark/>
          </w:tcPr>
          <w:p w14:paraId="6817664E" w14:textId="77777777" w:rsidR="004E4695" w:rsidRPr="00FB7EA4" w:rsidRDefault="004E4695" w:rsidP="0053564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-6%</w:t>
            </w:r>
          </w:p>
        </w:tc>
      </w:tr>
      <w:tr w:rsidR="004E4695" w:rsidRPr="00535647" w14:paraId="1DA0D0E1" w14:textId="77777777" w:rsidTr="004E4695">
        <w:trPr>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3390F7BA"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Subdirección de Administración de Recursos Tecnológicos</w:t>
            </w:r>
          </w:p>
        </w:tc>
        <w:tc>
          <w:tcPr>
            <w:tcW w:w="1984" w:type="dxa"/>
            <w:shd w:val="clear" w:color="auto" w:fill="FFFFFF" w:themeFill="background1"/>
            <w:noWrap/>
            <w:vAlign w:val="center"/>
          </w:tcPr>
          <w:p w14:paraId="5B7C5F6E"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127 </w:t>
            </w:r>
          </w:p>
        </w:tc>
        <w:tc>
          <w:tcPr>
            <w:tcW w:w="1985" w:type="dxa"/>
            <w:shd w:val="clear" w:color="auto" w:fill="FFFFFF" w:themeFill="background1"/>
            <w:noWrap/>
            <w:vAlign w:val="center"/>
          </w:tcPr>
          <w:p w14:paraId="4D65D607" w14:textId="77777777" w:rsidR="004E4695" w:rsidRPr="00FB7EA4" w:rsidRDefault="004E4695" w:rsidP="0053564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134 </w:t>
            </w:r>
          </w:p>
        </w:tc>
        <w:tc>
          <w:tcPr>
            <w:tcW w:w="1466" w:type="dxa"/>
            <w:shd w:val="clear" w:color="auto" w:fill="FFFFFF" w:themeFill="background1"/>
            <w:noWrap/>
            <w:vAlign w:val="center"/>
          </w:tcPr>
          <w:p w14:paraId="56D0A6EE" w14:textId="77777777" w:rsidR="004E4695" w:rsidRPr="00FB7EA4" w:rsidRDefault="004E4695" w:rsidP="0053564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-5%</w:t>
            </w:r>
          </w:p>
        </w:tc>
      </w:tr>
      <w:tr w:rsidR="004E4695" w:rsidRPr="00535647" w14:paraId="036E3B12" w14:textId="77777777" w:rsidTr="004E469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shd w:val="clear" w:color="auto" w:fill="FFFFFF" w:themeFill="background1"/>
            <w:noWrap/>
            <w:vAlign w:val="center"/>
          </w:tcPr>
          <w:p w14:paraId="3D7A081A" w14:textId="77777777" w:rsidR="004E4695" w:rsidRPr="00FB7EA4" w:rsidRDefault="004E4695" w:rsidP="00FB1C99">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 xml:space="preserve">Despacho del Ministro </w:t>
            </w:r>
          </w:p>
        </w:tc>
        <w:tc>
          <w:tcPr>
            <w:tcW w:w="1984" w:type="dxa"/>
            <w:shd w:val="clear" w:color="auto" w:fill="FFFFFF" w:themeFill="background1"/>
            <w:noWrap/>
            <w:vAlign w:val="center"/>
          </w:tcPr>
          <w:p w14:paraId="0D95A869"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1.735 </w:t>
            </w:r>
          </w:p>
        </w:tc>
        <w:tc>
          <w:tcPr>
            <w:tcW w:w="1985" w:type="dxa"/>
            <w:shd w:val="clear" w:color="auto" w:fill="FFFFFF" w:themeFill="background1"/>
            <w:noWrap/>
            <w:vAlign w:val="center"/>
          </w:tcPr>
          <w:p w14:paraId="416A8B40" w14:textId="77777777" w:rsidR="004E4695" w:rsidRPr="00FB7EA4" w:rsidRDefault="004E4695" w:rsidP="00535647">
            <w:pPr>
              <w:spacing w:before="60" w:after="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1.751 </w:t>
            </w:r>
          </w:p>
        </w:tc>
        <w:tc>
          <w:tcPr>
            <w:tcW w:w="1466" w:type="dxa"/>
            <w:shd w:val="clear" w:color="auto" w:fill="FFFFFF" w:themeFill="background1"/>
            <w:noWrap/>
            <w:vAlign w:val="center"/>
          </w:tcPr>
          <w:p w14:paraId="2F6CFE8D" w14:textId="77777777" w:rsidR="004E4695" w:rsidRPr="00FB7EA4" w:rsidRDefault="004E4695" w:rsidP="0053564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-1%</w:t>
            </w:r>
          </w:p>
        </w:tc>
      </w:tr>
    </w:tbl>
    <w:p w14:paraId="36DCDED5" w14:textId="6A2A520E" w:rsidR="005921B9" w:rsidRPr="00953F8E" w:rsidRDefault="00FB67CA" w:rsidP="005921B9">
      <w:pPr>
        <w:spacing w:before="100" w:beforeAutospacing="1" w:after="100" w:afterAutospacing="1"/>
        <w:jc w:val="both"/>
        <w:rPr>
          <w:rFonts w:ascii="Arial" w:hAnsi="Arial" w:cs="Arial"/>
          <w:sz w:val="22"/>
          <w:szCs w:val="22"/>
        </w:rPr>
      </w:pPr>
      <w:r>
        <w:rPr>
          <w:rFonts w:ascii="Arial" w:hAnsi="Arial" w:cs="Arial"/>
          <w:sz w:val="22"/>
          <w:szCs w:val="22"/>
        </w:rPr>
        <w:t xml:space="preserve">De igual forma, </w:t>
      </w:r>
      <w:r w:rsidR="002E28DC">
        <w:rPr>
          <w:rFonts w:ascii="Arial" w:hAnsi="Arial" w:cs="Arial"/>
          <w:sz w:val="22"/>
          <w:szCs w:val="22"/>
        </w:rPr>
        <w:t>se observó que el 38%</w:t>
      </w:r>
      <w:r>
        <w:rPr>
          <w:rFonts w:ascii="Arial" w:hAnsi="Arial" w:cs="Arial"/>
          <w:sz w:val="22"/>
          <w:szCs w:val="22"/>
        </w:rPr>
        <w:t xml:space="preserve"> de las áreas con horas extras liquidadas</w:t>
      </w:r>
      <w:r w:rsidR="002E28DC">
        <w:rPr>
          <w:rFonts w:ascii="Arial" w:hAnsi="Arial" w:cs="Arial"/>
          <w:sz w:val="22"/>
          <w:szCs w:val="22"/>
        </w:rPr>
        <w:t xml:space="preserve"> presentaron</w:t>
      </w:r>
      <w:r w:rsidR="005921B9" w:rsidRPr="000D1D43">
        <w:rPr>
          <w:rFonts w:ascii="Arial" w:hAnsi="Arial" w:cs="Arial"/>
          <w:sz w:val="22"/>
          <w:szCs w:val="22"/>
        </w:rPr>
        <w:t xml:space="preserve"> </w:t>
      </w:r>
      <w:r w:rsidRPr="000D1D43">
        <w:rPr>
          <w:rFonts w:ascii="Arial" w:hAnsi="Arial" w:cs="Arial"/>
          <w:sz w:val="22"/>
          <w:szCs w:val="22"/>
        </w:rPr>
        <w:t>aum</w:t>
      </w:r>
      <w:r>
        <w:rPr>
          <w:rFonts w:ascii="Arial" w:hAnsi="Arial" w:cs="Arial"/>
          <w:sz w:val="22"/>
          <w:szCs w:val="22"/>
        </w:rPr>
        <w:t>entos</w:t>
      </w:r>
      <w:r w:rsidR="0096388E">
        <w:rPr>
          <w:rFonts w:ascii="Arial" w:hAnsi="Arial" w:cs="Arial"/>
          <w:sz w:val="22"/>
          <w:szCs w:val="22"/>
        </w:rPr>
        <w:t>. A</w:t>
      </w:r>
      <w:r w:rsidR="00953F8E" w:rsidRPr="00953F8E">
        <w:rPr>
          <w:rFonts w:ascii="Arial" w:hAnsi="Arial" w:cs="Arial"/>
          <w:sz w:val="22"/>
          <w:szCs w:val="22"/>
        </w:rPr>
        <w:t xml:space="preserve"> continuación, se presentan los incrementos con mayor representatividad y la respectiva observación </w:t>
      </w:r>
      <w:r w:rsidR="0096388E">
        <w:rPr>
          <w:rFonts w:ascii="Arial" w:hAnsi="Arial" w:cs="Arial"/>
          <w:sz w:val="22"/>
          <w:szCs w:val="22"/>
        </w:rPr>
        <w:t xml:space="preserve">dada </w:t>
      </w:r>
      <w:r w:rsidR="00953F8E" w:rsidRPr="00953F8E">
        <w:rPr>
          <w:rFonts w:ascii="Arial" w:hAnsi="Arial" w:cs="Arial"/>
          <w:sz w:val="22"/>
          <w:szCs w:val="22"/>
        </w:rPr>
        <w:t>por la Subdirecci</w:t>
      </w:r>
      <w:r w:rsidR="004E65B5">
        <w:rPr>
          <w:rFonts w:ascii="Arial" w:hAnsi="Arial" w:cs="Arial"/>
          <w:sz w:val="22"/>
          <w:szCs w:val="22"/>
        </w:rPr>
        <w:t>ón de Gestión del Talento Humano:</w:t>
      </w:r>
    </w:p>
    <w:tbl>
      <w:tblPr>
        <w:tblStyle w:val="Tabladecuadrcula1clara-nfasis1"/>
        <w:tblW w:w="0" w:type="auto"/>
        <w:tblLayout w:type="fixed"/>
        <w:tblLook w:val="04A0" w:firstRow="1" w:lastRow="0" w:firstColumn="1" w:lastColumn="0" w:noHBand="0" w:noVBand="1"/>
      </w:tblPr>
      <w:tblGrid>
        <w:gridCol w:w="2122"/>
        <w:gridCol w:w="1275"/>
        <w:gridCol w:w="1134"/>
        <w:gridCol w:w="1134"/>
        <w:gridCol w:w="4013"/>
      </w:tblGrid>
      <w:tr w:rsidR="000266DB" w:rsidRPr="00A003B6" w14:paraId="627FF0B1" w14:textId="77777777" w:rsidTr="003945E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678" w:type="dxa"/>
            <w:gridSpan w:val="5"/>
            <w:tcBorders>
              <w:top w:val="double" w:sz="4" w:space="0" w:color="4F81BD" w:themeColor="accent1"/>
              <w:bottom w:val="double" w:sz="4" w:space="0" w:color="4F81BD" w:themeColor="accent1"/>
            </w:tcBorders>
            <w:vAlign w:val="center"/>
            <w:hideMark/>
          </w:tcPr>
          <w:p w14:paraId="525D5B2F" w14:textId="77777777" w:rsidR="000266DB" w:rsidRPr="000D1D43" w:rsidRDefault="000266DB" w:rsidP="003741C6">
            <w:pPr>
              <w:spacing w:before="40" w:after="40"/>
              <w:jc w:val="center"/>
              <w:rPr>
                <w:rFonts w:ascii="Arial" w:hAnsi="Arial" w:cs="Arial"/>
                <w:color w:val="0F243E" w:themeColor="text2" w:themeShade="80"/>
              </w:rPr>
            </w:pPr>
            <w:r w:rsidRPr="000D1D43">
              <w:rPr>
                <w:rFonts w:ascii="Arial" w:hAnsi="Arial" w:cs="Arial"/>
                <w:b w:val="0"/>
                <w:color w:val="0F243E" w:themeColor="text2" w:themeShade="80"/>
              </w:rPr>
              <w:t>Aumento en Cantidad de Horas Extras</w:t>
            </w:r>
            <w:r w:rsidRPr="000D1D43">
              <w:rPr>
                <w:rFonts w:ascii="Arial" w:hAnsi="Arial" w:cs="Arial"/>
                <w:color w:val="0F243E" w:themeColor="text2" w:themeShade="80"/>
              </w:rPr>
              <w:t xml:space="preserve"> </w:t>
            </w:r>
          </w:p>
        </w:tc>
      </w:tr>
      <w:tr w:rsidR="000266DB" w:rsidRPr="00A003B6" w14:paraId="4495B375" w14:textId="77777777" w:rsidTr="003945E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22" w:type="dxa"/>
            <w:tcBorders>
              <w:top w:val="double" w:sz="4" w:space="0" w:color="4F81BD" w:themeColor="accent1"/>
            </w:tcBorders>
            <w:shd w:val="clear" w:color="auto" w:fill="4F81BD" w:themeFill="accent1"/>
            <w:vAlign w:val="center"/>
            <w:hideMark/>
          </w:tcPr>
          <w:p w14:paraId="61418F3D" w14:textId="77777777" w:rsidR="005921B9" w:rsidRPr="003741C6" w:rsidRDefault="005921B9" w:rsidP="003741C6">
            <w:pPr>
              <w:spacing w:before="40" w:after="40"/>
              <w:jc w:val="center"/>
              <w:rPr>
                <w:rFonts w:ascii="Arial" w:hAnsi="Arial" w:cs="Arial"/>
                <w:color w:val="FFFFFF" w:themeColor="background1"/>
                <w:sz w:val="20"/>
                <w:szCs w:val="20"/>
              </w:rPr>
            </w:pPr>
            <w:r w:rsidRPr="003741C6">
              <w:rPr>
                <w:rFonts w:ascii="Arial" w:hAnsi="Arial" w:cs="Arial"/>
                <w:color w:val="FFFFFF" w:themeColor="background1"/>
                <w:sz w:val="20"/>
                <w:szCs w:val="20"/>
              </w:rPr>
              <w:t xml:space="preserve"> Dependencia  </w:t>
            </w:r>
          </w:p>
        </w:tc>
        <w:tc>
          <w:tcPr>
            <w:tcW w:w="1275" w:type="dxa"/>
            <w:tcBorders>
              <w:top w:val="double" w:sz="4" w:space="0" w:color="4F81BD" w:themeColor="accent1"/>
            </w:tcBorders>
            <w:shd w:val="clear" w:color="auto" w:fill="4F81BD" w:themeFill="accent1"/>
            <w:vAlign w:val="center"/>
            <w:hideMark/>
          </w:tcPr>
          <w:p w14:paraId="2B21084E" w14:textId="77777777" w:rsidR="005921B9" w:rsidRPr="003741C6" w:rsidRDefault="00D32EC7" w:rsidP="003741C6">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3741C6">
              <w:rPr>
                <w:rFonts w:ascii="Arial" w:hAnsi="Arial" w:cs="Arial"/>
                <w:b w:val="0"/>
                <w:bCs w:val="0"/>
                <w:color w:val="FFFFFF" w:themeColor="background1"/>
                <w:sz w:val="20"/>
                <w:szCs w:val="20"/>
              </w:rPr>
              <w:t xml:space="preserve"> Total III </w:t>
            </w:r>
            <w:r w:rsidR="005921B9" w:rsidRPr="003741C6">
              <w:rPr>
                <w:rFonts w:ascii="Arial" w:hAnsi="Arial" w:cs="Arial"/>
                <w:b w:val="0"/>
                <w:bCs w:val="0"/>
                <w:color w:val="FFFFFF" w:themeColor="background1"/>
                <w:sz w:val="20"/>
                <w:szCs w:val="20"/>
              </w:rPr>
              <w:t xml:space="preserve">Trimestre 2019 </w:t>
            </w:r>
          </w:p>
        </w:tc>
        <w:tc>
          <w:tcPr>
            <w:tcW w:w="1134" w:type="dxa"/>
            <w:tcBorders>
              <w:top w:val="double" w:sz="4" w:space="0" w:color="4F81BD" w:themeColor="accent1"/>
            </w:tcBorders>
            <w:shd w:val="clear" w:color="auto" w:fill="4F81BD" w:themeFill="accent1"/>
            <w:vAlign w:val="center"/>
            <w:hideMark/>
          </w:tcPr>
          <w:p w14:paraId="2D485674" w14:textId="77777777" w:rsidR="005921B9" w:rsidRPr="003741C6" w:rsidRDefault="00D32EC7" w:rsidP="003741C6">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3741C6">
              <w:rPr>
                <w:rFonts w:ascii="Arial" w:hAnsi="Arial" w:cs="Arial"/>
                <w:b w:val="0"/>
                <w:bCs w:val="0"/>
                <w:color w:val="FFFFFF" w:themeColor="background1"/>
                <w:sz w:val="20"/>
                <w:szCs w:val="20"/>
              </w:rPr>
              <w:t xml:space="preserve"> Total III </w:t>
            </w:r>
            <w:r w:rsidR="005921B9" w:rsidRPr="003741C6">
              <w:rPr>
                <w:rFonts w:ascii="Arial" w:hAnsi="Arial" w:cs="Arial"/>
                <w:b w:val="0"/>
                <w:bCs w:val="0"/>
                <w:color w:val="FFFFFF" w:themeColor="background1"/>
                <w:sz w:val="20"/>
                <w:szCs w:val="20"/>
              </w:rPr>
              <w:t xml:space="preserve">Trimestre  2018 </w:t>
            </w:r>
          </w:p>
        </w:tc>
        <w:tc>
          <w:tcPr>
            <w:tcW w:w="1134" w:type="dxa"/>
            <w:tcBorders>
              <w:top w:val="double" w:sz="4" w:space="0" w:color="4F81BD" w:themeColor="accent1"/>
            </w:tcBorders>
            <w:shd w:val="clear" w:color="auto" w:fill="4F81BD" w:themeFill="accent1"/>
            <w:vAlign w:val="center"/>
            <w:hideMark/>
          </w:tcPr>
          <w:p w14:paraId="4B2969DF" w14:textId="77777777" w:rsidR="005921B9" w:rsidRPr="003741C6" w:rsidRDefault="005921B9" w:rsidP="003741C6">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3741C6">
              <w:rPr>
                <w:rFonts w:ascii="Arial" w:hAnsi="Arial" w:cs="Arial"/>
                <w:b w:val="0"/>
                <w:bCs w:val="0"/>
                <w:color w:val="FFFFFF" w:themeColor="background1"/>
                <w:sz w:val="20"/>
                <w:szCs w:val="20"/>
              </w:rPr>
              <w:t xml:space="preserve"> Variación  </w:t>
            </w:r>
          </w:p>
        </w:tc>
        <w:tc>
          <w:tcPr>
            <w:tcW w:w="4013" w:type="dxa"/>
            <w:tcBorders>
              <w:top w:val="double" w:sz="4" w:space="0" w:color="4F81BD" w:themeColor="accent1"/>
            </w:tcBorders>
            <w:shd w:val="clear" w:color="auto" w:fill="4F81BD" w:themeFill="accent1"/>
            <w:vAlign w:val="center"/>
          </w:tcPr>
          <w:p w14:paraId="0ECF5FAA" w14:textId="77777777" w:rsidR="005921B9" w:rsidRPr="00B509AC" w:rsidRDefault="005921B9" w:rsidP="003741C6">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B509AC">
              <w:rPr>
                <w:rFonts w:ascii="Arial" w:hAnsi="Arial" w:cs="Arial"/>
                <w:b w:val="0"/>
                <w:bCs w:val="0"/>
                <w:color w:val="FFFFFF" w:themeColor="background1"/>
                <w:sz w:val="20"/>
                <w:szCs w:val="20"/>
              </w:rPr>
              <w:t>Observaci</w:t>
            </w:r>
            <w:r w:rsidR="00D160AC" w:rsidRPr="00B509AC">
              <w:rPr>
                <w:rFonts w:ascii="Arial" w:hAnsi="Arial" w:cs="Arial"/>
                <w:b w:val="0"/>
                <w:bCs w:val="0"/>
                <w:color w:val="FFFFFF" w:themeColor="background1"/>
                <w:sz w:val="20"/>
                <w:szCs w:val="20"/>
              </w:rPr>
              <w:t>ón Subdirección de Gestión del Talento Humano</w:t>
            </w:r>
          </w:p>
        </w:tc>
      </w:tr>
      <w:tr w:rsidR="003741C6" w:rsidRPr="00A003B6" w14:paraId="094A44C0" w14:textId="77777777" w:rsidTr="00515063">
        <w:trPr>
          <w:cantSplit/>
        </w:trPr>
        <w:tc>
          <w:tcPr>
            <w:cnfStyle w:val="001000000000" w:firstRow="0" w:lastRow="0" w:firstColumn="1" w:lastColumn="0" w:oddVBand="0" w:evenVBand="0" w:oddHBand="0" w:evenHBand="0" w:firstRowFirstColumn="0" w:firstRowLastColumn="0" w:lastRowFirstColumn="0" w:lastRowLastColumn="0"/>
            <w:tcW w:w="2122" w:type="dxa"/>
            <w:noWrap/>
            <w:vAlign w:val="center"/>
          </w:tcPr>
          <w:p w14:paraId="3E1259E8" w14:textId="77777777" w:rsidR="003741C6" w:rsidRPr="00FB7EA4" w:rsidRDefault="003741C6" w:rsidP="003741C6">
            <w:pPr>
              <w:spacing w:before="40" w:after="4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 xml:space="preserve"> Dirección General de Política de Macroeconómica </w:t>
            </w:r>
          </w:p>
        </w:tc>
        <w:tc>
          <w:tcPr>
            <w:tcW w:w="1275" w:type="dxa"/>
            <w:noWrap/>
            <w:vAlign w:val="center"/>
          </w:tcPr>
          <w:p w14:paraId="61100148"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300</w:t>
            </w:r>
          </w:p>
        </w:tc>
        <w:tc>
          <w:tcPr>
            <w:tcW w:w="1134" w:type="dxa"/>
            <w:noWrap/>
            <w:vAlign w:val="center"/>
          </w:tcPr>
          <w:p w14:paraId="3E0E057E"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55</w:t>
            </w:r>
          </w:p>
        </w:tc>
        <w:tc>
          <w:tcPr>
            <w:tcW w:w="1134" w:type="dxa"/>
            <w:noWrap/>
            <w:vAlign w:val="center"/>
          </w:tcPr>
          <w:p w14:paraId="3AF5808D"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446%</w:t>
            </w:r>
          </w:p>
        </w:tc>
        <w:tc>
          <w:tcPr>
            <w:tcW w:w="4013" w:type="dxa"/>
            <w:shd w:val="clear" w:color="auto" w:fill="auto"/>
            <w:vAlign w:val="center"/>
          </w:tcPr>
          <w:p w14:paraId="77516987" w14:textId="60256127" w:rsidR="003741C6" w:rsidRPr="00FB7EA4" w:rsidRDefault="00515063" w:rsidP="003741C6">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El conductor asignado a la Dirección General de Política Macroeconómica, para el periodo 2018 figuraba en el Despacho del Ministro de Hacienda, por tal razón, las horas extras fueron cargadas a dicho despacho, desde junio de 2019 se legalizó la asignación a la mencionada Dirección. </w:t>
            </w:r>
          </w:p>
        </w:tc>
      </w:tr>
      <w:tr w:rsidR="003741C6" w:rsidRPr="00A003B6" w14:paraId="08E742C5" w14:textId="77777777" w:rsidTr="00515063">
        <w:trPr>
          <w:cantSplit/>
        </w:trPr>
        <w:tc>
          <w:tcPr>
            <w:cnfStyle w:val="001000000000" w:firstRow="0" w:lastRow="0" w:firstColumn="1" w:lastColumn="0" w:oddVBand="0" w:evenVBand="0" w:oddHBand="0" w:evenHBand="0" w:firstRowFirstColumn="0" w:firstRowLastColumn="0" w:lastRowFirstColumn="0" w:lastRowLastColumn="0"/>
            <w:tcW w:w="2122" w:type="dxa"/>
            <w:noWrap/>
            <w:vAlign w:val="center"/>
          </w:tcPr>
          <w:p w14:paraId="013C3206" w14:textId="77777777" w:rsidR="003741C6" w:rsidRPr="00FB7EA4" w:rsidRDefault="003741C6" w:rsidP="003741C6">
            <w:pPr>
              <w:spacing w:before="40" w:after="4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Dirección General del Presupuesto Público Nacional</w:t>
            </w:r>
          </w:p>
        </w:tc>
        <w:tc>
          <w:tcPr>
            <w:tcW w:w="1275" w:type="dxa"/>
            <w:noWrap/>
            <w:vAlign w:val="center"/>
          </w:tcPr>
          <w:p w14:paraId="7D57D376"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444</w:t>
            </w:r>
          </w:p>
        </w:tc>
        <w:tc>
          <w:tcPr>
            <w:tcW w:w="1134" w:type="dxa"/>
            <w:noWrap/>
            <w:vAlign w:val="center"/>
          </w:tcPr>
          <w:p w14:paraId="2D585A6B"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141</w:t>
            </w:r>
          </w:p>
        </w:tc>
        <w:tc>
          <w:tcPr>
            <w:tcW w:w="1134" w:type="dxa"/>
            <w:noWrap/>
            <w:vAlign w:val="center"/>
          </w:tcPr>
          <w:p w14:paraId="31918653"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214%</w:t>
            </w:r>
          </w:p>
        </w:tc>
        <w:tc>
          <w:tcPr>
            <w:tcW w:w="4013" w:type="dxa"/>
            <w:shd w:val="clear" w:color="auto" w:fill="auto"/>
            <w:vAlign w:val="center"/>
          </w:tcPr>
          <w:p w14:paraId="36DAF49F" w14:textId="32D0F466" w:rsidR="003741C6" w:rsidRPr="00FB7EA4" w:rsidRDefault="00515063" w:rsidP="003741C6">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El conductor asignado a la Dirección General de Presupuesto Público </w:t>
            </w:r>
            <w:r w:rsidR="00F00FC2" w:rsidRPr="00FB7EA4">
              <w:rPr>
                <w:rFonts w:ascii="Arial" w:hAnsi="Arial" w:cs="Arial"/>
                <w:color w:val="0F243E" w:themeColor="text2" w:themeShade="80"/>
                <w:sz w:val="20"/>
                <w:szCs w:val="20"/>
              </w:rPr>
              <w:t>Nacional para</w:t>
            </w:r>
            <w:r w:rsidRPr="00FB7EA4">
              <w:rPr>
                <w:rFonts w:ascii="Arial" w:hAnsi="Arial" w:cs="Arial"/>
                <w:color w:val="0F243E" w:themeColor="text2" w:themeShade="80"/>
                <w:sz w:val="20"/>
                <w:szCs w:val="20"/>
              </w:rPr>
              <w:t xml:space="preserve"> el periodo 2018 figuraba en el </w:t>
            </w:r>
            <w:r w:rsidR="00F00FC2" w:rsidRPr="00FB7EA4">
              <w:rPr>
                <w:rFonts w:ascii="Arial" w:hAnsi="Arial" w:cs="Arial"/>
                <w:color w:val="0F243E" w:themeColor="text2" w:themeShade="80"/>
                <w:sz w:val="20"/>
                <w:szCs w:val="20"/>
              </w:rPr>
              <w:t>Grupo de Logística y Suministros</w:t>
            </w:r>
            <w:r w:rsidRPr="00FB7EA4">
              <w:rPr>
                <w:rFonts w:ascii="Arial" w:hAnsi="Arial" w:cs="Arial"/>
                <w:color w:val="0F243E" w:themeColor="text2" w:themeShade="80"/>
                <w:sz w:val="20"/>
                <w:szCs w:val="20"/>
              </w:rPr>
              <w:t xml:space="preserve">, por tal </w:t>
            </w:r>
            <w:r w:rsidR="00D101A8" w:rsidRPr="00FB7EA4">
              <w:rPr>
                <w:rFonts w:ascii="Arial" w:hAnsi="Arial" w:cs="Arial"/>
                <w:color w:val="0F243E" w:themeColor="text2" w:themeShade="80"/>
                <w:sz w:val="20"/>
                <w:szCs w:val="20"/>
              </w:rPr>
              <w:t>razón, las</w:t>
            </w:r>
            <w:r w:rsidRPr="00FB7EA4">
              <w:rPr>
                <w:rFonts w:ascii="Arial" w:hAnsi="Arial" w:cs="Arial"/>
                <w:color w:val="0F243E" w:themeColor="text2" w:themeShade="80"/>
                <w:sz w:val="20"/>
                <w:szCs w:val="20"/>
              </w:rPr>
              <w:t xml:space="preserve"> horas extras fueron cargadas a dicha dependencia, desde septiembre de 2019 se legalizó la asignación a la DGPPN</w:t>
            </w:r>
            <w:r w:rsidR="00353E54" w:rsidRPr="00FB7EA4">
              <w:rPr>
                <w:rFonts w:ascii="Arial" w:hAnsi="Arial" w:cs="Arial"/>
                <w:color w:val="0F243E" w:themeColor="text2" w:themeShade="80"/>
                <w:sz w:val="20"/>
                <w:szCs w:val="20"/>
              </w:rPr>
              <w:t>.</w:t>
            </w:r>
          </w:p>
        </w:tc>
      </w:tr>
      <w:tr w:rsidR="003741C6" w:rsidRPr="00A003B6" w14:paraId="67AC81B3" w14:textId="77777777" w:rsidTr="00515063">
        <w:trPr>
          <w:cantSplit/>
          <w:trHeight w:val="523"/>
        </w:trPr>
        <w:tc>
          <w:tcPr>
            <w:cnfStyle w:val="001000000000" w:firstRow="0" w:lastRow="0" w:firstColumn="1" w:lastColumn="0" w:oddVBand="0" w:evenVBand="0" w:oddHBand="0" w:evenHBand="0" w:firstRowFirstColumn="0" w:firstRowLastColumn="0" w:lastRowFirstColumn="0" w:lastRowLastColumn="0"/>
            <w:tcW w:w="2122" w:type="dxa"/>
            <w:noWrap/>
            <w:vAlign w:val="center"/>
          </w:tcPr>
          <w:p w14:paraId="2AF92C3A" w14:textId="77777777" w:rsidR="003741C6" w:rsidRPr="00FB7EA4" w:rsidRDefault="003741C6" w:rsidP="003741C6">
            <w:pPr>
              <w:spacing w:before="40" w:after="4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 xml:space="preserve">Secretaría General </w:t>
            </w:r>
          </w:p>
        </w:tc>
        <w:tc>
          <w:tcPr>
            <w:tcW w:w="1275" w:type="dxa"/>
            <w:noWrap/>
            <w:vAlign w:val="center"/>
          </w:tcPr>
          <w:p w14:paraId="34226A70"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309</w:t>
            </w:r>
          </w:p>
        </w:tc>
        <w:tc>
          <w:tcPr>
            <w:tcW w:w="1134" w:type="dxa"/>
            <w:noWrap/>
            <w:vAlign w:val="center"/>
          </w:tcPr>
          <w:p w14:paraId="275A1B76"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149</w:t>
            </w:r>
          </w:p>
        </w:tc>
        <w:tc>
          <w:tcPr>
            <w:tcW w:w="1134" w:type="dxa"/>
            <w:noWrap/>
            <w:vAlign w:val="center"/>
          </w:tcPr>
          <w:p w14:paraId="46DC505D"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107%</w:t>
            </w:r>
          </w:p>
        </w:tc>
        <w:tc>
          <w:tcPr>
            <w:tcW w:w="4013" w:type="dxa"/>
            <w:shd w:val="clear" w:color="auto" w:fill="auto"/>
            <w:vAlign w:val="center"/>
          </w:tcPr>
          <w:p w14:paraId="0D03D91A" w14:textId="7C596674" w:rsidR="003741C6" w:rsidRPr="00FB7EA4" w:rsidRDefault="00515063" w:rsidP="003741C6">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El conductor asignado a la Secretaria General figuraba en el </w:t>
            </w:r>
            <w:r w:rsidR="002C6CC8" w:rsidRPr="00FB7EA4">
              <w:rPr>
                <w:rFonts w:ascii="Arial" w:hAnsi="Arial" w:cs="Arial"/>
                <w:color w:val="0F243E" w:themeColor="text2" w:themeShade="80"/>
                <w:sz w:val="20"/>
                <w:szCs w:val="20"/>
              </w:rPr>
              <w:t xml:space="preserve">Grupo de Logística y Suministros </w:t>
            </w:r>
            <w:r w:rsidRPr="00FB7EA4">
              <w:rPr>
                <w:rFonts w:ascii="Arial" w:hAnsi="Arial" w:cs="Arial"/>
                <w:color w:val="0F243E" w:themeColor="text2" w:themeShade="80"/>
                <w:sz w:val="20"/>
                <w:szCs w:val="20"/>
              </w:rPr>
              <w:t xml:space="preserve">en el 2018, </w:t>
            </w:r>
            <w:r w:rsidR="002C6CC8" w:rsidRPr="00FB7EA4">
              <w:rPr>
                <w:rFonts w:ascii="Arial" w:hAnsi="Arial" w:cs="Arial"/>
                <w:color w:val="0F243E" w:themeColor="text2" w:themeShade="80"/>
                <w:sz w:val="20"/>
                <w:szCs w:val="20"/>
              </w:rPr>
              <w:t>motivo por el cual,</w:t>
            </w:r>
            <w:r w:rsidR="00DD3CEB" w:rsidRPr="00FB7EA4">
              <w:rPr>
                <w:rFonts w:ascii="Arial" w:hAnsi="Arial" w:cs="Arial"/>
                <w:color w:val="0F243E" w:themeColor="text2" w:themeShade="80"/>
                <w:sz w:val="20"/>
                <w:szCs w:val="20"/>
              </w:rPr>
              <w:t xml:space="preserve"> </w:t>
            </w:r>
            <w:r w:rsidRPr="00FB7EA4">
              <w:rPr>
                <w:rFonts w:ascii="Arial" w:hAnsi="Arial" w:cs="Arial"/>
                <w:color w:val="0F243E" w:themeColor="text2" w:themeShade="80"/>
                <w:sz w:val="20"/>
                <w:szCs w:val="20"/>
              </w:rPr>
              <w:t>las horas realizadas por este funcionario fueron cargadas a dicha dependencia</w:t>
            </w:r>
            <w:r w:rsidR="00DD3CEB" w:rsidRPr="00FB7EA4">
              <w:rPr>
                <w:rFonts w:ascii="Arial" w:hAnsi="Arial" w:cs="Arial"/>
                <w:color w:val="0F243E" w:themeColor="text2" w:themeShade="80"/>
                <w:sz w:val="20"/>
                <w:szCs w:val="20"/>
              </w:rPr>
              <w:t>. D</w:t>
            </w:r>
            <w:r w:rsidRPr="00FB7EA4">
              <w:rPr>
                <w:rFonts w:ascii="Arial" w:hAnsi="Arial" w:cs="Arial"/>
                <w:color w:val="0F243E" w:themeColor="text2" w:themeShade="80"/>
                <w:sz w:val="20"/>
                <w:szCs w:val="20"/>
              </w:rPr>
              <w:t>esde septiembre de 2019</w:t>
            </w:r>
            <w:r w:rsidR="00DD3CEB" w:rsidRPr="00FB7EA4">
              <w:rPr>
                <w:rFonts w:ascii="Arial" w:hAnsi="Arial" w:cs="Arial"/>
                <w:color w:val="0F243E" w:themeColor="text2" w:themeShade="80"/>
                <w:sz w:val="20"/>
                <w:szCs w:val="20"/>
              </w:rPr>
              <w:t>,</w:t>
            </w:r>
            <w:r w:rsidRPr="00FB7EA4">
              <w:rPr>
                <w:rFonts w:ascii="Arial" w:hAnsi="Arial" w:cs="Arial"/>
                <w:color w:val="0F243E" w:themeColor="text2" w:themeShade="80"/>
                <w:sz w:val="20"/>
                <w:szCs w:val="20"/>
              </w:rPr>
              <w:t xml:space="preserve"> se legalizo la asignación a la Secretaria General.</w:t>
            </w:r>
          </w:p>
        </w:tc>
      </w:tr>
      <w:tr w:rsidR="003741C6" w:rsidRPr="00A003B6" w14:paraId="7DFBAD11" w14:textId="77777777" w:rsidTr="00515063">
        <w:trPr>
          <w:cantSplit/>
        </w:trPr>
        <w:tc>
          <w:tcPr>
            <w:cnfStyle w:val="001000000000" w:firstRow="0" w:lastRow="0" w:firstColumn="1" w:lastColumn="0" w:oddVBand="0" w:evenVBand="0" w:oddHBand="0" w:evenHBand="0" w:firstRowFirstColumn="0" w:firstRowLastColumn="0" w:lastRowFirstColumn="0" w:lastRowLastColumn="0"/>
            <w:tcW w:w="2122" w:type="dxa"/>
            <w:noWrap/>
            <w:vAlign w:val="center"/>
          </w:tcPr>
          <w:p w14:paraId="5FF8A643" w14:textId="77777777" w:rsidR="003741C6" w:rsidRPr="00FB7EA4" w:rsidRDefault="003741C6" w:rsidP="003741C6">
            <w:pPr>
              <w:spacing w:before="40" w:after="4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Dirección General de Participaciones Estatales</w:t>
            </w:r>
          </w:p>
        </w:tc>
        <w:tc>
          <w:tcPr>
            <w:tcW w:w="1275" w:type="dxa"/>
            <w:noWrap/>
            <w:vAlign w:val="center"/>
          </w:tcPr>
          <w:p w14:paraId="610F4A4E"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283</w:t>
            </w:r>
          </w:p>
        </w:tc>
        <w:tc>
          <w:tcPr>
            <w:tcW w:w="1134" w:type="dxa"/>
            <w:noWrap/>
            <w:vAlign w:val="center"/>
          </w:tcPr>
          <w:p w14:paraId="22A276BE"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0</w:t>
            </w:r>
          </w:p>
        </w:tc>
        <w:tc>
          <w:tcPr>
            <w:tcW w:w="1134" w:type="dxa"/>
            <w:noWrap/>
            <w:vAlign w:val="center"/>
          </w:tcPr>
          <w:p w14:paraId="4DB219C9"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100%</w:t>
            </w:r>
          </w:p>
        </w:tc>
        <w:tc>
          <w:tcPr>
            <w:tcW w:w="4013" w:type="dxa"/>
            <w:shd w:val="clear" w:color="auto" w:fill="auto"/>
            <w:vAlign w:val="center"/>
          </w:tcPr>
          <w:p w14:paraId="449407CA" w14:textId="4BF1CFA5" w:rsidR="003741C6" w:rsidRPr="00FB7EA4" w:rsidRDefault="00515063" w:rsidP="00515063">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El conductor asignado a la Dirección General de Participaciones Estatales, para el periodo del 2018 figuraba en la </w:t>
            </w:r>
            <w:r w:rsidR="003945E6" w:rsidRPr="00FB7EA4">
              <w:rPr>
                <w:rFonts w:ascii="Arial" w:hAnsi="Arial" w:cs="Arial"/>
                <w:color w:val="0F243E" w:themeColor="text2" w:themeShade="80"/>
                <w:sz w:val="20"/>
                <w:szCs w:val="20"/>
              </w:rPr>
              <w:t>Subdirección de Servicios</w:t>
            </w:r>
            <w:r w:rsidRPr="00FB7EA4">
              <w:rPr>
                <w:rFonts w:ascii="Arial" w:hAnsi="Arial" w:cs="Arial"/>
                <w:color w:val="0F243E" w:themeColor="text2" w:themeShade="80"/>
                <w:sz w:val="20"/>
                <w:szCs w:val="20"/>
              </w:rPr>
              <w:t>, por tal razón</w:t>
            </w:r>
            <w:r w:rsidR="003945E6" w:rsidRPr="00FB7EA4">
              <w:rPr>
                <w:rFonts w:ascii="Arial" w:hAnsi="Arial" w:cs="Arial"/>
                <w:color w:val="0F243E" w:themeColor="text2" w:themeShade="80"/>
                <w:sz w:val="20"/>
                <w:szCs w:val="20"/>
              </w:rPr>
              <w:t>,</w:t>
            </w:r>
            <w:r w:rsidRPr="00FB7EA4">
              <w:rPr>
                <w:rFonts w:ascii="Arial" w:hAnsi="Arial" w:cs="Arial"/>
                <w:color w:val="0F243E" w:themeColor="text2" w:themeShade="80"/>
                <w:sz w:val="20"/>
                <w:szCs w:val="20"/>
              </w:rPr>
              <w:t xml:space="preserve"> las horas extras fueron cargadas a dicha Subdirección, desde junio de 2019 se legalizó la asignación a la DGPE.</w:t>
            </w:r>
          </w:p>
        </w:tc>
      </w:tr>
      <w:tr w:rsidR="003741C6" w:rsidRPr="00A003B6" w14:paraId="14667DAF" w14:textId="77777777" w:rsidTr="00515063">
        <w:trPr>
          <w:cantSplit/>
        </w:trPr>
        <w:tc>
          <w:tcPr>
            <w:cnfStyle w:val="001000000000" w:firstRow="0" w:lastRow="0" w:firstColumn="1" w:lastColumn="0" w:oddVBand="0" w:evenVBand="0" w:oddHBand="0" w:evenHBand="0" w:firstRowFirstColumn="0" w:firstRowLastColumn="0" w:lastRowFirstColumn="0" w:lastRowLastColumn="0"/>
            <w:tcW w:w="2122" w:type="dxa"/>
            <w:noWrap/>
            <w:vAlign w:val="center"/>
          </w:tcPr>
          <w:p w14:paraId="3B2B5977" w14:textId="77777777" w:rsidR="003741C6" w:rsidRPr="00FB7EA4" w:rsidRDefault="003741C6" w:rsidP="003741C6">
            <w:pPr>
              <w:spacing w:before="40" w:after="4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lastRenderedPageBreak/>
              <w:t xml:space="preserve"> Dirección General de Regulación Económica de la Seguridad Social </w:t>
            </w:r>
          </w:p>
        </w:tc>
        <w:tc>
          <w:tcPr>
            <w:tcW w:w="1275" w:type="dxa"/>
            <w:noWrap/>
            <w:vAlign w:val="center"/>
          </w:tcPr>
          <w:p w14:paraId="0914007A"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300</w:t>
            </w:r>
          </w:p>
        </w:tc>
        <w:tc>
          <w:tcPr>
            <w:tcW w:w="1134" w:type="dxa"/>
            <w:noWrap/>
            <w:vAlign w:val="center"/>
          </w:tcPr>
          <w:p w14:paraId="5F62FE6B"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0</w:t>
            </w:r>
          </w:p>
        </w:tc>
        <w:tc>
          <w:tcPr>
            <w:tcW w:w="1134" w:type="dxa"/>
            <w:noWrap/>
            <w:vAlign w:val="center"/>
          </w:tcPr>
          <w:p w14:paraId="73C72E41"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100%</w:t>
            </w:r>
          </w:p>
        </w:tc>
        <w:tc>
          <w:tcPr>
            <w:tcW w:w="4013" w:type="dxa"/>
            <w:shd w:val="clear" w:color="auto" w:fill="auto"/>
            <w:vAlign w:val="center"/>
          </w:tcPr>
          <w:p w14:paraId="3B465638" w14:textId="0394EA68" w:rsidR="003741C6" w:rsidRPr="00FB7EA4" w:rsidRDefault="00515063" w:rsidP="00515063">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El conductor asignado a la Dirección General de Regulación Económica de la Seguridad </w:t>
            </w:r>
            <w:r w:rsidR="008479D5" w:rsidRPr="00FB7EA4">
              <w:rPr>
                <w:rFonts w:ascii="Arial" w:hAnsi="Arial" w:cs="Arial"/>
                <w:color w:val="0F243E" w:themeColor="text2" w:themeShade="80"/>
                <w:sz w:val="20"/>
                <w:szCs w:val="20"/>
              </w:rPr>
              <w:t xml:space="preserve">Social, </w:t>
            </w:r>
            <w:r w:rsidRPr="00FB7EA4">
              <w:rPr>
                <w:rFonts w:ascii="Arial" w:hAnsi="Arial" w:cs="Arial"/>
                <w:color w:val="0F243E" w:themeColor="text2" w:themeShade="80"/>
                <w:sz w:val="20"/>
                <w:szCs w:val="20"/>
              </w:rPr>
              <w:t xml:space="preserve">para el periodo del 2018 figuraba en el </w:t>
            </w:r>
            <w:r w:rsidR="008479D5" w:rsidRPr="00FB7EA4">
              <w:rPr>
                <w:rFonts w:ascii="Arial" w:hAnsi="Arial" w:cs="Arial"/>
                <w:color w:val="0F243E" w:themeColor="text2" w:themeShade="80"/>
                <w:sz w:val="20"/>
                <w:szCs w:val="20"/>
              </w:rPr>
              <w:t>Grupo de Logística y Suministros,</w:t>
            </w:r>
            <w:r w:rsidRPr="00FB7EA4">
              <w:rPr>
                <w:rFonts w:ascii="Arial" w:hAnsi="Arial" w:cs="Arial"/>
                <w:color w:val="0F243E" w:themeColor="text2" w:themeShade="80"/>
                <w:sz w:val="20"/>
                <w:szCs w:val="20"/>
              </w:rPr>
              <w:t xml:space="preserve"> </w:t>
            </w:r>
            <w:r w:rsidR="008479D5" w:rsidRPr="00FB7EA4">
              <w:rPr>
                <w:rFonts w:ascii="Arial" w:hAnsi="Arial" w:cs="Arial"/>
                <w:color w:val="0F243E" w:themeColor="text2" w:themeShade="80"/>
                <w:sz w:val="20"/>
                <w:szCs w:val="20"/>
              </w:rPr>
              <w:t>por lo tanto,</w:t>
            </w:r>
            <w:r w:rsidRPr="00FB7EA4">
              <w:rPr>
                <w:rFonts w:ascii="Arial" w:hAnsi="Arial" w:cs="Arial"/>
                <w:color w:val="0F243E" w:themeColor="text2" w:themeShade="80"/>
                <w:sz w:val="20"/>
                <w:szCs w:val="20"/>
              </w:rPr>
              <w:t xml:space="preserve"> las horas extras fueron cargadas a dicha dependencia</w:t>
            </w:r>
            <w:r w:rsidR="008479D5" w:rsidRPr="00FB7EA4">
              <w:rPr>
                <w:rFonts w:ascii="Arial" w:hAnsi="Arial" w:cs="Arial"/>
                <w:color w:val="0F243E" w:themeColor="text2" w:themeShade="80"/>
                <w:sz w:val="20"/>
                <w:szCs w:val="20"/>
              </w:rPr>
              <w:t xml:space="preserve">. Desde </w:t>
            </w:r>
            <w:r w:rsidRPr="00FB7EA4">
              <w:rPr>
                <w:rFonts w:ascii="Arial" w:hAnsi="Arial" w:cs="Arial"/>
                <w:color w:val="0F243E" w:themeColor="text2" w:themeShade="80"/>
                <w:sz w:val="20"/>
                <w:szCs w:val="20"/>
              </w:rPr>
              <w:t>junio del 2019 se legalizó la asignación a la DGRESS.</w:t>
            </w:r>
          </w:p>
        </w:tc>
      </w:tr>
      <w:tr w:rsidR="003741C6" w:rsidRPr="00A003B6" w14:paraId="04C55BEE" w14:textId="77777777" w:rsidTr="00515063">
        <w:trPr>
          <w:cantSplit/>
        </w:trPr>
        <w:tc>
          <w:tcPr>
            <w:cnfStyle w:val="001000000000" w:firstRow="0" w:lastRow="0" w:firstColumn="1" w:lastColumn="0" w:oddVBand="0" w:evenVBand="0" w:oddHBand="0" w:evenHBand="0" w:firstRowFirstColumn="0" w:firstRowLastColumn="0" w:lastRowFirstColumn="0" w:lastRowLastColumn="0"/>
            <w:tcW w:w="2122" w:type="dxa"/>
            <w:noWrap/>
            <w:vAlign w:val="center"/>
          </w:tcPr>
          <w:p w14:paraId="3AF06629" w14:textId="77777777" w:rsidR="003741C6" w:rsidRPr="00FB7EA4" w:rsidRDefault="003741C6" w:rsidP="003741C6">
            <w:pPr>
              <w:spacing w:before="40" w:after="4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Subdirección Financiera</w:t>
            </w:r>
          </w:p>
        </w:tc>
        <w:tc>
          <w:tcPr>
            <w:tcW w:w="1275" w:type="dxa"/>
            <w:noWrap/>
            <w:vAlign w:val="center"/>
          </w:tcPr>
          <w:p w14:paraId="338C0697"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107</w:t>
            </w:r>
          </w:p>
        </w:tc>
        <w:tc>
          <w:tcPr>
            <w:tcW w:w="1134" w:type="dxa"/>
            <w:noWrap/>
            <w:vAlign w:val="center"/>
          </w:tcPr>
          <w:p w14:paraId="1DE5A493"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0</w:t>
            </w:r>
          </w:p>
        </w:tc>
        <w:tc>
          <w:tcPr>
            <w:tcW w:w="1134" w:type="dxa"/>
            <w:noWrap/>
            <w:vAlign w:val="center"/>
          </w:tcPr>
          <w:p w14:paraId="0DE76D74"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100%</w:t>
            </w:r>
          </w:p>
        </w:tc>
        <w:tc>
          <w:tcPr>
            <w:tcW w:w="4013" w:type="dxa"/>
            <w:shd w:val="clear" w:color="auto" w:fill="auto"/>
            <w:vAlign w:val="center"/>
          </w:tcPr>
          <w:p w14:paraId="025EAAA6" w14:textId="1219B502" w:rsidR="003741C6" w:rsidRPr="00FB7EA4" w:rsidRDefault="00515063" w:rsidP="00515063">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La funcionaria asignada a la Subdirección Financiera figuraba en el </w:t>
            </w:r>
            <w:r w:rsidR="004E74F6" w:rsidRPr="00FB7EA4">
              <w:rPr>
                <w:rFonts w:ascii="Arial" w:hAnsi="Arial" w:cs="Arial"/>
                <w:color w:val="0F243E" w:themeColor="text2" w:themeShade="80"/>
                <w:sz w:val="20"/>
                <w:szCs w:val="20"/>
              </w:rPr>
              <w:t xml:space="preserve">Grupo de Contabilidad </w:t>
            </w:r>
            <w:r w:rsidRPr="00FB7EA4">
              <w:rPr>
                <w:rFonts w:ascii="Arial" w:hAnsi="Arial" w:cs="Arial"/>
                <w:color w:val="0F243E" w:themeColor="text2" w:themeShade="80"/>
                <w:sz w:val="20"/>
                <w:szCs w:val="20"/>
              </w:rPr>
              <w:t>en el 2018, por tal razón, las horas extras fueron cargadas a dicho grupo</w:t>
            </w:r>
            <w:r w:rsidR="004E74F6" w:rsidRPr="00FB7EA4">
              <w:rPr>
                <w:rFonts w:ascii="Arial" w:hAnsi="Arial" w:cs="Arial"/>
                <w:color w:val="0F243E" w:themeColor="text2" w:themeShade="80"/>
                <w:sz w:val="20"/>
                <w:szCs w:val="20"/>
              </w:rPr>
              <w:t xml:space="preserve">. A partir </w:t>
            </w:r>
            <w:r w:rsidR="002723E9" w:rsidRPr="00FB7EA4">
              <w:rPr>
                <w:rFonts w:ascii="Arial" w:hAnsi="Arial" w:cs="Arial"/>
                <w:color w:val="0F243E" w:themeColor="text2" w:themeShade="80"/>
                <w:sz w:val="20"/>
                <w:szCs w:val="20"/>
              </w:rPr>
              <w:t>de junio</w:t>
            </w:r>
            <w:r w:rsidRPr="00FB7EA4">
              <w:rPr>
                <w:rFonts w:ascii="Arial" w:hAnsi="Arial" w:cs="Arial"/>
                <w:color w:val="0F243E" w:themeColor="text2" w:themeShade="80"/>
                <w:sz w:val="20"/>
                <w:szCs w:val="20"/>
              </w:rPr>
              <w:t xml:space="preserve"> de 2019 se legaliz</w:t>
            </w:r>
            <w:r w:rsidR="004E74F6" w:rsidRPr="00FB7EA4">
              <w:rPr>
                <w:rFonts w:ascii="Arial" w:hAnsi="Arial" w:cs="Arial"/>
                <w:color w:val="0F243E" w:themeColor="text2" w:themeShade="80"/>
                <w:sz w:val="20"/>
                <w:szCs w:val="20"/>
              </w:rPr>
              <w:t>ó</w:t>
            </w:r>
            <w:r w:rsidRPr="00FB7EA4">
              <w:rPr>
                <w:rFonts w:ascii="Arial" w:hAnsi="Arial" w:cs="Arial"/>
                <w:color w:val="0F243E" w:themeColor="text2" w:themeShade="80"/>
                <w:sz w:val="20"/>
                <w:szCs w:val="20"/>
              </w:rPr>
              <w:t xml:space="preserve"> la</w:t>
            </w:r>
            <w:r w:rsidR="004E74F6" w:rsidRPr="00FB7EA4">
              <w:rPr>
                <w:rFonts w:ascii="Arial" w:hAnsi="Arial" w:cs="Arial"/>
                <w:color w:val="0F243E" w:themeColor="text2" w:themeShade="80"/>
                <w:sz w:val="20"/>
                <w:szCs w:val="20"/>
              </w:rPr>
              <w:t xml:space="preserve"> </w:t>
            </w:r>
            <w:r w:rsidRPr="00FB7EA4">
              <w:rPr>
                <w:rFonts w:ascii="Arial" w:hAnsi="Arial" w:cs="Arial"/>
                <w:color w:val="0F243E" w:themeColor="text2" w:themeShade="80"/>
                <w:sz w:val="20"/>
                <w:szCs w:val="20"/>
              </w:rPr>
              <w:t>asignación a la Subdirección mencionada</w:t>
            </w:r>
            <w:r w:rsidR="004E74F6" w:rsidRPr="00FB7EA4">
              <w:rPr>
                <w:rFonts w:ascii="Arial" w:hAnsi="Arial" w:cs="Arial"/>
                <w:color w:val="0F243E" w:themeColor="text2" w:themeShade="80"/>
                <w:sz w:val="20"/>
                <w:szCs w:val="20"/>
              </w:rPr>
              <w:t xml:space="preserve">. </w:t>
            </w:r>
          </w:p>
        </w:tc>
      </w:tr>
      <w:tr w:rsidR="003741C6" w:rsidRPr="00A003B6" w14:paraId="6FF35FC5" w14:textId="77777777" w:rsidTr="00515063">
        <w:trPr>
          <w:cantSplit/>
        </w:trPr>
        <w:tc>
          <w:tcPr>
            <w:cnfStyle w:val="001000000000" w:firstRow="0" w:lastRow="0" w:firstColumn="1" w:lastColumn="0" w:oddVBand="0" w:evenVBand="0" w:oddHBand="0" w:evenHBand="0" w:firstRowFirstColumn="0" w:firstRowLastColumn="0" w:lastRowFirstColumn="0" w:lastRowLastColumn="0"/>
            <w:tcW w:w="2122" w:type="dxa"/>
            <w:noWrap/>
            <w:vAlign w:val="center"/>
          </w:tcPr>
          <w:p w14:paraId="226460BA" w14:textId="77777777" w:rsidR="003741C6" w:rsidRPr="00FB7EA4" w:rsidRDefault="003741C6" w:rsidP="003741C6">
            <w:pPr>
              <w:spacing w:before="40" w:after="4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Despacho del Viceministro Técnico</w:t>
            </w:r>
          </w:p>
        </w:tc>
        <w:tc>
          <w:tcPr>
            <w:tcW w:w="1275" w:type="dxa"/>
            <w:noWrap/>
            <w:vAlign w:val="center"/>
          </w:tcPr>
          <w:p w14:paraId="7FDF90EE"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506</w:t>
            </w:r>
          </w:p>
        </w:tc>
        <w:tc>
          <w:tcPr>
            <w:tcW w:w="1134" w:type="dxa"/>
            <w:noWrap/>
            <w:vAlign w:val="center"/>
          </w:tcPr>
          <w:p w14:paraId="3EC7F575"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313</w:t>
            </w:r>
          </w:p>
        </w:tc>
        <w:tc>
          <w:tcPr>
            <w:tcW w:w="1134" w:type="dxa"/>
            <w:noWrap/>
            <w:vAlign w:val="center"/>
          </w:tcPr>
          <w:p w14:paraId="18205675" w14:textId="77777777" w:rsidR="003741C6" w:rsidRPr="00FB7EA4" w:rsidRDefault="003741C6" w:rsidP="00B509A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62%</w:t>
            </w:r>
          </w:p>
        </w:tc>
        <w:tc>
          <w:tcPr>
            <w:tcW w:w="4013" w:type="dxa"/>
            <w:shd w:val="clear" w:color="auto" w:fill="auto"/>
            <w:vAlign w:val="center"/>
          </w:tcPr>
          <w:p w14:paraId="2BA18EE3" w14:textId="16681868" w:rsidR="003741C6" w:rsidRPr="00FB7EA4" w:rsidRDefault="00515063" w:rsidP="00515063">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El conductor asignado al Despacho del Viceministro Técnico, para el periodo 2018 figuraba en el </w:t>
            </w:r>
            <w:r w:rsidR="002723E9" w:rsidRPr="00FB7EA4">
              <w:rPr>
                <w:rFonts w:ascii="Arial" w:hAnsi="Arial" w:cs="Arial"/>
                <w:color w:val="0F243E" w:themeColor="text2" w:themeShade="80"/>
                <w:sz w:val="20"/>
                <w:szCs w:val="20"/>
              </w:rPr>
              <w:t xml:space="preserve">Despacho del Ministro, </w:t>
            </w:r>
            <w:r w:rsidRPr="00FB7EA4">
              <w:rPr>
                <w:rFonts w:ascii="Arial" w:hAnsi="Arial" w:cs="Arial"/>
                <w:color w:val="0F243E" w:themeColor="text2" w:themeShade="80"/>
                <w:sz w:val="20"/>
                <w:szCs w:val="20"/>
              </w:rPr>
              <w:t>por tal razón</w:t>
            </w:r>
            <w:r w:rsidR="002723E9" w:rsidRPr="00FB7EA4">
              <w:rPr>
                <w:rFonts w:ascii="Arial" w:hAnsi="Arial" w:cs="Arial"/>
                <w:color w:val="0F243E" w:themeColor="text2" w:themeShade="80"/>
                <w:sz w:val="20"/>
                <w:szCs w:val="20"/>
              </w:rPr>
              <w:t>,</w:t>
            </w:r>
            <w:r w:rsidRPr="00FB7EA4">
              <w:rPr>
                <w:rFonts w:ascii="Arial" w:hAnsi="Arial" w:cs="Arial"/>
                <w:color w:val="0F243E" w:themeColor="text2" w:themeShade="80"/>
                <w:sz w:val="20"/>
                <w:szCs w:val="20"/>
              </w:rPr>
              <w:t xml:space="preserve"> las horas extras fueron cargadas a dicho despacho, </w:t>
            </w:r>
            <w:r w:rsidR="002723E9" w:rsidRPr="00FB7EA4">
              <w:rPr>
                <w:rFonts w:ascii="Arial" w:hAnsi="Arial" w:cs="Arial"/>
                <w:color w:val="0F243E" w:themeColor="text2" w:themeShade="80"/>
                <w:sz w:val="20"/>
                <w:szCs w:val="20"/>
              </w:rPr>
              <w:t>D</w:t>
            </w:r>
            <w:r w:rsidRPr="00FB7EA4">
              <w:rPr>
                <w:rFonts w:ascii="Arial" w:hAnsi="Arial" w:cs="Arial"/>
                <w:color w:val="0F243E" w:themeColor="text2" w:themeShade="80"/>
                <w:sz w:val="20"/>
                <w:szCs w:val="20"/>
              </w:rPr>
              <w:t>esde junio de 2019 se legalizó la asignación al Despacho del Viceministro Técnico.</w:t>
            </w:r>
          </w:p>
        </w:tc>
      </w:tr>
    </w:tbl>
    <w:p w14:paraId="66AE0971" w14:textId="77777777" w:rsidR="00904678" w:rsidRPr="00A003B6" w:rsidRDefault="00904678" w:rsidP="00904678">
      <w:pPr>
        <w:rPr>
          <w:rFonts w:ascii="Arial" w:hAnsi="Arial" w:cs="Arial"/>
          <w:sz w:val="22"/>
          <w:szCs w:val="22"/>
          <w:highlight w:val="yellow"/>
        </w:rPr>
      </w:pPr>
    </w:p>
    <w:p w14:paraId="4ED40447" w14:textId="26589D63" w:rsidR="00A0403A" w:rsidRDefault="00A0403A" w:rsidP="00F04C50">
      <w:pPr>
        <w:jc w:val="both"/>
        <w:rPr>
          <w:rFonts w:ascii="Arial" w:hAnsi="Arial" w:cs="Arial"/>
          <w:sz w:val="22"/>
          <w:szCs w:val="22"/>
        </w:rPr>
      </w:pPr>
      <w:r>
        <w:rPr>
          <w:rFonts w:ascii="Arial" w:hAnsi="Arial" w:cs="Arial"/>
          <w:sz w:val="22"/>
          <w:szCs w:val="22"/>
        </w:rPr>
        <w:t xml:space="preserve">En términos generales los incrementos obedecieron a la asignación de los conductores a cada una de las dependencias, los cuales en las vigencias anteriores estaban adscritos a la Subdirección de Servicios (Grupo de Logística y Suministros). </w:t>
      </w:r>
    </w:p>
    <w:p w14:paraId="3AE85836" w14:textId="77777777" w:rsidR="00A0403A" w:rsidRDefault="00A0403A" w:rsidP="00F04C50">
      <w:pPr>
        <w:jc w:val="both"/>
        <w:rPr>
          <w:rFonts w:ascii="Arial" w:hAnsi="Arial" w:cs="Arial"/>
          <w:sz w:val="22"/>
          <w:szCs w:val="22"/>
        </w:rPr>
      </w:pPr>
    </w:p>
    <w:p w14:paraId="7F7315F7" w14:textId="56634F5C" w:rsidR="008A3DAA" w:rsidRPr="00F04C50" w:rsidRDefault="00F04C50" w:rsidP="00F04C50">
      <w:pPr>
        <w:jc w:val="both"/>
        <w:rPr>
          <w:rFonts w:ascii="Arial" w:hAnsi="Arial" w:cs="Arial"/>
          <w:sz w:val="22"/>
          <w:szCs w:val="22"/>
        </w:rPr>
      </w:pPr>
      <w:r w:rsidRPr="00712AB7">
        <w:rPr>
          <w:rFonts w:ascii="Arial" w:hAnsi="Arial" w:cs="Arial"/>
          <w:sz w:val="22"/>
          <w:szCs w:val="22"/>
        </w:rPr>
        <w:t>Tal como lo muestra la siguiente gráfica, f</w:t>
      </w:r>
      <w:r w:rsidR="009338B8" w:rsidRPr="00712AB7">
        <w:rPr>
          <w:rFonts w:ascii="Arial" w:hAnsi="Arial" w:cs="Arial"/>
          <w:sz w:val="22"/>
          <w:szCs w:val="22"/>
        </w:rPr>
        <w:t xml:space="preserve">rente al </w:t>
      </w:r>
      <w:r w:rsidRPr="00712AB7">
        <w:rPr>
          <w:rFonts w:ascii="Arial" w:hAnsi="Arial" w:cs="Arial"/>
          <w:sz w:val="22"/>
          <w:szCs w:val="22"/>
        </w:rPr>
        <w:t xml:space="preserve">total </w:t>
      </w:r>
      <w:r w:rsidR="009338B8" w:rsidRPr="00712AB7">
        <w:rPr>
          <w:rFonts w:ascii="Arial" w:hAnsi="Arial" w:cs="Arial"/>
          <w:sz w:val="22"/>
          <w:szCs w:val="22"/>
        </w:rPr>
        <w:t xml:space="preserve">de horas extras </w:t>
      </w:r>
      <w:r w:rsidR="009A3E0D" w:rsidRPr="00712AB7">
        <w:rPr>
          <w:rFonts w:ascii="Arial" w:hAnsi="Arial" w:cs="Arial"/>
          <w:sz w:val="22"/>
          <w:szCs w:val="22"/>
        </w:rPr>
        <w:t>liquidadas</w:t>
      </w:r>
      <w:r w:rsidR="009338B8" w:rsidRPr="00712AB7">
        <w:rPr>
          <w:rFonts w:ascii="Arial" w:hAnsi="Arial" w:cs="Arial"/>
          <w:sz w:val="22"/>
          <w:szCs w:val="22"/>
        </w:rPr>
        <w:t xml:space="preserve"> durante el </w:t>
      </w:r>
      <w:r w:rsidR="00910D05" w:rsidRPr="00712AB7">
        <w:rPr>
          <w:rFonts w:ascii="Arial" w:hAnsi="Arial" w:cs="Arial"/>
          <w:sz w:val="22"/>
          <w:szCs w:val="22"/>
        </w:rPr>
        <w:t>tercer trimestre</w:t>
      </w:r>
      <w:r w:rsidR="009338B8" w:rsidRPr="00712AB7">
        <w:rPr>
          <w:rFonts w:ascii="Arial" w:hAnsi="Arial" w:cs="Arial"/>
          <w:sz w:val="22"/>
          <w:szCs w:val="22"/>
        </w:rPr>
        <w:t xml:space="preserve"> de</w:t>
      </w:r>
      <w:r w:rsidR="009A3E0D" w:rsidRPr="00712AB7">
        <w:rPr>
          <w:rFonts w:ascii="Arial" w:hAnsi="Arial" w:cs="Arial"/>
          <w:sz w:val="22"/>
          <w:szCs w:val="22"/>
        </w:rPr>
        <w:t xml:space="preserve"> 2019, se observó</w:t>
      </w:r>
      <w:r w:rsidR="00801751" w:rsidRPr="00712AB7">
        <w:rPr>
          <w:rFonts w:ascii="Arial" w:hAnsi="Arial" w:cs="Arial"/>
          <w:sz w:val="22"/>
          <w:szCs w:val="22"/>
        </w:rPr>
        <w:t xml:space="preserve"> </w:t>
      </w:r>
      <w:r w:rsidR="00910D05" w:rsidRPr="00712AB7">
        <w:rPr>
          <w:rFonts w:ascii="Arial" w:hAnsi="Arial" w:cs="Arial"/>
          <w:sz w:val="22"/>
          <w:szCs w:val="22"/>
        </w:rPr>
        <w:t>que para los meses de julio y agosto el total de horas</w:t>
      </w:r>
      <w:r w:rsidR="00A5778D" w:rsidRPr="00712AB7">
        <w:rPr>
          <w:rFonts w:ascii="Arial" w:hAnsi="Arial" w:cs="Arial"/>
          <w:sz w:val="22"/>
          <w:szCs w:val="22"/>
        </w:rPr>
        <w:t xml:space="preserve"> extras </w:t>
      </w:r>
      <w:r w:rsidR="00910D05" w:rsidRPr="00712AB7">
        <w:rPr>
          <w:rFonts w:ascii="Arial" w:hAnsi="Arial" w:cs="Arial"/>
          <w:sz w:val="22"/>
          <w:szCs w:val="22"/>
        </w:rPr>
        <w:t xml:space="preserve">presentó un comportamiento estable. Para el periodo de septiembre se evidencia una tendencia creciente. </w:t>
      </w:r>
      <w:r w:rsidR="007260C7" w:rsidRPr="00712AB7">
        <w:rPr>
          <w:rFonts w:ascii="Arial" w:hAnsi="Arial" w:cs="Arial"/>
          <w:sz w:val="22"/>
          <w:szCs w:val="22"/>
        </w:rPr>
        <w:t>Dicho incremento también se reflejó en el valor del gasto por horas extras, ya que para el</w:t>
      </w:r>
      <w:r w:rsidR="00212B3C" w:rsidRPr="00712AB7">
        <w:rPr>
          <w:rFonts w:ascii="Arial" w:hAnsi="Arial" w:cs="Arial"/>
          <w:sz w:val="22"/>
          <w:szCs w:val="22"/>
        </w:rPr>
        <w:t xml:space="preserve"> mes</w:t>
      </w:r>
      <w:r w:rsidR="007260C7" w:rsidRPr="00712AB7">
        <w:rPr>
          <w:rFonts w:ascii="Arial" w:hAnsi="Arial" w:cs="Arial"/>
          <w:sz w:val="22"/>
          <w:szCs w:val="22"/>
        </w:rPr>
        <w:t xml:space="preserve"> </w:t>
      </w:r>
      <w:r w:rsidR="00860C68" w:rsidRPr="00712AB7">
        <w:rPr>
          <w:rFonts w:ascii="Arial" w:hAnsi="Arial" w:cs="Arial"/>
          <w:sz w:val="22"/>
          <w:szCs w:val="22"/>
        </w:rPr>
        <w:t>antes referido dicho</w:t>
      </w:r>
      <w:r w:rsidR="00415230" w:rsidRPr="00712AB7">
        <w:rPr>
          <w:rFonts w:ascii="Arial" w:hAnsi="Arial" w:cs="Arial"/>
          <w:sz w:val="22"/>
          <w:szCs w:val="22"/>
        </w:rPr>
        <w:t xml:space="preserve"> gasto se </w:t>
      </w:r>
      <w:r w:rsidR="00415230" w:rsidRPr="00712AB7">
        <w:rPr>
          <w:rFonts w:ascii="Arial" w:hAnsi="Arial" w:cs="Arial"/>
          <w:b/>
          <w:sz w:val="22"/>
          <w:szCs w:val="22"/>
        </w:rPr>
        <w:t>incrementó</w:t>
      </w:r>
      <w:r w:rsidR="00415230" w:rsidRPr="00712AB7">
        <w:rPr>
          <w:rFonts w:ascii="Arial" w:hAnsi="Arial" w:cs="Arial"/>
          <w:sz w:val="22"/>
          <w:szCs w:val="22"/>
        </w:rPr>
        <w:t xml:space="preserve"> en </w:t>
      </w:r>
      <w:r w:rsidRPr="00712AB7">
        <w:rPr>
          <w:rFonts w:ascii="Arial" w:hAnsi="Arial" w:cs="Arial"/>
          <w:sz w:val="22"/>
          <w:szCs w:val="22"/>
        </w:rPr>
        <w:t>4</w:t>
      </w:r>
      <w:r w:rsidR="00415230" w:rsidRPr="00712AB7">
        <w:rPr>
          <w:rFonts w:ascii="Arial" w:hAnsi="Arial" w:cs="Arial"/>
          <w:sz w:val="22"/>
          <w:szCs w:val="22"/>
        </w:rPr>
        <w:t xml:space="preserve">% </w:t>
      </w:r>
      <w:r w:rsidR="007260C7" w:rsidRPr="00712AB7">
        <w:rPr>
          <w:rFonts w:ascii="Arial" w:hAnsi="Arial" w:cs="Arial"/>
          <w:sz w:val="22"/>
          <w:szCs w:val="22"/>
        </w:rPr>
        <w:t>comparado</w:t>
      </w:r>
      <w:r w:rsidR="007260C7" w:rsidRPr="00F04C50">
        <w:rPr>
          <w:rFonts w:ascii="Arial" w:hAnsi="Arial" w:cs="Arial"/>
          <w:sz w:val="22"/>
          <w:szCs w:val="22"/>
        </w:rPr>
        <w:t xml:space="preserve"> con e</w:t>
      </w:r>
      <w:r w:rsidR="00415230" w:rsidRPr="00F04C50">
        <w:rPr>
          <w:rFonts w:ascii="Arial" w:hAnsi="Arial" w:cs="Arial"/>
          <w:sz w:val="22"/>
          <w:szCs w:val="22"/>
        </w:rPr>
        <w:t xml:space="preserve">l </w:t>
      </w:r>
      <w:r w:rsidRPr="00F04C50">
        <w:rPr>
          <w:rFonts w:ascii="Arial" w:hAnsi="Arial" w:cs="Arial"/>
          <w:sz w:val="22"/>
          <w:szCs w:val="22"/>
        </w:rPr>
        <w:t xml:space="preserve">mes inmediatamente anterior. </w:t>
      </w:r>
    </w:p>
    <w:p w14:paraId="7D1EA06F" w14:textId="77777777" w:rsidR="00AF761F" w:rsidRDefault="00AF761F" w:rsidP="009A3E0D">
      <w:pPr>
        <w:jc w:val="both"/>
        <w:rPr>
          <w:rFonts w:ascii="Arial" w:hAnsi="Arial" w:cs="Arial"/>
          <w:sz w:val="22"/>
          <w:szCs w:val="22"/>
          <w:highlight w:val="yellow"/>
        </w:rPr>
      </w:pPr>
    </w:p>
    <w:p w14:paraId="1AFDBE55" w14:textId="77777777" w:rsidR="00AF761F" w:rsidRPr="00A003B6" w:rsidRDefault="00AF761F" w:rsidP="00AF761F">
      <w:pPr>
        <w:ind w:firstLine="708"/>
        <w:jc w:val="both"/>
        <w:rPr>
          <w:rFonts w:ascii="Arial" w:hAnsi="Arial" w:cs="Arial"/>
          <w:sz w:val="22"/>
          <w:szCs w:val="22"/>
          <w:highlight w:val="yellow"/>
        </w:rPr>
      </w:pPr>
      <w:r>
        <w:rPr>
          <w:noProof/>
        </w:rPr>
        <w:drawing>
          <wp:inline distT="0" distB="0" distL="0" distR="0" wp14:anchorId="1B2608D0" wp14:editId="1D4D614E">
            <wp:extent cx="5114925" cy="243840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7B8E09" w14:textId="2EB0E03F" w:rsidR="000B6038" w:rsidRDefault="000B6038" w:rsidP="005946A2">
      <w:pPr>
        <w:rPr>
          <w:rFonts w:ascii="Arial" w:hAnsi="Arial" w:cs="Arial"/>
          <w:sz w:val="22"/>
          <w:szCs w:val="22"/>
          <w:highlight w:val="yellow"/>
        </w:rPr>
      </w:pPr>
    </w:p>
    <w:p w14:paraId="329C8BFD" w14:textId="0A24EA2C" w:rsidR="0016456B" w:rsidRDefault="0016456B" w:rsidP="00EB639F">
      <w:pPr>
        <w:jc w:val="both"/>
        <w:rPr>
          <w:rFonts w:ascii="Arial" w:hAnsi="Arial" w:cs="Arial"/>
          <w:sz w:val="22"/>
          <w:szCs w:val="22"/>
        </w:rPr>
      </w:pPr>
      <w:r w:rsidRPr="00FB5293">
        <w:rPr>
          <w:rFonts w:ascii="Arial" w:hAnsi="Arial" w:cs="Arial"/>
          <w:sz w:val="22"/>
          <w:szCs w:val="22"/>
        </w:rPr>
        <w:lastRenderedPageBreak/>
        <w:t xml:space="preserve">Por otro lado, se procedió a comparar el valor de las horas extras [reconocidas en dinero] para lo cual se tomó como fuente de información los reportes enviados por el Grupo de Administración de Personal generados del sistema SARA. En la siguiente tabla se expone la comparación realizada </w:t>
      </w:r>
      <w:r w:rsidR="00FD4809">
        <w:rPr>
          <w:rFonts w:ascii="Arial" w:hAnsi="Arial" w:cs="Arial"/>
          <w:sz w:val="22"/>
          <w:szCs w:val="22"/>
        </w:rPr>
        <w:t xml:space="preserve">para </w:t>
      </w:r>
      <w:r w:rsidRPr="00FB5293">
        <w:rPr>
          <w:rFonts w:ascii="Arial" w:hAnsi="Arial" w:cs="Arial"/>
          <w:sz w:val="22"/>
          <w:szCs w:val="22"/>
        </w:rPr>
        <w:t xml:space="preserve">el valor de horas extras liquidadas: </w:t>
      </w:r>
    </w:p>
    <w:p w14:paraId="2B14414E" w14:textId="77777777" w:rsidR="00791637" w:rsidRPr="00FB5293" w:rsidRDefault="00791637" w:rsidP="00791637">
      <w:pPr>
        <w:rPr>
          <w:rFonts w:ascii="Arial" w:hAnsi="Arial" w:cs="Arial"/>
          <w:sz w:val="22"/>
          <w:szCs w:val="22"/>
        </w:rPr>
      </w:pPr>
    </w:p>
    <w:tbl>
      <w:tblPr>
        <w:tblStyle w:val="Tabladecuadrcula1clara-nfasis1"/>
        <w:tblW w:w="0" w:type="auto"/>
        <w:jc w:val="center"/>
        <w:tblLook w:val="04A0" w:firstRow="1" w:lastRow="0" w:firstColumn="1" w:lastColumn="0" w:noHBand="0" w:noVBand="1"/>
      </w:tblPr>
      <w:tblGrid>
        <w:gridCol w:w="1239"/>
        <w:gridCol w:w="2117"/>
        <w:gridCol w:w="2062"/>
        <w:gridCol w:w="1517"/>
        <w:gridCol w:w="1172"/>
      </w:tblGrid>
      <w:tr w:rsidR="0016456B" w:rsidRPr="00A003B6" w14:paraId="6C0F108E" w14:textId="77777777" w:rsidTr="00A05F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3AB327DA" w14:textId="77777777" w:rsidR="0016456B" w:rsidRPr="00FB5293" w:rsidRDefault="0016456B" w:rsidP="00791637">
            <w:pPr>
              <w:jc w:val="center"/>
              <w:rPr>
                <w:rFonts w:ascii="Arial" w:hAnsi="Arial" w:cs="Arial"/>
                <w:color w:val="FFFFFF" w:themeColor="background1"/>
                <w:sz w:val="20"/>
                <w:szCs w:val="20"/>
              </w:rPr>
            </w:pPr>
            <w:r w:rsidRPr="00FB5293">
              <w:rPr>
                <w:rFonts w:ascii="Arial" w:hAnsi="Arial" w:cs="Arial"/>
                <w:color w:val="FFFFFF" w:themeColor="background1"/>
                <w:sz w:val="20"/>
                <w:szCs w:val="20"/>
              </w:rPr>
              <w:t>Concepto</w:t>
            </w:r>
          </w:p>
        </w:tc>
        <w:tc>
          <w:tcPr>
            <w:tcW w:w="0" w:type="auto"/>
            <w:gridSpan w:val="2"/>
            <w:shd w:val="clear" w:color="auto" w:fill="4F81BD" w:themeFill="accent1"/>
            <w:vAlign w:val="center"/>
            <w:hideMark/>
          </w:tcPr>
          <w:p w14:paraId="060C9FDB" w14:textId="77777777" w:rsidR="0016456B" w:rsidRPr="00FB5293" w:rsidRDefault="0016456B" w:rsidP="0079163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B5293">
              <w:rPr>
                <w:rFonts w:ascii="Arial" w:hAnsi="Arial" w:cs="Arial"/>
                <w:color w:val="FFFFFF" w:themeColor="background1"/>
                <w:sz w:val="20"/>
                <w:szCs w:val="20"/>
              </w:rPr>
              <w:t>Valor Gasto Horas Extras</w:t>
            </w:r>
          </w:p>
        </w:tc>
        <w:tc>
          <w:tcPr>
            <w:tcW w:w="0" w:type="auto"/>
            <w:gridSpan w:val="2"/>
            <w:shd w:val="clear" w:color="auto" w:fill="4F81BD" w:themeFill="accent1"/>
            <w:vAlign w:val="center"/>
            <w:hideMark/>
          </w:tcPr>
          <w:p w14:paraId="2D5D36E1" w14:textId="77777777" w:rsidR="0016456B" w:rsidRPr="00FB5293" w:rsidRDefault="0016456B" w:rsidP="0079163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B5293">
              <w:rPr>
                <w:rFonts w:ascii="Arial" w:hAnsi="Arial" w:cs="Arial"/>
                <w:color w:val="FFFFFF" w:themeColor="background1"/>
                <w:sz w:val="20"/>
                <w:szCs w:val="20"/>
              </w:rPr>
              <w:t>Variaciones</w:t>
            </w:r>
          </w:p>
        </w:tc>
      </w:tr>
      <w:tr w:rsidR="0016456B" w:rsidRPr="00A003B6" w14:paraId="08D9018A" w14:textId="77777777" w:rsidTr="00A05F91">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nil"/>
            </w:tcBorders>
            <w:shd w:val="clear" w:color="auto" w:fill="4F81BD" w:themeFill="accent1"/>
            <w:vAlign w:val="center"/>
            <w:hideMark/>
          </w:tcPr>
          <w:p w14:paraId="18FB07FB" w14:textId="77777777" w:rsidR="0016456B" w:rsidRPr="00FB5293" w:rsidRDefault="0016456B" w:rsidP="00791637">
            <w:pPr>
              <w:spacing w:before="60" w:after="60"/>
              <w:rPr>
                <w:rFonts w:ascii="Arial" w:hAnsi="Arial" w:cs="Arial"/>
                <w:color w:val="FFFFFF" w:themeColor="background1"/>
                <w:sz w:val="20"/>
                <w:szCs w:val="20"/>
              </w:rPr>
            </w:pPr>
          </w:p>
        </w:tc>
        <w:tc>
          <w:tcPr>
            <w:tcW w:w="0" w:type="auto"/>
            <w:tcBorders>
              <w:bottom w:val="nil"/>
            </w:tcBorders>
            <w:shd w:val="clear" w:color="auto" w:fill="4F81BD" w:themeFill="accent1"/>
            <w:vAlign w:val="center"/>
            <w:hideMark/>
          </w:tcPr>
          <w:p w14:paraId="716DED57" w14:textId="77777777" w:rsidR="0016456B" w:rsidRPr="00FB5293" w:rsidRDefault="0016456B" w:rsidP="007916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B5293">
              <w:rPr>
                <w:rFonts w:ascii="Arial" w:hAnsi="Arial" w:cs="Arial"/>
                <w:color w:val="FFFFFF" w:themeColor="background1"/>
                <w:sz w:val="20"/>
                <w:szCs w:val="20"/>
              </w:rPr>
              <w:t xml:space="preserve"> </w:t>
            </w:r>
            <w:r>
              <w:rPr>
                <w:rFonts w:ascii="Arial" w:hAnsi="Arial" w:cs="Arial"/>
                <w:color w:val="FFFFFF" w:themeColor="background1"/>
                <w:sz w:val="20"/>
                <w:szCs w:val="20"/>
              </w:rPr>
              <w:t>I</w:t>
            </w:r>
            <w:r w:rsidRPr="00FB5293">
              <w:rPr>
                <w:rFonts w:ascii="Arial" w:hAnsi="Arial" w:cs="Arial"/>
                <w:color w:val="FFFFFF" w:themeColor="background1"/>
                <w:sz w:val="20"/>
                <w:szCs w:val="20"/>
              </w:rPr>
              <w:t>II Trimestre de 2019</w:t>
            </w:r>
          </w:p>
        </w:tc>
        <w:tc>
          <w:tcPr>
            <w:tcW w:w="0" w:type="auto"/>
            <w:tcBorders>
              <w:bottom w:val="nil"/>
            </w:tcBorders>
            <w:shd w:val="clear" w:color="auto" w:fill="4F81BD" w:themeFill="accent1"/>
            <w:vAlign w:val="center"/>
            <w:hideMark/>
          </w:tcPr>
          <w:p w14:paraId="2137158C" w14:textId="77777777" w:rsidR="0016456B" w:rsidRPr="00FB5293" w:rsidRDefault="0016456B" w:rsidP="007916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I</w:t>
            </w:r>
            <w:r w:rsidRPr="00FB5293">
              <w:rPr>
                <w:rFonts w:ascii="Arial" w:hAnsi="Arial" w:cs="Arial"/>
                <w:color w:val="FFFFFF" w:themeColor="background1"/>
                <w:sz w:val="20"/>
                <w:szCs w:val="20"/>
              </w:rPr>
              <w:t>II Trimestre de 2018</w:t>
            </w:r>
          </w:p>
        </w:tc>
        <w:tc>
          <w:tcPr>
            <w:tcW w:w="0" w:type="auto"/>
            <w:tcBorders>
              <w:bottom w:val="nil"/>
            </w:tcBorders>
            <w:shd w:val="clear" w:color="auto" w:fill="4F81BD" w:themeFill="accent1"/>
            <w:vAlign w:val="center"/>
            <w:hideMark/>
          </w:tcPr>
          <w:p w14:paraId="594267E9" w14:textId="77777777" w:rsidR="0016456B" w:rsidRPr="00FB5293" w:rsidRDefault="0016456B" w:rsidP="007916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B5293">
              <w:rPr>
                <w:rFonts w:ascii="Arial" w:hAnsi="Arial" w:cs="Arial"/>
                <w:color w:val="FFFFFF" w:themeColor="background1"/>
                <w:sz w:val="20"/>
                <w:szCs w:val="20"/>
              </w:rPr>
              <w:t>Absoluta $</w:t>
            </w:r>
          </w:p>
        </w:tc>
        <w:tc>
          <w:tcPr>
            <w:tcW w:w="0" w:type="auto"/>
            <w:tcBorders>
              <w:bottom w:val="nil"/>
            </w:tcBorders>
            <w:shd w:val="clear" w:color="auto" w:fill="4F81BD" w:themeFill="accent1"/>
            <w:vAlign w:val="center"/>
            <w:hideMark/>
          </w:tcPr>
          <w:p w14:paraId="63993D7E" w14:textId="77777777" w:rsidR="0016456B" w:rsidRPr="00FB5293" w:rsidRDefault="0016456B" w:rsidP="007916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B5293">
              <w:rPr>
                <w:rFonts w:ascii="Arial" w:hAnsi="Arial" w:cs="Arial"/>
                <w:color w:val="FFFFFF" w:themeColor="background1"/>
                <w:sz w:val="20"/>
                <w:szCs w:val="20"/>
              </w:rPr>
              <w:t>Relativa %</w:t>
            </w:r>
          </w:p>
        </w:tc>
      </w:tr>
      <w:tr w:rsidR="0016456B" w:rsidRPr="00A003B6" w14:paraId="399BA733" w14:textId="77777777" w:rsidTr="00A05F9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081CBACA" w14:textId="77777777" w:rsidR="0016456B" w:rsidRPr="00FB5293" w:rsidRDefault="0016456B" w:rsidP="00791637">
            <w:pPr>
              <w:spacing w:before="60" w:after="60"/>
              <w:jc w:val="center"/>
              <w:rPr>
                <w:rFonts w:ascii="Arial" w:hAnsi="Arial" w:cs="Arial"/>
                <w:b w:val="0"/>
                <w:color w:val="0F243E" w:themeColor="text2" w:themeShade="80"/>
                <w:sz w:val="20"/>
                <w:szCs w:val="20"/>
              </w:rPr>
            </w:pPr>
            <w:r>
              <w:rPr>
                <w:rFonts w:ascii="Arial" w:hAnsi="Arial" w:cs="Arial"/>
                <w:b w:val="0"/>
                <w:color w:val="0F243E" w:themeColor="text2" w:themeShade="80"/>
                <w:sz w:val="20"/>
                <w:szCs w:val="20"/>
              </w:rPr>
              <w:t>Julio</w:t>
            </w:r>
          </w:p>
        </w:tc>
        <w:tc>
          <w:tcPr>
            <w:tcW w:w="0" w:type="auto"/>
            <w:tcBorders>
              <w:top w:val="nil"/>
              <w:left w:val="nil"/>
              <w:bottom w:val="nil"/>
              <w:right w:val="nil"/>
            </w:tcBorders>
            <w:vAlign w:val="center"/>
          </w:tcPr>
          <w:p w14:paraId="51369EF0" w14:textId="77777777" w:rsidR="0016456B" w:rsidRDefault="0016456B" w:rsidP="0079163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 xml:space="preserve">   27.159.186 </w:t>
            </w:r>
          </w:p>
        </w:tc>
        <w:tc>
          <w:tcPr>
            <w:tcW w:w="0" w:type="auto"/>
            <w:tcBorders>
              <w:top w:val="nil"/>
              <w:left w:val="nil"/>
              <w:bottom w:val="nil"/>
              <w:right w:val="nil"/>
            </w:tcBorders>
            <w:noWrap/>
            <w:vAlign w:val="center"/>
          </w:tcPr>
          <w:p w14:paraId="377C48EF" w14:textId="77777777" w:rsidR="0016456B" w:rsidRDefault="0016456B" w:rsidP="0079163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 xml:space="preserve">        31.547.313 </w:t>
            </w:r>
          </w:p>
        </w:tc>
        <w:tc>
          <w:tcPr>
            <w:tcW w:w="0" w:type="auto"/>
            <w:tcBorders>
              <w:top w:val="nil"/>
              <w:left w:val="nil"/>
              <w:bottom w:val="nil"/>
              <w:right w:val="nil"/>
            </w:tcBorders>
            <w:noWrap/>
            <w:vAlign w:val="center"/>
          </w:tcPr>
          <w:p w14:paraId="3606DA4F" w14:textId="77777777" w:rsidR="0016456B" w:rsidRDefault="0016456B" w:rsidP="0079163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 xml:space="preserve">     (4.388.127) </w:t>
            </w:r>
          </w:p>
        </w:tc>
        <w:tc>
          <w:tcPr>
            <w:tcW w:w="0" w:type="auto"/>
            <w:tcBorders>
              <w:top w:val="nil"/>
              <w:left w:val="nil"/>
              <w:bottom w:val="nil"/>
              <w:right w:val="nil"/>
            </w:tcBorders>
            <w:vAlign w:val="center"/>
          </w:tcPr>
          <w:p w14:paraId="3FF1C83D" w14:textId="77777777" w:rsidR="0016456B" w:rsidRDefault="0016456B" w:rsidP="007916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(14%)</w:t>
            </w:r>
          </w:p>
        </w:tc>
      </w:tr>
      <w:tr w:rsidR="0016456B" w:rsidRPr="00A003B6" w14:paraId="323240DE" w14:textId="77777777" w:rsidTr="00A05F9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236A1D9B" w14:textId="77777777" w:rsidR="0016456B" w:rsidRPr="00FB5293" w:rsidRDefault="0016456B" w:rsidP="00791637">
            <w:pPr>
              <w:spacing w:before="60" w:after="60"/>
              <w:jc w:val="center"/>
              <w:rPr>
                <w:rFonts w:ascii="Arial" w:hAnsi="Arial" w:cs="Arial"/>
                <w:b w:val="0"/>
                <w:color w:val="0F243E" w:themeColor="text2" w:themeShade="80"/>
                <w:sz w:val="20"/>
                <w:szCs w:val="20"/>
              </w:rPr>
            </w:pPr>
            <w:r>
              <w:rPr>
                <w:rFonts w:ascii="Arial" w:hAnsi="Arial" w:cs="Arial"/>
                <w:b w:val="0"/>
                <w:color w:val="0F243E" w:themeColor="text2" w:themeShade="80"/>
                <w:sz w:val="20"/>
                <w:szCs w:val="20"/>
              </w:rPr>
              <w:t>Agosto</w:t>
            </w:r>
          </w:p>
        </w:tc>
        <w:tc>
          <w:tcPr>
            <w:tcW w:w="0" w:type="auto"/>
            <w:tcBorders>
              <w:top w:val="nil"/>
              <w:left w:val="nil"/>
              <w:bottom w:val="nil"/>
              <w:right w:val="nil"/>
            </w:tcBorders>
            <w:noWrap/>
            <w:vAlign w:val="center"/>
          </w:tcPr>
          <w:p w14:paraId="38FE8120" w14:textId="77777777" w:rsidR="0016456B" w:rsidRDefault="0016456B" w:rsidP="0079163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 xml:space="preserve">   27.125.174 </w:t>
            </w:r>
          </w:p>
        </w:tc>
        <w:tc>
          <w:tcPr>
            <w:tcW w:w="0" w:type="auto"/>
            <w:tcBorders>
              <w:top w:val="nil"/>
              <w:left w:val="nil"/>
              <w:bottom w:val="nil"/>
              <w:right w:val="nil"/>
            </w:tcBorders>
            <w:noWrap/>
            <w:vAlign w:val="center"/>
          </w:tcPr>
          <w:p w14:paraId="16AC7CD9" w14:textId="77777777" w:rsidR="0016456B" w:rsidRDefault="0016456B" w:rsidP="0079163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 xml:space="preserve">        30.108.109 </w:t>
            </w:r>
          </w:p>
        </w:tc>
        <w:tc>
          <w:tcPr>
            <w:tcW w:w="0" w:type="auto"/>
            <w:tcBorders>
              <w:top w:val="nil"/>
              <w:left w:val="nil"/>
              <w:bottom w:val="nil"/>
              <w:right w:val="nil"/>
            </w:tcBorders>
            <w:noWrap/>
            <w:vAlign w:val="center"/>
          </w:tcPr>
          <w:p w14:paraId="723E4A99" w14:textId="0C28B135" w:rsidR="0016456B" w:rsidRDefault="0016456B" w:rsidP="0079163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 xml:space="preserve"> (2.982.935) </w:t>
            </w:r>
          </w:p>
        </w:tc>
        <w:tc>
          <w:tcPr>
            <w:tcW w:w="0" w:type="auto"/>
            <w:tcBorders>
              <w:top w:val="nil"/>
              <w:left w:val="nil"/>
              <w:bottom w:val="nil"/>
              <w:right w:val="nil"/>
            </w:tcBorders>
            <w:vAlign w:val="center"/>
          </w:tcPr>
          <w:p w14:paraId="5AC0D182" w14:textId="77777777" w:rsidR="0016456B" w:rsidRDefault="0016456B" w:rsidP="007916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(10%)</w:t>
            </w:r>
          </w:p>
        </w:tc>
      </w:tr>
      <w:tr w:rsidR="0016456B" w:rsidRPr="00A003B6" w14:paraId="15F24970" w14:textId="77777777" w:rsidTr="00A05F9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4CEF59EB" w14:textId="77777777" w:rsidR="0016456B" w:rsidRPr="00FB5293" w:rsidRDefault="0016456B" w:rsidP="00791637">
            <w:pPr>
              <w:spacing w:before="60" w:after="60"/>
              <w:jc w:val="center"/>
              <w:rPr>
                <w:rFonts w:ascii="Arial" w:hAnsi="Arial" w:cs="Arial"/>
                <w:b w:val="0"/>
                <w:color w:val="0F243E" w:themeColor="text2" w:themeShade="80"/>
                <w:sz w:val="20"/>
                <w:szCs w:val="20"/>
              </w:rPr>
            </w:pPr>
            <w:r>
              <w:rPr>
                <w:rFonts w:ascii="Arial" w:hAnsi="Arial" w:cs="Arial"/>
                <w:b w:val="0"/>
                <w:color w:val="0F243E" w:themeColor="text2" w:themeShade="80"/>
                <w:sz w:val="20"/>
                <w:szCs w:val="20"/>
              </w:rPr>
              <w:t xml:space="preserve">Septiembre </w:t>
            </w:r>
            <w:r w:rsidRPr="00FB5293">
              <w:rPr>
                <w:rFonts w:ascii="Arial" w:hAnsi="Arial" w:cs="Arial"/>
                <w:b w:val="0"/>
                <w:color w:val="0F243E" w:themeColor="text2" w:themeShade="80"/>
                <w:sz w:val="20"/>
                <w:szCs w:val="20"/>
              </w:rPr>
              <w:t xml:space="preserve"> </w:t>
            </w:r>
          </w:p>
        </w:tc>
        <w:tc>
          <w:tcPr>
            <w:tcW w:w="0" w:type="auto"/>
            <w:tcBorders>
              <w:top w:val="nil"/>
              <w:left w:val="nil"/>
              <w:bottom w:val="double" w:sz="4" w:space="0" w:color="4F81BD" w:themeColor="accent1"/>
              <w:right w:val="nil"/>
            </w:tcBorders>
            <w:noWrap/>
            <w:vAlign w:val="center"/>
          </w:tcPr>
          <w:p w14:paraId="15595AF9" w14:textId="77777777" w:rsidR="0016456B" w:rsidRDefault="0016456B" w:rsidP="0079163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 xml:space="preserve">   28.345.123 </w:t>
            </w:r>
          </w:p>
        </w:tc>
        <w:tc>
          <w:tcPr>
            <w:tcW w:w="0" w:type="auto"/>
            <w:tcBorders>
              <w:top w:val="nil"/>
              <w:left w:val="nil"/>
              <w:bottom w:val="double" w:sz="4" w:space="0" w:color="4F81BD" w:themeColor="accent1"/>
              <w:right w:val="nil"/>
            </w:tcBorders>
            <w:noWrap/>
            <w:vAlign w:val="center"/>
          </w:tcPr>
          <w:p w14:paraId="2003CAB1" w14:textId="77777777" w:rsidR="0016456B" w:rsidRDefault="0016456B" w:rsidP="0079163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 xml:space="preserve">        29.956.870 </w:t>
            </w:r>
          </w:p>
        </w:tc>
        <w:tc>
          <w:tcPr>
            <w:tcW w:w="0" w:type="auto"/>
            <w:tcBorders>
              <w:top w:val="nil"/>
              <w:left w:val="nil"/>
              <w:bottom w:val="double" w:sz="4" w:space="0" w:color="4F81BD" w:themeColor="accent1"/>
              <w:right w:val="nil"/>
            </w:tcBorders>
            <w:noWrap/>
            <w:vAlign w:val="center"/>
          </w:tcPr>
          <w:p w14:paraId="4C839FAC" w14:textId="77777777" w:rsidR="0016456B" w:rsidRDefault="0016456B" w:rsidP="0079163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 xml:space="preserve">   (1.611.747) </w:t>
            </w:r>
          </w:p>
        </w:tc>
        <w:tc>
          <w:tcPr>
            <w:tcW w:w="0" w:type="auto"/>
            <w:tcBorders>
              <w:top w:val="nil"/>
              <w:left w:val="nil"/>
              <w:bottom w:val="double" w:sz="4" w:space="0" w:color="4F81BD" w:themeColor="accent1"/>
              <w:right w:val="nil"/>
            </w:tcBorders>
            <w:vAlign w:val="center"/>
          </w:tcPr>
          <w:p w14:paraId="70916C3D" w14:textId="77777777" w:rsidR="0016456B" w:rsidRDefault="0016456B" w:rsidP="007916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Pr>
                <w:rFonts w:ascii="Arial" w:hAnsi="Arial" w:cs="Arial"/>
                <w:color w:val="0F243E"/>
                <w:sz w:val="20"/>
                <w:szCs w:val="20"/>
              </w:rPr>
              <w:t>(5%)</w:t>
            </w:r>
          </w:p>
        </w:tc>
      </w:tr>
      <w:tr w:rsidR="0016456B" w:rsidRPr="00A003B6" w14:paraId="14B394F9" w14:textId="77777777" w:rsidTr="00A05F9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double" w:sz="4" w:space="0" w:color="4F81BD" w:themeColor="accent1"/>
              <w:right w:val="nil"/>
            </w:tcBorders>
            <w:vAlign w:val="center"/>
            <w:hideMark/>
          </w:tcPr>
          <w:p w14:paraId="0AF8091C" w14:textId="77777777" w:rsidR="0016456B" w:rsidRPr="00FB5293" w:rsidRDefault="0016456B" w:rsidP="00791637">
            <w:pPr>
              <w:spacing w:before="60" w:after="60"/>
              <w:jc w:val="center"/>
              <w:rPr>
                <w:rFonts w:ascii="Arial" w:hAnsi="Arial" w:cs="Arial"/>
                <w:color w:val="0F243E" w:themeColor="text2" w:themeShade="80"/>
                <w:sz w:val="20"/>
                <w:szCs w:val="20"/>
              </w:rPr>
            </w:pPr>
            <w:r w:rsidRPr="00FB5293">
              <w:rPr>
                <w:rFonts w:ascii="Arial" w:hAnsi="Arial" w:cs="Arial"/>
                <w:color w:val="0F243E" w:themeColor="text2" w:themeShade="80"/>
                <w:sz w:val="20"/>
                <w:szCs w:val="20"/>
              </w:rPr>
              <w:t xml:space="preserve"> Totales </w:t>
            </w:r>
          </w:p>
        </w:tc>
        <w:tc>
          <w:tcPr>
            <w:tcW w:w="0" w:type="auto"/>
            <w:tcBorders>
              <w:top w:val="double" w:sz="4" w:space="0" w:color="4F81BD" w:themeColor="accent1"/>
              <w:left w:val="nil"/>
              <w:bottom w:val="double" w:sz="4" w:space="0" w:color="4F81BD" w:themeColor="accent1"/>
              <w:right w:val="nil"/>
            </w:tcBorders>
            <w:vAlign w:val="center"/>
          </w:tcPr>
          <w:p w14:paraId="68822C38" w14:textId="77777777" w:rsidR="0016456B" w:rsidRDefault="0016456B" w:rsidP="0079163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Pr>
                <w:rFonts w:ascii="Arial" w:hAnsi="Arial" w:cs="Arial"/>
                <w:b/>
                <w:bCs/>
                <w:color w:val="0F243E"/>
                <w:sz w:val="20"/>
                <w:szCs w:val="20"/>
              </w:rPr>
              <w:t>82.629.484</w:t>
            </w:r>
          </w:p>
        </w:tc>
        <w:tc>
          <w:tcPr>
            <w:tcW w:w="0" w:type="auto"/>
            <w:tcBorders>
              <w:top w:val="double" w:sz="4" w:space="0" w:color="4F81BD" w:themeColor="accent1"/>
              <w:left w:val="nil"/>
              <w:bottom w:val="double" w:sz="4" w:space="0" w:color="4F81BD" w:themeColor="accent1"/>
              <w:right w:val="nil"/>
            </w:tcBorders>
            <w:vAlign w:val="center"/>
          </w:tcPr>
          <w:p w14:paraId="64E75142" w14:textId="77777777" w:rsidR="0016456B" w:rsidRDefault="0016456B" w:rsidP="0079163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Pr>
                <w:rFonts w:ascii="Arial" w:hAnsi="Arial" w:cs="Arial"/>
                <w:b/>
                <w:bCs/>
                <w:color w:val="0F243E"/>
                <w:sz w:val="20"/>
                <w:szCs w:val="20"/>
              </w:rPr>
              <w:t>91.612.292</w:t>
            </w:r>
          </w:p>
        </w:tc>
        <w:tc>
          <w:tcPr>
            <w:tcW w:w="0" w:type="auto"/>
            <w:tcBorders>
              <w:top w:val="double" w:sz="4" w:space="0" w:color="4F81BD" w:themeColor="accent1"/>
              <w:left w:val="nil"/>
              <w:bottom w:val="double" w:sz="4" w:space="0" w:color="4F81BD" w:themeColor="accent1"/>
              <w:right w:val="nil"/>
            </w:tcBorders>
            <w:vAlign w:val="center"/>
          </w:tcPr>
          <w:p w14:paraId="192546EB" w14:textId="77777777" w:rsidR="0016456B" w:rsidRDefault="0016456B" w:rsidP="0079163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Pr>
                <w:rFonts w:ascii="Arial" w:hAnsi="Arial" w:cs="Arial"/>
                <w:b/>
                <w:bCs/>
                <w:color w:val="0F243E"/>
                <w:sz w:val="20"/>
                <w:szCs w:val="20"/>
              </w:rPr>
              <w:t>(8.982.809)</w:t>
            </w:r>
          </w:p>
        </w:tc>
        <w:tc>
          <w:tcPr>
            <w:tcW w:w="0" w:type="auto"/>
            <w:tcBorders>
              <w:top w:val="double" w:sz="4" w:space="0" w:color="4F81BD" w:themeColor="accent1"/>
              <w:left w:val="nil"/>
              <w:bottom w:val="double" w:sz="4" w:space="0" w:color="4F81BD" w:themeColor="accent1"/>
              <w:right w:val="nil"/>
            </w:tcBorders>
            <w:vAlign w:val="center"/>
          </w:tcPr>
          <w:p w14:paraId="461E551A" w14:textId="77777777" w:rsidR="0016456B" w:rsidRDefault="0016456B" w:rsidP="0079163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Pr>
                <w:rFonts w:ascii="Arial" w:hAnsi="Arial" w:cs="Arial"/>
                <w:b/>
                <w:bCs/>
                <w:color w:val="0F243E"/>
                <w:sz w:val="20"/>
                <w:szCs w:val="20"/>
              </w:rPr>
              <w:t>(10%)</w:t>
            </w:r>
          </w:p>
        </w:tc>
      </w:tr>
    </w:tbl>
    <w:p w14:paraId="4866D5B8" w14:textId="77777777" w:rsidR="0016456B" w:rsidRPr="00A003B6" w:rsidRDefault="0016456B" w:rsidP="0016456B">
      <w:pPr>
        <w:rPr>
          <w:rFonts w:ascii="Arial" w:hAnsi="Arial" w:cs="Arial"/>
          <w:sz w:val="22"/>
          <w:szCs w:val="22"/>
          <w:highlight w:val="yellow"/>
        </w:rPr>
      </w:pPr>
    </w:p>
    <w:p w14:paraId="2C21D5B4" w14:textId="35D89173" w:rsidR="0016456B" w:rsidRPr="00010ABF" w:rsidRDefault="0016456B" w:rsidP="0016456B">
      <w:pPr>
        <w:jc w:val="both"/>
        <w:rPr>
          <w:rFonts w:ascii="Arial" w:hAnsi="Arial" w:cs="Arial"/>
          <w:sz w:val="22"/>
          <w:szCs w:val="22"/>
        </w:rPr>
      </w:pPr>
      <w:r w:rsidRPr="00010ABF">
        <w:rPr>
          <w:rFonts w:ascii="Arial" w:hAnsi="Arial" w:cs="Arial"/>
          <w:sz w:val="22"/>
          <w:szCs w:val="22"/>
        </w:rPr>
        <w:t xml:space="preserve">Como resultado de la anterior comparación, se obtuvo que el valor de las horas extras para el </w:t>
      </w:r>
      <w:r>
        <w:rPr>
          <w:rFonts w:ascii="Arial" w:hAnsi="Arial" w:cs="Arial"/>
          <w:sz w:val="22"/>
          <w:szCs w:val="22"/>
        </w:rPr>
        <w:t xml:space="preserve">tercer </w:t>
      </w:r>
      <w:r w:rsidRPr="00010ABF">
        <w:rPr>
          <w:rFonts w:ascii="Arial" w:hAnsi="Arial" w:cs="Arial"/>
          <w:sz w:val="22"/>
          <w:szCs w:val="22"/>
        </w:rPr>
        <w:t>trimestre 201</w:t>
      </w:r>
      <w:r>
        <w:rPr>
          <w:rFonts w:ascii="Arial" w:hAnsi="Arial" w:cs="Arial"/>
          <w:sz w:val="22"/>
          <w:szCs w:val="22"/>
        </w:rPr>
        <w:t>9</w:t>
      </w:r>
      <w:r w:rsidRPr="00010ABF">
        <w:rPr>
          <w:rFonts w:ascii="Arial" w:hAnsi="Arial" w:cs="Arial"/>
          <w:sz w:val="22"/>
          <w:szCs w:val="22"/>
        </w:rPr>
        <w:t xml:space="preserve"> comparado con el mismo periodo de la vigencia 2018, </w:t>
      </w:r>
      <w:r w:rsidRPr="00010ABF">
        <w:rPr>
          <w:rFonts w:ascii="Arial" w:hAnsi="Arial" w:cs="Arial"/>
          <w:b/>
          <w:sz w:val="22"/>
          <w:szCs w:val="22"/>
        </w:rPr>
        <w:t>disminuyó</w:t>
      </w:r>
      <w:r w:rsidRPr="00010ABF">
        <w:rPr>
          <w:rFonts w:ascii="Arial" w:hAnsi="Arial" w:cs="Arial"/>
          <w:sz w:val="22"/>
          <w:szCs w:val="22"/>
        </w:rPr>
        <w:t xml:space="preserve"> en $</w:t>
      </w:r>
      <w:r>
        <w:rPr>
          <w:rFonts w:ascii="Arial" w:hAnsi="Arial" w:cs="Arial"/>
          <w:sz w:val="22"/>
          <w:szCs w:val="22"/>
        </w:rPr>
        <w:t>8.982.809</w:t>
      </w:r>
      <w:r w:rsidRPr="00010ABF">
        <w:rPr>
          <w:rFonts w:ascii="Arial" w:hAnsi="Arial" w:cs="Arial"/>
          <w:sz w:val="22"/>
          <w:szCs w:val="22"/>
        </w:rPr>
        <w:t xml:space="preserve"> equivalente al </w:t>
      </w:r>
      <w:r>
        <w:rPr>
          <w:rFonts w:ascii="Arial" w:hAnsi="Arial" w:cs="Arial"/>
          <w:sz w:val="22"/>
          <w:szCs w:val="22"/>
        </w:rPr>
        <w:t xml:space="preserve">10%, </w:t>
      </w:r>
      <w:r w:rsidR="00FD4809">
        <w:rPr>
          <w:rFonts w:ascii="Arial" w:hAnsi="Arial" w:cs="Arial"/>
          <w:sz w:val="22"/>
          <w:szCs w:val="22"/>
        </w:rPr>
        <w:t xml:space="preserve">de </w:t>
      </w:r>
      <w:r>
        <w:rPr>
          <w:rFonts w:ascii="Arial" w:hAnsi="Arial" w:cs="Arial"/>
          <w:sz w:val="22"/>
          <w:szCs w:val="22"/>
        </w:rPr>
        <w:t xml:space="preserve">dicho </w:t>
      </w:r>
      <w:r w:rsidRPr="00010ABF">
        <w:rPr>
          <w:rFonts w:ascii="Arial" w:hAnsi="Arial" w:cs="Arial"/>
          <w:sz w:val="22"/>
          <w:szCs w:val="22"/>
        </w:rPr>
        <w:t xml:space="preserve">resultado se </w:t>
      </w:r>
      <w:r w:rsidR="00FD4809" w:rsidRPr="00010ABF">
        <w:rPr>
          <w:rFonts w:ascii="Arial" w:hAnsi="Arial" w:cs="Arial"/>
          <w:sz w:val="22"/>
          <w:szCs w:val="22"/>
        </w:rPr>
        <w:t>deduce</w:t>
      </w:r>
      <w:r w:rsidRPr="00010ABF">
        <w:rPr>
          <w:rFonts w:ascii="Arial" w:hAnsi="Arial" w:cs="Arial"/>
          <w:sz w:val="22"/>
          <w:szCs w:val="22"/>
        </w:rPr>
        <w:t xml:space="preserve"> </w:t>
      </w:r>
      <w:r w:rsidR="00FD4809">
        <w:rPr>
          <w:rFonts w:ascii="Arial" w:hAnsi="Arial" w:cs="Arial"/>
          <w:sz w:val="22"/>
          <w:szCs w:val="22"/>
        </w:rPr>
        <w:t xml:space="preserve">que </w:t>
      </w:r>
      <w:r w:rsidRPr="00010ABF">
        <w:rPr>
          <w:rFonts w:ascii="Arial" w:hAnsi="Arial" w:cs="Arial"/>
          <w:sz w:val="22"/>
          <w:szCs w:val="22"/>
        </w:rPr>
        <w:t xml:space="preserve">está directamente relacionado con el </w:t>
      </w:r>
      <w:r w:rsidRPr="00010ABF">
        <w:rPr>
          <w:rFonts w:ascii="Arial" w:hAnsi="Arial" w:cs="Arial"/>
          <w:b/>
          <w:sz w:val="22"/>
          <w:szCs w:val="22"/>
        </w:rPr>
        <w:t>decrecimiento</w:t>
      </w:r>
      <w:r w:rsidRPr="00010ABF">
        <w:rPr>
          <w:rFonts w:ascii="Arial" w:hAnsi="Arial" w:cs="Arial"/>
          <w:sz w:val="22"/>
          <w:szCs w:val="22"/>
        </w:rPr>
        <w:t xml:space="preserve"> en la cantidad de horas extras, correspondiente al </w:t>
      </w:r>
      <w:r>
        <w:rPr>
          <w:rFonts w:ascii="Arial" w:hAnsi="Arial" w:cs="Arial"/>
          <w:sz w:val="22"/>
          <w:szCs w:val="22"/>
        </w:rPr>
        <w:t>14</w:t>
      </w:r>
      <w:r w:rsidRPr="00010ABF">
        <w:rPr>
          <w:rFonts w:ascii="Arial" w:hAnsi="Arial" w:cs="Arial"/>
          <w:sz w:val="22"/>
          <w:szCs w:val="22"/>
        </w:rPr>
        <w:t xml:space="preserve">%. </w:t>
      </w:r>
    </w:p>
    <w:p w14:paraId="29101669" w14:textId="77777777" w:rsidR="0016456B" w:rsidRDefault="0016456B" w:rsidP="0016456B">
      <w:pPr>
        <w:jc w:val="both"/>
        <w:rPr>
          <w:rFonts w:ascii="Arial" w:hAnsi="Arial" w:cs="Arial"/>
          <w:sz w:val="22"/>
          <w:szCs w:val="22"/>
        </w:rPr>
      </w:pPr>
    </w:p>
    <w:p w14:paraId="69388093" w14:textId="52077501" w:rsidR="0016456B" w:rsidRPr="0016456B" w:rsidRDefault="001B4528" w:rsidP="0016456B">
      <w:pPr>
        <w:shd w:val="clear" w:color="auto" w:fill="FFFFFF" w:themeFill="background1"/>
        <w:jc w:val="both"/>
        <w:rPr>
          <w:rFonts w:ascii="Arial" w:hAnsi="Arial" w:cs="Arial"/>
          <w:sz w:val="22"/>
          <w:szCs w:val="22"/>
        </w:rPr>
      </w:pPr>
      <w:r>
        <w:rPr>
          <w:rFonts w:ascii="Arial" w:hAnsi="Arial" w:cs="Arial"/>
          <w:sz w:val="22"/>
          <w:szCs w:val="22"/>
        </w:rPr>
        <w:t>C</w:t>
      </w:r>
      <w:r w:rsidR="0016456B" w:rsidRPr="0016456B">
        <w:rPr>
          <w:rFonts w:ascii="Arial" w:hAnsi="Arial" w:cs="Arial"/>
          <w:sz w:val="22"/>
          <w:szCs w:val="22"/>
        </w:rPr>
        <w:t xml:space="preserve">on el propósito de constatar el valor total de horas extras liquidadas según el reporte del aplicativo SARA para los meses de julio, agosto y septiembre de 2019, se consultó en el SIIF el valor obligado por dicho concepto. </w:t>
      </w:r>
      <w:r w:rsidR="0016456B">
        <w:rPr>
          <w:rFonts w:ascii="Arial" w:hAnsi="Arial" w:cs="Arial"/>
          <w:sz w:val="22"/>
          <w:szCs w:val="22"/>
        </w:rPr>
        <w:t>Como resultado, para el periodo de julio se observó una diferencia de $ 130.161.</w:t>
      </w:r>
      <w:r w:rsidR="0016456B" w:rsidRPr="0016456B">
        <w:rPr>
          <w:rFonts w:ascii="Arial" w:hAnsi="Arial" w:cs="Arial"/>
          <w:sz w:val="22"/>
          <w:szCs w:val="22"/>
        </w:rPr>
        <w:t xml:space="preserve"> </w:t>
      </w:r>
    </w:p>
    <w:p w14:paraId="37A97DB7" w14:textId="77777777" w:rsidR="0016456B" w:rsidRPr="0016456B" w:rsidRDefault="0016456B" w:rsidP="0016456B">
      <w:pPr>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1219"/>
        <w:gridCol w:w="2419"/>
        <w:gridCol w:w="2241"/>
        <w:gridCol w:w="1975"/>
      </w:tblGrid>
      <w:tr w:rsidR="0016456B" w:rsidRPr="00274A12" w14:paraId="33D59EF0" w14:textId="77777777" w:rsidTr="0016456B">
        <w:trPr>
          <w:cantSplit/>
          <w:jc w:val="center"/>
        </w:trPr>
        <w:tc>
          <w:tcPr>
            <w:tcW w:w="0" w:type="auto"/>
            <w:vMerge w:val="restart"/>
            <w:tcBorders>
              <w:top w:val="single" w:sz="8" w:space="0" w:color="B8CCE4"/>
              <w:left w:val="single" w:sz="8" w:space="0" w:color="B8CCE4"/>
              <w:bottom w:val="nil"/>
              <w:right w:val="single" w:sz="8" w:space="0" w:color="B8CCE4"/>
            </w:tcBorders>
            <w:shd w:val="clear" w:color="000000" w:fill="4F81BD"/>
            <w:vAlign w:val="center"/>
            <w:hideMark/>
          </w:tcPr>
          <w:p w14:paraId="7C48A80C" w14:textId="77777777" w:rsidR="0016456B" w:rsidRPr="00274A12" w:rsidRDefault="0016456B" w:rsidP="00A05F91">
            <w:pPr>
              <w:spacing w:before="40" w:after="40"/>
              <w:jc w:val="center"/>
              <w:rPr>
                <w:rFonts w:ascii="Arial" w:hAnsi="Arial" w:cs="Arial"/>
                <w:b/>
                <w:bCs/>
                <w:color w:val="FFFFFF"/>
                <w:sz w:val="20"/>
                <w:szCs w:val="20"/>
              </w:rPr>
            </w:pPr>
            <w:r w:rsidRPr="00274A12">
              <w:rPr>
                <w:rFonts w:ascii="Arial" w:hAnsi="Arial" w:cs="Arial"/>
                <w:b/>
                <w:bCs/>
                <w:color w:val="FFFFFF"/>
                <w:sz w:val="20"/>
                <w:szCs w:val="20"/>
              </w:rPr>
              <w:t xml:space="preserve">Concepto </w:t>
            </w:r>
          </w:p>
        </w:tc>
        <w:tc>
          <w:tcPr>
            <w:tcW w:w="0" w:type="auto"/>
            <w:gridSpan w:val="3"/>
            <w:tcBorders>
              <w:top w:val="nil"/>
              <w:left w:val="nil"/>
              <w:bottom w:val="single" w:sz="4" w:space="0" w:color="4F81BD" w:themeColor="accent1"/>
              <w:right w:val="nil"/>
            </w:tcBorders>
            <w:shd w:val="clear" w:color="000000" w:fill="4F81BD"/>
            <w:vAlign w:val="center"/>
            <w:hideMark/>
          </w:tcPr>
          <w:p w14:paraId="0A63DB02" w14:textId="77777777" w:rsidR="0016456B" w:rsidRPr="00274A12" w:rsidRDefault="0016456B" w:rsidP="00A05F91">
            <w:pPr>
              <w:spacing w:before="40" w:after="40"/>
              <w:jc w:val="center"/>
              <w:rPr>
                <w:rFonts w:ascii="Arial" w:hAnsi="Arial" w:cs="Arial"/>
                <w:b/>
                <w:bCs/>
                <w:color w:val="FFFFFF"/>
                <w:sz w:val="20"/>
                <w:szCs w:val="20"/>
              </w:rPr>
            </w:pPr>
            <w:r w:rsidRPr="00274A12">
              <w:rPr>
                <w:rFonts w:ascii="Arial" w:hAnsi="Arial" w:cs="Arial"/>
                <w:b/>
                <w:bCs/>
                <w:color w:val="FFFFFF"/>
                <w:sz w:val="20"/>
                <w:szCs w:val="20"/>
              </w:rPr>
              <w:t xml:space="preserve"> Valor Gasto Horas Extras </w:t>
            </w:r>
          </w:p>
        </w:tc>
      </w:tr>
      <w:tr w:rsidR="0016456B" w:rsidRPr="00274A12" w14:paraId="1C769A80" w14:textId="77777777" w:rsidTr="002523CF">
        <w:trPr>
          <w:cantSplit/>
          <w:jc w:val="center"/>
        </w:trPr>
        <w:tc>
          <w:tcPr>
            <w:tcW w:w="0" w:type="auto"/>
            <w:vMerge/>
            <w:tcBorders>
              <w:top w:val="single" w:sz="8" w:space="0" w:color="B8CCE4"/>
              <w:left w:val="single" w:sz="8" w:space="0" w:color="B8CCE4"/>
              <w:bottom w:val="nil"/>
              <w:right w:val="single" w:sz="8" w:space="0" w:color="B8CCE4"/>
            </w:tcBorders>
            <w:vAlign w:val="center"/>
            <w:hideMark/>
          </w:tcPr>
          <w:p w14:paraId="253F3468" w14:textId="77777777" w:rsidR="0016456B" w:rsidRPr="00274A12" w:rsidRDefault="0016456B" w:rsidP="00A05F91">
            <w:pPr>
              <w:spacing w:before="40" w:after="40"/>
              <w:rPr>
                <w:rFonts w:ascii="Arial" w:hAnsi="Arial" w:cs="Arial"/>
                <w:b/>
                <w:bCs/>
                <w:color w:val="FFFFFF"/>
                <w:sz w:val="20"/>
                <w:szCs w:val="20"/>
              </w:rPr>
            </w:pPr>
          </w:p>
        </w:tc>
        <w:tc>
          <w:tcPr>
            <w:tcW w:w="2419" w:type="dxa"/>
            <w:tcBorders>
              <w:top w:val="single" w:sz="4" w:space="0" w:color="4F81BD" w:themeColor="accent1"/>
              <w:left w:val="nil"/>
              <w:bottom w:val="nil"/>
              <w:right w:val="single" w:sz="8" w:space="0" w:color="B8CCE4"/>
            </w:tcBorders>
            <w:shd w:val="clear" w:color="000000" w:fill="4F81BD"/>
            <w:vAlign w:val="center"/>
            <w:hideMark/>
          </w:tcPr>
          <w:p w14:paraId="04CA3DBF" w14:textId="77777777" w:rsidR="0016456B" w:rsidRPr="00274A12" w:rsidRDefault="0016456B" w:rsidP="00A05F91">
            <w:pPr>
              <w:spacing w:before="40" w:after="40"/>
              <w:jc w:val="center"/>
              <w:rPr>
                <w:rFonts w:ascii="Arial" w:hAnsi="Arial" w:cs="Arial"/>
                <w:color w:val="FFFFFF"/>
                <w:sz w:val="20"/>
                <w:szCs w:val="20"/>
              </w:rPr>
            </w:pPr>
            <w:r w:rsidRPr="00274A12">
              <w:rPr>
                <w:rFonts w:ascii="Arial" w:hAnsi="Arial" w:cs="Arial"/>
                <w:color w:val="FFFFFF"/>
                <w:sz w:val="20"/>
                <w:szCs w:val="20"/>
              </w:rPr>
              <w:t xml:space="preserve">  III Trimestre 2019 SARA  </w:t>
            </w:r>
          </w:p>
        </w:tc>
        <w:tc>
          <w:tcPr>
            <w:tcW w:w="2241" w:type="dxa"/>
            <w:tcBorders>
              <w:top w:val="single" w:sz="4" w:space="0" w:color="4F81BD" w:themeColor="accent1"/>
              <w:left w:val="nil"/>
              <w:bottom w:val="nil"/>
              <w:right w:val="single" w:sz="8" w:space="0" w:color="B8CCE4"/>
            </w:tcBorders>
            <w:shd w:val="clear" w:color="000000" w:fill="4F81BD"/>
            <w:vAlign w:val="center"/>
            <w:hideMark/>
          </w:tcPr>
          <w:p w14:paraId="5DAF7232" w14:textId="77777777" w:rsidR="0016456B" w:rsidRPr="00274A12" w:rsidRDefault="0016456B" w:rsidP="00A05F91">
            <w:pPr>
              <w:spacing w:before="40" w:after="40"/>
              <w:jc w:val="center"/>
              <w:rPr>
                <w:rFonts w:ascii="Arial" w:hAnsi="Arial" w:cs="Arial"/>
                <w:color w:val="FFFFFF"/>
                <w:sz w:val="20"/>
                <w:szCs w:val="20"/>
              </w:rPr>
            </w:pPr>
            <w:r w:rsidRPr="00274A12">
              <w:rPr>
                <w:rFonts w:ascii="Arial" w:hAnsi="Arial" w:cs="Arial"/>
                <w:color w:val="FFFFFF"/>
                <w:sz w:val="20"/>
                <w:szCs w:val="20"/>
              </w:rPr>
              <w:t xml:space="preserve">  III Trimestre 2019 SIIF  </w:t>
            </w:r>
          </w:p>
        </w:tc>
        <w:tc>
          <w:tcPr>
            <w:tcW w:w="0" w:type="auto"/>
            <w:tcBorders>
              <w:top w:val="single" w:sz="4" w:space="0" w:color="4F81BD" w:themeColor="accent1"/>
              <w:left w:val="nil"/>
              <w:bottom w:val="nil"/>
              <w:right w:val="single" w:sz="8" w:space="0" w:color="B8CCE4"/>
            </w:tcBorders>
            <w:shd w:val="clear" w:color="000000" w:fill="4F81BD"/>
            <w:vAlign w:val="center"/>
            <w:hideMark/>
          </w:tcPr>
          <w:p w14:paraId="2EBCCFA4" w14:textId="7F7D30F5" w:rsidR="0016456B" w:rsidRPr="00274A12" w:rsidRDefault="0016456B" w:rsidP="00A05F91">
            <w:pPr>
              <w:spacing w:before="40" w:after="40"/>
              <w:jc w:val="center"/>
              <w:rPr>
                <w:rFonts w:ascii="Arial" w:hAnsi="Arial" w:cs="Arial"/>
                <w:color w:val="FFFFFF"/>
                <w:sz w:val="20"/>
                <w:szCs w:val="20"/>
              </w:rPr>
            </w:pPr>
            <w:r w:rsidRPr="00274A12">
              <w:rPr>
                <w:rFonts w:ascii="Arial" w:hAnsi="Arial" w:cs="Arial"/>
                <w:color w:val="FFFFFF"/>
                <w:sz w:val="20"/>
                <w:szCs w:val="20"/>
              </w:rPr>
              <w:t xml:space="preserve"> Diferencia </w:t>
            </w:r>
            <w:r>
              <w:rPr>
                <w:rFonts w:ascii="Arial" w:hAnsi="Arial" w:cs="Arial"/>
                <w:color w:val="FFFFFF"/>
                <w:sz w:val="20"/>
                <w:szCs w:val="20"/>
              </w:rPr>
              <w:t>($)</w:t>
            </w:r>
          </w:p>
        </w:tc>
      </w:tr>
      <w:tr w:rsidR="0016456B" w:rsidRPr="00274A12" w14:paraId="31287D75" w14:textId="77777777" w:rsidTr="002523CF">
        <w:trPr>
          <w:cantSplit/>
          <w:jc w:val="center"/>
        </w:trPr>
        <w:tc>
          <w:tcPr>
            <w:tcW w:w="0" w:type="auto"/>
            <w:tcBorders>
              <w:top w:val="nil"/>
              <w:left w:val="nil"/>
              <w:bottom w:val="nil"/>
              <w:right w:val="nil"/>
            </w:tcBorders>
            <w:shd w:val="clear" w:color="auto" w:fill="auto"/>
            <w:vAlign w:val="center"/>
            <w:hideMark/>
          </w:tcPr>
          <w:p w14:paraId="0D11E4C3" w14:textId="77777777" w:rsidR="0016456B" w:rsidRPr="00274A12" w:rsidRDefault="0016456B" w:rsidP="002523CF">
            <w:pPr>
              <w:spacing w:before="40" w:after="40"/>
              <w:rPr>
                <w:rFonts w:ascii="Arial" w:hAnsi="Arial" w:cs="Arial"/>
                <w:color w:val="0F243E" w:themeColor="text2" w:themeShade="80"/>
                <w:sz w:val="20"/>
                <w:szCs w:val="20"/>
              </w:rPr>
            </w:pPr>
            <w:r w:rsidRPr="00274A12">
              <w:rPr>
                <w:rFonts w:ascii="Arial" w:hAnsi="Arial" w:cs="Arial"/>
                <w:color w:val="0F243E" w:themeColor="text2" w:themeShade="80"/>
                <w:sz w:val="20"/>
                <w:szCs w:val="20"/>
              </w:rPr>
              <w:t xml:space="preserve"> Julio  </w:t>
            </w:r>
          </w:p>
        </w:tc>
        <w:tc>
          <w:tcPr>
            <w:tcW w:w="2419" w:type="dxa"/>
            <w:tcBorders>
              <w:top w:val="nil"/>
              <w:left w:val="nil"/>
              <w:bottom w:val="nil"/>
              <w:right w:val="nil"/>
            </w:tcBorders>
            <w:shd w:val="clear" w:color="auto" w:fill="auto"/>
            <w:vAlign w:val="center"/>
            <w:hideMark/>
          </w:tcPr>
          <w:p w14:paraId="0281D287" w14:textId="77777777" w:rsidR="0016456B" w:rsidRPr="00274A12" w:rsidRDefault="0016456B" w:rsidP="00A05F91">
            <w:pPr>
              <w:spacing w:before="40" w:after="40"/>
              <w:jc w:val="right"/>
              <w:rPr>
                <w:rFonts w:ascii="Arial" w:hAnsi="Arial" w:cs="Arial"/>
                <w:color w:val="0F243E" w:themeColor="text2" w:themeShade="80"/>
                <w:sz w:val="20"/>
                <w:szCs w:val="20"/>
              </w:rPr>
            </w:pPr>
            <w:r w:rsidRPr="00274A12">
              <w:rPr>
                <w:rFonts w:ascii="Arial" w:hAnsi="Arial" w:cs="Arial"/>
                <w:color w:val="0F243E" w:themeColor="text2" w:themeShade="80"/>
                <w:sz w:val="20"/>
                <w:szCs w:val="20"/>
              </w:rPr>
              <w:t xml:space="preserve">           27.159.186 </w:t>
            </w:r>
          </w:p>
        </w:tc>
        <w:tc>
          <w:tcPr>
            <w:tcW w:w="2241" w:type="dxa"/>
            <w:tcBorders>
              <w:top w:val="nil"/>
              <w:left w:val="nil"/>
              <w:bottom w:val="nil"/>
              <w:right w:val="nil"/>
            </w:tcBorders>
            <w:shd w:val="clear" w:color="auto" w:fill="auto"/>
            <w:noWrap/>
            <w:vAlign w:val="center"/>
            <w:hideMark/>
          </w:tcPr>
          <w:p w14:paraId="497635AC" w14:textId="77777777" w:rsidR="0016456B" w:rsidRPr="00274A12" w:rsidRDefault="0016456B" w:rsidP="00A05F91">
            <w:pPr>
              <w:spacing w:before="40" w:after="40"/>
              <w:jc w:val="right"/>
              <w:rPr>
                <w:rFonts w:ascii="Arial" w:hAnsi="Arial" w:cs="Arial"/>
                <w:color w:val="0F243E" w:themeColor="text2" w:themeShade="80"/>
                <w:sz w:val="20"/>
                <w:szCs w:val="20"/>
              </w:rPr>
            </w:pPr>
            <w:r w:rsidRPr="00274A12">
              <w:rPr>
                <w:rFonts w:ascii="Arial" w:hAnsi="Arial" w:cs="Arial"/>
                <w:color w:val="0F243E" w:themeColor="text2" w:themeShade="80"/>
                <w:sz w:val="20"/>
                <w:szCs w:val="20"/>
              </w:rPr>
              <w:t xml:space="preserve">             27.029.025 </w:t>
            </w:r>
          </w:p>
        </w:tc>
        <w:tc>
          <w:tcPr>
            <w:tcW w:w="0" w:type="auto"/>
            <w:tcBorders>
              <w:top w:val="nil"/>
              <w:left w:val="nil"/>
              <w:bottom w:val="nil"/>
              <w:right w:val="nil"/>
            </w:tcBorders>
            <w:shd w:val="clear" w:color="auto" w:fill="auto"/>
            <w:noWrap/>
            <w:vAlign w:val="center"/>
            <w:hideMark/>
          </w:tcPr>
          <w:p w14:paraId="56F5DCE7" w14:textId="77777777" w:rsidR="0016456B" w:rsidRPr="00274A12" w:rsidRDefault="0016456B" w:rsidP="00A05F91">
            <w:pPr>
              <w:spacing w:before="40" w:after="40"/>
              <w:rPr>
                <w:rFonts w:ascii="Arial" w:hAnsi="Arial" w:cs="Arial"/>
                <w:color w:val="0F243E" w:themeColor="text2" w:themeShade="80"/>
                <w:sz w:val="20"/>
                <w:szCs w:val="20"/>
              </w:rPr>
            </w:pPr>
            <w:r w:rsidRPr="00274A12">
              <w:rPr>
                <w:rFonts w:ascii="Arial" w:hAnsi="Arial" w:cs="Arial"/>
                <w:color w:val="0F243E" w:themeColor="text2" w:themeShade="80"/>
                <w:sz w:val="20"/>
                <w:szCs w:val="20"/>
              </w:rPr>
              <w:t xml:space="preserve">                    130.161 </w:t>
            </w:r>
          </w:p>
        </w:tc>
      </w:tr>
      <w:tr w:rsidR="0016456B" w:rsidRPr="00274A12" w14:paraId="19E26C85" w14:textId="77777777" w:rsidTr="002523CF">
        <w:trPr>
          <w:cantSplit/>
          <w:jc w:val="center"/>
        </w:trPr>
        <w:tc>
          <w:tcPr>
            <w:tcW w:w="0" w:type="auto"/>
            <w:tcBorders>
              <w:top w:val="nil"/>
              <w:left w:val="nil"/>
              <w:bottom w:val="nil"/>
              <w:right w:val="nil"/>
            </w:tcBorders>
            <w:shd w:val="clear" w:color="auto" w:fill="auto"/>
            <w:vAlign w:val="center"/>
            <w:hideMark/>
          </w:tcPr>
          <w:p w14:paraId="7961CEC9" w14:textId="77777777" w:rsidR="0016456B" w:rsidRPr="00274A12" w:rsidRDefault="0016456B" w:rsidP="002523CF">
            <w:pPr>
              <w:spacing w:before="40" w:after="40"/>
              <w:rPr>
                <w:rFonts w:ascii="Arial" w:hAnsi="Arial" w:cs="Arial"/>
                <w:color w:val="0F243E" w:themeColor="text2" w:themeShade="80"/>
                <w:sz w:val="20"/>
                <w:szCs w:val="20"/>
              </w:rPr>
            </w:pPr>
            <w:r w:rsidRPr="00274A12">
              <w:rPr>
                <w:rFonts w:ascii="Arial" w:hAnsi="Arial" w:cs="Arial"/>
                <w:color w:val="0F243E" w:themeColor="text2" w:themeShade="80"/>
                <w:sz w:val="20"/>
                <w:szCs w:val="20"/>
              </w:rPr>
              <w:t xml:space="preserve"> Agosto </w:t>
            </w:r>
          </w:p>
        </w:tc>
        <w:tc>
          <w:tcPr>
            <w:tcW w:w="2419" w:type="dxa"/>
            <w:tcBorders>
              <w:top w:val="nil"/>
              <w:left w:val="nil"/>
              <w:bottom w:val="nil"/>
              <w:right w:val="nil"/>
            </w:tcBorders>
            <w:shd w:val="clear" w:color="auto" w:fill="auto"/>
            <w:noWrap/>
            <w:vAlign w:val="center"/>
            <w:hideMark/>
          </w:tcPr>
          <w:p w14:paraId="3846FAB1" w14:textId="77777777" w:rsidR="0016456B" w:rsidRPr="00274A12" w:rsidRDefault="0016456B" w:rsidP="00A05F91">
            <w:pPr>
              <w:spacing w:before="40" w:after="40"/>
              <w:jc w:val="right"/>
              <w:rPr>
                <w:rFonts w:ascii="Arial" w:hAnsi="Arial" w:cs="Arial"/>
                <w:color w:val="0F243E" w:themeColor="text2" w:themeShade="80"/>
                <w:sz w:val="20"/>
                <w:szCs w:val="20"/>
              </w:rPr>
            </w:pPr>
            <w:r w:rsidRPr="00274A12">
              <w:rPr>
                <w:rFonts w:ascii="Arial" w:hAnsi="Arial" w:cs="Arial"/>
                <w:color w:val="0F243E" w:themeColor="text2" w:themeShade="80"/>
                <w:sz w:val="20"/>
                <w:szCs w:val="20"/>
              </w:rPr>
              <w:t xml:space="preserve">           27.125.174 </w:t>
            </w:r>
          </w:p>
        </w:tc>
        <w:tc>
          <w:tcPr>
            <w:tcW w:w="2241" w:type="dxa"/>
            <w:tcBorders>
              <w:top w:val="nil"/>
              <w:left w:val="nil"/>
              <w:bottom w:val="nil"/>
              <w:right w:val="nil"/>
            </w:tcBorders>
            <w:shd w:val="clear" w:color="auto" w:fill="auto"/>
            <w:noWrap/>
            <w:vAlign w:val="center"/>
            <w:hideMark/>
          </w:tcPr>
          <w:p w14:paraId="160C33F1" w14:textId="77777777" w:rsidR="0016456B" w:rsidRPr="00274A12" w:rsidRDefault="0016456B" w:rsidP="00A05F91">
            <w:pPr>
              <w:spacing w:before="40" w:after="40"/>
              <w:jc w:val="right"/>
              <w:rPr>
                <w:rFonts w:ascii="Arial" w:hAnsi="Arial" w:cs="Arial"/>
                <w:color w:val="0F243E" w:themeColor="text2" w:themeShade="80"/>
                <w:sz w:val="20"/>
                <w:szCs w:val="20"/>
              </w:rPr>
            </w:pPr>
            <w:r w:rsidRPr="00274A12">
              <w:rPr>
                <w:rFonts w:ascii="Arial" w:hAnsi="Arial" w:cs="Arial"/>
                <w:color w:val="0F243E" w:themeColor="text2" w:themeShade="80"/>
                <w:sz w:val="20"/>
                <w:szCs w:val="20"/>
              </w:rPr>
              <w:t xml:space="preserve">             27.125.174 </w:t>
            </w:r>
          </w:p>
        </w:tc>
        <w:tc>
          <w:tcPr>
            <w:tcW w:w="0" w:type="auto"/>
            <w:tcBorders>
              <w:top w:val="nil"/>
              <w:left w:val="nil"/>
              <w:bottom w:val="nil"/>
              <w:right w:val="nil"/>
            </w:tcBorders>
            <w:shd w:val="clear" w:color="auto" w:fill="auto"/>
            <w:noWrap/>
            <w:vAlign w:val="center"/>
            <w:hideMark/>
          </w:tcPr>
          <w:p w14:paraId="6D315DA5" w14:textId="77777777" w:rsidR="0016456B" w:rsidRPr="00274A12" w:rsidRDefault="0016456B" w:rsidP="00A05F91">
            <w:pPr>
              <w:spacing w:before="40" w:after="40"/>
              <w:jc w:val="right"/>
              <w:rPr>
                <w:rFonts w:ascii="Arial" w:hAnsi="Arial" w:cs="Arial"/>
                <w:color w:val="0F243E" w:themeColor="text2" w:themeShade="80"/>
                <w:sz w:val="20"/>
                <w:szCs w:val="20"/>
              </w:rPr>
            </w:pPr>
            <w:r w:rsidRPr="00274A12">
              <w:rPr>
                <w:rFonts w:ascii="Arial" w:hAnsi="Arial" w:cs="Arial"/>
                <w:color w:val="0F243E" w:themeColor="text2" w:themeShade="80"/>
                <w:sz w:val="20"/>
                <w:szCs w:val="20"/>
              </w:rPr>
              <w:t xml:space="preserve">                           </w:t>
            </w:r>
            <w:r>
              <w:rPr>
                <w:rFonts w:ascii="Arial" w:hAnsi="Arial" w:cs="Arial"/>
                <w:color w:val="0F243E" w:themeColor="text2" w:themeShade="80"/>
                <w:sz w:val="20"/>
                <w:szCs w:val="20"/>
              </w:rPr>
              <w:t>0</w:t>
            </w:r>
            <w:r w:rsidRPr="00274A12">
              <w:rPr>
                <w:rFonts w:ascii="Arial" w:hAnsi="Arial" w:cs="Arial"/>
                <w:color w:val="0F243E" w:themeColor="text2" w:themeShade="80"/>
                <w:sz w:val="20"/>
                <w:szCs w:val="20"/>
              </w:rPr>
              <w:t xml:space="preserve"> </w:t>
            </w:r>
          </w:p>
        </w:tc>
      </w:tr>
      <w:tr w:rsidR="0016456B" w:rsidRPr="00274A12" w14:paraId="528273E2" w14:textId="77777777" w:rsidTr="002523CF">
        <w:trPr>
          <w:cantSplit/>
          <w:jc w:val="center"/>
        </w:trPr>
        <w:tc>
          <w:tcPr>
            <w:tcW w:w="0" w:type="auto"/>
            <w:tcBorders>
              <w:top w:val="nil"/>
              <w:left w:val="nil"/>
              <w:bottom w:val="double" w:sz="6" w:space="0" w:color="4F81BD"/>
              <w:right w:val="nil"/>
            </w:tcBorders>
            <w:shd w:val="clear" w:color="auto" w:fill="auto"/>
            <w:vAlign w:val="center"/>
            <w:hideMark/>
          </w:tcPr>
          <w:p w14:paraId="1E69DB3F" w14:textId="77777777" w:rsidR="0016456B" w:rsidRPr="00274A12" w:rsidRDefault="0016456B" w:rsidP="002523CF">
            <w:pPr>
              <w:spacing w:before="40" w:after="40"/>
              <w:rPr>
                <w:rFonts w:ascii="Arial" w:hAnsi="Arial" w:cs="Arial"/>
                <w:color w:val="0F243E" w:themeColor="text2" w:themeShade="80"/>
                <w:sz w:val="20"/>
                <w:szCs w:val="20"/>
              </w:rPr>
            </w:pPr>
            <w:r w:rsidRPr="00274A12">
              <w:rPr>
                <w:rFonts w:ascii="Arial" w:hAnsi="Arial" w:cs="Arial"/>
                <w:color w:val="0F243E" w:themeColor="text2" w:themeShade="80"/>
                <w:sz w:val="20"/>
                <w:szCs w:val="20"/>
              </w:rPr>
              <w:t xml:space="preserve"> Septiembre </w:t>
            </w:r>
          </w:p>
        </w:tc>
        <w:tc>
          <w:tcPr>
            <w:tcW w:w="2419" w:type="dxa"/>
            <w:tcBorders>
              <w:top w:val="nil"/>
              <w:left w:val="nil"/>
              <w:bottom w:val="double" w:sz="4" w:space="0" w:color="4F81BD" w:themeColor="accent1"/>
              <w:right w:val="nil"/>
            </w:tcBorders>
            <w:shd w:val="clear" w:color="auto" w:fill="auto"/>
            <w:noWrap/>
            <w:vAlign w:val="center"/>
            <w:hideMark/>
          </w:tcPr>
          <w:p w14:paraId="5E0CCAD0" w14:textId="77777777" w:rsidR="0016456B" w:rsidRPr="00274A12" w:rsidRDefault="0016456B" w:rsidP="00A05F91">
            <w:pPr>
              <w:spacing w:before="40" w:after="40"/>
              <w:jc w:val="right"/>
              <w:rPr>
                <w:rFonts w:ascii="Arial" w:hAnsi="Arial" w:cs="Arial"/>
                <w:color w:val="0F243E" w:themeColor="text2" w:themeShade="80"/>
                <w:sz w:val="20"/>
                <w:szCs w:val="20"/>
              </w:rPr>
            </w:pPr>
            <w:r w:rsidRPr="00274A12">
              <w:rPr>
                <w:rFonts w:ascii="Arial" w:hAnsi="Arial" w:cs="Arial"/>
                <w:color w:val="0F243E" w:themeColor="text2" w:themeShade="80"/>
                <w:sz w:val="20"/>
                <w:szCs w:val="20"/>
              </w:rPr>
              <w:t xml:space="preserve">           28.345.123 </w:t>
            </w:r>
          </w:p>
        </w:tc>
        <w:tc>
          <w:tcPr>
            <w:tcW w:w="2241" w:type="dxa"/>
            <w:tcBorders>
              <w:top w:val="nil"/>
              <w:left w:val="nil"/>
              <w:bottom w:val="double" w:sz="4" w:space="0" w:color="4F81BD" w:themeColor="accent1"/>
              <w:right w:val="nil"/>
            </w:tcBorders>
            <w:shd w:val="clear" w:color="auto" w:fill="auto"/>
            <w:noWrap/>
            <w:vAlign w:val="center"/>
            <w:hideMark/>
          </w:tcPr>
          <w:p w14:paraId="2BCD7FFB" w14:textId="77777777" w:rsidR="0016456B" w:rsidRPr="00274A12" w:rsidRDefault="0016456B" w:rsidP="00A05F91">
            <w:pPr>
              <w:spacing w:before="40" w:after="40"/>
              <w:jc w:val="right"/>
              <w:rPr>
                <w:rFonts w:ascii="Arial" w:hAnsi="Arial" w:cs="Arial"/>
                <w:color w:val="0F243E" w:themeColor="text2" w:themeShade="80"/>
                <w:sz w:val="20"/>
                <w:szCs w:val="20"/>
              </w:rPr>
            </w:pPr>
            <w:r w:rsidRPr="00274A12">
              <w:rPr>
                <w:rFonts w:ascii="Arial" w:hAnsi="Arial" w:cs="Arial"/>
                <w:color w:val="0F243E" w:themeColor="text2" w:themeShade="80"/>
                <w:sz w:val="20"/>
                <w:szCs w:val="20"/>
              </w:rPr>
              <w:t xml:space="preserve">             28.345.123 </w:t>
            </w:r>
          </w:p>
        </w:tc>
        <w:tc>
          <w:tcPr>
            <w:tcW w:w="0" w:type="auto"/>
            <w:tcBorders>
              <w:top w:val="nil"/>
              <w:left w:val="nil"/>
              <w:bottom w:val="double" w:sz="4" w:space="0" w:color="4F81BD" w:themeColor="accent1"/>
              <w:right w:val="nil"/>
            </w:tcBorders>
            <w:shd w:val="clear" w:color="auto" w:fill="auto"/>
            <w:noWrap/>
            <w:vAlign w:val="center"/>
            <w:hideMark/>
          </w:tcPr>
          <w:p w14:paraId="05B381AD" w14:textId="77777777" w:rsidR="0016456B" w:rsidRPr="00274A12" w:rsidRDefault="0016456B" w:rsidP="00A05F91">
            <w:pPr>
              <w:spacing w:before="40" w:after="40"/>
              <w:jc w:val="right"/>
              <w:rPr>
                <w:rFonts w:ascii="Arial" w:hAnsi="Arial" w:cs="Arial"/>
                <w:color w:val="0F243E" w:themeColor="text2" w:themeShade="80"/>
                <w:sz w:val="20"/>
                <w:szCs w:val="20"/>
              </w:rPr>
            </w:pPr>
            <w:r w:rsidRPr="00274A12">
              <w:rPr>
                <w:rFonts w:ascii="Arial" w:hAnsi="Arial" w:cs="Arial"/>
                <w:color w:val="0F243E" w:themeColor="text2" w:themeShade="80"/>
                <w:sz w:val="20"/>
                <w:szCs w:val="20"/>
              </w:rPr>
              <w:t xml:space="preserve">                        </w:t>
            </w:r>
            <w:r>
              <w:rPr>
                <w:rFonts w:ascii="Arial" w:hAnsi="Arial" w:cs="Arial"/>
                <w:color w:val="0F243E" w:themeColor="text2" w:themeShade="80"/>
                <w:sz w:val="20"/>
                <w:szCs w:val="20"/>
              </w:rPr>
              <w:t>0</w:t>
            </w:r>
            <w:r w:rsidRPr="00274A12">
              <w:rPr>
                <w:rFonts w:ascii="Arial" w:hAnsi="Arial" w:cs="Arial"/>
                <w:color w:val="0F243E" w:themeColor="text2" w:themeShade="80"/>
                <w:sz w:val="20"/>
                <w:szCs w:val="20"/>
              </w:rPr>
              <w:t xml:space="preserve"> </w:t>
            </w:r>
          </w:p>
        </w:tc>
      </w:tr>
      <w:tr w:rsidR="0016456B" w:rsidRPr="00274A12" w14:paraId="218E6AAD" w14:textId="77777777" w:rsidTr="002523CF">
        <w:trPr>
          <w:cantSplit/>
          <w:jc w:val="center"/>
        </w:trPr>
        <w:tc>
          <w:tcPr>
            <w:tcW w:w="0" w:type="auto"/>
            <w:tcBorders>
              <w:top w:val="nil"/>
              <w:left w:val="nil"/>
              <w:bottom w:val="double" w:sz="4" w:space="0" w:color="4F81BD" w:themeColor="accent1"/>
              <w:right w:val="nil"/>
            </w:tcBorders>
            <w:shd w:val="clear" w:color="auto" w:fill="auto"/>
            <w:vAlign w:val="center"/>
            <w:hideMark/>
          </w:tcPr>
          <w:p w14:paraId="71A47B1E" w14:textId="77777777" w:rsidR="0016456B" w:rsidRPr="00274A12" w:rsidRDefault="0016456B" w:rsidP="00A05F91">
            <w:pPr>
              <w:spacing w:before="40" w:after="40"/>
              <w:jc w:val="center"/>
              <w:rPr>
                <w:rFonts w:ascii="Arial" w:hAnsi="Arial" w:cs="Arial"/>
                <w:b/>
                <w:bCs/>
                <w:color w:val="0F243E" w:themeColor="text2" w:themeShade="80"/>
                <w:sz w:val="20"/>
                <w:szCs w:val="20"/>
              </w:rPr>
            </w:pPr>
            <w:r w:rsidRPr="00274A12">
              <w:rPr>
                <w:rFonts w:ascii="Arial" w:hAnsi="Arial" w:cs="Arial"/>
                <w:b/>
                <w:bCs/>
                <w:color w:val="0F243E" w:themeColor="text2" w:themeShade="80"/>
                <w:sz w:val="20"/>
                <w:szCs w:val="20"/>
              </w:rPr>
              <w:t xml:space="preserve">  Totales  </w:t>
            </w:r>
          </w:p>
        </w:tc>
        <w:tc>
          <w:tcPr>
            <w:tcW w:w="2419" w:type="dxa"/>
            <w:tcBorders>
              <w:top w:val="double" w:sz="4" w:space="0" w:color="4F81BD" w:themeColor="accent1"/>
              <w:left w:val="nil"/>
              <w:bottom w:val="double" w:sz="4" w:space="0" w:color="4F81BD" w:themeColor="accent1"/>
              <w:right w:val="nil"/>
            </w:tcBorders>
            <w:shd w:val="clear" w:color="auto" w:fill="auto"/>
            <w:vAlign w:val="center"/>
            <w:hideMark/>
          </w:tcPr>
          <w:p w14:paraId="4E141BD1" w14:textId="77777777" w:rsidR="0016456B" w:rsidRPr="00274A12" w:rsidRDefault="0016456B" w:rsidP="00A05F91">
            <w:pPr>
              <w:spacing w:before="40" w:after="40"/>
              <w:jc w:val="right"/>
              <w:rPr>
                <w:rFonts w:ascii="Arial" w:hAnsi="Arial" w:cs="Arial"/>
                <w:b/>
                <w:bCs/>
                <w:color w:val="0F243E" w:themeColor="text2" w:themeShade="80"/>
                <w:sz w:val="20"/>
                <w:szCs w:val="20"/>
              </w:rPr>
            </w:pPr>
            <w:r w:rsidRPr="00274A12">
              <w:rPr>
                <w:rFonts w:ascii="Arial" w:hAnsi="Arial" w:cs="Arial"/>
                <w:b/>
                <w:bCs/>
                <w:color w:val="0F243E" w:themeColor="text2" w:themeShade="80"/>
                <w:sz w:val="20"/>
                <w:szCs w:val="20"/>
              </w:rPr>
              <w:t xml:space="preserve">           82.629.484 </w:t>
            </w:r>
          </w:p>
        </w:tc>
        <w:tc>
          <w:tcPr>
            <w:tcW w:w="2241" w:type="dxa"/>
            <w:tcBorders>
              <w:top w:val="double" w:sz="4" w:space="0" w:color="4F81BD" w:themeColor="accent1"/>
              <w:left w:val="nil"/>
              <w:bottom w:val="double" w:sz="4" w:space="0" w:color="4F81BD" w:themeColor="accent1"/>
              <w:right w:val="nil"/>
            </w:tcBorders>
            <w:shd w:val="clear" w:color="auto" w:fill="auto"/>
            <w:vAlign w:val="center"/>
            <w:hideMark/>
          </w:tcPr>
          <w:p w14:paraId="747C0CBF" w14:textId="77777777" w:rsidR="0016456B" w:rsidRPr="00274A12" w:rsidRDefault="0016456B" w:rsidP="00A05F91">
            <w:pPr>
              <w:spacing w:before="40" w:after="40"/>
              <w:jc w:val="right"/>
              <w:rPr>
                <w:rFonts w:ascii="Arial" w:hAnsi="Arial" w:cs="Arial"/>
                <w:b/>
                <w:bCs/>
                <w:color w:val="0F243E" w:themeColor="text2" w:themeShade="80"/>
                <w:sz w:val="20"/>
                <w:szCs w:val="20"/>
              </w:rPr>
            </w:pPr>
            <w:r w:rsidRPr="00274A12">
              <w:rPr>
                <w:rFonts w:ascii="Arial" w:hAnsi="Arial" w:cs="Arial"/>
                <w:b/>
                <w:bCs/>
                <w:color w:val="0F243E" w:themeColor="text2" w:themeShade="80"/>
                <w:sz w:val="20"/>
                <w:szCs w:val="20"/>
              </w:rPr>
              <w:t xml:space="preserve">             82.499.323 </w:t>
            </w:r>
          </w:p>
        </w:tc>
        <w:tc>
          <w:tcPr>
            <w:tcW w:w="0" w:type="auto"/>
            <w:tcBorders>
              <w:top w:val="double" w:sz="4" w:space="0" w:color="4F81BD" w:themeColor="accent1"/>
              <w:left w:val="nil"/>
              <w:bottom w:val="double" w:sz="4" w:space="0" w:color="4F81BD" w:themeColor="accent1"/>
              <w:right w:val="nil"/>
            </w:tcBorders>
            <w:shd w:val="clear" w:color="auto" w:fill="auto"/>
            <w:noWrap/>
            <w:vAlign w:val="center"/>
            <w:hideMark/>
          </w:tcPr>
          <w:p w14:paraId="5601E3D6" w14:textId="77777777" w:rsidR="0016456B" w:rsidRPr="00274A12" w:rsidRDefault="0016456B" w:rsidP="00A05F91">
            <w:pPr>
              <w:spacing w:before="40" w:after="40"/>
              <w:rPr>
                <w:rFonts w:ascii="Arial" w:hAnsi="Arial" w:cs="Arial"/>
                <w:b/>
                <w:bCs/>
                <w:color w:val="0F243E" w:themeColor="text2" w:themeShade="80"/>
                <w:sz w:val="20"/>
                <w:szCs w:val="20"/>
              </w:rPr>
            </w:pPr>
            <w:r w:rsidRPr="00274A12">
              <w:rPr>
                <w:rFonts w:ascii="Arial" w:hAnsi="Arial" w:cs="Arial"/>
                <w:b/>
                <w:bCs/>
                <w:color w:val="0F243E" w:themeColor="text2" w:themeShade="80"/>
                <w:sz w:val="20"/>
                <w:szCs w:val="20"/>
              </w:rPr>
              <w:t xml:space="preserve">                    130.161 </w:t>
            </w:r>
          </w:p>
        </w:tc>
      </w:tr>
    </w:tbl>
    <w:p w14:paraId="4697AC84" w14:textId="77777777" w:rsidR="00430385" w:rsidRDefault="00430385" w:rsidP="0016456B">
      <w:pPr>
        <w:jc w:val="both"/>
        <w:rPr>
          <w:rFonts w:ascii="Arial" w:hAnsi="Arial" w:cs="Arial"/>
          <w:sz w:val="22"/>
          <w:szCs w:val="22"/>
        </w:rPr>
      </w:pPr>
    </w:p>
    <w:p w14:paraId="4947A10E" w14:textId="51BDC114" w:rsidR="0016456B" w:rsidRDefault="0016456B" w:rsidP="0016456B">
      <w:pPr>
        <w:jc w:val="both"/>
        <w:rPr>
          <w:rFonts w:ascii="Arial" w:hAnsi="Arial" w:cs="Arial"/>
          <w:sz w:val="22"/>
          <w:szCs w:val="22"/>
        </w:rPr>
      </w:pPr>
      <w:r w:rsidRPr="00274A12">
        <w:rPr>
          <w:rFonts w:ascii="Arial" w:hAnsi="Arial" w:cs="Arial"/>
          <w:sz w:val="22"/>
          <w:szCs w:val="22"/>
        </w:rPr>
        <w:t>Sobre el particular</w:t>
      </w:r>
      <w:r>
        <w:rPr>
          <w:rFonts w:ascii="Arial" w:hAnsi="Arial" w:cs="Arial"/>
          <w:sz w:val="22"/>
          <w:szCs w:val="22"/>
        </w:rPr>
        <w:t>, el funcionario responsable del área de Talento Humano informó que la diferencia antes relacionada obedeció a conceptos relacionados con horas extras, tales como, retroactivo de horas extras de exfuncionario y reintegro de horas extras efectuadas por funcionario. Con base en la información entregada por el área</w:t>
      </w:r>
      <w:r w:rsidR="002523CF">
        <w:rPr>
          <w:rFonts w:ascii="Arial" w:hAnsi="Arial" w:cs="Arial"/>
          <w:sz w:val="22"/>
          <w:szCs w:val="22"/>
        </w:rPr>
        <w:t xml:space="preserve"> (desprendibles de nómina), </w:t>
      </w:r>
      <w:r w:rsidR="002A143F">
        <w:rPr>
          <w:rFonts w:ascii="Arial" w:hAnsi="Arial" w:cs="Arial"/>
          <w:sz w:val="22"/>
          <w:szCs w:val="22"/>
        </w:rPr>
        <w:t xml:space="preserve">se </w:t>
      </w:r>
      <w:r w:rsidR="002523CF">
        <w:rPr>
          <w:rFonts w:ascii="Arial" w:hAnsi="Arial" w:cs="Arial"/>
          <w:sz w:val="22"/>
          <w:szCs w:val="22"/>
        </w:rPr>
        <w:t xml:space="preserve">pudo constatar </w:t>
      </w:r>
      <w:r w:rsidR="002A143F">
        <w:rPr>
          <w:rFonts w:ascii="Arial" w:hAnsi="Arial" w:cs="Arial"/>
          <w:sz w:val="22"/>
          <w:szCs w:val="22"/>
        </w:rPr>
        <w:t xml:space="preserve">que el valor obligado en el SIIF es el resultado del total de horas extras liquidadas en el periodo </w:t>
      </w:r>
      <w:r w:rsidR="00FD4809">
        <w:rPr>
          <w:rFonts w:ascii="Arial" w:hAnsi="Arial" w:cs="Arial"/>
          <w:sz w:val="22"/>
          <w:szCs w:val="22"/>
        </w:rPr>
        <w:t xml:space="preserve">teniendo en cuenta </w:t>
      </w:r>
      <w:r w:rsidR="002A143F">
        <w:rPr>
          <w:rFonts w:ascii="Arial" w:hAnsi="Arial" w:cs="Arial"/>
          <w:sz w:val="22"/>
          <w:szCs w:val="22"/>
        </w:rPr>
        <w:t xml:space="preserve">la aplicación de las novedades relacionadas con horas extras, así: </w:t>
      </w:r>
    </w:p>
    <w:p w14:paraId="0E41976E" w14:textId="3DC95C9C" w:rsidR="002A143F" w:rsidRDefault="002A143F" w:rsidP="0016456B">
      <w:pPr>
        <w:jc w:val="both"/>
        <w:rPr>
          <w:rFonts w:ascii="Arial" w:hAnsi="Arial" w:cs="Arial"/>
          <w:sz w:val="22"/>
          <w:szCs w:val="22"/>
        </w:rPr>
      </w:pPr>
    </w:p>
    <w:tbl>
      <w:tblPr>
        <w:tblStyle w:val="Tabladecuadrcula1clara-nfasis1"/>
        <w:tblW w:w="0" w:type="auto"/>
        <w:jc w:val="center"/>
        <w:tblLook w:val="04A0" w:firstRow="1" w:lastRow="0" w:firstColumn="1" w:lastColumn="0" w:noHBand="0" w:noVBand="1"/>
      </w:tblPr>
      <w:tblGrid>
        <w:gridCol w:w="3596"/>
        <w:gridCol w:w="2162"/>
      </w:tblGrid>
      <w:tr w:rsidR="00EA4EC6" w:rsidRPr="00EA4EC6" w14:paraId="2110B282" w14:textId="77777777" w:rsidTr="00EA4EC6">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362172CA" w14:textId="77777777" w:rsidR="00EA4EC6" w:rsidRPr="00EA4EC6" w:rsidRDefault="00EA4EC6" w:rsidP="00791637">
            <w:pPr>
              <w:spacing w:before="20" w:after="40"/>
              <w:jc w:val="center"/>
              <w:rPr>
                <w:rFonts w:ascii="Arial" w:hAnsi="Arial" w:cs="Arial"/>
                <w:color w:val="FFFFFF" w:themeColor="background1"/>
                <w:sz w:val="20"/>
                <w:szCs w:val="20"/>
              </w:rPr>
            </w:pPr>
            <w:r w:rsidRPr="00EA4EC6">
              <w:rPr>
                <w:rFonts w:ascii="Arial" w:hAnsi="Arial" w:cs="Arial"/>
                <w:color w:val="FFFFFF" w:themeColor="background1"/>
                <w:sz w:val="20"/>
                <w:szCs w:val="20"/>
              </w:rPr>
              <w:t xml:space="preserve">Concepto  </w:t>
            </w:r>
          </w:p>
        </w:tc>
        <w:tc>
          <w:tcPr>
            <w:tcW w:w="0" w:type="auto"/>
            <w:shd w:val="clear" w:color="auto" w:fill="4F81BD" w:themeFill="accent1"/>
            <w:vAlign w:val="center"/>
            <w:hideMark/>
          </w:tcPr>
          <w:p w14:paraId="3C3D91D7" w14:textId="30A99D5A" w:rsidR="00EA4EC6" w:rsidRPr="00EA4EC6" w:rsidRDefault="00EA4EC6" w:rsidP="00791637">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A4EC6">
              <w:rPr>
                <w:rFonts w:ascii="Arial" w:hAnsi="Arial" w:cs="Arial"/>
                <w:color w:val="FFFFFF" w:themeColor="background1"/>
                <w:sz w:val="20"/>
                <w:szCs w:val="20"/>
              </w:rPr>
              <w:t xml:space="preserve"> Valor </w:t>
            </w:r>
            <w:r>
              <w:rPr>
                <w:rFonts w:ascii="Arial" w:hAnsi="Arial" w:cs="Arial"/>
                <w:color w:val="FFFFFF" w:themeColor="background1"/>
                <w:sz w:val="20"/>
                <w:szCs w:val="20"/>
              </w:rPr>
              <w:t>($)</w:t>
            </w:r>
            <w:r w:rsidRPr="00EA4EC6">
              <w:rPr>
                <w:rFonts w:ascii="Arial" w:hAnsi="Arial" w:cs="Arial"/>
                <w:color w:val="FFFFFF" w:themeColor="background1"/>
                <w:sz w:val="20"/>
                <w:szCs w:val="20"/>
              </w:rPr>
              <w:t xml:space="preserve"> </w:t>
            </w:r>
          </w:p>
        </w:tc>
      </w:tr>
      <w:tr w:rsidR="00EA4EC6" w:rsidRPr="00EA4EC6" w14:paraId="26A804AB" w14:textId="77777777" w:rsidTr="00EA4EC6">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9CF10F" w14:textId="77777777" w:rsidR="00EA4EC6" w:rsidRPr="00EA4EC6" w:rsidRDefault="00EA4EC6" w:rsidP="00791637">
            <w:pPr>
              <w:spacing w:before="20" w:after="40"/>
              <w:rPr>
                <w:rFonts w:ascii="Arial" w:hAnsi="Arial" w:cs="Arial"/>
                <w:b w:val="0"/>
                <w:bCs w:val="0"/>
                <w:color w:val="244061" w:themeColor="accent1" w:themeShade="80"/>
                <w:sz w:val="20"/>
                <w:szCs w:val="20"/>
              </w:rPr>
            </w:pPr>
            <w:r w:rsidRPr="00EA4EC6">
              <w:rPr>
                <w:rFonts w:ascii="Arial" w:hAnsi="Arial" w:cs="Arial"/>
                <w:b w:val="0"/>
                <w:bCs w:val="0"/>
                <w:color w:val="244061" w:themeColor="accent1" w:themeShade="80"/>
                <w:sz w:val="20"/>
                <w:szCs w:val="20"/>
              </w:rPr>
              <w:t xml:space="preserve"> Valor Liquidado Horas Extras - SARA </w:t>
            </w:r>
          </w:p>
        </w:tc>
        <w:tc>
          <w:tcPr>
            <w:tcW w:w="0" w:type="auto"/>
            <w:vAlign w:val="center"/>
            <w:hideMark/>
          </w:tcPr>
          <w:p w14:paraId="57D87908" w14:textId="77777777" w:rsidR="00EA4EC6" w:rsidRPr="00EA4EC6" w:rsidRDefault="00EA4EC6" w:rsidP="00791637">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EA4EC6">
              <w:rPr>
                <w:rFonts w:ascii="Arial" w:hAnsi="Arial" w:cs="Arial"/>
                <w:color w:val="244061" w:themeColor="accent1" w:themeShade="80"/>
                <w:sz w:val="20"/>
                <w:szCs w:val="20"/>
              </w:rPr>
              <w:t xml:space="preserve">               27.159.186 </w:t>
            </w:r>
          </w:p>
        </w:tc>
      </w:tr>
      <w:tr w:rsidR="00EA4EC6" w:rsidRPr="00EA4EC6" w14:paraId="3DDFB43D" w14:textId="77777777" w:rsidTr="00EA4EC6">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C7E905" w14:textId="77777777" w:rsidR="00EA4EC6" w:rsidRPr="00EA4EC6" w:rsidRDefault="00EA4EC6" w:rsidP="00791637">
            <w:pPr>
              <w:spacing w:before="20" w:after="40"/>
              <w:rPr>
                <w:rFonts w:ascii="Arial" w:hAnsi="Arial" w:cs="Arial"/>
                <w:b w:val="0"/>
                <w:bCs w:val="0"/>
                <w:color w:val="244061" w:themeColor="accent1" w:themeShade="80"/>
                <w:sz w:val="20"/>
                <w:szCs w:val="20"/>
              </w:rPr>
            </w:pPr>
            <w:r w:rsidRPr="00EA4EC6">
              <w:rPr>
                <w:rFonts w:ascii="Arial" w:hAnsi="Arial" w:cs="Arial"/>
                <w:b w:val="0"/>
                <w:bCs w:val="0"/>
                <w:color w:val="244061" w:themeColor="accent1" w:themeShade="80"/>
                <w:sz w:val="20"/>
                <w:szCs w:val="20"/>
              </w:rPr>
              <w:t xml:space="preserve"> (-) Reintegro de Horas Extras </w:t>
            </w:r>
          </w:p>
        </w:tc>
        <w:tc>
          <w:tcPr>
            <w:tcW w:w="0" w:type="auto"/>
            <w:vAlign w:val="center"/>
            <w:hideMark/>
          </w:tcPr>
          <w:p w14:paraId="0E431094" w14:textId="77777777" w:rsidR="00EA4EC6" w:rsidRPr="00EA4EC6" w:rsidRDefault="00EA4EC6" w:rsidP="00791637">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EA4EC6">
              <w:rPr>
                <w:rFonts w:ascii="Arial" w:hAnsi="Arial" w:cs="Arial"/>
                <w:color w:val="244061" w:themeColor="accent1" w:themeShade="80"/>
                <w:sz w:val="20"/>
                <w:szCs w:val="20"/>
              </w:rPr>
              <w:t xml:space="preserve">                     174.372 </w:t>
            </w:r>
          </w:p>
        </w:tc>
      </w:tr>
      <w:tr w:rsidR="00EA4EC6" w:rsidRPr="00EA4EC6" w14:paraId="500AA9EC" w14:textId="77777777" w:rsidTr="00EA4EC6">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126406" w14:textId="77777777" w:rsidR="00EA4EC6" w:rsidRPr="00EA4EC6" w:rsidRDefault="00EA4EC6" w:rsidP="00791637">
            <w:pPr>
              <w:spacing w:before="20" w:after="40"/>
              <w:rPr>
                <w:rFonts w:ascii="Arial" w:hAnsi="Arial" w:cs="Arial"/>
                <w:b w:val="0"/>
                <w:bCs w:val="0"/>
                <w:color w:val="244061" w:themeColor="accent1" w:themeShade="80"/>
                <w:sz w:val="20"/>
                <w:szCs w:val="20"/>
              </w:rPr>
            </w:pPr>
            <w:r w:rsidRPr="00EA4EC6">
              <w:rPr>
                <w:rFonts w:ascii="Arial" w:hAnsi="Arial" w:cs="Arial"/>
                <w:b w:val="0"/>
                <w:bCs w:val="0"/>
                <w:color w:val="244061" w:themeColor="accent1" w:themeShade="80"/>
                <w:sz w:val="20"/>
                <w:szCs w:val="20"/>
              </w:rPr>
              <w:t xml:space="preserve"> (+) Retroactivo Horas Extras </w:t>
            </w:r>
          </w:p>
        </w:tc>
        <w:tc>
          <w:tcPr>
            <w:tcW w:w="0" w:type="auto"/>
            <w:vAlign w:val="center"/>
            <w:hideMark/>
          </w:tcPr>
          <w:p w14:paraId="3E94082E" w14:textId="77777777" w:rsidR="00EA4EC6" w:rsidRPr="00EA4EC6" w:rsidRDefault="00EA4EC6" w:rsidP="00791637">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EA4EC6">
              <w:rPr>
                <w:rFonts w:ascii="Arial" w:hAnsi="Arial" w:cs="Arial"/>
                <w:color w:val="244061" w:themeColor="accent1" w:themeShade="80"/>
                <w:sz w:val="20"/>
                <w:szCs w:val="20"/>
              </w:rPr>
              <w:t xml:space="preserve">                        44.211 </w:t>
            </w:r>
          </w:p>
        </w:tc>
      </w:tr>
      <w:tr w:rsidR="00EA4EC6" w:rsidRPr="00EA4EC6" w14:paraId="2F21BD7B" w14:textId="77777777" w:rsidTr="00EA4EC6">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44259B13" w14:textId="77777777" w:rsidR="00EA4EC6" w:rsidRPr="00FD4809" w:rsidRDefault="00EA4EC6" w:rsidP="00791637">
            <w:pPr>
              <w:spacing w:before="20" w:after="40"/>
              <w:rPr>
                <w:rFonts w:ascii="Arial" w:hAnsi="Arial" w:cs="Arial"/>
                <w:bCs w:val="0"/>
                <w:color w:val="FFFFFF" w:themeColor="background1"/>
                <w:sz w:val="20"/>
                <w:szCs w:val="20"/>
              </w:rPr>
            </w:pPr>
            <w:r w:rsidRPr="00FD4809">
              <w:rPr>
                <w:rFonts w:ascii="Arial" w:hAnsi="Arial" w:cs="Arial"/>
                <w:bCs w:val="0"/>
                <w:color w:val="FFFFFF" w:themeColor="background1"/>
                <w:sz w:val="20"/>
                <w:szCs w:val="20"/>
              </w:rPr>
              <w:t xml:space="preserve"> Total Valor Obligado SIIF </w:t>
            </w:r>
          </w:p>
        </w:tc>
        <w:tc>
          <w:tcPr>
            <w:tcW w:w="0" w:type="auto"/>
            <w:shd w:val="clear" w:color="auto" w:fill="4F81BD" w:themeFill="accent1"/>
            <w:vAlign w:val="center"/>
            <w:hideMark/>
          </w:tcPr>
          <w:p w14:paraId="71BB07A8" w14:textId="77777777" w:rsidR="00EA4EC6" w:rsidRPr="00FD4809" w:rsidRDefault="00EA4EC6" w:rsidP="00791637">
            <w:pPr>
              <w:spacing w:before="2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FD4809">
              <w:rPr>
                <w:rFonts w:ascii="Arial" w:hAnsi="Arial" w:cs="Arial"/>
                <w:b/>
                <w:color w:val="FFFFFF" w:themeColor="background1"/>
                <w:sz w:val="20"/>
                <w:szCs w:val="20"/>
              </w:rPr>
              <w:t xml:space="preserve">               27.029.025 </w:t>
            </w:r>
          </w:p>
        </w:tc>
      </w:tr>
    </w:tbl>
    <w:p w14:paraId="3ADCFA91" w14:textId="77777777" w:rsidR="00EB639F" w:rsidRDefault="00EB639F" w:rsidP="00A36E55">
      <w:pPr>
        <w:jc w:val="both"/>
        <w:rPr>
          <w:rFonts w:ascii="Arial" w:hAnsi="Arial" w:cs="Arial"/>
          <w:sz w:val="22"/>
          <w:szCs w:val="22"/>
        </w:rPr>
      </w:pPr>
    </w:p>
    <w:p w14:paraId="7BF55EC5" w14:textId="249D1FE3" w:rsidR="00C44DE8" w:rsidRPr="003F1E28" w:rsidRDefault="003F1E28" w:rsidP="00A36E55">
      <w:pPr>
        <w:jc w:val="both"/>
        <w:rPr>
          <w:rFonts w:ascii="Arial" w:hAnsi="Arial" w:cs="Arial"/>
          <w:sz w:val="22"/>
          <w:szCs w:val="22"/>
        </w:rPr>
      </w:pPr>
      <w:r w:rsidRPr="003F1E28">
        <w:rPr>
          <w:rFonts w:ascii="Arial" w:hAnsi="Arial" w:cs="Arial"/>
          <w:sz w:val="22"/>
          <w:szCs w:val="22"/>
        </w:rPr>
        <w:t xml:space="preserve">Respecto a </w:t>
      </w:r>
      <w:r w:rsidR="00355ACC" w:rsidRPr="003F1E28">
        <w:rPr>
          <w:rFonts w:ascii="Arial" w:hAnsi="Arial" w:cs="Arial"/>
          <w:sz w:val="22"/>
          <w:szCs w:val="22"/>
        </w:rPr>
        <w:t xml:space="preserve">los controles </w:t>
      </w:r>
      <w:r w:rsidR="00BF6C62" w:rsidRPr="003F1E28">
        <w:rPr>
          <w:rFonts w:ascii="Arial" w:hAnsi="Arial" w:cs="Arial"/>
          <w:sz w:val="22"/>
          <w:szCs w:val="22"/>
        </w:rPr>
        <w:t>para el manejo de las</w:t>
      </w:r>
      <w:r w:rsidR="0036775C" w:rsidRPr="003F1E28">
        <w:rPr>
          <w:rFonts w:ascii="Arial" w:hAnsi="Arial" w:cs="Arial"/>
          <w:sz w:val="22"/>
          <w:szCs w:val="22"/>
        </w:rPr>
        <w:t xml:space="preserve"> horas </w:t>
      </w:r>
      <w:r w:rsidR="00220433" w:rsidRPr="003F1E28">
        <w:rPr>
          <w:rFonts w:ascii="Arial" w:hAnsi="Arial" w:cs="Arial"/>
          <w:sz w:val="22"/>
          <w:szCs w:val="22"/>
        </w:rPr>
        <w:t>extras</w:t>
      </w:r>
      <w:r w:rsidR="00BF6C62" w:rsidRPr="003F1E28">
        <w:rPr>
          <w:rFonts w:ascii="Arial" w:hAnsi="Arial" w:cs="Arial"/>
          <w:sz w:val="22"/>
          <w:szCs w:val="22"/>
        </w:rPr>
        <w:t>,</w:t>
      </w:r>
      <w:r w:rsidR="00220433" w:rsidRPr="003F1E28">
        <w:rPr>
          <w:rFonts w:ascii="Arial" w:hAnsi="Arial" w:cs="Arial"/>
          <w:sz w:val="22"/>
          <w:szCs w:val="22"/>
        </w:rPr>
        <w:t xml:space="preserve"> </w:t>
      </w:r>
      <w:r w:rsidR="002708A1" w:rsidRPr="003F1E28">
        <w:rPr>
          <w:rFonts w:ascii="Arial" w:hAnsi="Arial" w:cs="Arial"/>
          <w:sz w:val="22"/>
          <w:szCs w:val="22"/>
        </w:rPr>
        <w:t xml:space="preserve">la </w:t>
      </w:r>
      <w:r w:rsidR="00F04372" w:rsidRPr="003F1E28">
        <w:rPr>
          <w:rFonts w:ascii="Arial" w:hAnsi="Arial" w:cs="Arial"/>
          <w:sz w:val="22"/>
          <w:szCs w:val="22"/>
        </w:rPr>
        <w:t xml:space="preserve">Subdirección de Gestión del Talento Humano </w:t>
      </w:r>
      <w:r w:rsidR="002708A1" w:rsidRPr="003F1E28">
        <w:rPr>
          <w:rFonts w:ascii="Arial" w:hAnsi="Arial" w:cs="Arial"/>
          <w:sz w:val="22"/>
          <w:szCs w:val="22"/>
        </w:rPr>
        <w:t xml:space="preserve">mediante el artículo 17 de la </w:t>
      </w:r>
      <w:r w:rsidR="00C44DE8" w:rsidRPr="003F1E28">
        <w:rPr>
          <w:rFonts w:ascii="Arial" w:hAnsi="Arial" w:cs="Arial"/>
          <w:sz w:val="22"/>
          <w:szCs w:val="22"/>
        </w:rPr>
        <w:t xml:space="preserve">Resolución </w:t>
      </w:r>
      <w:r w:rsidR="00220433" w:rsidRPr="003F1E28">
        <w:rPr>
          <w:rFonts w:ascii="Arial" w:hAnsi="Arial" w:cs="Arial"/>
          <w:sz w:val="22"/>
          <w:szCs w:val="22"/>
        </w:rPr>
        <w:t>4264 de 2014</w:t>
      </w:r>
      <w:r w:rsidR="00220433" w:rsidRPr="003F1E28">
        <w:rPr>
          <w:rStyle w:val="Refdenotaalpie"/>
          <w:rFonts w:ascii="Arial" w:hAnsi="Arial" w:cs="Arial"/>
          <w:sz w:val="22"/>
          <w:szCs w:val="22"/>
        </w:rPr>
        <w:footnoteReference w:id="1"/>
      </w:r>
      <w:r w:rsidR="00220433" w:rsidRPr="003F1E28">
        <w:rPr>
          <w:rFonts w:ascii="Arial" w:hAnsi="Arial" w:cs="Arial"/>
          <w:sz w:val="22"/>
          <w:szCs w:val="22"/>
        </w:rPr>
        <w:t>,</w:t>
      </w:r>
      <w:r w:rsidR="002708A1" w:rsidRPr="003F1E28">
        <w:rPr>
          <w:rFonts w:ascii="Arial" w:hAnsi="Arial" w:cs="Arial"/>
          <w:sz w:val="22"/>
          <w:szCs w:val="22"/>
        </w:rPr>
        <w:t xml:space="preserve"> </w:t>
      </w:r>
      <w:r w:rsidR="00A36E55" w:rsidRPr="003F1E28">
        <w:rPr>
          <w:rFonts w:ascii="Arial" w:hAnsi="Arial" w:cs="Arial"/>
          <w:sz w:val="22"/>
          <w:szCs w:val="22"/>
        </w:rPr>
        <w:t>se</w:t>
      </w:r>
      <w:r w:rsidR="00220433" w:rsidRPr="003F1E28">
        <w:rPr>
          <w:rFonts w:ascii="Arial" w:hAnsi="Arial" w:cs="Arial"/>
          <w:sz w:val="22"/>
          <w:szCs w:val="22"/>
        </w:rPr>
        <w:t xml:space="preserve"> </w:t>
      </w:r>
      <w:r w:rsidR="00117F5A" w:rsidRPr="003F1E28">
        <w:rPr>
          <w:rFonts w:ascii="Arial" w:hAnsi="Arial" w:cs="Arial"/>
          <w:sz w:val="22"/>
          <w:szCs w:val="22"/>
        </w:rPr>
        <w:t xml:space="preserve">determinó </w:t>
      </w:r>
      <w:r w:rsidR="00220433" w:rsidRPr="003F1E28">
        <w:rPr>
          <w:rFonts w:ascii="Arial" w:hAnsi="Arial" w:cs="Arial"/>
          <w:sz w:val="22"/>
          <w:szCs w:val="22"/>
        </w:rPr>
        <w:t>entre otros aspectos</w:t>
      </w:r>
      <w:r w:rsidR="00117F5A" w:rsidRPr="003F1E28">
        <w:rPr>
          <w:rFonts w:ascii="Arial" w:hAnsi="Arial" w:cs="Arial"/>
          <w:sz w:val="22"/>
          <w:szCs w:val="22"/>
        </w:rPr>
        <w:t>, lo</w:t>
      </w:r>
      <w:r w:rsidR="00B0540B" w:rsidRPr="003F1E28">
        <w:rPr>
          <w:rFonts w:ascii="Arial" w:hAnsi="Arial" w:cs="Arial"/>
          <w:sz w:val="22"/>
          <w:szCs w:val="22"/>
        </w:rPr>
        <w:t>s</w:t>
      </w:r>
      <w:r w:rsidR="00117F5A" w:rsidRPr="003F1E28">
        <w:rPr>
          <w:rFonts w:ascii="Arial" w:hAnsi="Arial" w:cs="Arial"/>
          <w:sz w:val="22"/>
          <w:szCs w:val="22"/>
        </w:rPr>
        <w:t xml:space="preserve"> siguiente</w:t>
      </w:r>
      <w:r w:rsidR="00B0540B" w:rsidRPr="003F1E28">
        <w:rPr>
          <w:rFonts w:ascii="Arial" w:hAnsi="Arial" w:cs="Arial"/>
          <w:sz w:val="22"/>
          <w:szCs w:val="22"/>
        </w:rPr>
        <w:t>s</w:t>
      </w:r>
      <w:r w:rsidR="00220433" w:rsidRPr="003F1E28">
        <w:rPr>
          <w:rFonts w:ascii="Arial" w:hAnsi="Arial" w:cs="Arial"/>
          <w:sz w:val="22"/>
          <w:szCs w:val="22"/>
        </w:rPr>
        <w:t xml:space="preserve">: </w:t>
      </w:r>
    </w:p>
    <w:p w14:paraId="0F41A374" w14:textId="77777777" w:rsidR="005946A2" w:rsidRPr="003F1E28" w:rsidRDefault="005946A2" w:rsidP="00303207">
      <w:pPr>
        <w:spacing w:line="168" w:lineRule="auto"/>
        <w:rPr>
          <w:rFonts w:ascii="Arial" w:hAnsi="Arial" w:cs="Arial"/>
          <w:sz w:val="22"/>
          <w:szCs w:val="22"/>
        </w:rPr>
      </w:pPr>
    </w:p>
    <w:p w14:paraId="64286497" w14:textId="6D2397EB" w:rsidR="0036775C" w:rsidRDefault="0036775C" w:rsidP="0087748F">
      <w:pPr>
        <w:pStyle w:val="Default"/>
        <w:numPr>
          <w:ilvl w:val="0"/>
          <w:numId w:val="3"/>
        </w:numPr>
        <w:spacing w:after="120"/>
        <w:ind w:left="357" w:hanging="357"/>
        <w:jc w:val="both"/>
        <w:rPr>
          <w:sz w:val="22"/>
          <w:szCs w:val="22"/>
        </w:rPr>
      </w:pPr>
      <w:r w:rsidRPr="003F1E28">
        <w:rPr>
          <w:sz w:val="22"/>
          <w:szCs w:val="22"/>
        </w:rPr>
        <w:lastRenderedPageBreak/>
        <w:t>Cada Jefe de dependencia que requiera el desempeño de horas extras para el personal bajo su cargo, presentará en la primera semana de febrero de cada año, ante el Director</w:t>
      </w:r>
      <w:r w:rsidR="00FA6E18" w:rsidRPr="003F1E28">
        <w:rPr>
          <w:sz w:val="22"/>
          <w:szCs w:val="22"/>
        </w:rPr>
        <w:t>(a)</w:t>
      </w:r>
      <w:r w:rsidRPr="003F1E28">
        <w:rPr>
          <w:sz w:val="22"/>
          <w:szCs w:val="22"/>
        </w:rPr>
        <w:t xml:space="preserve"> Administrativo</w:t>
      </w:r>
      <w:r w:rsidR="00FA6E18" w:rsidRPr="003F1E28">
        <w:rPr>
          <w:sz w:val="22"/>
          <w:szCs w:val="22"/>
        </w:rPr>
        <w:t>(a)</w:t>
      </w:r>
      <w:r w:rsidR="00F32A74" w:rsidRPr="003F1E28">
        <w:rPr>
          <w:sz w:val="22"/>
          <w:szCs w:val="22"/>
        </w:rPr>
        <w:t xml:space="preserve"> una solicitud donde </w:t>
      </w:r>
      <w:r w:rsidRPr="003F1E28">
        <w:rPr>
          <w:sz w:val="22"/>
          <w:szCs w:val="22"/>
        </w:rPr>
        <w:t xml:space="preserve">exprese los cargos que autoricen para laborar horas extras durante el año, número de horas que se autoriza a cada uno de los funcionarios, mes a mes y las actividades que desarrollara cada </w:t>
      </w:r>
      <w:r w:rsidR="00C80E9E" w:rsidRPr="003F1E28">
        <w:rPr>
          <w:sz w:val="22"/>
          <w:szCs w:val="22"/>
        </w:rPr>
        <w:t>uno.</w:t>
      </w:r>
    </w:p>
    <w:p w14:paraId="7CA7F1AF" w14:textId="31D77037" w:rsidR="0036775C" w:rsidRDefault="0036775C" w:rsidP="0087748F">
      <w:pPr>
        <w:pStyle w:val="Default"/>
        <w:numPr>
          <w:ilvl w:val="0"/>
          <w:numId w:val="3"/>
        </w:numPr>
        <w:spacing w:after="120"/>
        <w:ind w:left="357" w:hanging="357"/>
        <w:jc w:val="both"/>
        <w:rPr>
          <w:sz w:val="22"/>
          <w:szCs w:val="22"/>
        </w:rPr>
      </w:pPr>
      <w:r w:rsidRPr="003F1E28">
        <w:rPr>
          <w:sz w:val="22"/>
          <w:szCs w:val="22"/>
        </w:rPr>
        <w:t>El Director(a) Administrativo</w:t>
      </w:r>
      <w:r w:rsidR="00F32A74" w:rsidRPr="003F1E28">
        <w:rPr>
          <w:sz w:val="22"/>
          <w:szCs w:val="22"/>
        </w:rPr>
        <w:t>(a)</w:t>
      </w:r>
      <w:r w:rsidRPr="003F1E28">
        <w:rPr>
          <w:sz w:val="22"/>
          <w:szCs w:val="22"/>
        </w:rPr>
        <w:t xml:space="preserve"> autorizará las horas extras para la anualidad. </w:t>
      </w:r>
    </w:p>
    <w:p w14:paraId="51EFB7F1" w14:textId="68C59913" w:rsidR="005755E9" w:rsidRDefault="0036775C" w:rsidP="0087748F">
      <w:pPr>
        <w:pStyle w:val="Default"/>
        <w:numPr>
          <w:ilvl w:val="0"/>
          <w:numId w:val="3"/>
        </w:numPr>
        <w:spacing w:after="120"/>
        <w:jc w:val="both"/>
        <w:rPr>
          <w:sz w:val="22"/>
          <w:szCs w:val="22"/>
        </w:rPr>
      </w:pPr>
      <w:r w:rsidRPr="003F1E28">
        <w:rPr>
          <w:sz w:val="22"/>
          <w:szCs w:val="22"/>
        </w:rPr>
        <w:t xml:space="preserve">No se pueden reconocer en dinero más de 50 horas extras al mes, salvo los conductores tendrán derecho al pago de hasta 100 horas, las horas que excedan el límite antes señalado serán compensadas en tiempo. </w:t>
      </w:r>
    </w:p>
    <w:p w14:paraId="7F8E5E84" w14:textId="77777777" w:rsidR="00960301" w:rsidRPr="003F1E28" w:rsidRDefault="00960301" w:rsidP="00FB7EA4">
      <w:pPr>
        <w:pStyle w:val="Default"/>
        <w:spacing w:line="168" w:lineRule="auto"/>
        <w:ind w:left="357"/>
        <w:jc w:val="both"/>
        <w:rPr>
          <w:sz w:val="22"/>
          <w:szCs w:val="22"/>
        </w:rPr>
      </w:pPr>
    </w:p>
    <w:p w14:paraId="17DE83A4" w14:textId="77777777" w:rsidR="00AA0772" w:rsidRPr="003F1E28" w:rsidRDefault="003F1E28" w:rsidP="00960301">
      <w:pPr>
        <w:pStyle w:val="Default"/>
        <w:jc w:val="both"/>
        <w:rPr>
          <w:sz w:val="22"/>
          <w:szCs w:val="22"/>
        </w:rPr>
      </w:pPr>
      <w:r>
        <w:rPr>
          <w:sz w:val="22"/>
          <w:szCs w:val="22"/>
        </w:rPr>
        <w:t xml:space="preserve">Sumando a lo anterior, </w:t>
      </w:r>
      <w:r w:rsidR="00AA0772" w:rsidRPr="003F1E28">
        <w:rPr>
          <w:sz w:val="22"/>
          <w:szCs w:val="22"/>
        </w:rPr>
        <w:t xml:space="preserve">como medida para contribuir a la austeridad del gasto en lo relacionado a las horas extras, para la vigencia 2019 fueron autorizados para los funcionarios 40 horas mensuales disminuyendo a 10 horas por mes en relación al año anterior. </w:t>
      </w:r>
      <w:r>
        <w:rPr>
          <w:sz w:val="22"/>
          <w:szCs w:val="22"/>
        </w:rPr>
        <w:t>Es de precisar que l</w:t>
      </w:r>
      <w:r w:rsidR="00AA0772" w:rsidRPr="003F1E28">
        <w:rPr>
          <w:sz w:val="22"/>
          <w:szCs w:val="22"/>
        </w:rPr>
        <w:t>o anterior</w:t>
      </w:r>
      <w:r>
        <w:rPr>
          <w:sz w:val="22"/>
          <w:szCs w:val="22"/>
        </w:rPr>
        <w:t xml:space="preserve"> no </w:t>
      </w:r>
      <w:r w:rsidRPr="003F1E28">
        <w:rPr>
          <w:sz w:val="22"/>
          <w:szCs w:val="22"/>
        </w:rPr>
        <w:t>aplica</w:t>
      </w:r>
      <w:r w:rsidR="00AA0772" w:rsidRPr="003F1E28">
        <w:rPr>
          <w:sz w:val="22"/>
          <w:szCs w:val="22"/>
        </w:rPr>
        <w:t xml:space="preserve"> para los funcionarios que ejerzan cargos de condu</w:t>
      </w:r>
      <w:r>
        <w:rPr>
          <w:sz w:val="22"/>
          <w:szCs w:val="22"/>
        </w:rPr>
        <w:t xml:space="preserve">ctores, toda vez que, </w:t>
      </w:r>
      <w:r w:rsidR="00AA0772" w:rsidRPr="003F1E28">
        <w:rPr>
          <w:sz w:val="22"/>
          <w:szCs w:val="22"/>
        </w:rPr>
        <w:t xml:space="preserve">debido a las necesidades del servicio y las funciones especiales que ejercen, la Ley permite </w:t>
      </w:r>
      <w:r w:rsidR="00034D91" w:rsidRPr="003F1E28">
        <w:rPr>
          <w:sz w:val="22"/>
          <w:szCs w:val="22"/>
        </w:rPr>
        <w:t xml:space="preserve">que se </w:t>
      </w:r>
      <w:r w:rsidR="00AA0772" w:rsidRPr="003F1E28">
        <w:rPr>
          <w:sz w:val="22"/>
          <w:szCs w:val="22"/>
        </w:rPr>
        <w:t>autorice</w:t>
      </w:r>
      <w:r w:rsidR="00034D91" w:rsidRPr="003F1E28">
        <w:rPr>
          <w:sz w:val="22"/>
          <w:szCs w:val="22"/>
        </w:rPr>
        <w:t xml:space="preserve"> mensualmente</w:t>
      </w:r>
      <w:r w:rsidR="00AA0772" w:rsidRPr="003F1E28">
        <w:rPr>
          <w:sz w:val="22"/>
          <w:szCs w:val="22"/>
        </w:rPr>
        <w:t xml:space="preserve"> un total </w:t>
      </w:r>
      <w:r w:rsidR="004E0089" w:rsidRPr="003F1E28">
        <w:rPr>
          <w:sz w:val="22"/>
          <w:szCs w:val="22"/>
        </w:rPr>
        <w:t xml:space="preserve">hasta </w:t>
      </w:r>
      <w:r w:rsidR="00AA0772" w:rsidRPr="003F1E28">
        <w:rPr>
          <w:sz w:val="22"/>
          <w:szCs w:val="22"/>
        </w:rPr>
        <w:t xml:space="preserve">de 100 horas. </w:t>
      </w:r>
    </w:p>
    <w:p w14:paraId="4E6CF73B" w14:textId="77777777" w:rsidR="0047421D" w:rsidRPr="003F1E28" w:rsidRDefault="0047421D" w:rsidP="00960301">
      <w:pPr>
        <w:spacing w:line="168" w:lineRule="auto"/>
        <w:jc w:val="both"/>
        <w:rPr>
          <w:rFonts w:ascii="Arial" w:hAnsi="Arial" w:cs="Arial"/>
          <w:sz w:val="22"/>
          <w:szCs w:val="22"/>
        </w:rPr>
      </w:pPr>
    </w:p>
    <w:p w14:paraId="2BDDB8CD" w14:textId="4C0ECEBE" w:rsidR="002416BC" w:rsidRDefault="0047421D" w:rsidP="00960301">
      <w:pPr>
        <w:jc w:val="both"/>
        <w:rPr>
          <w:rFonts w:ascii="Arial" w:hAnsi="Arial" w:cs="Arial"/>
          <w:color w:val="000000" w:themeColor="text1"/>
          <w:sz w:val="22"/>
          <w:szCs w:val="22"/>
        </w:rPr>
      </w:pPr>
      <w:r w:rsidRPr="00A11140">
        <w:rPr>
          <w:rFonts w:ascii="Arial" w:hAnsi="Arial" w:cs="Arial"/>
          <w:color w:val="000000" w:themeColor="text1"/>
          <w:sz w:val="22"/>
          <w:szCs w:val="22"/>
        </w:rPr>
        <w:t xml:space="preserve">Con el propósito de corroborar la aplicación de dichos controles, se cotejó el reporte de horas extras </w:t>
      </w:r>
      <w:r w:rsidR="00C71407">
        <w:rPr>
          <w:rFonts w:ascii="Arial" w:hAnsi="Arial" w:cs="Arial"/>
          <w:color w:val="000000" w:themeColor="text1"/>
          <w:sz w:val="22"/>
          <w:szCs w:val="22"/>
        </w:rPr>
        <w:t xml:space="preserve">liquidadas para </w:t>
      </w:r>
      <w:r w:rsidRPr="00A11140">
        <w:rPr>
          <w:rFonts w:ascii="Arial" w:hAnsi="Arial" w:cs="Arial"/>
          <w:color w:val="000000" w:themeColor="text1"/>
          <w:sz w:val="22"/>
          <w:szCs w:val="22"/>
        </w:rPr>
        <w:t xml:space="preserve">cada funcionario para </w:t>
      </w:r>
      <w:r w:rsidR="00E833DD" w:rsidRPr="00A11140">
        <w:rPr>
          <w:rFonts w:ascii="Arial" w:hAnsi="Arial" w:cs="Arial"/>
          <w:color w:val="000000" w:themeColor="text1"/>
          <w:sz w:val="22"/>
          <w:szCs w:val="22"/>
        </w:rPr>
        <w:t xml:space="preserve">julio, agosto y septiembre </w:t>
      </w:r>
      <w:r w:rsidRPr="00A11140">
        <w:rPr>
          <w:rFonts w:ascii="Arial" w:hAnsi="Arial" w:cs="Arial"/>
          <w:color w:val="000000" w:themeColor="text1"/>
          <w:sz w:val="22"/>
          <w:szCs w:val="22"/>
        </w:rPr>
        <w:t>de 2019</w:t>
      </w:r>
      <w:r w:rsidR="00745283">
        <w:rPr>
          <w:rFonts w:ascii="Arial" w:hAnsi="Arial" w:cs="Arial"/>
          <w:color w:val="000000" w:themeColor="text1"/>
          <w:sz w:val="22"/>
          <w:szCs w:val="22"/>
        </w:rPr>
        <w:t xml:space="preserve"> </w:t>
      </w:r>
      <w:r w:rsidRPr="00A11140">
        <w:rPr>
          <w:rFonts w:ascii="Arial" w:hAnsi="Arial" w:cs="Arial"/>
          <w:color w:val="000000" w:themeColor="text1"/>
          <w:sz w:val="22"/>
          <w:szCs w:val="22"/>
        </w:rPr>
        <w:t xml:space="preserve">frente al reporte de autorización de las mismas. De la </w:t>
      </w:r>
      <w:r w:rsidR="00D2477C" w:rsidRPr="00A11140">
        <w:rPr>
          <w:rFonts w:ascii="Arial" w:hAnsi="Arial" w:cs="Arial"/>
          <w:color w:val="000000" w:themeColor="text1"/>
          <w:sz w:val="22"/>
          <w:szCs w:val="22"/>
        </w:rPr>
        <w:t>anterior prueba, se observó que,</w:t>
      </w:r>
      <w:r w:rsidR="00772C80" w:rsidRPr="00A11140">
        <w:rPr>
          <w:rFonts w:ascii="Arial" w:hAnsi="Arial" w:cs="Arial"/>
          <w:color w:val="000000" w:themeColor="text1"/>
          <w:sz w:val="22"/>
          <w:szCs w:val="22"/>
        </w:rPr>
        <w:t xml:space="preserve"> para el mes de Julio de 2019 </w:t>
      </w:r>
      <w:r w:rsidR="00D2477C" w:rsidRPr="00A11140">
        <w:rPr>
          <w:rFonts w:ascii="Arial" w:hAnsi="Arial" w:cs="Arial"/>
          <w:color w:val="000000" w:themeColor="text1"/>
          <w:sz w:val="22"/>
          <w:szCs w:val="22"/>
        </w:rPr>
        <w:t xml:space="preserve">un </w:t>
      </w:r>
      <w:r w:rsidR="00C71407">
        <w:rPr>
          <w:rFonts w:ascii="Arial" w:hAnsi="Arial" w:cs="Arial"/>
          <w:color w:val="000000" w:themeColor="text1"/>
          <w:sz w:val="22"/>
          <w:szCs w:val="22"/>
        </w:rPr>
        <w:t xml:space="preserve">de los </w:t>
      </w:r>
      <w:r w:rsidR="00C71407" w:rsidRPr="00A11140">
        <w:rPr>
          <w:rFonts w:ascii="Arial" w:hAnsi="Arial" w:cs="Arial"/>
          <w:color w:val="000000" w:themeColor="text1"/>
          <w:sz w:val="22"/>
          <w:szCs w:val="22"/>
        </w:rPr>
        <w:t>funcionarios</w:t>
      </w:r>
      <w:r w:rsidR="00D2477C" w:rsidRPr="00A11140">
        <w:rPr>
          <w:rFonts w:ascii="Arial" w:hAnsi="Arial" w:cs="Arial"/>
          <w:color w:val="000000" w:themeColor="text1"/>
          <w:sz w:val="22"/>
          <w:szCs w:val="22"/>
        </w:rPr>
        <w:t xml:space="preserve"> </w:t>
      </w:r>
      <w:r w:rsidR="00430385">
        <w:rPr>
          <w:rFonts w:ascii="Arial" w:hAnsi="Arial" w:cs="Arial"/>
          <w:color w:val="000000" w:themeColor="text1"/>
          <w:sz w:val="22"/>
          <w:szCs w:val="22"/>
        </w:rPr>
        <w:t>relacionados en el reporte de horas extras</w:t>
      </w:r>
      <w:r w:rsidR="00981A1F">
        <w:rPr>
          <w:rFonts w:ascii="Arial" w:hAnsi="Arial" w:cs="Arial"/>
          <w:color w:val="000000" w:themeColor="text1"/>
          <w:sz w:val="22"/>
          <w:szCs w:val="22"/>
        </w:rPr>
        <w:t xml:space="preserve"> entregado a esta Oficina (archivo en Excel), </w:t>
      </w:r>
      <w:r w:rsidR="00430385">
        <w:rPr>
          <w:rFonts w:ascii="Arial" w:hAnsi="Arial" w:cs="Arial"/>
          <w:color w:val="000000" w:themeColor="text1"/>
          <w:sz w:val="22"/>
          <w:szCs w:val="22"/>
        </w:rPr>
        <w:t>presentó un total de 60,20 horas</w:t>
      </w:r>
      <w:r w:rsidR="000026A5">
        <w:rPr>
          <w:rFonts w:ascii="Arial" w:hAnsi="Arial" w:cs="Arial"/>
          <w:color w:val="000000" w:themeColor="text1"/>
          <w:sz w:val="22"/>
          <w:szCs w:val="22"/>
        </w:rPr>
        <w:t xml:space="preserve"> extras</w:t>
      </w:r>
      <w:r w:rsidR="00430385">
        <w:rPr>
          <w:rFonts w:ascii="Arial" w:hAnsi="Arial" w:cs="Arial"/>
          <w:color w:val="000000" w:themeColor="text1"/>
          <w:sz w:val="22"/>
          <w:szCs w:val="22"/>
        </w:rPr>
        <w:t xml:space="preserve">, siendo las </w:t>
      </w:r>
      <w:r w:rsidR="00D2477C" w:rsidRPr="00A11140">
        <w:rPr>
          <w:rFonts w:ascii="Arial" w:hAnsi="Arial" w:cs="Arial"/>
          <w:color w:val="000000" w:themeColor="text1"/>
          <w:sz w:val="22"/>
          <w:szCs w:val="22"/>
        </w:rPr>
        <w:t xml:space="preserve">autorizadas por mes </w:t>
      </w:r>
      <w:r w:rsidR="005666CB">
        <w:rPr>
          <w:rFonts w:ascii="Arial" w:hAnsi="Arial" w:cs="Arial"/>
          <w:color w:val="000000" w:themeColor="text1"/>
          <w:sz w:val="22"/>
          <w:szCs w:val="22"/>
        </w:rPr>
        <w:t xml:space="preserve">40 horas. </w:t>
      </w:r>
    </w:p>
    <w:p w14:paraId="56844A6A" w14:textId="77777777" w:rsidR="002416BC" w:rsidRDefault="002416BC" w:rsidP="00960301">
      <w:pPr>
        <w:spacing w:line="168" w:lineRule="auto"/>
        <w:jc w:val="both"/>
        <w:rPr>
          <w:rFonts w:ascii="Arial" w:hAnsi="Arial" w:cs="Arial"/>
          <w:color w:val="000000" w:themeColor="text1"/>
          <w:sz w:val="22"/>
          <w:szCs w:val="22"/>
        </w:rPr>
      </w:pPr>
    </w:p>
    <w:p w14:paraId="0D4912F9" w14:textId="77777777" w:rsidR="00303207" w:rsidRDefault="00772C80" w:rsidP="00960301">
      <w:pPr>
        <w:jc w:val="both"/>
        <w:rPr>
          <w:rFonts w:ascii="Arial" w:hAnsi="Arial" w:cs="Arial"/>
          <w:color w:val="000000" w:themeColor="text1"/>
          <w:sz w:val="22"/>
          <w:szCs w:val="22"/>
        </w:rPr>
      </w:pPr>
      <w:r w:rsidRPr="007418C2">
        <w:rPr>
          <w:rFonts w:ascii="Arial" w:hAnsi="Arial" w:cs="Arial"/>
          <w:color w:val="000000" w:themeColor="text1"/>
          <w:sz w:val="22"/>
          <w:szCs w:val="22"/>
        </w:rPr>
        <w:t xml:space="preserve">Al respecto, la Subdirección de Gestión del Talento Humano informó que lo anterior se presentó debido a que, en el mes de junio de 2019 </w:t>
      </w:r>
      <w:r w:rsidR="00A11140" w:rsidRPr="007418C2">
        <w:rPr>
          <w:rFonts w:ascii="Arial" w:hAnsi="Arial" w:cs="Arial"/>
          <w:color w:val="000000" w:themeColor="text1"/>
          <w:sz w:val="22"/>
          <w:szCs w:val="22"/>
        </w:rPr>
        <w:t xml:space="preserve">para el </w:t>
      </w:r>
      <w:r w:rsidRPr="007418C2">
        <w:rPr>
          <w:rFonts w:ascii="Arial" w:hAnsi="Arial" w:cs="Arial"/>
          <w:color w:val="000000" w:themeColor="text1"/>
          <w:sz w:val="22"/>
          <w:szCs w:val="22"/>
        </w:rPr>
        <w:t>funcionario identificado con cédula de ciudadanía 80.214.905 por error involuntario se</w:t>
      </w:r>
      <w:r w:rsidR="00807313" w:rsidRPr="007418C2">
        <w:rPr>
          <w:rFonts w:ascii="Arial" w:hAnsi="Arial" w:cs="Arial"/>
          <w:color w:val="000000" w:themeColor="text1"/>
          <w:sz w:val="22"/>
          <w:szCs w:val="22"/>
        </w:rPr>
        <w:t xml:space="preserve"> </w:t>
      </w:r>
      <w:r w:rsidRPr="007418C2">
        <w:rPr>
          <w:rFonts w:ascii="Arial" w:hAnsi="Arial" w:cs="Arial"/>
          <w:color w:val="000000" w:themeColor="text1"/>
          <w:sz w:val="22"/>
          <w:szCs w:val="22"/>
        </w:rPr>
        <w:t xml:space="preserve">liquidaron horas </w:t>
      </w:r>
      <w:r w:rsidR="00807313" w:rsidRPr="007418C2">
        <w:rPr>
          <w:rFonts w:ascii="Arial" w:hAnsi="Arial" w:cs="Arial"/>
          <w:color w:val="000000" w:themeColor="text1"/>
          <w:sz w:val="22"/>
          <w:szCs w:val="22"/>
        </w:rPr>
        <w:t xml:space="preserve">extras </w:t>
      </w:r>
      <w:r w:rsidRPr="007418C2">
        <w:rPr>
          <w:rFonts w:ascii="Arial" w:hAnsi="Arial" w:cs="Arial"/>
          <w:color w:val="000000" w:themeColor="text1"/>
          <w:sz w:val="22"/>
          <w:szCs w:val="22"/>
        </w:rPr>
        <w:t>diurnas</w:t>
      </w:r>
      <w:r w:rsidR="005666CB" w:rsidRPr="007418C2">
        <w:rPr>
          <w:rFonts w:ascii="Arial" w:hAnsi="Arial" w:cs="Arial"/>
          <w:color w:val="000000" w:themeColor="text1"/>
          <w:sz w:val="22"/>
          <w:szCs w:val="22"/>
        </w:rPr>
        <w:t xml:space="preserve"> como nocturnas y viceversa</w:t>
      </w:r>
      <w:r w:rsidR="00804F2B" w:rsidRPr="007418C2">
        <w:rPr>
          <w:rFonts w:ascii="Arial" w:hAnsi="Arial" w:cs="Arial"/>
          <w:color w:val="000000" w:themeColor="text1"/>
          <w:sz w:val="22"/>
          <w:szCs w:val="22"/>
        </w:rPr>
        <w:t xml:space="preserve">. </w:t>
      </w:r>
      <w:r w:rsidR="005666CB" w:rsidRPr="007418C2">
        <w:rPr>
          <w:rFonts w:ascii="Arial" w:hAnsi="Arial" w:cs="Arial"/>
          <w:color w:val="000000" w:themeColor="text1"/>
          <w:sz w:val="22"/>
          <w:szCs w:val="22"/>
        </w:rPr>
        <w:t xml:space="preserve">Las 20,20 horas </w:t>
      </w:r>
      <w:r w:rsidR="00513BE7" w:rsidRPr="007418C2">
        <w:rPr>
          <w:rFonts w:ascii="Arial" w:hAnsi="Arial" w:cs="Arial"/>
          <w:color w:val="000000" w:themeColor="text1"/>
          <w:sz w:val="22"/>
          <w:szCs w:val="22"/>
        </w:rPr>
        <w:t xml:space="preserve">adicionales </w:t>
      </w:r>
      <w:r w:rsidR="00804F2B" w:rsidRPr="007418C2">
        <w:rPr>
          <w:rFonts w:ascii="Arial" w:hAnsi="Arial" w:cs="Arial"/>
          <w:color w:val="000000" w:themeColor="text1"/>
          <w:sz w:val="22"/>
          <w:szCs w:val="22"/>
        </w:rPr>
        <w:t>refleja</w:t>
      </w:r>
      <w:r w:rsidR="00642DAD">
        <w:rPr>
          <w:rFonts w:ascii="Arial" w:hAnsi="Arial" w:cs="Arial"/>
          <w:color w:val="000000" w:themeColor="text1"/>
          <w:sz w:val="22"/>
          <w:szCs w:val="22"/>
        </w:rPr>
        <w:t>das</w:t>
      </w:r>
      <w:r w:rsidR="00804F2B" w:rsidRPr="007418C2">
        <w:rPr>
          <w:rFonts w:ascii="Arial" w:hAnsi="Arial" w:cs="Arial"/>
          <w:color w:val="000000" w:themeColor="text1"/>
          <w:sz w:val="22"/>
          <w:szCs w:val="22"/>
        </w:rPr>
        <w:t xml:space="preserve"> en </w:t>
      </w:r>
      <w:r w:rsidR="005A1C7A" w:rsidRPr="007418C2">
        <w:rPr>
          <w:rFonts w:ascii="Arial" w:hAnsi="Arial" w:cs="Arial"/>
          <w:color w:val="000000" w:themeColor="text1"/>
          <w:sz w:val="22"/>
          <w:szCs w:val="22"/>
        </w:rPr>
        <w:t>el archivo de liquidación</w:t>
      </w:r>
      <w:r w:rsidR="00513BE7" w:rsidRPr="007418C2">
        <w:rPr>
          <w:rFonts w:ascii="Arial" w:hAnsi="Arial" w:cs="Arial"/>
          <w:color w:val="000000" w:themeColor="text1"/>
          <w:sz w:val="22"/>
          <w:szCs w:val="22"/>
        </w:rPr>
        <w:t xml:space="preserve"> de horas del mes de julio de 2019, </w:t>
      </w:r>
      <w:r w:rsidR="005A1C7A" w:rsidRPr="007418C2">
        <w:rPr>
          <w:rFonts w:ascii="Arial" w:hAnsi="Arial" w:cs="Arial"/>
          <w:color w:val="000000" w:themeColor="text1"/>
          <w:sz w:val="22"/>
          <w:szCs w:val="22"/>
        </w:rPr>
        <w:t>no contempló el descuento del reintegro que efectuó el funcionario</w:t>
      </w:r>
      <w:r w:rsidR="00804F2B" w:rsidRPr="007418C2">
        <w:rPr>
          <w:rFonts w:ascii="Arial" w:hAnsi="Arial" w:cs="Arial"/>
          <w:color w:val="000000" w:themeColor="text1"/>
          <w:sz w:val="22"/>
          <w:szCs w:val="22"/>
        </w:rPr>
        <w:t xml:space="preserve"> por valor de</w:t>
      </w:r>
      <w:r w:rsidR="00310D24">
        <w:rPr>
          <w:rFonts w:ascii="Arial" w:hAnsi="Arial" w:cs="Arial"/>
          <w:color w:val="000000" w:themeColor="text1"/>
          <w:sz w:val="22"/>
          <w:szCs w:val="22"/>
        </w:rPr>
        <w:t xml:space="preserve"> </w:t>
      </w:r>
      <w:r w:rsidR="00804F2B" w:rsidRPr="007418C2">
        <w:rPr>
          <w:rFonts w:ascii="Arial" w:hAnsi="Arial" w:cs="Arial"/>
          <w:color w:val="000000" w:themeColor="text1"/>
          <w:sz w:val="22"/>
          <w:szCs w:val="22"/>
        </w:rPr>
        <w:t>$ 174,372,37,</w:t>
      </w:r>
      <w:r w:rsidR="00642DAD">
        <w:rPr>
          <w:rFonts w:ascii="Arial" w:hAnsi="Arial" w:cs="Arial"/>
          <w:color w:val="000000" w:themeColor="text1"/>
          <w:sz w:val="22"/>
          <w:szCs w:val="22"/>
        </w:rPr>
        <w:t xml:space="preserve"> correspondiente a 20.20 horas</w:t>
      </w:r>
      <w:r w:rsidR="005A1C7A" w:rsidRPr="007418C2">
        <w:rPr>
          <w:rFonts w:ascii="Arial" w:hAnsi="Arial" w:cs="Arial"/>
          <w:color w:val="000000" w:themeColor="text1"/>
          <w:sz w:val="22"/>
          <w:szCs w:val="22"/>
        </w:rPr>
        <w:t xml:space="preserve"> derivad</w:t>
      </w:r>
      <w:r w:rsidR="00642DAD">
        <w:rPr>
          <w:rFonts w:ascii="Arial" w:hAnsi="Arial" w:cs="Arial"/>
          <w:color w:val="000000" w:themeColor="text1"/>
          <w:sz w:val="22"/>
          <w:szCs w:val="22"/>
        </w:rPr>
        <w:t>as</w:t>
      </w:r>
      <w:r w:rsidR="005A1C7A" w:rsidRPr="007418C2">
        <w:rPr>
          <w:rFonts w:ascii="Arial" w:hAnsi="Arial" w:cs="Arial"/>
          <w:color w:val="000000" w:themeColor="text1"/>
          <w:sz w:val="22"/>
          <w:szCs w:val="22"/>
        </w:rPr>
        <w:t xml:space="preserve"> de la reliquidación de las horas extras del mes de junio de 2019. </w:t>
      </w:r>
      <w:r w:rsidR="00804F2B" w:rsidRPr="007418C2">
        <w:rPr>
          <w:rFonts w:ascii="Arial" w:hAnsi="Arial" w:cs="Arial"/>
          <w:color w:val="000000" w:themeColor="text1"/>
          <w:sz w:val="22"/>
          <w:szCs w:val="22"/>
        </w:rPr>
        <w:t xml:space="preserve">Dicha área precisó </w:t>
      </w:r>
      <w:r w:rsidR="007418C2" w:rsidRPr="007418C2">
        <w:rPr>
          <w:rFonts w:ascii="Arial" w:hAnsi="Arial" w:cs="Arial"/>
          <w:color w:val="000000" w:themeColor="text1"/>
          <w:sz w:val="22"/>
          <w:szCs w:val="22"/>
        </w:rPr>
        <w:t xml:space="preserve">que </w:t>
      </w:r>
      <w:r w:rsidR="00981A1F" w:rsidRPr="007418C2">
        <w:rPr>
          <w:rFonts w:ascii="Arial" w:hAnsi="Arial" w:cs="Arial"/>
          <w:color w:val="000000" w:themeColor="text1"/>
          <w:sz w:val="22"/>
          <w:szCs w:val="22"/>
        </w:rPr>
        <w:t>la aplicación de los control</w:t>
      </w:r>
      <w:r w:rsidR="00981A1F">
        <w:rPr>
          <w:rFonts w:ascii="Arial" w:hAnsi="Arial" w:cs="Arial"/>
          <w:color w:val="000000" w:themeColor="text1"/>
          <w:sz w:val="22"/>
          <w:szCs w:val="22"/>
        </w:rPr>
        <w:t xml:space="preserve">es en la revisión de la nómina </w:t>
      </w:r>
      <w:r w:rsidR="00981A1F" w:rsidRPr="007418C2">
        <w:rPr>
          <w:rFonts w:ascii="Arial" w:hAnsi="Arial" w:cs="Arial"/>
          <w:color w:val="000000" w:themeColor="text1"/>
          <w:sz w:val="22"/>
          <w:szCs w:val="22"/>
        </w:rPr>
        <w:t>logró</w:t>
      </w:r>
      <w:r w:rsidR="007418C2" w:rsidRPr="007418C2">
        <w:rPr>
          <w:rFonts w:ascii="Arial" w:hAnsi="Arial" w:cs="Arial"/>
          <w:color w:val="000000" w:themeColor="text1"/>
          <w:sz w:val="22"/>
          <w:szCs w:val="22"/>
        </w:rPr>
        <w:t xml:space="preserve"> identificar la diferencia</w:t>
      </w:r>
      <w:r w:rsidR="00642DAD">
        <w:rPr>
          <w:rFonts w:ascii="Arial" w:hAnsi="Arial" w:cs="Arial"/>
          <w:color w:val="000000" w:themeColor="text1"/>
          <w:sz w:val="22"/>
          <w:szCs w:val="22"/>
        </w:rPr>
        <w:t xml:space="preserve"> y por ende se </w:t>
      </w:r>
      <w:r w:rsidR="007418C2" w:rsidRPr="007418C2">
        <w:rPr>
          <w:rFonts w:ascii="Arial" w:hAnsi="Arial" w:cs="Arial"/>
          <w:color w:val="000000" w:themeColor="text1"/>
          <w:sz w:val="22"/>
          <w:szCs w:val="22"/>
        </w:rPr>
        <w:t>efectúo la reliquidación de las mismas y el respectivo reintegro contable</w:t>
      </w:r>
      <w:r w:rsidR="00303207">
        <w:rPr>
          <w:rFonts w:ascii="Arial" w:hAnsi="Arial" w:cs="Arial"/>
          <w:color w:val="000000" w:themeColor="text1"/>
          <w:sz w:val="22"/>
          <w:szCs w:val="22"/>
        </w:rPr>
        <w:t xml:space="preserve">. </w:t>
      </w:r>
    </w:p>
    <w:p w14:paraId="5D602533" w14:textId="77777777" w:rsidR="00303207" w:rsidRDefault="00303207" w:rsidP="00960301">
      <w:pPr>
        <w:spacing w:line="168" w:lineRule="auto"/>
        <w:jc w:val="both"/>
        <w:rPr>
          <w:rFonts w:ascii="Arial" w:hAnsi="Arial" w:cs="Arial"/>
          <w:color w:val="000000" w:themeColor="text1"/>
          <w:sz w:val="22"/>
          <w:szCs w:val="22"/>
        </w:rPr>
      </w:pPr>
    </w:p>
    <w:p w14:paraId="5168951B" w14:textId="7D010421" w:rsidR="00642DAD" w:rsidRPr="007418C2" w:rsidRDefault="00642DAD" w:rsidP="00960301">
      <w:pPr>
        <w:jc w:val="both"/>
        <w:rPr>
          <w:rFonts w:ascii="Arial" w:hAnsi="Arial" w:cs="Arial"/>
          <w:color w:val="000000" w:themeColor="text1"/>
          <w:sz w:val="22"/>
          <w:szCs w:val="22"/>
        </w:rPr>
      </w:pPr>
      <w:r>
        <w:rPr>
          <w:rFonts w:ascii="Arial" w:hAnsi="Arial" w:cs="Arial"/>
          <w:color w:val="000000" w:themeColor="text1"/>
          <w:sz w:val="22"/>
          <w:szCs w:val="22"/>
        </w:rPr>
        <w:t xml:space="preserve">Con base en la verificación del comprobante de nómina del mes de agosto de 2019 y las planillas de liquidación de los meses de junio y julio de 2019, se constató que </w:t>
      </w:r>
      <w:r w:rsidR="00981A1F">
        <w:rPr>
          <w:rFonts w:ascii="Arial" w:hAnsi="Arial" w:cs="Arial"/>
          <w:color w:val="000000" w:themeColor="text1"/>
          <w:sz w:val="22"/>
          <w:szCs w:val="22"/>
        </w:rPr>
        <w:t>a</w:t>
      </w:r>
      <w:r w:rsidRPr="007418C2">
        <w:rPr>
          <w:rFonts w:ascii="Arial" w:hAnsi="Arial" w:cs="Arial"/>
          <w:color w:val="000000" w:themeColor="text1"/>
          <w:sz w:val="22"/>
          <w:szCs w:val="22"/>
        </w:rPr>
        <w:t>l funcionario se le liquidaron y pagaron 40 horas</w:t>
      </w:r>
      <w:r w:rsidR="000026A5">
        <w:rPr>
          <w:rFonts w:ascii="Arial" w:hAnsi="Arial" w:cs="Arial"/>
          <w:color w:val="000000" w:themeColor="text1"/>
          <w:sz w:val="22"/>
          <w:szCs w:val="22"/>
        </w:rPr>
        <w:t xml:space="preserve"> extras</w:t>
      </w:r>
      <w:r w:rsidRPr="007418C2">
        <w:rPr>
          <w:rFonts w:ascii="Arial" w:hAnsi="Arial" w:cs="Arial"/>
          <w:color w:val="000000" w:themeColor="text1"/>
          <w:sz w:val="22"/>
          <w:szCs w:val="22"/>
        </w:rPr>
        <w:t xml:space="preserve">, conservando el límite de horas autorizadas. </w:t>
      </w:r>
      <w:r w:rsidR="00D03884">
        <w:rPr>
          <w:rFonts w:ascii="Arial" w:hAnsi="Arial" w:cs="Arial"/>
          <w:color w:val="000000" w:themeColor="text1"/>
          <w:sz w:val="22"/>
          <w:szCs w:val="22"/>
        </w:rPr>
        <w:t xml:space="preserve">Es decir, el control de las horas se aplicó correctamente. </w:t>
      </w:r>
    </w:p>
    <w:p w14:paraId="31F5A8DA" w14:textId="77777777" w:rsidR="005666CB" w:rsidRDefault="005666CB" w:rsidP="00960301">
      <w:pPr>
        <w:jc w:val="both"/>
        <w:rPr>
          <w:rFonts w:ascii="Arial" w:hAnsi="Arial" w:cs="Arial"/>
          <w:color w:val="000000" w:themeColor="text1"/>
          <w:sz w:val="22"/>
          <w:szCs w:val="22"/>
        </w:rPr>
      </w:pPr>
    </w:p>
    <w:p w14:paraId="09B89E04" w14:textId="0A92B328" w:rsidR="00430385" w:rsidRDefault="00430385" w:rsidP="00960301">
      <w:pPr>
        <w:jc w:val="both"/>
        <w:rPr>
          <w:rFonts w:ascii="Arial" w:hAnsi="Arial" w:cs="Arial"/>
          <w:color w:val="000000" w:themeColor="text1"/>
          <w:sz w:val="22"/>
          <w:szCs w:val="22"/>
        </w:rPr>
      </w:pPr>
    </w:p>
    <w:p w14:paraId="59652B61" w14:textId="77777777" w:rsidR="004679A1" w:rsidRPr="00A353B1" w:rsidRDefault="00E7227A" w:rsidP="00960301">
      <w:pPr>
        <w:tabs>
          <w:tab w:val="left" w:pos="709"/>
        </w:tabs>
        <w:rPr>
          <w:rFonts w:ascii="Arial" w:hAnsi="Arial" w:cs="Arial"/>
          <w:b/>
          <w:sz w:val="22"/>
          <w:szCs w:val="22"/>
        </w:rPr>
      </w:pPr>
      <w:r w:rsidRPr="00A353B1">
        <w:rPr>
          <w:rFonts w:ascii="Arial" w:hAnsi="Arial" w:cs="Arial"/>
          <w:b/>
          <w:sz w:val="22"/>
          <w:szCs w:val="22"/>
        </w:rPr>
        <w:t>2.</w:t>
      </w:r>
      <w:r w:rsidR="007D0C9E" w:rsidRPr="00A353B1">
        <w:rPr>
          <w:rFonts w:ascii="Arial" w:hAnsi="Arial" w:cs="Arial"/>
          <w:b/>
          <w:sz w:val="22"/>
          <w:szCs w:val="22"/>
        </w:rPr>
        <w:t>3</w:t>
      </w:r>
      <w:r w:rsidRPr="00A353B1">
        <w:rPr>
          <w:rFonts w:ascii="Arial" w:hAnsi="Arial" w:cs="Arial"/>
          <w:b/>
          <w:sz w:val="22"/>
          <w:szCs w:val="22"/>
        </w:rPr>
        <w:t xml:space="preserve">. </w:t>
      </w:r>
      <w:r w:rsidR="001F6C8E" w:rsidRPr="00A353B1">
        <w:rPr>
          <w:rFonts w:ascii="Arial" w:hAnsi="Arial" w:cs="Arial"/>
          <w:b/>
          <w:sz w:val="22"/>
          <w:szCs w:val="22"/>
        </w:rPr>
        <w:t>PRESTACIÓN DE SERVICIOS PROFESIONALES Y DE APOYO A LA GESTIÓN</w:t>
      </w:r>
    </w:p>
    <w:p w14:paraId="193E16C3" w14:textId="77777777" w:rsidR="001F6C8E" w:rsidRPr="00A353B1" w:rsidRDefault="001F6C8E" w:rsidP="007F3C38">
      <w:pPr>
        <w:pStyle w:val="Prrafodelista"/>
        <w:tabs>
          <w:tab w:val="left" w:pos="709"/>
        </w:tabs>
        <w:spacing w:line="168" w:lineRule="auto"/>
        <w:ind w:left="357"/>
        <w:contextualSpacing w:val="0"/>
        <w:jc w:val="left"/>
        <w:rPr>
          <w:rFonts w:ascii="Arial" w:hAnsi="Arial" w:cs="Arial"/>
          <w:b/>
        </w:rPr>
      </w:pPr>
    </w:p>
    <w:p w14:paraId="7DFBE73D" w14:textId="77777777" w:rsidR="005A0962" w:rsidRPr="00A353B1" w:rsidRDefault="00DD029E" w:rsidP="00960301">
      <w:pPr>
        <w:jc w:val="both"/>
        <w:rPr>
          <w:rFonts w:ascii="Arial" w:hAnsi="Arial" w:cs="Arial"/>
          <w:sz w:val="22"/>
          <w:szCs w:val="22"/>
        </w:rPr>
      </w:pPr>
      <w:r w:rsidRPr="00A353B1">
        <w:rPr>
          <w:rFonts w:ascii="Arial" w:hAnsi="Arial" w:cs="Arial"/>
          <w:sz w:val="22"/>
          <w:szCs w:val="22"/>
        </w:rPr>
        <w:t xml:space="preserve">La Directiva Presidencial 09 de 2018, en el numeral 1 [subnumeral 1.5 - Literal A], </w:t>
      </w:r>
      <w:r w:rsidR="004A462A" w:rsidRPr="00A353B1">
        <w:rPr>
          <w:rFonts w:ascii="Arial" w:hAnsi="Arial" w:cs="Arial"/>
          <w:sz w:val="22"/>
          <w:szCs w:val="22"/>
        </w:rPr>
        <w:t>señaló</w:t>
      </w:r>
      <w:r w:rsidR="003A2A42" w:rsidRPr="00A353B1">
        <w:rPr>
          <w:rFonts w:ascii="Arial" w:hAnsi="Arial" w:cs="Arial"/>
          <w:sz w:val="22"/>
          <w:szCs w:val="22"/>
        </w:rPr>
        <w:t xml:space="preserve"> lo siguiente: «</w:t>
      </w:r>
      <w:r w:rsidRPr="00A353B1">
        <w:rPr>
          <w:rFonts w:ascii="Arial" w:hAnsi="Arial" w:cs="Arial"/>
          <w:color w:val="000000"/>
          <w:sz w:val="22"/>
          <w:szCs w:val="22"/>
        </w:rPr>
        <w:t xml:space="preserve">Deberá realizarse, en todas las entidades de la rama ejecutiva del orden nacional, una revisión previa y rigurosa de las razones que justifiquen la contratación de personal para la prestación de servicios profesionales y de apoyo a la gestión. Solo se celebrarán aquellos contratos que sean estrictamente necesarios para coadyuvar el cumplimiento de las funciones y fines de cada entidad, en concordancia con lo previsto en el artículo 2.8.4.4.5. y siguientes del Decreto 1068 de 2015 </w:t>
      </w:r>
      <w:r w:rsidRPr="00A353B1">
        <w:rPr>
          <w:rFonts w:ascii="Arial" w:hAnsi="Arial" w:cs="Arial"/>
          <w:i/>
          <w:iCs/>
          <w:color w:val="000000"/>
          <w:sz w:val="22"/>
          <w:szCs w:val="22"/>
        </w:rPr>
        <w:t xml:space="preserve">Por medio del cual </w:t>
      </w:r>
      <w:r w:rsidRPr="00A353B1">
        <w:rPr>
          <w:rFonts w:ascii="Arial" w:hAnsi="Arial" w:cs="Arial"/>
          <w:color w:val="000000"/>
          <w:sz w:val="22"/>
          <w:szCs w:val="22"/>
        </w:rPr>
        <w:t xml:space="preserve">se </w:t>
      </w:r>
      <w:r w:rsidRPr="00A353B1">
        <w:rPr>
          <w:rFonts w:ascii="Arial" w:hAnsi="Arial" w:cs="Arial"/>
          <w:i/>
          <w:iCs/>
          <w:color w:val="000000"/>
          <w:sz w:val="22"/>
          <w:szCs w:val="22"/>
        </w:rPr>
        <w:t xml:space="preserve">expide el Decreto Único Reglamentario del Sector Hacienda </w:t>
      </w:r>
      <w:r w:rsidRPr="00A353B1">
        <w:rPr>
          <w:rFonts w:ascii="Arial" w:hAnsi="Arial" w:cs="Arial"/>
          <w:color w:val="000000"/>
          <w:sz w:val="22"/>
          <w:szCs w:val="22"/>
        </w:rPr>
        <w:t xml:space="preserve">y </w:t>
      </w:r>
      <w:r w:rsidRPr="00A353B1">
        <w:rPr>
          <w:rFonts w:ascii="Arial" w:hAnsi="Arial" w:cs="Arial"/>
          <w:i/>
          <w:iCs/>
          <w:color w:val="000000"/>
          <w:sz w:val="22"/>
          <w:szCs w:val="22"/>
        </w:rPr>
        <w:t xml:space="preserve">Crédito Público». </w:t>
      </w:r>
    </w:p>
    <w:p w14:paraId="43E31C66" w14:textId="77777777" w:rsidR="00DD029E" w:rsidRPr="00A353B1" w:rsidRDefault="00DD029E" w:rsidP="0087748F">
      <w:pPr>
        <w:spacing w:line="168" w:lineRule="auto"/>
        <w:rPr>
          <w:rFonts w:ascii="Arial" w:hAnsi="Arial" w:cs="Arial"/>
          <w:sz w:val="22"/>
          <w:szCs w:val="22"/>
        </w:rPr>
      </w:pPr>
    </w:p>
    <w:p w14:paraId="7AC55E07" w14:textId="77777777" w:rsidR="00056C0F" w:rsidRDefault="003A2A42" w:rsidP="00960301">
      <w:pPr>
        <w:jc w:val="both"/>
        <w:rPr>
          <w:rFonts w:ascii="Arial" w:hAnsi="Arial" w:cs="Arial"/>
          <w:sz w:val="22"/>
          <w:szCs w:val="22"/>
        </w:rPr>
      </w:pPr>
      <w:r w:rsidRPr="00A353B1">
        <w:rPr>
          <w:rFonts w:ascii="Arial" w:hAnsi="Arial" w:cs="Arial"/>
          <w:sz w:val="22"/>
          <w:szCs w:val="22"/>
        </w:rPr>
        <w:t xml:space="preserve">Por lo anterior, </w:t>
      </w:r>
      <w:r w:rsidR="0055353E" w:rsidRPr="00A353B1">
        <w:rPr>
          <w:rFonts w:ascii="Arial" w:hAnsi="Arial" w:cs="Arial"/>
          <w:sz w:val="22"/>
          <w:szCs w:val="22"/>
        </w:rPr>
        <w:t xml:space="preserve">en este ítem </w:t>
      </w:r>
      <w:r w:rsidR="00573F50" w:rsidRPr="00A353B1">
        <w:rPr>
          <w:rFonts w:ascii="Arial" w:hAnsi="Arial" w:cs="Arial"/>
          <w:sz w:val="22"/>
          <w:szCs w:val="22"/>
        </w:rPr>
        <w:t>se analizó</w:t>
      </w:r>
      <w:r w:rsidR="0055353E" w:rsidRPr="00A353B1">
        <w:rPr>
          <w:rFonts w:ascii="Arial" w:hAnsi="Arial" w:cs="Arial"/>
          <w:sz w:val="22"/>
          <w:szCs w:val="22"/>
        </w:rPr>
        <w:t xml:space="preserve"> la contratación realizada </w:t>
      </w:r>
      <w:r w:rsidRPr="00A353B1">
        <w:rPr>
          <w:rFonts w:ascii="Arial" w:hAnsi="Arial" w:cs="Arial"/>
          <w:sz w:val="22"/>
          <w:szCs w:val="22"/>
        </w:rPr>
        <w:t xml:space="preserve">por este Ministerio relacionada con </w:t>
      </w:r>
      <w:r w:rsidR="00D71C89" w:rsidRPr="00A353B1">
        <w:rPr>
          <w:rFonts w:ascii="Arial" w:hAnsi="Arial" w:cs="Arial"/>
          <w:sz w:val="22"/>
          <w:szCs w:val="22"/>
        </w:rPr>
        <w:t>la prestación de servicios profes</w:t>
      </w:r>
      <w:r w:rsidRPr="00A353B1">
        <w:rPr>
          <w:rFonts w:ascii="Arial" w:hAnsi="Arial" w:cs="Arial"/>
          <w:sz w:val="22"/>
          <w:szCs w:val="22"/>
        </w:rPr>
        <w:t>ionales y de apoyo a la gestión</w:t>
      </w:r>
      <w:r w:rsidR="00573F50" w:rsidRPr="00A353B1">
        <w:rPr>
          <w:rFonts w:ascii="Arial" w:hAnsi="Arial" w:cs="Arial"/>
          <w:sz w:val="22"/>
          <w:szCs w:val="22"/>
        </w:rPr>
        <w:t>. S</w:t>
      </w:r>
      <w:r w:rsidRPr="00A353B1">
        <w:rPr>
          <w:rFonts w:ascii="Arial" w:hAnsi="Arial" w:cs="Arial"/>
          <w:sz w:val="22"/>
          <w:szCs w:val="22"/>
        </w:rPr>
        <w:t xml:space="preserve">egún el nuevo Catálogo de Clasificación Presupuestal – CCP, </w:t>
      </w:r>
      <w:r w:rsidR="000E0804" w:rsidRPr="00A353B1">
        <w:rPr>
          <w:rFonts w:ascii="Arial" w:hAnsi="Arial" w:cs="Arial"/>
          <w:sz w:val="22"/>
          <w:szCs w:val="22"/>
        </w:rPr>
        <w:t>dichas contrataciones se registrarán</w:t>
      </w:r>
      <w:r w:rsidR="006C5403" w:rsidRPr="00A353B1">
        <w:rPr>
          <w:rFonts w:ascii="Arial" w:hAnsi="Arial" w:cs="Arial"/>
          <w:sz w:val="22"/>
          <w:szCs w:val="22"/>
        </w:rPr>
        <w:t xml:space="preserve"> en </w:t>
      </w:r>
      <w:r w:rsidR="007B0FA4" w:rsidRPr="00A353B1">
        <w:rPr>
          <w:rFonts w:ascii="Arial" w:hAnsi="Arial" w:cs="Arial"/>
          <w:sz w:val="22"/>
          <w:szCs w:val="22"/>
        </w:rPr>
        <w:t>el rubro</w:t>
      </w:r>
      <w:r w:rsidR="00221FEF">
        <w:rPr>
          <w:rFonts w:ascii="Arial" w:hAnsi="Arial" w:cs="Arial"/>
          <w:sz w:val="22"/>
          <w:szCs w:val="22"/>
        </w:rPr>
        <w:t xml:space="preserve"> presupuestal A-</w:t>
      </w:r>
      <w:r w:rsidR="006C5403" w:rsidRPr="00A353B1">
        <w:rPr>
          <w:rFonts w:ascii="Arial" w:hAnsi="Arial" w:cs="Arial"/>
          <w:sz w:val="22"/>
          <w:szCs w:val="22"/>
        </w:rPr>
        <w:t xml:space="preserve">02-02-02-008 Servicios Prestados a las Empresas y Servicios de Producción. </w:t>
      </w:r>
    </w:p>
    <w:p w14:paraId="3F691D97" w14:textId="53C2408E" w:rsidR="008B6A50" w:rsidRDefault="006C5403" w:rsidP="008B6A50">
      <w:pPr>
        <w:jc w:val="both"/>
        <w:rPr>
          <w:rFonts w:ascii="Arial" w:hAnsi="Arial" w:cs="Arial"/>
          <w:sz w:val="22"/>
          <w:szCs w:val="22"/>
        </w:rPr>
      </w:pPr>
      <w:r w:rsidRPr="00B246DF">
        <w:rPr>
          <w:rFonts w:ascii="Arial" w:hAnsi="Arial" w:cs="Arial"/>
          <w:sz w:val="22"/>
          <w:szCs w:val="22"/>
        </w:rPr>
        <w:lastRenderedPageBreak/>
        <w:t>C</w:t>
      </w:r>
      <w:r w:rsidR="00937E36" w:rsidRPr="00B246DF">
        <w:rPr>
          <w:rFonts w:ascii="Arial" w:hAnsi="Arial" w:cs="Arial"/>
          <w:sz w:val="22"/>
          <w:szCs w:val="22"/>
        </w:rPr>
        <w:t>on</w:t>
      </w:r>
      <w:r w:rsidR="00376710" w:rsidRPr="00B246DF">
        <w:rPr>
          <w:rFonts w:ascii="Arial" w:hAnsi="Arial" w:cs="Arial"/>
          <w:sz w:val="22"/>
          <w:szCs w:val="22"/>
        </w:rPr>
        <w:t xml:space="preserve"> base en la información entregada por el Grupo de </w:t>
      </w:r>
      <w:r w:rsidR="004B176F" w:rsidRPr="00B246DF">
        <w:rPr>
          <w:rFonts w:ascii="Arial" w:hAnsi="Arial" w:cs="Arial"/>
          <w:sz w:val="22"/>
          <w:szCs w:val="22"/>
        </w:rPr>
        <w:t xml:space="preserve">Contratación Directa </w:t>
      </w:r>
      <w:r w:rsidR="00376710" w:rsidRPr="00B246DF">
        <w:rPr>
          <w:rFonts w:ascii="Arial" w:hAnsi="Arial" w:cs="Arial"/>
          <w:sz w:val="22"/>
          <w:szCs w:val="22"/>
        </w:rPr>
        <w:t xml:space="preserve">de la Dirección Administrativa, con </w:t>
      </w:r>
      <w:r w:rsidR="00937E36" w:rsidRPr="00B246DF">
        <w:rPr>
          <w:rFonts w:ascii="Arial" w:hAnsi="Arial" w:cs="Arial"/>
          <w:sz w:val="22"/>
          <w:szCs w:val="22"/>
        </w:rPr>
        <w:t>corte a 3</w:t>
      </w:r>
      <w:r w:rsidR="000E0804" w:rsidRPr="00B246DF">
        <w:rPr>
          <w:rFonts w:ascii="Arial" w:hAnsi="Arial" w:cs="Arial"/>
          <w:sz w:val="22"/>
          <w:szCs w:val="22"/>
        </w:rPr>
        <w:t xml:space="preserve">0 de </w:t>
      </w:r>
      <w:r w:rsidR="00B246DF">
        <w:rPr>
          <w:rFonts w:ascii="Arial" w:hAnsi="Arial" w:cs="Arial"/>
          <w:sz w:val="22"/>
          <w:szCs w:val="22"/>
        </w:rPr>
        <w:t xml:space="preserve">septiembre </w:t>
      </w:r>
      <w:r w:rsidR="00937E36" w:rsidRPr="00B246DF">
        <w:rPr>
          <w:rFonts w:ascii="Arial" w:hAnsi="Arial" w:cs="Arial"/>
          <w:sz w:val="22"/>
          <w:szCs w:val="22"/>
        </w:rPr>
        <w:t xml:space="preserve">de </w:t>
      </w:r>
      <w:r w:rsidR="004177C2" w:rsidRPr="00B246DF">
        <w:rPr>
          <w:rFonts w:ascii="Arial" w:hAnsi="Arial" w:cs="Arial"/>
          <w:sz w:val="22"/>
          <w:szCs w:val="22"/>
        </w:rPr>
        <w:t>201</w:t>
      </w:r>
      <w:r w:rsidR="00376710" w:rsidRPr="00B246DF">
        <w:rPr>
          <w:rFonts w:ascii="Arial" w:hAnsi="Arial" w:cs="Arial"/>
          <w:sz w:val="22"/>
          <w:szCs w:val="22"/>
        </w:rPr>
        <w:t>9</w:t>
      </w:r>
      <w:r w:rsidR="00B246DF">
        <w:rPr>
          <w:rFonts w:ascii="Arial" w:hAnsi="Arial" w:cs="Arial"/>
          <w:sz w:val="22"/>
          <w:szCs w:val="22"/>
        </w:rPr>
        <w:t xml:space="preserve"> (inclusive)</w:t>
      </w:r>
      <w:r w:rsidR="004177C2" w:rsidRPr="00B246DF">
        <w:rPr>
          <w:rFonts w:ascii="Arial" w:hAnsi="Arial" w:cs="Arial"/>
          <w:sz w:val="22"/>
          <w:szCs w:val="22"/>
        </w:rPr>
        <w:t>, se encontraban</w:t>
      </w:r>
      <w:r w:rsidR="00937E36" w:rsidRPr="00B246DF">
        <w:rPr>
          <w:rFonts w:ascii="Arial" w:hAnsi="Arial" w:cs="Arial"/>
          <w:sz w:val="22"/>
          <w:szCs w:val="22"/>
        </w:rPr>
        <w:t xml:space="preserve"> vigentes </w:t>
      </w:r>
      <w:r w:rsidR="00106DAE">
        <w:rPr>
          <w:rFonts w:ascii="Arial" w:hAnsi="Arial" w:cs="Arial"/>
          <w:sz w:val="22"/>
          <w:szCs w:val="22"/>
        </w:rPr>
        <w:t>89</w:t>
      </w:r>
      <w:r w:rsidR="00937E36" w:rsidRPr="00B246DF">
        <w:rPr>
          <w:rFonts w:ascii="Arial" w:hAnsi="Arial" w:cs="Arial"/>
          <w:sz w:val="22"/>
          <w:szCs w:val="22"/>
        </w:rPr>
        <w:t xml:space="preserve"> contratos </w:t>
      </w:r>
      <w:r w:rsidR="004177C2" w:rsidRPr="00B246DF">
        <w:rPr>
          <w:rFonts w:ascii="Arial" w:hAnsi="Arial" w:cs="Arial"/>
          <w:sz w:val="22"/>
          <w:szCs w:val="22"/>
        </w:rPr>
        <w:t>de servicios personales</w:t>
      </w:r>
      <w:r w:rsidR="00376710" w:rsidRPr="00B246DF">
        <w:rPr>
          <w:rFonts w:ascii="Arial" w:hAnsi="Arial" w:cs="Arial"/>
          <w:sz w:val="22"/>
          <w:szCs w:val="22"/>
        </w:rPr>
        <w:t xml:space="preserve"> </w:t>
      </w:r>
      <w:r w:rsidR="00937E36" w:rsidRPr="00B246DF">
        <w:rPr>
          <w:rFonts w:ascii="Arial" w:hAnsi="Arial" w:cs="Arial"/>
          <w:sz w:val="22"/>
          <w:szCs w:val="22"/>
        </w:rPr>
        <w:t>distribuidos en las siguientes dependencias d</w:t>
      </w:r>
      <w:r w:rsidR="0069289D" w:rsidRPr="00B246DF">
        <w:rPr>
          <w:rFonts w:ascii="Arial" w:hAnsi="Arial" w:cs="Arial"/>
          <w:sz w:val="22"/>
          <w:szCs w:val="22"/>
        </w:rPr>
        <w:t>e este Ministerio:</w:t>
      </w:r>
    </w:p>
    <w:p w14:paraId="3EA0F708" w14:textId="77777777" w:rsidR="002A1C7E" w:rsidRDefault="00084E74" w:rsidP="008B6A50">
      <w:pPr>
        <w:jc w:val="both"/>
        <w:rPr>
          <w:rFonts w:ascii="Arial" w:hAnsi="Arial" w:cs="Arial"/>
          <w:sz w:val="22"/>
          <w:szCs w:val="22"/>
        </w:rPr>
      </w:pPr>
      <w:r w:rsidRPr="00447290">
        <w:rPr>
          <w:rFonts w:ascii="Calibri" w:hAnsi="Calibri" w:cs="Calibri"/>
          <w:noProof/>
          <w:color w:val="000000"/>
          <w:sz w:val="22"/>
          <w:szCs w:val="22"/>
        </w:rPr>
        <w:drawing>
          <wp:anchor distT="0" distB="0" distL="114300" distR="114300" simplePos="0" relativeHeight="251957248" behindDoc="0" locked="0" layoutInCell="1" allowOverlap="1" wp14:anchorId="59DC9C4E" wp14:editId="4B625D15">
            <wp:simplePos x="0" y="0"/>
            <wp:positionH relativeFrom="margin">
              <wp:align>right</wp:align>
            </wp:positionH>
            <wp:positionV relativeFrom="paragraph">
              <wp:posOffset>136525</wp:posOffset>
            </wp:positionV>
            <wp:extent cx="3619500" cy="3724275"/>
            <wp:effectExtent l="0" t="0" r="0" b="0"/>
            <wp:wrapNone/>
            <wp:docPr id="111" name="Gráfico 11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700-000002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69289D" w:rsidRPr="00A353B1">
        <w:rPr>
          <w:rFonts w:ascii="Arial" w:hAnsi="Arial" w:cs="Arial"/>
          <w:sz w:val="22"/>
          <w:szCs w:val="22"/>
        </w:rPr>
        <w:t xml:space="preserve"> </w:t>
      </w:r>
    </w:p>
    <w:tbl>
      <w:tblPr>
        <w:tblStyle w:val="Tabladecuadrcula1clara-nfasis1"/>
        <w:tblW w:w="9626" w:type="dxa"/>
        <w:tblLook w:val="04A0" w:firstRow="1" w:lastRow="0" w:firstColumn="1" w:lastColumn="0" w:noHBand="0" w:noVBand="1"/>
      </w:tblPr>
      <w:tblGrid>
        <w:gridCol w:w="2405"/>
        <w:gridCol w:w="1559"/>
        <w:gridCol w:w="1630"/>
        <w:gridCol w:w="840"/>
        <w:gridCol w:w="2754"/>
        <w:gridCol w:w="438"/>
      </w:tblGrid>
      <w:tr w:rsidR="00447290" w:rsidRPr="00447290" w14:paraId="2F5BDA99" w14:textId="77777777" w:rsidTr="00C65CFA">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405" w:type="dxa"/>
            <w:shd w:val="clear" w:color="auto" w:fill="4F81BD" w:themeFill="accent1"/>
            <w:hideMark/>
          </w:tcPr>
          <w:p w14:paraId="4031D6A8" w14:textId="77777777" w:rsidR="00447290" w:rsidRPr="00447290" w:rsidRDefault="00447290" w:rsidP="00C65CFA">
            <w:pPr>
              <w:jc w:val="center"/>
              <w:rPr>
                <w:rFonts w:ascii="Arial" w:hAnsi="Arial" w:cs="Arial"/>
                <w:color w:val="FFFFFF" w:themeColor="background1"/>
                <w:sz w:val="20"/>
                <w:szCs w:val="20"/>
              </w:rPr>
            </w:pPr>
            <w:r w:rsidRPr="00447290">
              <w:rPr>
                <w:rFonts w:ascii="Arial" w:hAnsi="Arial" w:cs="Arial"/>
                <w:color w:val="FFFFFF" w:themeColor="background1"/>
                <w:sz w:val="20"/>
                <w:szCs w:val="20"/>
              </w:rPr>
              <w:t xml:space="preserve">Dependencias - Según Estudios Previos </w:t>
            </w:r>
          </w:p>
        </w:tc>
        <w:tc>
          <w:tcPr>
            <w:tcW w:w="1559" w:type="dxa"/>
            <w:shd w:val="clear" w:color="auto" w:fill="4F81BD" w:themeFill="accent1"/>
            <w:hideMark/>
          </w:tcPr>
          <w:p w14:paraId="5304C252" w14:textId="77777777" w:rsidR="00447290" w:rsidRPr="00447290" w:rsidRDefault="00447290" w:rsidP="00C65CF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447290">
              <w:rPr>
                <w:rFonts w:ascii="Arial" w:hAnsi="Arial" w:cs="Arial"/>
                <w:color w:val="FFFFFF" w:themeColor="background1"/>
                <w:sz w:val="20"/>
                <w:szCs w:val="20"/>
              </w:rPr>
              <w:t>Cantidad de Contratos</w:t>
            </w:r>
          </w:p>
        </w:tc>
        <w:tc>
          <w:tcPr>
            <w:tcW w:w="1630" w:type="dxa"/>
            <w:noWrap/>
            <w:hideMark/>
          </w:tcPr>
          <w:p w14:paraId="789FB514" w14:textId="77777777" w:rsidR="00447290" w:rsidRPr="00447290" w:rsidRDefault="00447290" w:rsidP="00C65CFA">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070"/>
            </w:tblGrid>
            <w:tr w:rsidR="00447290" w:rsidRPr="00447290" w14:paraId="76BDA522" w14:textId="77777777" w:rsidTr="00447290">
              <w:trPr>
                <w:trHeight w:val="380"/>
                <w:tblCellSpacing w:w="0" w:type="dxa"/>
              </w:trPr>
              <w:tc>
                <w:tcPr>
                  <w:tcW w:w="1070" w:type="dxa"/>
                  <w:tcBorders>
                    <w:top w:val="nil"/>
                    <w:left w:val="nil"/>
                    <w:bottom w:val="nil"/>
                    <w:right w:val="nil"/>
                  </w:tcBorders>
                  <w:shd w:val="clear" w:color="auto" w:fill="auto"/>
                  <w:noWrap/>
                  <w:vAlign w:val="bottom"/>
                  <w:hideMark/>
                </w:tcPr>
                <w:p w14:paraId="21F2B2AF" w14:textId="77777777" w:rsidR="00447290" w:rsidRPr="00447290" w:rsidRDefault="00447290" w:rsidP="00C65CFA">
                  <w:pPr>
                    <w:rPr>
                      <w:rFonts w:ascii="Calibri" w:hAnsi="Calibri" w:cs="Calibri"/>
                      <w:color w:val="000000"/>
                      <w:sz w:val="22"/>
                      <w:szCs w:val="22"/>
                    </w:rPr>
                  </w:pPr>
                </w:p>
              </w:tc>
            </w:tr>
          </w:tbl>
          <w:p w14:paraId="64750714" w14:textId="77777777" w:rsidR="00447290" w:rsidRPr="00447290" w:rsidRDefault="00447290" w:rsidP="00C65CFA">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840" w:type="dxa"/>
            <w:noWrap/>
            <w:hideMark/>
          </w:tcPr>
          <w:p w14:paraId="789D82AC" w14:textId="77777777" w:rsidR="00447290" w:rsidRPr="00447290" w:rsidRDefault="00447290" w:rsidP="00C65CFA">
            <w:pPr>
              <w:cnfStyle w:val="100000000000" w:firstRow="1"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4DAAFCB7" w14:textId="77777777" w:rsidR="00447290" w:rsidRPr="00447290" w:rsidRDefault="00447290" w:rsidP="00C65CFA">
            <w:pPr>
              <w:cnfStyle w:val="100000000000" w:firstRow="1"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33ADD89D" w14:textId="77777777" w:rsidR="00447290" w:rsidRPr="00447290" w:rsidRDefault="00447290" w:rsidP="00C65CFA">
            <w:pPr>
              <w:cnfStyle w:val="100000000000" w:firstRow="1" w:lastRow="0" w:firstColumn="0" w:lastColumn="0" w:oddVBand="0" w:evenVBand="0" w:oddHBand="0" w:evenHBand="0" w:firstRowFirstColumn="0" w:firstRowLastColumn="0" w:lastRowFirstColumn="0" w:lastRowLastColumn="0"/>
              <w:rPr>
                <w:sz w:val="20"/>
                <w:szCs w:val="20"/>
              </w:rPr>
            </w:pPr>
          </w:p>
        </w:tc>
      </w:tr>
      <w:tr w:rsidR="00447290" w:rsidRPr="00447290" w14:paraId="261AF14B"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71DDF812"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SJ</w:t>
            </w:r>
          </w:p>
        </w:tc>
        <w:tc>
          <w:tcPr>
            <w:tcW w:w="1559" w:type="dxa"/>
            <w:hideMark/>
          </w:tcPr>
          <w:p w14:paraId="6B82B83B"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25</w:t>
            </w:r>
          </w:p>
        </w:tc>
        <w:tc>
          <w:tcPr>
            <w:tcW w:w="1630" w:type="dxa"/>
            <w:noWrap/>
            <w:hideMark/>
          </w:tcPr>
          <w:p w14:paraId="10E2ACA4"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6305D722"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721B1F19"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1584E391"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1FE84785"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72A785E3"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DT</w:t>
            </w:r>
          </w:p>
        </w:tc>
        <w:tc>
          <w:tcPr>
            <w:tcW w:w="1559" w:type="dxa"/>
            <w:hideMark/>
          </w:tcPr>
          <w:p w14:paraId="1FC845C9"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20</w:t>
            </w:r>
          </w:p>
        </w:tc>
        <w:tc>
          <w:tcPr>
            <w:tcW w:w="1630" w:type="dxa"/>
            <w:noWrap/>
            <w:hideMark/>
          </w:tcPr>
          <w:p w14:paraId="6129EE49"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20A73E30"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4B097ED8"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46540247"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0D22EF65"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2D0C781C"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DGPPN</w:t>
            </w:r>
          </w:p>
        </w:tc>
        <w:tc>
          <w:tcPr>
            <w:tcW w:w="1559" w:type="dxa"/>
            <w:hideMark/>
          </w:tcPr>
          <w:p w14:paraId="526885E4"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11</w:t>
            </w:r>
          </w:p>
        </w:tc>
        <w:tc>
          <w:tcPr>
            <w:tcW w:w="1630" w:type="dxa"/>
            <w:noWrap/>
            <w:hideMark/>
          </w:tcPr>
          <w:p w14:paraId="0EE54CC1"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0DBE4230"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56FDD625"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630D37CF"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5E8B8941"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1046BE73"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DM</w:t>
            </w:r>
          </w:p>
        </w:tc>
        <w:tc>
          <w:tcPr>
            <w:tcW w:w="1559" w:type="dxa"/>
            <w:hideMark/>
          </w:tcPr>
          <w:p w14:paraId="05050391"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7</w:t>
            </w:r>
          </w:p>
        </w:tc>
        <w:tc>
          <w:tcPr>
            <w:tcW w:w="1630" w:type="dxa"/>
            <w:noWrap/>
            <w:hideMark/>
          </w:tcPr>
          <w:p w14:paraId="2C669796"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76D21B06"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7563A498"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0AAE5F52"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5D4FBDC1"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2A1D72DC"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DGCPTN</w:t>
            </w:r>
          </w:p>
        </w:tc>
        <w:tc>
          <w:tcPr>
            <w:tcW w:w="1559" w:type="dxa"/>
            <w:hideMark/>
          </w:tcPr>
          <w:p w14:paraId="46CC1925"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5</w:t>
            </w:r>
          </w:p>
        </w:tc>
        <w:tc>
          <w:tcPr>
            <w:tcW w:w="1630" w:type="dxa"/>
            <w:noWrap/>
            <w:hideMark/>
          </w:tcPr>
          <w:p w14:paraId="1EED7543"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16B8567F"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38DB00BB"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44B7E16C"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284F4F80"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572F86EE"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DGRESS</w:t>
            </w:r>
          </w:p>
        </w:tc>
        <w:tc>
          <w:tcPr>
            <w:tcW w:w="1559" w:type="dxa"/>
            <w:hideMark/>
          </w:tcPr>
          <w:p w14:paraId="55582EED"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4</w:t>
            </w:r>
          </w:p>
        </w:tc>
        <w:tc>
          <w:tcPr>
            <w:tcW w:w="1630" w:type="dxa"/>
            <w:noWrap/>
            <w:hideMark/>
          </w:tcPr>
          <w:p w14:paraId="330D2B77"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1B494741"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653F45FA"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476C7EF5"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6C3EC2A8"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5A9BAD2"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DGPE</w:t>
            </w:r>
          </w:p>
        </w:tc>
        <w:tc>
          <w:tcPr>
            <w:tcW w:w="1559" w:type="dxa"/>
            <w:hideMark/>
          </w:tcPr>
          <w:p w14:paraId="5B70AB2E"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3</w:t>
            </w:r>
          </w:p>
        </w:tc>
        <w:tc>
          <w:tcPr>
            <w:tcW w:w="1630" w:type="dxa"/>
            <w:noWrap/>
            <w:hideMark/>
          </w:tcPr>
          <w:p w14:paraId="0C63F9F4"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7278AAE1"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1A405E25"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32687434"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73F8E5E1"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3EBEAA15"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SIIF</w:t>
            </w:r>
          </w:p>
        </w:tc>
        <w:tc>
          <w:tcPr>
            <w:tcW w:w="1559" w:type="dxa"/>
            <w:hideMark/>
          </w:tcPr>
          <w:p w14:paraId="338FB5A1"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2</w:t>
            </w:r>
          </w:p>
        </w:tc>
        <w:tc>
          <w:tcPr>
            <w:tcW w:w="1630" w:type="dxa"/>
            <w:noWrap/>
            <w:hideMark/>
          </w:tcPr>
          <w:p w14:paraId="2B37BEB3"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149BB15F"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33F042E8"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23439D5E"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397BB0C0"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2E97D490"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SG</w:t>
            </w:r>
          </w:p>
        </w:tc>
        <w:tc>
          <w:tcPr>
            <w:tcW w:w="1559" w:type="dxa"/>
            <w:hideMark/>
          </w:tcPr>
          <w:p w14:paraId="11C25A7A"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2</w:t>
            </w:r>
          </w:p>
        </w:tc>
        <w:tc>
          <w:tcPr>
            <w:tcW w:w="1630" w:type="dxa"/>
            <w:noWrap/>
            <w:hideMark/>
          </w:tcPr>
          <w:p w14:paraId="6815BCB4"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24F5430C"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7019EE49"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2DD758F0"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6A3C7130"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59388D1D"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OCDI</w:t>
            </w:r>
          </w:p>
        </w:tc>
        <w:tc>
          <w:tcPr>
            <w:tcW w:w="1559" w:type="dxa"/>
            <w:hideMark/>
          </w:tcPr>
          <w:p w14:paraId="698A89CB"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2</w:t>
            </w:r>
          </w:p>
        </w:tc>
        <w:tc>
          <w:tcPr>
            <w:tcW w:w="1630" w:type="dxa"/>
            <w:noWrap/>
            <w:hideMark/>
          </w:tcPr>
          <w:p w14:paraId="02D51F0B"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4514AADC"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44EB86CD"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1A9F3EE4"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4760A894"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2BCF3FC4"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OAJ</w:t>
            </w:r>
          </w:p>
        </w:tc>
        <w:tc>
          <w:tcPr>
            <w:tcW w:w="1559" w:type="dxa"/>
            <w:hideMark/>
          </w:tcPr>
          <w:p w14:paraId="48CE094F"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2</w:t>
            </w:r>
          </w:p>
        </w:tc>
        <w:tc>
          <w:tcPr>
            <w:tcW w:w="1630" w:type="dxa"/>
            <w:noWrap/>
            <w:hideMark/>
          </w:tcPr>
          <w:p w14:paraId="23480400"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1CCE47D9"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30A70D20"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13AF4E6F"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29C07C88"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62300EB4"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OBP</w:t>
            </w:r>
          </w:p>
        </w:tc>
        <w:tc>
          <w:tcPr>
            <w:tcW w:w="1559" w:type="dxa"/>
            <w:hideMark/>
          </w:tcPr>
          <w:p w14:paraId="68B10088" w14:textId="77777777" w:rsidR="00447290" w:rsidRPr="00447290" w:rsidRDefault="00D60AB4"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Pr>
                <w:rFonts w:ascii="Arial" w:hAnsi="Arial" w:cs="Arial"/>
                <w:color w:val="244061" w:themeColor="accent1" w:themeShade="80"/>
                <w:sz w:val="20"/>
                <w:szCs w:val="20"/>
              </w:rPr>
              <w:t>1</w:t>
            </w:r>
          </w:p>
        </w:tc>
        <w:tc>
          <w:tcPr>
            <w:tcW w:w="1630" w:type="dxa"/>
            <w:noWrap/>
            <w:hideMark/>
          </w:tcPr>
          <w:p w14:paraId="696E45E2"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467BDF32"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192E50D1"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20DF18A0"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55CFBB82"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58762F0B"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SS</w:t>
            </w:r>
          </w:p>
        </w:tc>
        <w:tc>
          <w:tcPr>
            <w:tcW w:w="1559" w:type="dxa"/>
            <w:hideMark/>
          </w:tcPr>
          <w:p w14:paraId="48F79755"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1</w:t>
            </w:r>
          </w:p>
        </w:tc>
        <w:tc>
          <w:tcPr>
            <w:tcW w:w="1630" w:type="dxa"/>
            <w:noWrap/>
            <w:hideMark/>
          </w:tcPr>
          <w:p w14:paraId="5D7565A7"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7BC9A655"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01FF15F3"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31F9C38D"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76437648"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1D595F6B"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SFOM</w:t>
            </w:r>
          </w:p>
        </w:tc>
        <w:tc>
          <w:tcPr>
            <w:tcW w:w="1559" w:type="dxa"/>
            <w:hideMark/>
          </w:tcPr>
          <w:p w14:paraId="08AE42A6"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1</w:t>
            </w:r>
          </w:p>
        </w:tc>
        <w:tc>
          <w:tcPr>
            <w:tcW w:w="1630" w:type="dxa"/>
            <w:noWrap/>
            <w:hideMark/>
          </w:tcPr>
          <w:p w14:paraId="203F8551"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3FEA31F1"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168AC943"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6557D998"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76FCC74F"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hideMark/>
          </w:tcPr>
          <w:p w14:paraId="151D8EBC"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OCI</w:t>
            </w:r>
          </w:p>
        </w:tc>
        <w:tc>
          <w:tcPr>
            <w:tcW w:w="1559" w:type="dxa"/>
            <w:hideMark/>
          </w:tcPr>
          <w:p w14:paraId="29F98F66"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1</w:t>
            </w:r>
          </w:p>
        </w:tc>
        <w:tc>
          <w:tcPr>
            <w:tcW w:w="1630" w:type="dxa"/>
            <w:noWrap/>
            <w:hideMark/>
          </w:tcPr>
          <w:p w14:paraId="65FF125F"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0570A9F2"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4E345DD0"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49FFD78B"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6D8D4171" w14:textId="77777777" w:rsidTr="00C65CFA">
        <w:trPr>
          <w:trHeight w:val="403"/>
        </w:trPr>
        <w:tc>
          <w:tcPr>
            <w:cnfStyle w:val="001000000000" w:firstRow="0" w:lastRow="0" w:firstColumn="1" w:lastColumn="0" w:oddVBand="0" w:evenVBand="0" w:oddHBand="0" w:evenHBand="0" w:firstRowFirstColumn="0" w:firstRowLastColumn="0" w:lastRowFirstColumn="0" w:lastRowLastColumn="0"/>
            <w:tcW w:w="2405" w:type="dxa"/>
            <w:hideMark/>
          </w:tcPr>
          <w:p w14:paraId="5A771D68"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DPM</w:t>
            </w:r>
          </w:p>
        </w:tc>
        <w:tc>
          <w:tcPr>
            <w:tcW w:w="1559" w:type="dxa"/>
            <w:hideMark/>
          </w:tcPr>
          <w:p w14:paraId="26AFF46D"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1</w:t>
            </w:r>
          </w:p>
        </w:tc>
        <w:tc>
          <w:tcPr>
            <w:tcW w:w="1630" w:type="dxa"/>
            <w:noWrap/>
            <w:hideMark/>
          </w:tcPr>
          <w:p w14:paraId="4740C4AD"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1AC5FAD7"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3834C35A"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5B3724D7"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04192206" w14:textId="77777777" w:rsidTr="00C65CFA">
        <w:trPr>
          <w:trHeight w:val="224"/>
        </w:trPr>
        <w:tc>
          <w:tcPr>
            <w:cnfStyle w:val="001000000000" w:firstRow="0" w:lastRow="0" w:firstColumn="1" w:lastColumn="0" w:oddVBand="0" w:evenVBand="0" w:oddHBand="0" w:evenHBand="0" w:firstRowFirstColumn="0" w:firstRowLastColumn="0" w:lastRowFirstColumn="0" w:lastRowLastColumn="0"/>
            <w:tcW w:w="2405" w:type="dxa"/>
            <w:tcBorders>
              <w:bottom w:val="double" w:sz="4" w:space="0" w:color="4F81BD" w:themeColor="accent1"/>
            </w:tcBorders>
            <w:hideMark/>
          </w:tcPr>
          <w:p w14:paraId="5F14771F" w14:textId="77777777" w:rsidR="00447290" w:rsidRPr="00447290" w:rsidRDefault="00447290" w:rsidP="00C65CFA">
            <w:pPr>
              <w:rPr>
                <w:rFonts w:ascii="Arial" w:hAnsi="Arial" w:cs="Arial"/>
                <w:b w:val="0"/>
                <w:color w:val="244061" w:themeColor="accent1" w:themeShade="80"/>
                <w:sz w:val="20"/>
                <w:szCs w:val="20"/>
              </w:rPr>
            </w:pPr>
            <w:r w:rsidRPr="00447290">
              <w:rPr>
                <w:rFonts w:ascii="Arial" w:hAnsi="Arial" w:cs="Arial"/>
                <w:b w:val="0"/>
                <w:color w:val="244061" w:themeColor="accent1" w:themeShade="80"/>
                <w:sz w:val="20"/>
                <w:szCs w:val="20"/>
              </w:rPr>
              <w:t>DVT</w:t>
            </w:r>
          </w:p>
        </w:tc>
        <w:tc>
          <w:tcPr>
            <w:tcW w:w="1559" w:type="dxa"/>
            <w:tcBorders>
              <w:bottom w:val="double" w:sz="4" w:space="0" w:color="4F81BD" w:themeColor="accent1"/>
            </w:tcBorders>
            <w:hideMark/>
          </w:tcPr>
          <w:p w14:paraId="2F2ACFD5"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1</w:t>
            </w:r>
          </w:p>
        </w:tc>
        <w:tc>
          <w:tcPr>
            <w:tcW w:w="1630" w:type="dxa"/>
            <w:noWrap/>
            <w:hideMark/>
          </w:tcPr>
          <w:p w14:paraId="1873E39E"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40" w:type="dxa"/>
            <w:noWrap/>
            <w:hideMark/>
          </w:tcPr>
          <w:p w14:paraId="30EFD195"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7B4808E8"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158AACF0"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r w:rsidR="00447290" w:rsidRPr="00447290" w14:paraId="5422EE1E" w14:textId="77777777" w:rsidTr="007C2B64">
        <w:trPr>
          <w:cantSplit/>
          <w:trHeight w:val="533"/>
        </w:trPr>
        <w:tc>
          <w:tcPr>
            <w:cnfStyle w:val="001000000000" w:firstRow="0" w:lastRow="0" w:firstColumn="1" w:lastColumn="0" w:oddVBand="0" w:evenVBand="0" w:oddHBand="0" w:evenHBand="0" w:firstRowFirstColumn="0" w:firstRowLastColumn="0" w:lastRowFirstColumn="0" w:lastRowLastColumn="0"/>
            <w:tcW w:w="2405" w:type="dxa"/>
            <w:tcBorders>
              <w:top w:val="double" w:sz="4" w:space="0" w:color="4F81BD" w:themeColor="accent1"/>
              <w:bottom w:val="double" w:sz="4" w:space="0" w:color="4F81BD" w:themeColor="accent1"/>
            </w:tcBorders>
            <w:vAlign w:val="center"/>
            <w:hideMark/>
          </w:tcPr>
          <w:p w14:paraId="533AE172" w14:textId="77777777" w:rsidR="00447290" w:rsidRPr="00447290" w:rsidRDefault="00447290" w:rsidP="00C65CFA">
            <w:pPr>
              <w:jc w:val="center"/>
              <w:rPr>
                <w:rFonts w:ascii="Arial" w:hAnsi="Arial" w:cs="Arial"/>
                <w:color w:val="244061" w:themeColor="accent1" w:themeShade="80"/>
                <w:sz w:val="20"/>
                <w:szCs w:val="20"/>
              </w:rPr>
            </w:pPr>
            <w:r w:rsidRPr="00447290">
              <w:rPr>
                <w:rFonts w:ascii="Arial" w:hAnsi="Arial" w:cs="Arial"/>
                <w:color w:val="244061" w:themeColor="accent1" w:themeShade="80"/>
                <w:sz w:val="20"/>
                <w:szCs w:val="20"/>
              </w:rPr>
              <w:t>Total Contratos Vigentes 30-09-2019</w:t>
            </w:r>
          </w:p>
        </w:tc>
        <w:tc>
          <w:tcPr>
            <w:tcW w:w="1559" w:type="dxa"/>
            <w:tcBorders>
              <w:top w:val="double" w:sz="4" w:space="0" w:color="4F81BD" w:themeColor="accent1"/>
              <w:bottom w:val="double" w:sz="4" w:space="0" w:color="4F81BD" w:themeColor="accent1"/>
            </w:tcBorders>
            <w:vAlign w:val="center"/>
            <w:hideMark/>
          </w:tcPr>
          <w:p w14:paraId="14E7C522" w14:textId="77777777" w:rsidR="00447290" w:rsidRPr="00447290" w:rsidRDefault="00D60AB4"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244061" w:themeColor="accent1" w:themeShade="80"/>
                <w:sz w:val="20"/>
                <w:szCs w:val="20"/>
              </w:rPr>
            </w:pPr>
            <w:r>
              <w:rPr>
                <w:rFonts w:ascii="Arial" w:hAnsi="Arial" w:cs="Arial"/>
                <w:b/>
                <w:bCs/>
                <w:color w:val="244061" w:themeColor="accent1" w:themeShade="80"/>
                <w:sz w:val="20"/>
                <w:szCs w:val="20"/>
              </w:rPr>
              <w:t>89</w:t>
            </w:r>
          </w:p>
        </w:tc>
        <w:tc>
          <w:tcPr>
            <w:tcW w:w="1630" w:type="dxa"/>
            <w:noWrap/>
            <w:hideMark/>
          </w:tcPr>
          <w:p w14:paraId="1A82605A" w14:textId="77777777" w:rsidR="00447290" w:rsidRPr="00447290" w:rsidRDefault="00447290" w:rsidP="00C65CF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840" w:type="dxa"/>
            <w:noWrap/>
            <w:hideMark/>
          </w:tcPr>
          <w:p w14:paraId="16B71C9D"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2754" w:type="dxa"/>
            <w:noWrap/>
            <w:hideMark/>
          </w:tcPr>
          <w:p w14:paraId="09D16431"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c>
          <w:tcPr>
            <w:tcW w:w="438" w:type="dxa"/>
            <w:noWrap/>
            <w:hideMark/>
          </w:tcPr>
          <w:p w14:paraId="40FD6545" w14:textId="77777777" w:rsidR="00447290" w:rsidRPr="00447290" w:rsidRDefault="00447290" w:rsidP="00C65CFA">
            <w:pPr>
              <w:cnfStyle w:val="000000000000" w:firstRow="0" w:lastRow="0" w:firstColumn="0" w:lastColumn="0" w:oddVBand="0" w:evenVBand="0" w:oddHBand="0" w:evenHBand="0" w:firstRowFirstColumn="0" w:firstRowLastColumn="0" w:lastRowFirstColumn="0" w:lastRowLastColumn="0"/>
              <w:rPr>
                <w:sz w:val="20"/>
                <w:szCs w:val="20"/>
              </w:rPr>
            </w:pPr>
          </w:p>
        </w:tc>
      </w:tr>
    </w:tbl>
    <w:p w14:paraId="5B15DDDF" w14:textId="77777777" w:rsidR="002A1C7E" w:rsidRPr="00B246DF" w:rsidRDefault="002A1C7E" w:rsidP="00852B96">
      <w:pPr>
        <w:rPr>
          <w:rFonts w:ascii="Arial" w:hAnsi="Arial" w:cs="Arial"/>
          <w:sz w:val="22"/>
          <w:szCs w:val="22"/>
        </w:rPr>
      </w:pPr>
      <w:r w:rsidRPr="00B246DF">
        <w:rPr>
          <w:rStyle w:val="Refdenotaalpie"/>
          <w:rFonts w:ascii="Arial" w:hAnsi="Arial" w:cs="Arial"/>
          <w:sz w:val="22"/>
          <w:szCs w:val="22"/>
        </w:rPr>
        <w:footnoteReference w:id="2"/>
      </w:r>
    </w:p>
    <w:p w14:paraId="0F29329F" w14:textId="77777777" w:rsidR="007C2B64" w:rsidRDefault="007C2B64" w:rsidP="00093AD1">
      <w:pPr>
        <w:jc w:val="both"/>
        <w:rPr>
          <w:rFonts w:ascii="Arial" w:hAnsi="Arial" w:cs="Arial"/>
          <w:sz w:val="22"/>
          <w:szCs w:val="22"/>
        </w:rPr>
      </w:pPr>
    </w:p>
    <w:p w14:paraId="70EDA035" w14:textId="43C246F6" w:rsidR="001C2332" w:rsidRPr="00627A39" w:rsidRDefault="001C2332" w:rsidP="00093AD1">
      <w:pPr>
        <w:jc w:val="both"/>
        <w:rPr>
          <w:rFonts w:ascii="Arial" w:hAnsi="Arial" w:cs="Arial"/>
          <w:sz w:val="22"/>
          <w:szCs w:val="22"/>
        </w:rPr>
      </w:pPr>
      <w:r w:rsidRPr="00627A39">
        <w:rPr>
          <w:rFonts w:ascii="Arial" w:hAnsi="Arial" w:cs="Arial"/>
          <w:sz w:val="22"/>
          <w:szCs w:val="22"/>
        </w:rPr>
        <w:t>Para este caso, la Subdirección Jurídica y la Dirección de Tecnología son las áreas al interior de este Ministerio que tiene la mayor parte de los contratos suscritos [2</w:t>
      </w:r>
      <w:r w:rsidR="006C4D60">
        <w:rPr>
          <w:rFonts w:ascii="Arial" w:hAnsi="Arial" w:cs="Arial"/>
          <w:sz w:val="22"/>
          <w:szCs w:val="22"/>
        </w:rPr>
        <w:t>8</w:t>
      </w:r>
      <w:r w:rsidRPr="00627A39">
        <w:rPr>
          <w:rFonts w:ascii="Arial" w:hAnsi="Arial" w:cs="Arial"/>
          <w:sz w:val="22"/>
          <w:szCs w:val="22"/>
        </w:rPr>
        <w:t xml:space="preserve">% y 22% respectivamente], mediante la modalidad de prestación de servicios con cargo </w:t>
      </w:r>
      <w:r w:rsidR="00095E4E" w:rsidRPr="00627A39">
        <w:rPr>
          <w:rFonts w:ascii="Arial" w:hAnsi="Arial" w:cs="Arial"/>
          <w:sz w:val="22"/>
          <w:szCs w:val="22"/>
        </w:rPr>
        <w:t xml:space="preserve">a </w:t>
      </w:r>
      <w:r w:rsidRPr="00627A39">
        <w:rPr>
          <w:rFonts w:ascii="Arial" w:hAnsi="Arial" w:cs="Arial"/>
          <w:sz w:val="22"/>
          <w:szCs w:val="22"/>
        </w:rPr>
        <w:t xml:space="preserve">los rubros presupuestales de Honorarios [vigencia 2018] y Servicios Prestados a las Empresas y Servicios de Producción [Vigencia 2019]. </w:t>
      </w:r>
    </w:p>
    <w:p w14:paraId="6727F62E" w14:textId="77777777" w:rsidR="00093AD1" w:rsidRPr="00A003B6" w:rsidRDefault="00093AD1" w:rsidP="00093AD1">
      <w:pPr>
        <w:spacing w:line="168" w:lineRule="auto"/>
        <w:jc w:val="both"/>
        <w:rPr>
          <w:rFonts w:ascii="Arial" w:hAnsi="Arial" w:cs="Arial"/>
          <w:sz w:val="22"/>
          <w:szCs w:val="22"/>
          <w:highlight w:val="yellow"/>
        </w:rPr>
      </w:pPr>
    </w:p>
    <w:p w14:paraId="031C3654" w14:textId="49FCD6F2" w:rsidR="00E138C3" w:rsidRDefault="00E138C3" w:rsidP="00093AD1">
      <w:pPr>
        <w:jc w:val="both"/>
        <w:rPr>
          <w:rFonts w:ascii="Arial" w:hAnsi="Arial" w:cs="Arial"/>
          <w:sz w:val="22"/>
          <w:szCs w:val="22"/>
        </w:rPr>
      </w:pPr>
      <w:r w:rsidRPr="0052450B">
        <w:rPr>
          <w:rFonts w:ascii="Arial" w:hAnsi="Arial" w:cs="Arial"/>
          <w:sz w:val="22"/>
          <w:szCs w:val="22"/>
        </w:rPr>
        <w:t>Tomando como fuente de información, el reporte allegado por el Grupo de</w:t>
      </w:r>
      <w:r w:rsidR="004B176F" w:rsidRPr="0052450B">
        <w:rPr>
          <w:rFonts w:ascii="Arial" w:hAnsi="Arial" w:cs="Arial"/>
          <w:sz w:val="22"/>
          <w:szCs w:val="22"/>
        </w:rPr>
        <w:t xml:space="preserve"> Contratación </w:t>
      </w:r>
      <w:r w:rsidR="00257D1F" w:rsidRPr="0052450B">
        <w:rPr>
          <w:rFonts w:ascii="Arial" w:hAnsi="Arial" w:cs="Arial"/>
          <w:sz w:val="22"/>
          <w:szCs w:val="22"/>
        </w:rPr>
        <w:t>Directa [</w:t>
      </w:r>
      <w:r w:rsidRPr="0052450B">
        <w:rPr>
          <w:rFonts w:ascii="Arial" w:hAnsi="Arial" w:cs="Arial"/>
          <w:sz w:val="22"/>
          <w:szCs w:val="22"/>
        </w:rPr>
        <w:t>CON_R2220</w:t>
      </w:r>
      <w:r w:rsidR="004B176F" w:rsidRPr="0052450B">
        <w:rPr>
          <w:rFonts w:ascii="Arial" w:hAnsi="Arial" w:cs="Arial"/>
          <w:sz w:val="22"/>
          <w:szCs w:val="22"/>
        </w:rPr>
        <w:t>]</w:t>
      </w:r>
      <w:r w:rsidRPr="0052450B">
        <w:rPr>
          <w:rFonts w:ascii="Arial" w:hAnsi="Arial" w:cs="Arial"/>
          <w:sz w:val="22"/>
          <w:szCs w:val="22"/>
        </w:rPr>
        <w:t>, se efectuó una comparación de los contratos vigentes con corte a 3</w:t>
      </w:r>
      <w:r w:rsidR="00D53ED6" w:rsidRPr="0052450B">
        <w:rPr>
          <w:rFonts w:ascii="Arial" w:hAnsi="Arial" w:cs="Arial"/>
          <w:sz w:val="22"/>
          <w:szCs w:val="22"/>
        </w:rPr>
        <w:t>0</w:t>
      </w:r>
      <w:r w:rsidRPr="0052450B">
        <w:rPr>
          <w:rFonts w:ascii="Arial" w:hAnsi="Arial" w:cs="Arial"/>
          <w:sz w:val="22"/>
          <w:szCs w:val="22"/>
        </w:rPr>
        <w:t xml:space="preserve"> de </w:t>
      </w:r>
      <w:r w:rsidR="00627A39" w:rsidRPr="0052450B">
        <w:rPr>
          <w:rFonts w:ascii="Arial" w:hAnsi="Arial" w:cs="Arial"/>
          <w:sz w:val="22"/>
          <w:szCs w:val="22"/>
        </w:rPr>
        <w:t xml:space="preserve">septiembre de </w:t>
      </w:r>
      <w:r w:rsidRPr="0052450B">
        <w:rPr>
          <w:rFonts w:ascii="Arial" w:hAnsi="Arial" w:cs="Arial"/>
          <w:sz w:val="22"/>
          <w:szCs w:val="22"/>
        </w:rPr>
        <w:t>cada vigencia analizada [2019-2018]</w:t>
      </w:r>
      <w:r w:rsidR="001200E7" w:rsidRPr="0052450B">
        <w:rPr>
          <w:rFonts w:ascii="Arial" w:hAnsi="Arial" w:cs="Arial"/>
          <w:sz w:val="22"/>
          <w:szCs w:val="22"/>
        </w:rPr>
        <w:t>. A</w:t>
      </w:r>
      <w:r w:rsidRPr="0052450B">
        <w:rPr>
          <w:rFonts w:ascii="Arial" w:hAnsi="Arial" w:cs="Arial"/>
          <w:sz w:val="22"/>
          <w:szCs w:val="22"/>
        </w:rPr>
        <w:t xml:space="preserve"> nivel general se evidenció una </w:t>
      </w:r>
      <w:r w:rsidRPr="0052450B">
        <w:rPr>
          <w:rFonts w:ascii="Arial" w:hAnsi="Arial" w:cs="Arial"/>
          <w:b/>
          <w:sz w:val="22"/>
          <w:szCs w:val="22"/>
        </w:rPr>
        <w:t>variación negativa</w:t>
      </w:r>
      <w:r w:rsidRPr="0052450B">
        <w:rPr>
          <w:rFonts w:ascii="Arial" w:hAnsi="Arial" w:cs="Arial"/>
          <w:sz w:val="22"/>
          <w:szCs w:val="22"/>
        </w:rPr>
        <w:t xml:space="preserve"> </w:t>
      </w:r>
      <w:r w:rsidR="00D53ED6" w:rsidRPr="0052450B">
        <w:rPr>
          <w:rFonts w:ascii="Arial" w:hAnsi="Arial" w:cs="Arial"/>
          <w:sz w:val="22"/>
          <w:szCs w:val="22"/>
        </w:rPr>
        <w:t xml:space="preserve">correspondiente a </w:t>
      </w:r>
      <w:r w:rsidR="00993689">
        <w:rPr>
          <w:rFonts w:ascii="Arial" w:hAnsi="Arial" w:cs="Arial"/>
          <w:sz w:val="22"/>
          <w:szCs w:val="22"/>
        </w:rPr>
        <w:t>2</w:t>
      </w:r>
      <w:r w:rsidR="0052450B" w:rsidRPr="0052450B">
        <w:rPr>
          <w:rFonts w:ascii="Arial" w:hAnsi="Arial" w:cs="Arial"/>
          <w:sz w:val="22"/>
          <w:szCs w:val="22"/>
        </w:rPr>
        <w:t xml:space="preserve"> contrato</w:t>
      </w:r>
      <w:r w:rsidR="00190752" w:rsidRPr="0052450B">
        <w:rPr>
          <w:rFonts w:ascii="Arial" w:hAnsi="Arial" w:cs="Arial"/>
          <w:sz w:val="22"/>
          <w:szCs w:val="22"/>
        </w:rPr>
        <w:t>, representa</w:t>
      </w:r>
      <w:r w:rsidR="00A04378" w:rsidRPr="0052450B">
        <w:rPr>
          <w:rFonts w:ascii="Arial" w:hAnsi="Arial" w:cs="Arial"/>
          <w:sz w:val="22"/>
          <w:szCs w:val="22"/>
        </w:rPr>
        <w:t>ndo</w:t>
      </w:r>
      <w:r w:rsidR="00190752" w:rsidRPr="0052450B">
        <w:rPr>
          <w:rFonts w:ascii="Arial" w:hAnsi="Arial" w:cs="Arial"/>
          <w:sz w:val="22"/>
          <w:szCs w:val="22"/>
        </w:rPr>
        <w:t xml:space="preserve"> una disminución del </w:t>
      </w:r>
      <w:r w:rsidR="00993689">
        <w:rPr>
          <w:rFonts w:ascii="Arial" w:hAnsi="Arial" w:cs="Arial"/>
          <w:sz w:val="22"/>
          <w:szCs w:val="22"/>
        </w:rPr>
        <w:t>2</w:t>
      </w:r>
      <w:r w:rsidR="00190752" w:rsidRPr="0052450B">
        <w:rPr>
          <w:rFonts w:ascii="Arial" w:hAnsi="Arial" w:cs="Arial"/>
          <w:sz w:val="22"/>
          <w:szCs w:val="22"/>
        </w:rPr>
        <w:t>%</w:t>
      </w:r>
      <w:r w:rsidRPr="0052450B">
        <w:rPr>
          <w:rFonts w:ascii="Arial" w:hAnsi="Arial" w:cs="Arial"/>
          <w:sz w:val="22"/>
          <w:szCs w:val="22"/>
        </w:rPr>
        <w:t>, el resultad</w:t>
      </w:r>
      <w:r w:rsidR="00E84197" w:rsidRPr="0052450B">
        <w:rPr>
          <w:rFonts w:ascii="Arial" w:hAnsi="Arial" w:cs="Arial"/>
          <w:sz w:val="22"/>
          <w:szCs w:val="22"/>
        </w:rPr>
        <w:t>o por dependencia se detalla a continuación:</w:t>
      </w:r>
      <w:r w:rsidR="00E84197" w:rsidRPr="00627A39">
        <w:rPr>
          <w:rFonts w:ascii="Arial" w:hAnsi="Arial" w:cs="Arial"/>
          <w:sz w:val="22"/>
          <w:szCs w:val="22"/>
        </w:rPr>
        <w:t xml:space="preserve"> </w:t>
      </w:r>
    </w:p>
    <w:p w14:paraId="03CEE832" w14:textId="77777777" w:rsidR="007C2B64" w:rsidRPr="00627A39" w:rsidRDefault="007C2B64" w:rsidP="00093AD1">
      <w:pPr>
        <w:jc w:val="both"/>
        <w:rPr>
          <w:rFonts w:ascii="Arial" w:hAnsi="Arial" w:cs="Arial"/>
          <w:sz w:val="22"/>
          <w:szCs w:val="22"/>
        </w:rPr>
      </w:pPr>
    </w:p>
    <w:tbl>
      <w:tblPr>
        <w:tblStyle w:val="Tabladecuadrcula1clara-nfasis1"/>
        <w:tblW w:w="0" w:type="auto"/>
        <w:tblLook w:val="04A0" w:firstRow="1" w:lastRow="0" w:firstColumn="1" w:lastColumn="0" w:noHBand="0" w:noVBand="1"/>
      </w:tblPr>
      <w:tblGrid>
        <w:gridCol w:w="3898"/>
        <w:gridCol w:w="1455"/>
        <w:gridCol w:w="1559"/>
        <w:gridCol w:w="1117"/>
        <w:gridCol w:w="1649"/>
      </w:tblGrid>
      <w:tr w:rsidR="006C1FD8" w:rsidRPr="00A003B6" w14:paraId="6ECACF1B" w14:textId="77777777" w:rsidTr="002C21FE">
        <w:trPr>
          <w:cnfStyle w:val="100000000000" w:firstRow="1" w:lastRow="0" w:firstColumn="0" w:lastColumn="0" w:oddVBand="0" w:evenVBand="0" w:oddHBand="0" w:evenHBand="0" w:firstRowFirstColumn="0" w:firstRowLastColumn="0" w:lastRowFirstColumn="0" w:lastRowLastColumn="0"/>
          <w:cantSplit/>
          <w:trHeight w:val="392"/>
          <w:tblHeader/>
        </w:trPr>
        <w:tc>
          <w:tcPr>
            <w:cnfStyle w:val="001000000000" w:firstRow="0" w:lastRow="0" w:firstColumn="1" w:lastColumn="0" w:oddVBand="0" w:evenVBand="0" w:oddHBand="0" w:evenHBand="0" w:firstRowFirstColumn="0" w:firstRowLastColumn="0" w:lastRowFirstColumn="0" w:lastRowLastColumn="0"/>
            <w:tcW w:w="0" w:type="auto"/>
            <w:gridSpan w:val="5"/>
            <w:tcBorders>
              <w:top w:val="double" w:sz="4" w:space="0" w:color="4F81BD" w:themeColor="accent1"/>
              <w:bottom w:val="double" w:sz="4" w:space="0" w:color="4F81BD" w:themeColor="accent1"/>
            </w:tcBorders>
            <w:shd w:val="clear" w:color="auto" w:fill="auto"/>
            <w:vAlign w:val="center"/>
            <w:hideMark/>
          </w:tcPr>
          <w:p w14:paraId="44CC5AF9" w14:textId="77777777" w:rsidR="006C1FD8" w:rsidRPr="000D11A8" w:rsidRDefault="006C1FD8" w:rsidP="0039641B">
            <w:pPr>
              <w:widowControl w:val="0"/>
              <w:spacing w:before="40" w:after="20"/>
              <w:jc w:val="center"/>
              <w:rPr>
                <w:rFonts w:ascii="Arial" w:hAnsi="Arial" w:cs="Arial"/>
                <w:color w:val="0F243E" w:themeColor="text2" w:themeShade="80"/>
                <w:sz w:val="20"/>
                <w:szCs w:val="20"/>
              </w:rPr>
            </w:pPr>
            <w:r w:rsidRPr="000D11A8">
              <w:rPr>
                <w:rFonts w:ascii="Arial" w:hAnsi="Arial" w:cs="Arial"/>
                <w:color w:val="0F243E" w:themeColor="text2" w:themeShade="80"/>
                <w:sz w:val="20"/>
                <w:szCs w:val="20"/>
              </w:rPr>
              <w:t>Contratos Vigentes 2019 -2018</w:t>
            </w:r>
          </w:p>
        </w:tc>
      </w:tr>
      <w:tr w:rsidR="006C1FD8" w:rsidRPr="00A003B6" w14:paraId="46662F6C" w14:textId="77777777" w:rsidTr="002C21F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shd w:val="clear" w:color="auto" w:fill="4F81BD" w:themeFill="accent1"/>
            <w:vAlign w:val="center"/>
            <w:hideMark/>
          </w:tcPr>
          <w:p w14:paraId="7578380A" w14:textId="77777777" w:rsidR="006C1FD8" w:rsidRPr="0058015B" w:rsidRDefault="006C1FD8" w:rsidP="0039641B">
            <w:pPr>
              <w:widowControl w:val="0"/>
              <w:spacing w:before="40" w:after="20"/>
              <w:rPr>
                <w:rFonts w:ascii="Arial" w:hAnsi="Arial" w:cs="Arial"/>
                <w:color w:val="FFFFFF" w:themeColor="background1"/>
                <w:sz w:val="20"/>
                <w:szCs w:val="20"/>
              </w:rPr>
            </w:pPr>
            <w:r w:rsidRPr="0058015B">
              <w:rPr>
                <w:rFonts w:ascii="Arial" w:hAnsi="Arial" w:cs="Arial"/>
                <w:color w:val="FFFFFF" w:themeColor="background1"/>
                <w:sz w:val="20"/>
                <w:szCs w:val="20"/>
              </w:rPr>
              <w:t xml:space="preserve">Dependencias - Según Estudios Previos </w:t>
            </w:r>
          </w:p>
        </w:tc>
        <w:tc>
          <w:tcPr>
            <w:tcW w:w="1455" w:type="dxa"/>
            <w:tcBorders>
              <w:top w:val="double" w:sz="4" w:space="0" w:color="4F81BD" w:themeColor="accent1"/>
            </w:tcBorders>
            <w:shd w:val="clear" w:color="auto" w:fill="4F81BD" w:themeFill="accent1"/>
            <w:vAlign w:val="center"/>
            <w:hideMark/>
          </w:tcPr>
          <w:p w14:paraId="200AD3F1" w14:textId="77777777" w:rsidR="006C1FD8" w:rsidRPr="0058015B" w:rsidRDefault="006C1FD8" w:rsidP="0039641B">
            <w:pPr>
              <w:widowControl w:val="0"/>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8015B">
              <w:rPr>
                <w:rFonts w:ascii="Arial" w:hAnsi="Arial" w:cs="Arial"/>
                <w:b w:val="0"/>
                <w:bCs w:val="0"/>
                <w:color w:val="FFFFFF" w:themeColor="background1"/>
                <w:sz w:val="20"/>
                <w:szCs w:val="20"/>
              </w:rPr>
              <w:t>A 30-0</w:t>
            </w:r>
            <w:r w:rsidR="0058015B" w:rsidRPr="0058015B">
              <w:rPr>
                <w:rFonts w:ascii="Arial" w:hAnsi="Arial" w:cs="Arial"/>
                <w:b w:val="0"/>
                <w:bCs w:val="0"/>
                <w:color w:val="FFFFFF" w:themeColor="background1"/>
                <w:sz w:val="20"/>
                <w:szCs w:val="20"/>
              </w:rPr>
              <w:t>9</w:t>
            </w:r>
            <w:r w:rsidRPr="0058015B">
              <w:rPr>
                <w:rFonts w:ascii="Arial" w:hAnsi="Arial" w:cs="Arial"/>
                <w:b w:val="0"/>
                <w:bCs w:val="0"/>
                <w:color w:val="FFFFFF" w:themeColor="background1"/>
                <w:sz w:val="20"/>
                <w:szCs w:val="20"/>
              </w:rPr>
              <w:t>-2019</w:t>
            </w:r>
          </w:p>
        </w:tc>
        <w:tc>
          <w:tcPr>
            <w:tcW w:w="1559" w:type="dxa"/>
            <w:tcBorders>
              <w:top w:val="double" w:sz="4" w:space="0" w:color="4F81BD" w:themeColor="accent1"/>
            </w:tcBorders>
            <w:shd w:val="clear" w:color="auto" w:fill="4F81BD" w:themeFill="accent1"/>
            <w:vAlign w:val="center"/>
            <w:hideMark/>
          </w:tcPr>
          <w:p w14:paraId="5A718536" w14:textId="77777777" w:rsidR="006C1FD8" w:rsidRPr="0058015B" w:rsidRDefault="006C1FD8" w:rsidP="0039641B">
            <w:pPr>
              <w:widowControl w:val="0"/>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8015B">
              <w:rPr>
                <w:rFonts w:ascii="Arial" w:hAnsi="Arial" w:cs="Arial"/>
                <w:b w:val="0"/>
                <w:bCs w:val="0"/>
                <w:color w:val="FFFFFF" w:themeColor="background1"/>
                <w:sz w:val="20"/>
                <w:szCs w:val="20"/>
              </w:rPr>
              <w:t>A 30-0</w:t>
            </w:r>
            <w:r w:rsidR="0058015B" w:rsidRPr="0058015B">
              <w:rPr>
                <w:rFonts w:ascii="Arial" w:hAnsi="Arial" w:cs="Arial"/>
                <w:b w:val="0"/>
                <w:bCs w:val="0"/>
                <w:color w:val="FFFFFF" w:themeColor="background1"/>
                <w:sz w:val="20"/>
                <w:szCs w:val="20"/>
              </w:rPr>
              <w:t>9</w:t>
            </w:r>
            <w:r w:rsidRPr="0058015B">
              <w:rPr>
                <w:rFonts w:ascii="Arial" w:hAnsi="Arial" w:cs="Arial"/>
                <w:b w:val="0"/>
                <w:bCs w:val="0"/>
                <w:color w:val="FFFFFF" w:themeColor="background1"/>
                <w:sz w:val="20"/>
                <w:szCs w:val="20"/>
              </w:rPr>
              <w:t>-2018</w:t>
            </w:r>
          </w:p>
        </w:tc>
        <w:tc>
          <w:tcPr>
            <w:tcW w:w="1117" w:type="dxa"/>
            <w:tcBorders>
              <w:top w:val="double" w:sz="4" w:space="0" w:color="4F81BD" w:themeColor="accent1"/>
            </w:tcBorders>
            <w:shd w:val="clear" w:color="auto" w:fill="4F81BD" w:themeFill="accent1"/>
            <w:vAlign w:val="center"/>
            <w:hideMark/>
          </w:tcPr>
          <w:p w14:paraId="50105F74" w14:textId="77777777" w:rsidR="006C1FD8" w:rsidRPr="0058015B" w:rsidRDefault="006C1FD8" w:rsidP="0039641B">
            <w:pPr>
              <w:widowControl w:val="0"/>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8015B">
              <w:rPr>
                <w:rFonts w:ascii="Arial" w:hAnsi="Arial" w:cs="Arial"/>
                <w:b w:val="0"/>
                <w:bCs w:val="0"/>
                <w:color w:val="FFFFFF" w:themeColor="background1"/>
                <w:sz w:val="20"/>
                <w:szCs w:val="20"/>
              </w:rPr>
              <w:t>Variación  Absoluta</w:t>
            </w:r>
          </w:p>
        </w:tc>
        <w:tc>
          <w:tcPr>
            <w:tcW w:w="1649" w:type="dxa"/>
            <w:tcBorders>
              <w:top w:val="double" w:sz="4" w:space="0" w:color="4F81BD" w:themeColor="accent1"/>
            </w:tcBorders>
            <w:shd w:val="clear" w:color="auto" w:fill="4F81BD" w:themeFill="accent1"/>
            <w:vAlign w:val="center"/>
            <w:hideMark/>
          </w:tcPr>
          <w:p w14:paraId="1F2AC221" w14:textId="77777777" w:rsidR="006C1FD8" w:rsidRPr="0058015B" w:rsidRDefault="006C1FD8" w:rsidP="0039641B">
            <w:pPr>
              <w:widowControl w:val="0"/>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8015B">
              <w:rPr>
                <w:rFonts w:ascii="Arial" w:hAnsi="Arial" w:cs="Arial"/>
                <w:b w:val="0"/>
                <w:bCs w:val="0"/>
                <w:color w:val="FFFFFF" w:themeColor="background1"/>
                <w:sz w:val="20"/>
                <w:szCs w:val="20"/>
              </w:rPr>
              <w:t>Variación  Relativa %</w:t>
            </w:r>
          </w:p>
        </w:tc>
      </w:tr>
      <w:tr w:rsidR="008812C9" w:rsidRPr="00A003B6" w14:paraId="1A73ABC5" w14:textId="77777777" w:rsidTr="008812C9">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362E5B"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Subdirección Jurídica</w:t>
            </w:r>
          </w:p>
        </w:tc>
        <w:tc>
          <w:tcPr>
            <w:tcW w:w="1455" w:type="dxa"/>
            <w:vAlign w:val="center"/>
          </w:tcPr>
          <w:p w14:paraId="0E9D3706"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25</w:t>
            </w:r>
          </w:p>
        </w:tc>
        <w:tc>
          <w:tcPr>
            <w:tcW w:w="1559" w:type="dxa"/>
            <w:vAlign w:val="center"/>
          </w:tcPr>
          <w:p w14:paraId="40548C1D"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23</w:t>
            </w:r>
          </w:p>
        </w:tc>
        <w:tc>
          <w:tcPr>
            <w:tcW w:w="1117" w:type="dxa"/>
            <w:vAlign w:val="center"/>
          </w:tcPr>
          <w:p w14:paraId="06901173"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w:t>
            </w:r>
          </w:p>
        </w:tc>
        <w:tc>
          <w:tcPr>
            <w:tcW w:w="1649" w:type="dxa"/>
            <w:vAlign w:val="center"/>
          </w:tcPr>
          <w:p w14:paraId="5FFA253E"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9%</w:t>
            </w:r>
          </w:p>
        </w:tc>
      </w:tr>
      <w:tr w:rsidR="008812C9" w:rsidRPr="00A003B6" w14:paraId="0F4EE646"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2915BC9"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lastRenderedPageBreak/>
              <w:t>Dirección de Tecnologia</w:t>
            </w:r>
          </w:p>
        </w:tc>
        <w:tc>
          <w:tcPr>
            <w:tcW w:w="1455" w:type="dxa"/>
            <w:vAlign w:val="center"/>
          </w:tcPr>
          <w:p w14:paraId="7D7B2933"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20</w:t>
            </w:r>
          </w:p>
        </w:tc>
        <w:tc>
          <w:tcPr>
            <w:tcW w:w="1559" w:type="dxa"/>
            <w:vAlign w:val="center"/>
          </w:tcPr>
          <w:p w14:paraId="78E87B0A"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20</w:t>
            </w:r>
          </w:p>
        </w:tc>
        <w:tc>
          <w:tcPr>
            <w:tcW w:w="1117" w:type="dxa"/>
            <w:vAlign w:val="center"/>
          </w:tcPr>
          <w:p w14:paraId="09C53608"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c>
          <w:tcPr>
            <w:tcW w:w="1649" w:type="dxa"/>
            <w:vAlign w:val="center"/>
          </w:tcPr>
          <w:p w14:paraId="6DB68D12"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r>
      <w:tr w:rsidR="008812C9" w:rsidRPr="00A003B6" w14:paraId="23AA2857"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E4D349"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Dirección General del Presupuesto Público Nacional</w:t>
            </w:r>
          </w:p>
        </w:tc>
        <w:tc>
          <w:tcPr>
            <w:tcW w:w="1455" w:type="dxa"/>
            <w:vAlign w:val="center"/>
          </w:tcPr>
          <w:p w14:paraId="458A78C7"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11</w:t>
            </w:r>
          </w:p>
        </w:tc>
        <w:tc>
          <w:tcPr>
            <w:tcW w:w="1559" w:type="dxa"/>
            <w:vAlign w:val="center"/>
          </w:tcPr>
          <w:p w14:paraId="6C483B4A"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14</w:t>
            </w:r>
          </w:p>
        </w:tc>
        <w:tc>
          <w:tcPr>
            <w:tcW w:w="1117" w:type="dxa"/>
            <w:vAlign w:val="center"/>
          </w:tcPr>
          <w:p w14:paraId="2A176D49"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-3</w:t>
            </w:r>
          </w:p>
        </w:tc>
        <w:tc>
          <w:tcPr>
            <w:tcW w:w="1649" w:type="dxa"/>
            <w:vAlign w:val="center"/>
          </w:tcPr>
          <w:p w14:paraId="5FC85678"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-21%</w:t>
            </w:r>
          </w:p>
        </w:tc>
      </w:tr>
      <w:tr w:rsidR="008812C9" w:rsidRPr="00A003B6" w14:paraId="07818942"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DA56EA"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Despacho del Ministro de Hacienda y Crédito Público</w:t>
            </w:r>
          </w:p>
        </w:tc>
        <w:tc>
          <w:tcPr>
            <w:tcW w:w="1455" w:type="dxa"/>
            <w:vAlign w:val="center"/>
          </w:tcPr>
          <w:p w14:paraId="40452986"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7</w:t>
            </w:r>
          </w:p>
        </w:tc>
        <w:tc>
          <w:tcPr>
            <w:tcW w:w="1559" w:type="dxa"/>
            <w:vAlign w:val="center"/>
          </w:tcPr>
          <w:p w14:paraId="3856BD57"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8</w:t>
            </w:r>
          </w:p>
        </w:tc>
        <w:tc>
          <w:tcPr>
            <w:tcW w:w="1117" w:type="dxa"/>
            <w:vAlign w:val="center"/>
          </w:tcPr>
          <w:p w14:paraId="72AA8D44"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649" w:type="dxa"/>
            <w:vAlign w:val="center"/>
          </w:tcPr>
          <w:p w14:paraId="13FA61AB"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-13%</w:t>
            </w:r>
          </w:p>
        </w:tc>
      </w:tr>
      <w:tr w:rsidR="008812C9" w:rsidRPr="00A003B6" w14:paraId="1A81E80E"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B5BEE"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Dirección General de Crédito Publico y Tesoro Nacional</w:t>
            </w:r>
          </w:p>
        </w:tc>
        <w:tc>
          <w:tcPr>
            <w:tcW w:w="1455" w:type="dxa"/>
            <w:vAlign w:val="center"/>
          </w:tcPr>
          <w:p w14:paraId="0A8280B9"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5</w:t>
            </w:r>
          </w:p>
        </w:tc>
        <w:tc>
          <w:tcPr>
            <w:tcW w:w="1559" w:type="dxa"/>
            <w:vAlign w:val="center"/>
          </w:tcPr>
          <w:p w14:paraId="4B90E2B8"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7</w:t>
            </w:r>
          </w:p>
        </w:tc>
        <w:tc>
          <w:tcPr>
            <w:tcW w:w="1117" w:type="dxa"/>
            <w:vAlign w:val="center"/>
          </w:tcPr>
          <w:p w14:paraId="10567873"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w:t>
            </w:r>
          </w:p>
        </w:tc>
        <w:tc>
          <w:tcPr>
            <w:tcW w:w="1649" w:type="dxa"/>
            <w:vAlign w:val="center"/>
          </w:tcPr>
          <w:p w14:paraId="605791D1"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-29%</w:t>
            </w:r>
          </w:p>
        </w:tc>
      </w:tr>
      <w:tr w:rsidR="008812C9" w:rsidRPr="00A003B6" w14:paraId="24FD92E6"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B00E7F"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Dirección General de Regulación Económica de la Seguridad Social</w:t>
            </w:r>
          </w:p>
        </w:tc>
        <w:tc>
          <w:tcPr>
            <w:tcW w:w="1455" w:type="dxa"/>
            <w:vAlign w:val="center"/>
          </w:tcPr>
          <w:p w14:paraId="7128D475"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4</w:t>
            </w:r>
          </w:p>
        </w:tc>
        <w:tc>
          <w:tcPr>
            <w:tcW w:w="1559" w:type="dxa"/>
            <w:vAlign w:val="center"/>
          </w:tcPr>
          <w:p w14:paraId="466B80CB"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5</w:t>
            </w:r>
          </w:p>
        </w:tc>
        <w:tc>
          <w:tcPr>
            <w:tcW w:w="1117" w:type="dxa"/>
            <w:vAlign w:val="center"/>
          </w:tcPr>
          <w:p w14:paraId="2538C1FE"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649" w:type="dxa"/>
            <w:vAlign w:val="center"/>
          </w:tcPr>
          <w:p w14:paraId="0D76E360"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-20%</w:t>
            </w:r>
          </w:p>
        </w:tc>
      </w:tr>
      <w:tr w:rsidR="008812C9" w:rsidRPr="00A003B6" w14:paraId="07308178"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F93DCC"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Direccion General de Participaciones Estatales</w:t>
            </w:r>
          </w:p>
        </w:tc>
        <w:tc>
          <w:tcPr>
            <w:tcW w:w="1455" w:type="dxa"/>
            <w:vAlign w:val="center"/>
          </w:tcPr>
          <w:p w14:paraId="2AC49673"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3</w:t>
            </w:r>
          </w:p>
        </w:tc>
        <w:tc>
          <w:tcPr>
            <w:tcW w:w="1559" w:type="dxa"/>
            <w:vAlign w:val="center"/>
          </w:tcPr>
          <w:p w14:paraId="52CC7D5D"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w:t>
            </w:r>
          </w:p>
        </w:tc>
        <w:tc>
          <w:tcPr>
            <w:tcW w:w="1117" w:type="dxa"/>
            <w:vAlign w:val="center"/>
          </w:tcPr>
          <w:p w14:paraId="09F22C7C"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649" w:type="dxa"/>
            <w:vAlign w:val="center"/>
          </w:tcPr>
          <w:p w14:paraId="2AA14067"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50%</w:t>
            </w:r>
          </w:p>
        </w:tc>
      </w:tr>
      <w:tr w:rsidR="008812C9" w:rsidRPr="00A003B6" w14:paraId="393E4FD5"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E38819"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 xml:space="preserve">Administración SIIF Nación </w:t>
            </w:r>
          </w:p>
        </w:tc>
        <w:tc>
          <w:tcPr>
            <w:tcW w:w="1455" w:type="dxa"/>
            <w:vAlign w:val="center"/>
          </w:tcPr>
          <w:p w14:paraId="35E90711"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w:t>
            </w:r>
          </w:p>
        </w:tc>
        <w:tc>
          <w:tcPr>
            <w:tcW w:w="1559" w:type="dxa"/>
            <w:vAlign w:val="center"/>
          </w:tcPr>
          <w:p w14:paraId="47C0E4E0"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w:t>
            </w:r>
          </w:p>
        </w:tc>
        <w:tc>
          <w:tcPr>
            <w:tcW w:w="1117" w:type="dxa"/>
            <w:vAlign w:val="center"/>
          </w:tcPr>
          <w:p w14:paraId="4E194D13"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c>
          <w:tcPr>
            <w:tcW w:w="1649" w:type="dxa"/>
            <w:vAlign w:val="center"/>
          </w:tcPr>
          <w:p w14:paraId="3BAEBABA"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r>
      <w:tr w:rsidR="008812C9" w:rsidRPr="00A003B6" w14:paraId="05CC4874"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6896530"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Secretaria General</w:t>
            </w:r>
          </w:p>
        </w:tc>
        <w:tc>
          <w:tcPr>
            <w:tcW w:w="1455" w:type="dxa"/>
            <w:vAlign w:val="center"/>
          </w:tcPr>
          <w:p w14:paraId="7FFBAEDC"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w:t>
            </w:r>
          </w:p>
        </w:tc>
        <w:tc>
          <w:tcPr>
            <w:tcW w:w="1559" w:type="dxa"/>
            <w:vAlign w:val="center"/>
          </w:tcPr>
          <w:p w14:paraId="7570389C"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w:t>
            </w:r>
          </w:p>
        </w:tc>
        <w:tc>
          <w:tcPr>
            <w:tcW w:w="1117" w:type="dxa"/>
            <w:vAlign w:val="center"/>
          </w:tcPr>
          <w:p w14:paraId="6D38C144"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c>
          <w:tcPr>
            <w:tcW w:w="1649" w:type="dxa"/>
            <w:vAlign w:val="center"/>
          </w:tcPr>
          <w:p w14:paraId="355B2CA3"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r>
      <w:tr w:rsidR="008812C9" w:rsidRPr="00A003B6" w14:paraId="52CF7808"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043873"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Oficina de Control Interno Disciplinario</w:t>
            </w:r>
          </w:p>
        </w:tc>
        <w:tc>
          <w:tcPr>
            <w:tcW w:w="1455" w:type="dxa"/>
            <w:vAlign w:val="center"/>
          </w:tcPr>
          <w:p w14:paraId="01F650FF"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w:t>
            </w:r>
          </w:p>
        </w:tc>
        <w:tc>
          <w:tcPr>
            <w:tcW w:w="1559" w:type="dxa"/>
            <w:vAlign w:val="center"/>
          </w:tcPr>
          <w:p w14:paraId="618E0979"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w:t>
            </w:r>
          </w:p>
        </w:tc>
        <w:tc>
          <w:tcPr>
            <w:tcW w:w="1117" w:type="dxa"/>
            <w:vAlign w:val="center"/>
          </w:tcPr>
          <w:p w14:paraId="210E41B3"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c>
          <w:tcPr>
            <w:tcW w:w="1649" w:type="dxa"/>
            <w:vAlign w:val="center"/>
          </w:tcPr>
          <w:p w14:paraId="3AFB393C"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r>
      <w:tr w:rsidR="008812C9" w:rsidRPr="00A003B6" w14:paraId="28596A18"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3C9E73"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Oficina Asesora de Jurídica</w:t>
            </w:r>
          </w:p>
        </w:tc>
        <w:tc>
          <w:tcPr>
            <w:tcW w:w="1455" w:type="dxa"/>
            <w:vAlign w:val="center"/>
          </w:tcPr>
          <w:p w14:paraId="3C978FEC"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w:t>
            </w:r>
          </w:p>
        </w:tc>
        <w:tc>
          <w:tcPr>
            <w:tcW w:w="1559" w:type="dxa"/>
            <w:vAlign w:val="center"/>
          </w:tcPr>
          <w:p w14:paraId="1D792B2D"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w:t>
            </w:r>
          </w:p>
        </w:tc>
        <w:tc>
          <w:tcPr>
            <w:tcW w:w="1117" w:type="dxa"/>
            <w:vAlign w:val="center"/>
          </w:tcPr>
          <w:p w14:paraId="4C7A1A0A"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c>
          <w:tcPr>
            <w:tcW w:w="1649" w:type="dxa"/>
            <w:vAlign w:val="center"/>
          </w:tcPr>
          <w:p w14:paraId="0345D06C"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r>
      <w:tr w:rsidR="008812C9" w:rsidRPr="00A003B6" w14:paraId="12E1108B"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47F0AB"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Oficina de Bonos Pensionales</w:t>
            </w:r>
          </w:p>
        </w:tc>
        <w:tc>
          <w:tcPr>
            <w:tcW w:w="1455" w:type="dxa"/>
            <w:vAlign w:val="center"/>
          </w:tcPr>
          <w:p w14:paraId="27E8815A" w14:textId="77777777" w:rsidR="008812C9" w:rsidRPr="008812C9" w:rsidRDefault="0099368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1</w:t>
            </w:r>
          </w:p>
        </w:tc>
        <w:tc>
          <w:tcPr>
            <w:tcW w:w="1559" w:type="dxa"/>
            <w:vAlign w:val="center"/>
          </w:tcPr>
          <w:p w14:paraId="1DB71A23"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 </w:t>
            </w:r>
            <w:r w:rsidR="00AD4043">
              <w:rPr>
                <w:rFonts w:ascii="Arial" w:hAnsi="Arial" w:cs="Arial"/>
                <w:color w:val="0F243E" w:themeColor="text2" w:themeShade="80"/>
                <w:sz w:val="20"/>
                <w:szCs w:val="20"/>
              </w:rPr>
              <w:t>0</w:t>
            </w:r>
          </w:p>
        </w:tc>
        <w:tc>
          <w:tcPr>
            <w:tcW w:w="1117" w:type="dxa"/>
            <w:vAlign w:val="center"/>
          </w:tcPr>
          <w:p w14:paraId="14726C49" w14:textId="77777777" w:rsidR="008812C9" w:rsidRPr="008812C9" w:rsidRDefault="0099368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1</w:t>
            </w:r>
          </w:p>
        </w:tc>
        <w:tc>
          <w:tcPr>
            <w:tcW w:w="1649" w:type="dxa"/>
            <w:vAlign w:val="center"/>
          </w:tcPr>
          <w:p w14:paraId="04B0EF82"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100%</w:t>
            </w:r>
          </w:p>
        </w:tc>
      </w:tr>
      <w:tr w:rsidR="008812C9" w:rsidRPr="00A003B6" w14:paraId="59BF1168"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444E74" w14:textId="77777777" w:rsidR="008812C9" w:rsidRPr="008812C9" w:rsidRDefault="008812C9" w:rsidP="0039641B">
            <w:pPr>
              <w:spacing w:before="40" w:after="20"/>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 xml:space="preserve">Subdirección de Servicios </w:t>
            </w:r>
          </w:p>
        </w:tc>
        <w:tc>
          <w:tcPr>
            <w:tcW w:w="1455" w:type="dxa"/>
            <w:vAlign w:val="center"/>
          </w:tcPr>
          <w:p w14:paraId="5A82AD8D"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559" w:type="dxa"/>
            <w:vAlign w:val="center"/>
          </w:tcPr>
          <w:p w14:paraId="6248EC43"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 </w:t>
            </w:r>
            <w:r w:rsidR="00AD4043">
              <w:rPr>
                <w:rFonts w:ascii="Arial" w:hAnsi="Arial" w:cs="Arial"/>
                <w:color w:val="0F243E" w:themeColor="text2" w:themeShade="80"/>
                <w:sz w:val="20"/>
                <w:szCs w:val="20"/>
              </w:rPr>
              <w:t>0</w:t>
            </w:r>
          </w:p>
        </w:tc>
        <w:tc>
          <w:tcPr>
            <w:tcW w:w="1117" w:type="dxa"/>
            <w:vAlign w:val="center"/>
          </w:tcPr>
          <w:p w14:paraId="229CB1B7"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649" w:type="dxa"/>
            <w:vAlign w:val="center"/>
          </w:tcPr>
          <w:p w14:paraId="705A781E"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100%</w:t>
            </w:r>
          </w:p>
        </w:tc>
      </w:tr>
      <w:tr w:rsidR="008812C9" w:rsidRPr="00A003B6" w14:paraId="2900A0F4"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120B9C06"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 xml:space="preserve">Subdirección de Financiamiento don Organismos Multilaterales </w:t>
            </w:r>
          </w:p>
        </w:tc>
        <w:tc>
          <w:tcPr>
            <w:tcW w:w="1455" w:type="dxa"/>
            <w:vAlign w:val="center"/>
          </w:tcPr>
          <w:p w14:paraId="626D5277"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559" w:type="dxa"/>
            <w:vAlign w:val="center"/>
          </w:tcPr>
          <w:p w14:paraId="17019997"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c>
          <w:tcPr>
            <w:tcW w:w="1117" w:type="dxa"/>
            <w:vAlign w:val="center"/>
          </w:tcPr>
          <w:p w14:paraId="336E0116"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649" w:type="dxa"/>
            <w:vAlign w:val="center"/>
          </w:tcPr>
          <w:p w14:paraId="1E2C6A8F"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100%</w:t>
            </w:r>
          </w:p>
        </w:tc>
      </w:tr>
      <w:tr w:rsidR="008812C9" w:rsidRPr="00A003B6" w14:paraId="179FC8CC"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2B828A"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Oficina de Control Interno</w:t>
            </w:r>
          </w:p>
        </w:tc>
        <w:tc>
          <w:tcPr>
            <w:tcW w:w="1455" w:type="dxa"/>
            <w:vAlign w:val="center"/>
          </w:tcPr>
          <w:p w14:paraId="583BB010"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559" w:type="dxa"/>
            <w:vAlign w:val="center"/>
          </w:tcPr>
          <w:p w14:paraId="04DE3E0B"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2</w:t>
            </w:r>
          </w:p>
        </w:tc>
        <w:tc>
          <w:tcPr>
            <w:tcW w:w="1117" w:type="dxa"/>
            <w:vAlign w:val="center"/>
          </w:tcPr>
          <w:p w14:paraId="5CFED282"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649" w:type="dxa"/>
            <w:vAlign w:val="center"/>
          </w:tcPr>
          <w:p w14:paraId="36DEAD01"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-50%</w:t>
            </w:r>
          </w:p>
        </w:tc>
      </w:tr>
      <w:tr w:rsidR="008812C9" w:rsidRPr="00A003B6" w14:paraId="582D1C7F"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7E6EDE2"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Dirección General de Política Macroeconómica</w:t>
            </w:r>
          </w:p>
        </w:tc>
        <w:tc>
          <w:tcPr>
            <w:tcW w:w="1455" w:type="dxa"/>
            <w:vAlign w:val="center"/>
          </w:tcPr>
          <w:p w14:paraId="2140E4A6"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559" w:type="dxa"/>
            <w:vAlign w:val="center"/>
          </w:tcPr>
          <w:p w14:paraId="51907D36"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117" w:type="dxa"/>
            <w:vAlign w:val="center"/>
          </w:tcPr>
          <w:p w14:paraId="2F205058"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c>
          <w:tcPr>
            <w:tcW w:w="1649" w:type="dxa"/>
            <w:vAlign w:val="center"/>
          </w:tcPr>
          <w:p w14:paraId="05B6FDA3"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r>
      <w:tr w:rsidR="008812C9" w:rsidRPr="00A003B6" w14:paraId="2266314D" w14:textId="77777777" w:rsidTr="006C1FD8">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55AB1C83"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 xml:space="preserve">Despacho de Viceministerio Técnico </w:t>
            </w:r>
          </w:p>
        </w:tc>
        <w:tc>
          <w:tcPr>
            <w:tcW w:w="1455" w:type="dxa"/>
            <w:vAlign w:val="center"/>
          </w:tcPr>
          <w:p w14:paraId="2071A868"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559" w:type="dxa"/>
            <w:vAlign w:val="center"/>
          </w:tcPr>
          <w:p w14:paraId="435656F4"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c>
          <w:tcPr>
            <w:tcW w:w="1117" w:type="dxa"/>
            <w:vAlign w:val="center"/>
          </w:tcPr>
          <w:p w14:paraId="625298D1"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 </w:t>
            </w:r>
          </w:p>
        </w:tc>
        <w:tc>
          <w:tcPr>
            <w:tcW w:w="1649" w:type="dxa"/>
            <w:vAlign w:val="center"/>
          </w:tcPr>
          <w:p w14:paraId="15BD8363"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100%</w:t>
            </w:r>
          </w:p>
        </w:tc>
      </w:tr>
      <w:tr w:rsidR="008812C9" w:rsidRPr="00A003B6" w14:paraId="1619E61D" w14:textId="77777777" w:rsidTr="008812C9">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vAlign w:val="center"/>
          </w:tcPr>
          <w:p w14:paraId="457E23A0" w14:textId="77777777" w:rsidR="008812C9" w:rsidRPr="008812C9" w:rsidRDefault="008812C9" w:rsidP="0039641B">
            <w:pPr>
              <w:spacing w:before="40" w:after="20"/>
              <w:jc w:val="both"/>
              <w:rPr>
                <w:rFonts w:ascii="Arial" w:hAnsi="Arial" w:cs="Arial"/>
                <w:b w:val="0"/>
                <w:color w:val="0F243E" w:themeColor="text2" w:themeShade="80"/>
                <w:sz w:val="20"/>
                <w:szCs w:val="20"/>
              </w:rPr>
            </w:pPr>
            <w:r w:rsidRPr="008812C9">
              <w:rPr>
                <w:rFonts w:ascii="Arial" w:hAnsi="Arial" w:cs="Arial"/>
                <w:b w:val="0"/>
                <w:color w:val="0F243E" w:themeColor="text2" w:themeShade="80"/>
                <w:sz w:val="20"/>
                <w:szCs w:val="20"/>
              </w:rPr>
              <w:t>Oficina Asesora de Planeación</w:t>
            </w:r>
          </w:p>
        </w:tc>
        <w:tc>
          <w:tcPr>
            <w:tcW w:w="1455" w:type="dxa"/>
            <w:tcBorders>
              <w:bottom w:val="double" w:sz="4" w:space="0" w:color="4F81BD" w:themeColor="accent1"/>
            </w:tcBorders>
            <w:vAlign w:val="center"/>
          </w:tcPr>
          <w:p w14:paraId="13298400"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0</w:t>
            </w:r>
          </w:p>
        </w:tc>
        <w:tc>
          <w:tcPr>
            <w:tcW w:w="1559" w:type="dxa"/>
            <w:tcBorders>
              <w:bottom w:val="double" w:sz="4" w:space="0" w:color="4F81BD" w:themeColor="accent1"/>
            </w:tcBorders>
            <w:vAlign w:val="center"/>
          </w:tcPr>
          <w:p w14:paraId="3AB9A36E"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117" w:type="dxa"/>
            <w:tcBorders>
              <w:bottom w:val="double" w:sz="4" w:space="0" w:color="4F81BD" w:themeColor="accent1"/>
            </w:tcBorders>
            <w:vAlign w:val="center"/>
          </w:tcPr>
          <w:p w14:paraId="7EBF8BF9"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w:t>
            </w:r>
          </w:p>
        </w:tc>
        <w:tc>
          <w:tcPr>
            <w:tcW w:w="1649" w:type="dxa"/>
            <w:tcBorders>
              <w:bottom w:val="double" w:sz="4" w:space="0" w:color="4F81BD" w:themeColor="accent1"/>
            </w:tcBorders>
            <w:vAlign w:val="center"/>
          </w:tcPr>
          <w:p w14:paraId="1569C792" w14:textId="77777777" w:rsidR="008812C9" w:rsidRPr="008812C9" w:rsidRDefault="008812C9" w:rsidP="0039641B">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812C9">
              <w:rPr>
                <w:rFonts w:ascii="Arial" w:hAnsi="Arial" w:cs="Arial"/>
                <w:color w:val="0F243E" w:themeColor="text2" w:themeShade="80"/>
                <w:sz w:val="20"/>
                <w:szCs w:val="20"/>
              </w:rPr>
              <w:t>-100%</w:t>
            </w:r>
          </w:p>
        </w:tc>
      </w:tr>
      <w:tr w:rsidR="006C1FD8" w:rsidRPr="00A003B6" w14:paraId="7BF77A01" w14:textId="77777777" w:rsidTr="00E84197">
        <w:trPr>
          <w:cantSplit/>
          <w:trHeight w:val="439"/>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hideMark/>
          </w:tcPr>
          <w:p w14:paraId="7A9D913E" w14:textId="77777777" w:rsidR="006C1FD8" w:rsidRPr="008812C9" w:rsidRDefault="006C1FD8" w:rsidP="0039641B">
            <w:pPr>
              <w:widowControl w:val="0"/>
              <w:spacing w:before="40" w:after="20"/>
              <w:rPr>
                <w:rFonts w:ascii="Arial" w:hAnsi="Arial" w:cs="Arial"/>
                <w:color w:val="0F243E" w:themeColor="text2" w:themeShade="80"/>
                <w:sz w:val="20"/>
                <w:szCs w:val="20"/>
              </w:rPr>
            </w:pPr>
            <w:r w:rsidRPr="008812C9">
              <w:rPr>
                <w:rFonts w:ascii="Arial" w:hAnsi="Arial" w:cs="Arial"/>
                <w:color w:val="0F243E" w:themeColor="text2" w:themeShade="80"/>
                <w:sz w:val="20"/>
                <w:szCs w:val="20"/>
              </w:rPr>
              <w:t>Total de Contratos Vigentes</w:t>
            </w:r>
          </w:p>
        </w:tc>
        <w:tc>
          <w:tcPr>
            <w:tcW w:w="1455" w:type="dxa"/>
            <w:tcBorders>
              <w:top w:val="double" w:sz="4" w:space="0" w:color="4F81BD" w:themeColor="accent1"/>
              <w:bottom w:val="double" w:sz="4" w:space="0" w:color="4F81BD" w:themeColor="accent1"/>
            </w:tcBorders>
            <w:vAlign w:val="center"/>
            <w:hideMark/>
          </w:tcPr>
          <w:p w14:paraId="09D9E5E5" w14:textId="77777777" w:rsidR="006C1FD8" w:rsidRPr="008812C9" w:rsidRDefault="00993689" w:rsidP="0039641B">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89</w:t>
            </w:r>
          </w:p>
        </w:tc>
        <w:tc>
          <w:tcPr>
            <w:tcW w:w="1559" w:type="dxa"/>
            <w:tcBorders>
              <w:top w:val="double" w:sz="4" w:space="0" w:color="4F81BD" w:themeColor="accent1"/>
              <w:bottom w:val="double" w:sz="4" w:space="0" w:color="4F81BD" w:themeColor="accent1"/>
            </w:tcBorders>
            <w:vAlign w:val="center"/>
            <w:hideMark/>
          </w:tcPr>
          <w:p w14:paraId="07554B1A" w14:textId="77777777" w:rsidR="006C1FD8" w:rsidRPr="008812C9" w:rsidRDefault="0058015B" w:rsidP="0039641B">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812C9">
              <w:rPr>
                <w:rFonts w:ascii="Arial" w:hAnsi="Arial" w:cs="Arial"/>
                <w:b/>
                <w:bCs/>
                <w:color w:val="0F243E" w:themeColor="text2" w:themeShade="80"/>
                <w:sz w:val="20"/>
                <w:szCs w:val="20"/>
              </w:rPr>
              <w:t>91</w:t>
            </w:r>
          </w:p>
        </w:tc>
        <w:tc>
          <w:tcPr>
            <w:tcW w:w="1117" w:type="dxa"/>
            <w:tcBorders>
              <w:top w:val="double" w:sz="4" w:space="0" w:color="4F81BD" w:themeColor="accent1"/>
              <w:bottom w:val="double" w:sz="4" w:space="0" w:color="4F81BD" w:themeColor="accent1"/>
            </w:tcBorders>
            <w:vAlign w:val="center"/>
            <w:hideMark/>
          </w:tcPr>
          <w:p w14:paraId="6E2ECDCE" w14:textId="77777777" w:rsidR="006C1FD8" w:rsidRPr="008812C9" w:rsidRDefault="00993689" w:rsidP="0039641B">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(2)</w:t>
            </w:r>
          </w:p>
        </w:tc>
        <w:tc>
          <w:tcPr>
            <w:tcW w:w="1649" w:type="dxa"/>
            <w:tcBorders>
              <w:top w:val="double" w:sz="4" w:space="0" w:color="4F81BD" w:themeColor="accent1"/>
              <w:bottom w:val="double" w:sz="4" w:space="0" w:color="4F81BD" w:themeColor="accent1"/>
            </w:tcBorders>
            <w:vAlign w:val="center"/>
            <w:hideMark/>
          </w:tcPr>
          <w:p w14:paraId="149A3BDE" w14:textId="77777777" w:rsidR="006C1FD8" w:rsidRPr="008812C9" w:rsidRDefault="00993689" w:rsidP="0039641B">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(2</w:t>
            </w:r>
            <w:r w:rsidR="006C1FD8" w:rsidRPr="008812C9">
              <w:rPr>
                <w:rFonts w:ascii="Arial" w:hAnsi="Arial" w:cs="Arial"/>
                <w:b/>
                <w:bCs/>
                <w:color w:val="0F243E" w:themeColor="text2" w:themeShade="80"/>
                <w:sz w:val="20"/>
                <w:szCs w:val="20"/>
              </w:rPr>
              <w:t>%</w:t>
            </w:r>
            <w:r>
              <w:rPr>
                <w:rFonts w:ascii="Arial" w:hAnsi="Arial" w:cs="Arial"/>
                <w:b/>
                <w:bCs/>
                <w:color w:val="0F243E" w:themeColor="text2" w:themeShade="80"/>
                <w:sz w:val="20"/>
                <w:szCs w:val="20"/>
              </w:rPr>
              <w:t>)</w:t>
            </w:r>
          </w:p>
        </w:tc>
      </w:tr>
    </w:tbl>
    <w:p w14:paraId="601067B5" w14:textId="77777777" w:rsidR="00941C86" w:rsidRPr="00A003B6" w:rsidRDefault="00941C86" w:rsidP="009A28FA">
      <w:pPr>
        <w:rPr>
          <w:rFonts w:ascii="Arial" w:hAnsi="Arial" w:cs="Arial"/>
          <w:color w:val="000000"/>
          <w:sz w:val="22"/>
          <w:szCs w:val="22"/>
          <w:highlight w:val="yellow"/>
        </w:rPr>
      </w:pPr>
    </w:p>
    <w:p w14:paraId="70676198" w14:textId="77777777" w:rsidR="009A28FA" w:rsidRPr="00A003B6" w:rsidRDefault="00C855DA" w:rsidP="009A28FA">
      <w:pPr>
        <w:jc w:val="both"/>
        <w:rPr>
          <w:rFonts w:ascii="Arial" w:hAnsi="Arial" w:cs="Arial"/>
          <w:color w:val="000000"/>
          <w:sz w:val="22"/>
          <w:szCs w:val="22"/>
          <w:highlight w:val="yellow"/>
        </w:rPr>
      </w:pPr>
      <w:r w:rsidRPr="008F4A6A">
        <w:rPr>
          <w:rFonts w:ascii="Arial" w:hAnsi="Arial" w:cs="Arial"/>
          <w:color w:val="000000"/>
          <w:sz w:val="22"/>
          <w:szCs w:val="22"/>
        </w:rPr>
        <w:t xml:space="preserve">Es de mencionar, que la </w:t>
      </w:r>
      <w:r w:rsidR="00C57484" w:rsidRPr="008F4A6A">
        <w:rPr>
          <w:rFonts w:ascii="Arial" w:hAnsi="Arial" w:cs="Arial"/>
          <w:color w:val="000000"/>
          <w:sz w:val="22"/>
          <w:szCs w:val="22"/>
        </w:rPr>
        <w:t xml:space="preserve">tendencia de la </w:t>
      </w:r>
      <w:r w:rsidR="00FD3AB1" w:rsidRPr="008F4A6A">
        <w:rPr>
          <w:rFonts w:ascii="Arial" w:hAnsi="Arial" w:cs="Arial"/>
          <w:color w:val="000000"/>
          <w:sz w:val="22"/>
          <w:szCs w:val="22"/>
        </w:rPr>
        <w:t xml:space="preserve">contratación </w:t>
      </w:r>
      <w:r w:rsidR="00502536" w:rsidRPr="008F4A6A">
        <w:rPr>
          <w:rFonts w:ascii="Arial" w:hAnsi="Arial" w:cs="Arial"/>
          <w:color w:val="000000"/>
          <w:sz w:val="22"/>
          <w:szCs w:val="22"/>
        </w:rPr>
        <w:t xml:space="preserve">en términos generales </w:t>
      </w:r>
      <w:r w:rsidR="008F4A6A">
        <w:rPr>
          <w:rFonts w:ascii="Arial" w:hAnsi="Arial" w:cs="Arial"/>
          <w:color w:val="000000"/>
          <w:sz w:val="22"/>
          <w:szCs w:val="22"/>
        </w:rPr>
        <w:t xml:space="preserve">ha sido constante durante los tres trimestres transcurridos en la vigencia actual, </w:t>
      </w:r>
      <w:r w:rsidR="00502536" w:rsidRPr="008F4A6A">
        <w:rPr>
          <w:rFonts w:ascii="Arial" w:hAnsi="Arial" w:cs="Arial"/>
          <w:color w:val="000000"/>
          <w:sz w:val="22"/>
          <w:szCs w:val="22"/>
        </w:rPr>
        <w:t xml:space="preserve">toda vez que, </w:t>
      </w:r>
      <w:r w:rsidR="00706A90">
        <w:rPr>
          <w:rFonts w:ascii="Arial" w:hAnsi="Arial" w:cs="Arial"/>
          <w:color w:val="000000"/>
          <w:sz w:val="22"/>
          <w:szCs w:val="22"/>
        </w:rPr>
        <w:t xml:space="preserve">para los periodos analizados, </w:t>
      </w:r>
      <w:r w:rsidR="00FD3AB1" w:rsidRPr="008F4A6A">
        <w:rPr>
          <w:rFonts w:ascii="Arial" w:hAnsi="Arial" w:cs="Arial"/>
          <w:color w:val="000000"/>
          <w:sz w:val="22"/>
          <w:szCs w:val="22"/>
        </w:rPr>
        <w:t>el número de contratos por prestación de servicios profesi</w:t>
      </w:r>
      <w:r w:rsidR="00502536" w:rsidRPr="008F4A6A">
        <w:rPr>
          <w:rFonts w:ascii="Arial" w:hAnsi="Arial" w:cs="Arial"/>
          <w:color w:val="000000"/>
          <w:sz w:val="22"/>
          <w:szCs w:val="22"/>
        </w:rPr>
        <w:t xml:space="preserve">onales se </w:t>
      </w:r>
      <w:r w:rsidR="00E96B09" w:rsidRPr="008F4A6A">
        <w:rPr>
          <w:rFonts w:ascii="Arial" w:hAnsi="Arial" w:cs="Arial"/>
          <w:color w:val="000000"/>
          <w:sz w:val="22"/>
          <w:szCs w:val="22"/>
        </w:rPr>
        <w:t xml:space="preserve">ubicó en </w:t>
      </w:r>
      <w:r w:rsidR="00F24A0D" w:rsidRPr="008F4A6A">
        <w:rPr>
          <w:rFonts w:ascii="Arial" w:hAnsi="Arial" w:cs="Arial"/>
          <w:color w:val="000000"/>
          <w:sz w:val="22"/>
          <w:szCs w:val="22"/>
        </w:rPr>
        <w:t>el rango</w:t>
      </w:r>
      <w:r w:rsidR="00502536" w:rsidRPr="008F4A6A">
        <w:rPr>
          <w:rFonts w:ascii="Arial" w:hAnsi="Arial" w:cs="Arial"/>
          <w:color w:val="000000"/>
          <w:sz w:val="22"/>
          <w:szCs w:val="22"/>
        </w:rPr>
        <w:t xml:space="preserve"> entre </w:t>
      </w:r>
      <w:r w:rsidR="00B9048E">
        <w:rPr>
          <w:rFonts w:ascii="Arial" w:hAnsi="Arial" w:cs="Arial"/>
          <w:color w:val="000000"/>
          <w:sz w:val="22"/>
          <w:szCs w:val="22"/>
        </w:rPr>
        <w:t>88</w:t>
      </w:r>
      <w:r w:rsidR="00F24A0D" w:rsidRPr="008F4A6A">
        <w:rPr>
          <w:rFonts w:ascii="Arial" w:hAnsi="Arial" w:cs="Arial"/>
          <w:color w:val="000000"/>
          <w:sz w:val="22"/>
          <w:szCs w:val="22"/>
        </w:rPr>
        <w:t xml:space="preserve"> </w:t>
      </w:r>
      <w:r w:rsidR="00B9048E">
        <w:rPr>
          <w:rFonts w:ascii="Arial" w:hAnsi="Arial" w:cs="Arial"/>
          <w:color w:val="000000"/>
          <w:sz w:val="22"/>
          <w:szCs w:val="22"/>
        </w:rPr>
        <w:t xml:space="preserve">a </w:t>
      </w:r>
      <w:r w:rsidR="00106DAE">
        <w:rPr>
          <w:rFonts w:ascii="Arial" w:hAnsi="Arial" w:cs="Arial"/>
          <w:color w:val="000000"/>
          <w:sz w:val="22"/>
          <w:szCs w:val="22"/>
        </w:rPr>
        <w:t>89</w:t>
      </w:r>
      <w:r w:rsidR="00460E40">
        <w:rPr>
          <w:rFonts w:ascii="Arial" w:hAnsi="Arial" w:cs="Arial"/>
          <w:color w:val="000000"/>
          <w:sz w:val="22"/>
          <w:szCs w:val="22"/>
        </w:rPr>
        <w:t xml:space="preserve">. </w:t>
      </w:r>
      <w:r w:rsidR="00502536" w:rsidRPr="008F4A6A">
        <w:rPr>
          <w:rFonts w:ascii="Arial" w:hAnsi="Arial" w:cs="Arial"/>
          <w:color w:val="000000"/>
          <w:sz w:val="22"/>
          <w:szCs w:val="22"/>
        </w:rPr>
        <w:t xml:space="preserve"> </w:t>
      </w:r>
      <w:r w:rsidR="009A28FA" w:rsidRPr="00A003B6">
        <w:rPr>
          <w:rFonts w:ascii="Arial" w:hAnsi="Arial" w:cs="Arial"/>
          <w:color w:val="000000"/>
          <w:sz w:val="22"/>
          <w:szCs w:val="22"/>
          <w:highlight w:val="yellow"/>
        </w:rPr>
        <w:t xml:space="preserve"> </w:t>
      </w:r>
    </w:p>
    <w:p w14:paraId="4917F210" w14:textId="77777777" w:rsidR="009A28FA" w:rsidRPr="00A003B6" w:rsidRDefault="009A28FA" w:rsidP="009A28FA">
      <w:pPr>
        <w:jc w:val="both"/>
        <w:rPr>
          <w:rFonts w:ascii="Arial" w:hAnsi="Arial" w:cs="Arial"/>
          <w:color w:val="000000"/>
          <w:sz w:val="22"/>
          <w:szCs w:val="22"/>
          <w:highlight w:val="yellow"/>
        </w:rPr>
      </w:pPr>
    </w:p>
    <w:p w14:paraId="36AE34BE" w14:textId="77777777" w:rsidR="00D07AE1" w:rsidRPr="00D07891" w:rsidRDefault="00A66339" w:rsidP="009A28FA">
      <w:pPr>
        <w:jc w:val="both"/>
        <w:rPr>
          <w:rFonts w:ascii="Arial" w:hAnsi="Arial" w:cs="Arial"/>
          <w:color w:val="000000"/>
          <w:sz w:val="22"/>
          <w:szCs w:val="22"/>
        </w:rPr>
      </w:pPr>
      <w:r w:rsidRPr="00D07891">
        <w:rPr>
          <w:rFonts w:ascii="Arial" w:hAnsi="Arial" w:cs="Arial"/>
          <w:color w:val="000000"/>
          <w:sz w:val="22"/>
          <w:szCs w:val="22"/>
        </w:rPr>
        <w:t xml:space="preserve">Por otra parte, </w:t>
      </w:r>
      <w:r w:rsidR="00190752" w:rsidRPr="00D07891">
        <w:rPr>
          <w:rFonts w:ascii="Arial" w:hAnsi="Arial" w:cs="Arial"/>
          <w:color w:val="000000"/>
          <w:sz w:val="22"/>
          <w:szCs w:val="22"/>
        </w:rPr>
        <w:t xml:space="preserve">con base en </w:t>
      </w:r>
      <w:r w:rsidRPr="00D07891">
        <w:rPr>
          <w:rFonts w:ascii="Arial" w:hAnsi="Arial" w:cs="Arial"/>
          <w:color w:val="000000"/>
          <w:sz w:val="22"/>
          <w:szCs w:val="22"/>
        </w:rPr>
        <w:t>la</w:t>
      </w:r>
      <w:r w:rsidR="00391651" w:rsidRPr="00D07891">
        <w:rPr>
          <w:rFonts w:ascii="Arial" w:hAnsi="Arial" w:cs="Arial"/>
          <w:color w:val="000000"/>
          <w:sz w:val="22"/>
          <w:szCs w:val="22"/>
        </w:rPr>
        <w:t xml:space="preserve"> información allegada por el Grupo de </w:t>
      </w:r>
      <w:r w:rsidR="00E13504" w:rsidRPr="00D07891">
        <w:rPr>
          <w:rFonts w:ascii="Arial" w:hAnsi="Arial" w:cs="Arial"/>
          <w:color w:val="000000"/>
          <w:sz w:val="22"/>
          <w:szCs w:val="22"/>
        </w:rPr>
        <w:t xml:space="preserve">Contratación Directa </w:t>
      </w:r>
      <w:r w:rsidR="00391651" w:rsidRPr="00D07891">
        <w:rPr>
          <w:rFonts w:ascii="Arial" w:hAnsi="Arial" w:cs="Arial"/>
          <w:color w:val="000000"/>
          <w:sz w:val="22"/>
          <w:szCs w:val="22"/>
        </w:rPr>
        <w:t>[reportes</w:t>
      </w:r>
      <w:r w:rsidR="00391651" w:rsidRPr="00D07891">
        <w:rPr>
          <w:rFonts w:ascii="Arial" w:hAnsi="Arial" w:cs="Arial"/>
          <w:b/>
          <w:sz w:val="22"/>
          <w:szCs w:val="22"/>
        </w:rPr>
        <w:t xml:space="preserve"> </w:t>
      </w:r>
      <w:r w:rsidR="00391651" w:rsidRPr="00D07891">
        <w:rPr>
          <w:rFonts w:ascii="Arial" w:hAnsi="Arial" w:cs="Arial"/>
          <w:color w:val="000000"/>
          <w:sz w:val="22"/>
          <w:szCs w:val="22"/>
        </w:rPr>
        <w:t xml:space="preserve">CON_R2173], se efectuó una </w:t>
      </w:r>
      <w:r w:rsidR="0086112E" w:rsidRPr="00D07891">
        <w:rPr>
          <w:rFonts w:ascii="Arial" w:hAnsi="Arial" w:cs="Arial"/>
          <w:color w:val="000000"/>
          <w:sz w:val="22"/>
          <w:szCs w:val="22"/>
        </w:rPr>
        <w:t xml:space="preserve">verificación </w:t>
      </w:r>
      <w:r w:rsidR="00744008" w:rsidRPr="00D07891">
        <w:rPr>
          <w:rFonts w:ascii="Arial" w:hAnsi="Arial" w:cs="Arial"/>
          <w:color w:val="000000"/>
          <w:sz w:val="22"/>
          <w:szCs w:val="22"/>
        </w:rPr>
        <w:t xml:space="preserve">de los </w:t>
      </w:r>
      <w:r w:rsidR="00105524" w:rsidRPr="00D07891">
        <w:rPr>
          <w:rFonts w:ascii="Arial" w:hAnsi="Arial" w:cs="Arial"/>
          <w:color w:val="000000"/>
          <w:sz w:val="22"/>
          <w:szCs w:val="22"/>
        </w:rPr>
        <w:t xml:space="preserve">contratos de </w:t>
      </w:r>
      <w:r w:rsidR="00456517">
        <w:rPr>
          <w:rFonts w:ascii="Arial" w:hAnsi="Arial" w:cs="Arial"/>
          <w:color w:val="000000"/>
          <w:sz w:val="22"/>
          <w:szCs w:val="22"/>
        </w:rPr>
        <w:t xml:space="preserve">julio a septiembre </w:t>
      </w:r>
      <w:r w:rsidR="00391651" w:rsidRPr="00D07891">
        <w:rPr>
          <w:rFonts w:ascii="Arial" w:hAnsi="Arial" w:cs="Arial"/>
          <w:color w:val="000000"/>
          <w:sz w:val="22"/>
          <w:szCs w:val="22"/>
        </w:rPr>
        <w:t>de</w:t>
      </w:r>
      <w:r w:rsidR="00105524" w:rsidRPr="00D07891">
        <w:rPr>
          <w:rFonts w:ascii="Arial" w:hAnsi="Arial" w:cs="Arial"/>
          <w:color w:val="000000"/>
          <w:sz w:val="22"/>
          <w:szCs w:val="22"/>
        </w:rPr>
        <w:t xml:space="preserve"> 201</w:t>
      </w:r>
      <w:r w:rsidR="00190752" w:rsidRPr="00D07891">
        <w:rPr>
          <w:rFonts w:ascii="Arial" w:hAnsi="Arial" w:cs="Arial"/>
          <w:color w:val="000000"/>
          <w:sz w:val="22"/>
          <w:szCs w:val="22"/>
        </w:rPr>
        <w:t>9</w:t>
      </w:r>
      <w:r w:rsidR="00391651" w:rsidRPr="00D07891">
        <w:rPr>
          <w:rFonts w:ascii="Arial" w:hAnsi="Arial" w:cs="Arial"/>
          <w:color w:val="000000"/>
          <w:sz w:val="22"/>
          <w:szCs w:val="22"/>
        </w:rPr>
        <w:t>, determina</w:t>
      </w:r>
      <w:r w:rsidR="00A04378" w:rsidRPr="00D07891">
        <w:rPr>
          <w:rFonts w:ascii="Arial" w:hAnsi="Arial" w:cs="Arial"/>
          <w:color w:val="000000"/>
          <w:sz w:val="22"/>
          <w:szCs w:val="22"/>
        </w:rPr>
        <w:t>n</w:t>
      </w:r>
      <w:r w:rsidR="00391651" w:rsidRPr="00D07891">
        <w:rPr>
          <w:rFonts w:ascii="Arial" w:hAnsi="Arial" w:cs="Arial"/>
          <w:color w:val="000000"/>
          <w:sz w:val="22"/>
          <w:szCs w:val="22"/>
        </w:rPr>
        <w:t xml:space="preserve">do que durante dichos periodos se suscribieron </w:t>
      </w:r>
      <w:r w:rsidR="00723396" w:rsidRPr="00D07891">
        <w:rPr>
          <w:rFonts w:ascii="Arial" w:hAnsi="Arial" w:cs="Arial"/>
          <w:color w:val="000000"/>
          <w:sz w:val="22"/>
          <w:szCs w:val="22"/>
        </w:rPr>
        <w:t>las siguientes contrataciones</w:t>
      </w:r>
      <w:r w:rsidR="008F6A7D" w:rsidRPr="00D07891">
        <w:rPr>
          <w:rFonts w:ascii="Arial" w:hAnsi="Arial" w:cs="Arial"/>
          <w:color w:val="000000"/>
          <w:sz w:val="22"/>
          <w:szCs w:val="22"/>
        </w:rPr>
        <w:t>:</w:t>
      </w:r>
    </w:p>
    <w:p w14:paraId="542A2A33" w14:textId="77777777" w:rsidR="009A28FA" w:rsidRPr="00D07891" w:rsidRDefault="009A28FA" w:rsidP="009A28FA">
      <w:pPr>
        <w:jc w:val="both"/>
        <w:rPr>
          <w:rFonts w:ascii="Arial" w:hAnsi="Arial" w:cs="Arial"/>
          <w:color w:val="000000"/>
          <w:sz w:val="22"/>
          <w:szCs w:val="22"/>
        </w:rPr>
      </w:pPr>
    </w:p>
    <w:tbl>
      <w:tblPr>
        <w:tblStyle w:val="Tabladecuadrcula1clara-nfasis1"/>
        <w:tblW w:w="0" w:type="auto"/>
        <w:tblLayout w:type="fixed"/>
        <w:tblLook w:val="04A0" w:firstRow="1" w:lastRow="0" w:firstColumn="1" w:lastColumn="0" w:noHBand="0" w:noVBand="1"/>
      </w:tblPr>
      <w:tblGrid>
        <w:gridCol w:w="2405"/>
        <w:gridCol w:w="1276"/>
        <w:gridCol w:w="1417"/>
        <w:gridCol w:w="1418"/>
        <w:gridCol w:w="1417"/>
        <w:gridCol w:w="1701"/>
      </w:tblGrid>
      <w:tr w:rsidR="00E12132" w:rsidRPr="0039641B" w14:paraId="74CFD6C3" w14:textId="77777777" w:rsidTr="0039641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4F81BD" w:themeFill="accent1"/>
            <w:vAlign w:val="center"/>
            <w:hideMark/>
          </w:tcPr>
          <w:p w14:paraId="70A1C3CF" w14:textId="77777777" w:rsidR="000E7175" w:rsidRPr="0039641B" w:rsidRDefault="000E7175" w:rsidP="007C2B64">
            <w:pPr>
              <w:spacing w:before="60" w:after="60"/>
              <w:jc w:val="center"/>
              <w:rPr>
                <w:rFonts w:ascii="Arial" w:hAnsi="Arial" w:cs="Arial"/>
                <w:color w:val="FFFFFF" w:themeColor="background1"/>
                <w:sz w:val="20"/>
                <w:szCs w:val="20"/>
              </w:rPr>
            </w:pPr>
            <w:r w:rsidRPr="0039641B">
              <w:rPr>
                <w:rFonts w:ascii="Arial" w:hAnsi="Arial" w:cs="Arial"/>
                <w:color w:val="FFFFFF" w:themeColor="background1"/>
                <w:sz w:val="20"/>
                <w:szCs w:val="20"/>
              </w:rPr>
              <w:t xml:space="preserve">Dependencia </w:t>
            </w:r>
          </w:p>
        </w:tc>
        <w:tc>
          <w:tcPr>
            <w:tcW w:w="1276" w:type="dxa"/>
            <w:vMerge w:val="restart"/>
            <w:shd w:val="clear" w:color="auto" w:fill="4F81BD" w:themeFill="accent1"/>
            <w:vAlign w:val="center"/>
            <w:hideMark/>
          </w:tcPr>
          <w:p w14:paraId="08E1E1E0" w14:textId="77777777" w:rsidR="000E7175" w:rsidRPr="0039641B" w:rsidRDefault="000E7175" w:rsidP="007C2B6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9641B">
              <w:rPr>
                <w:rFonts w:ascii="Arial" w:hAnsi="Arial" w:cs="Arial"/>
                <w:color w:val="FFFFFF" w:themeColor="background1"/>
                <w:sz w:val="20"/>
                <w:szCs w:val="20"/>
              </w:rPr>
              <w:t># Contratos</w:t>
            </w:r>
          </w:p>
        </w:tc>
        <w:tc>
          <w:tcPr>
            <w:tcW w:w="5953" w:type="dxa"/>
            <w:gridSpan w:val="4"/>
            <w:shd w:val="clear" w:color="auto" w:fill="4F81BD" w:themeFill="accent1"/>
            <w:vAlign w:val="center"/>
            <w:hideMark/>
          </w:tcPr>
          <w:p w14:paraId="5CA303A6" w14:textId="77777777" w:rsidR="000E7175" w:rsidRPr="0039641B" w:rsidRDefault="000E7175" w:rsidP="007C2B6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9641B">
              <w:rPr>
                <w:rFonts w:ascii="Arial" w:hAnsi="Arial" w:cs="Arial"/>
                <w:color w:val="FFFFFF" w:themeColor="background1"/>
                <w:sz w:val="20"/>
                <w:szCs w:val="20"/>
              </w:rPr>
              <w:t xml:space="preserve">Contratos Suscritos </w:t>
            </w:r>
            <w:r w:rsidR="00436B6B" w:rsidRPr="0039641B">
              <w:rPr>
                <w:rFonts w:ascii="Arial" w:hAnsi="Arial" w:cs="Arial"/>
                <w:color w:val="FFFFFF" w:themeColor="background1"/>
                <w:sz w:val="20"/>
                <w:szCs w:val="20"/>
              </w:rPr>
              <w:t>I</w:t>
            </w:r>
            <w:r w:rsidRPr="0039641B">
              <w:rPr>
                <w:rFonts w:ascii="Arial" w:hAnsi="Arial" w:cs="Arial"/>
                <w:color w:val="FFFFFF" w:themeColor="background1"/>
                <w:sz w:val="20"/>
                <w:szCs w:val="20"/>
              </w:rPr>
              <w:t>I</w:t>
            </w:r>
            <w:r w:rsidR="00573AB4" w:rsidRPr="0039641B">
              <w:rPr>
                <w:rFonts w:ascii="Arial" w:hAnsi="Arial" w:cs="Arial"/>
                <w:color w:val="FFFFFF" w:themeColor="background1"/>
                <w:sz w:val="20"/>
                <w:szCs w:val="20"/>
              </w:rPr>
              <w:t>I</w:t>
            </w:r>
            <w:r w:rsidRPr="0039641B">
              <w:rPr>
                <w:rFonts w:ascii="Arial" w:hAnsi="Arial" w:cs="Arial"/>
                <w:color w:val="FFFFFF" w:themeColor="background1"/>
                <w:sz w:val="20"/>
                <w:szCs w:val="20"/>
              </w:rPr>
              <w:t xml:space="preserve"> Trimestre de 2019</w:t>
            </w:r>
            <w:r w:rsidR="00502103" w:rsidRPr="0039641B">
              <w:rPr>
                <w:rFonts w:ascii="Arial" w:hAnsi="Arial" w:cs="Arial"/>
                <w:color w:val="FFFFFF" w:themeColor="background1"/>
                <w:sz w:val="20"/>
                <w:szCs w:val="20"/>
              </w:rPr>
              <w:t xml:space="preserve"> ($)</w:t>
            </w:r>
          </w:p>
        </w:tc>
      </w:tr>
      <w:tr w:rsidR="00E12132" w:rsidRPr="0039641B" w14:paraId="5604AC94" w14:textId="77777777" w:rsidTr="0039641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4F81BD" w:themeFill="accent1"/>
            <w:vAlign w:val="center"/>
            <w:hideMark/>
          </w:tcPr>
          <w:p w14:paraId="646EE069" w14:textId="77777777" w:rsidR="000E7175" w:rsidRPr="0039641B" w:rsidRDefault="000E7175" w:rsidP="007C2B64">
            <w:pPr>
              <w:spacing w:before="60" w:after="60"/>
              <w:rPr>
                <w:rFonts w:ascii="Arial" w:hAnsi="Arial" w:cs="Arial"/>
                <w:color w:val="FFFFFF" w:themeColor="background1"/>
                <w:sz w:val="20"/>
                <w:szCs w:val="20"/>
              </w:rPr>
            </w:pPr>
          </w:p>
        </w:tc>
        <w:tc>
          <w:tcPr>
            <w:tcW w:w="1276" w:type="dxa"/>
            <w:vMerge/>
            <w:shd w:val="clear" w:color="auto" w:fill="4F81BD" w:themeFill="accent1"/>
            <w:vAlign w:val="center"/>
            <w:hideMark/>
          </w:tcPr>
          <w:p w14:paraId="0CA419CD" w14:textId="77777777" w:rsidR="000E7175" w:rsidRPr="0039641B" w:rsidRDefault="000E7175" w:rsidP="007C2B6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1417" w:type="dxa"/>
            <w:shd w:val="clear" w:color="auto" w:fill="4F81BD" w:themeFill="accent1"/>
            <w:vAlign w:val="center"/>
            <w:hideMark/>
          </w:tcPr>
          <w:p w14:paraId="0E7E9868" w14:textId="77777777" w:rsidR="000E7175" w:rsidRPr="0039641B" w:rsidRDefault="00573AB4" w:rsidP="007C2B6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9641B">
              <w:rPr>
                <w:rFonts w:ascii="Arial" w:hAnsi="Arial" w:cs="Arial"/>
                <w:color w:val="FFFFFF" w:themeColor="background1"/>
                <w:sz w:val="20"/>
                <w:szCs w:val="20"/>
              </w:rPr>
              <w:t xml:space="preserve">Julio </w:t>
            </w:r>
            <w:r w:rsidR="000E7175" w:rsidRPr="0039641B">
              <w:rPr>
                <w:rFonts w:ascii="Arial" w:hAnsi="Arial" w:cs="Arial"/>
                <w:color w:val="FFFFFF" w:themeColor="background1"/>
                <w:sz w:val="20"/>
                <w:szCs w:val="20"/>
              </w:rPr>
              <w:t xml:space="preserve"> </w:t>
            </w:r>
          </w:p>
        </w:tc>
        <w:tc>
          <w:tcPr>
            <w:tcW w:w="1418" w:type="dxa"/>
            <w:shd w:val="clear" w:color="auto" w:fill="4F81BD" w:themeFill="accent1"/>
            <w:vAlign w:val="center"/>
            <w:hideMark/>
          </w:tcPr>
          <w:p w14:paraId="29A97379" w14:textId="77777777" w:rsidR="000E7175" w:rsidRPr="0039641B" w:rsidRDefault="00573AB4" w:rsidP="007C2B6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9641B">
              <w:rPr>
                <w:rFonts w:ascii="Arial" w:hAnsi="Arial" w:cs="Arial"/>
                <w:color w:val="FFFFFF" w:themeColor="background1"/>
                <w:sz w:val="20"/>
                <w:szCs w:val="20"/>
              </w:rPr>
              <w:t>Agosto</w:t>
            </w:r>
          </w:p>
        </w:tc>
        <w:tc>
          <w:tcPr>
            <w:tcW w:w="1417" w:type="dxa"/>
            <w:shd w:val="clear" w:color="auto" w:fill="4F81BD" w:themeFill="accent1"/>
            <w:vAlign w:val="center"/>
            <w:hideMark/>
          </w:tcPr>
          <w:p w14:paraId="64BFAA71" w14:textId="77777777" w:rsidR="000E7175" w:rsidRPr="0039641B" w:rsidRDefault="00573AB4" w:rsidP="007C2B6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9641B">
              <w:rPr>
                <w:rFonts w:ascii="Arial" w:hAnsi="Arial" w:cs="Arial"/>
                <w:color w:val="FFFFFF" w:themeColor="background1"/>
                <w:sz w:val="20"/>
                <w:szCs w:val="20"/>
              </w:rPr>
              <w:t>Septiembre</w:t>
            </w:r>
          </w:p>
        </w:tc>
        <w:tc>
          <w:tcPr>
            <w:tcW w:w="1701" w:type="dxa"/>
            <w:shd w:val="clear" w:color="auto" w:fill="4F81BD" w:themeFill="accent1"/>
            <w:vAlign w:val="center"/>
            <w:hideMark/>
          </w:tcPr>
          <w:p w14:paraId="27FAA7D0" w14:textId="77777777" w:rsidR="000E7175" w:rsidRPr="0039641B" w:rsidRDefault="00E12132" w:rsidP="007C2B6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9641B">
              <w:rPr>
                <w:rFonts w:ascii="Arial" w:hAnsi="Arial" w:cs="Arial"/>
                <w:b w:val="0"/>
                <w:bCs w:val="0"/>
                <w:color w:val="FFFFFF" w:themeColor="background1"/>
                <w:sz w:val="20"/>
                <w:szCs w:val="20"/>
              </w:rPr>
              <w:t xml:space="preserve">Total </w:t>
            </w:r>
            <w:r w:rsidR="000E7175" w:rsidRPr="0039641B">
              <w:rPr>
                <w:rFonts w:ascii="Arial" w:hAnsi="Arial" w:cs="Arial"/>
                <w:color w:val="FFFFFF" w:themeColor="background1"/>
                <w:sz w:val="20"/>
                <w:szCs w:val="20"/>
              </w:rPr>
              <w:t>Valor de Contratos</w:t>
            </w:r>
            <w:r w:rsidRPr="0039641B">
              <w:rPr>
                <w:rFonts w:ascii="Arial" w:hAnsi="Arial" w:cs="Arial"/>
                <w:b w:val="0"/>
                <w:bCs w:val="0"/>
                <w:color w:val="FFFFFF" w:themeColor="background1"/>
                <w:sz w:val="20"/>
                <w:szCs w:val="20"/>
              </w:rPr>
              <w:t xml:space="preserve"> ($)</w:t>
            </w:r>
          </w:p>
        </w:tc>
      </w:tr>
      <w:tr w:rsidR="00BC7F4D" w:rsidRPr="0039641B" w14:paraId="1C6F4BFB" w14:textId="77777777" w:rsidTr="0039641B">
        <w:trPr>
          <w:cantSplit/>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14:paraId="0C5D97B0" w14:textId="77777777" w:rsidR="00BC7F4D" w:rsidRPr="0039641B" w:rsidRDefault="00BC7F4D" w:rsidP="007C2B64">
            <w:pPr>
              <w:spacing w:before="60" w:after="60"/>
              <w:rPr>
                <w:rFonts w:ascii="Arial" w:hAnsi="Arial" w:cs="Arial"/>
                <w:b w:val="0"/>
                <w:color w:val="0F243E" w:themeColor="text2" w:themeShade="80"/>
                <w:sz w:val="20"/>
                <w:szCs w:val="20"/>
              </w:rPr>
            </w:pPr>
            <w:r w:rsidRPr="0039641B">
              <w:rPr>
                <w:rFonts w:ascii="Arial" w:hAnsi="Arial" w:cs="Arial"/>
                <w:b w:val="0"/>
                <w:color w:val="0F243E" w:themeColor="text2" w:themeShade="80"/>
                <w:sz w:val="20"/>
                <w:szCs w:val="20"/>
              </w:rPr>
              <w:t>Direccion General del Presupuesto Público Nacional</w:t>
            </w:r>
          </w:p>
        </w:tc>
        <w:tc>
          <w:tcPr>
            <w:tcW w:w="1276" w:type="dxa"/>
            <w:noWrap/>
            <w:vAlign w:val="center"/>
          </w:tcPr>
          <w:p w14:paraId="7D910051" w14:textId="77777777" w:rsidR="00BC7F4D" w:rsidRPr="00FB7EA4" w:rsidRDefault="00BC7F4D" w:rsidP="007C2B6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w:t>
            </w:r>
          </w:p>
        </w:tc>
        <w:tc>
          <w:tcPr>
            <w:tcW w:w="1417" w:type="dxa"/>
            <w:noWrap/>
            <w:vAlign w:val="center"/>
          </w:tcPr>
          <w:p w14:paraId="3EC62B45" w14:textId="77777777" w:rsidR="00BC7F4D" w:rsidRPr="00FB7EA4" w:rsidRDefault="00BC7F4D" w:rsidP="007C2B6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24.352.633 </w:t>
            </w:r>
          </w:p>
        </w:tc>
        <w:tc>
          <w:tcPr>
            <w:tcW w:w="1418" w:type="dxa"/>
            <w:noWrap/>
            <w:vAlign w:val="center"/>
          </w:tcPr>
          <w:p w14:paraId="5376DC0B" w14:textId="77777777" w:rsidR="00BC7F4D" w:rsidRPr="00FB7EA4" w:rsidRDefault="00BC7F4D" w:rsidP="007C2B6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7" w:type="dxa"/>
            <w:noWrap/>
            <w:vAlign w:val="center"/>
          </w:tcPr>
          <w:p w14:paraId="11E47401" w14:textId="77777777" w:rsidR="00BC7F4D" w:rsidRPr="00FB7EA4" w:rsidRDefault="00BC7F4D" w:rsidP="007C2B6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8.007.395 </w:t>
            </w:r>
          </w:p>
        </w:tc>
        <w:tc>
          <w:tcPr>
            <w:tcW w:w="1701" w:type="dxa"/>
            <w:vAlign w:val="center"/>
          </w:tcPr>
          <w:p w14:paraId="04431452" w14:textId="77777777" w:rsidR="00BC7F4D" w:rsidRPr="00FB7EA4" w:rsidRDefault="00BC7F4D" w:rsidP="007C2B6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32.360.028 </w:t>
            </w:r>
          </w:p>
        </w:tc>
      </w:tr>
      <w:tr w:rsidR="00BC7F4D" w:rsidRPr="0039641B" w14:paraId="7B482C01" w14:textId="77777777" w:rsidTr="0039641B">
        <w:trPr>
          <w:cantSplit/>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14:paraId="74C2ACE1" w14:textId="77777777" w:rsidR="00BC7F4D" w:rsidRPr="0039641B" w:rsidRDefault="00BC7F4D" w:rsidP="007C2B64">
            <w:pPr>
              <w:spacing w:before="60" w:after="60"/>
              <w:rPr>
                <w:rFonts w:ascii="Arial" w:hAnsi="Arial" w:cs="Arial"/>
                <w:b w:val="0"/>
                <w:color w:val="0F243E" w:themeColor="text2" w:themeShade="80"/>
                <w:sz w:val="20"/>
                <w:szCs w:val="20"/>
              </w:rPr>
            </w:pPr>
            <w:r w:rsidRPr="0039641B">
              <w:rPr>
                <w:rFonts w:ascii="Arial" w:hAnsi="Arial" w:cs="Arial"/>
                <w:b w:val="0"/>
                <w:color w:val="0F243E" w:themeColor="text2" w:themeShade="80"/>
                <w:sz w:val="20"/>
                <w:szCs w:val="20"/>
              </w:rPr>
              <w:t>Despacho Viceministerio Técnico</w:t>
            </w:r>
          </w:p>
        </w:tc>
        <w:tc>
          <w:tcPr>
            <w:tcW w:w="1276" w:type="dxa"/>
            <w:noWrap/>
            <w:vAlign w:val="center"/>
          </w:tcPr>
          <w:p w14:paraId="6B6F25A1" w14:textId="77777777" w:rsidR="00BC7F4D" w:rsidRPr="00FB7EA4" w:rsidRDefault="00BC7F4D" w:rsidP="007C2B6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w:t>
            </w:r>
          </w:p>
        </w:tc>
        <w:tc>
          <w:tcPr>
            <w:tcW w:w="1417" w:type="dxa"/>
            <w:noWrap/>
            <w:vAlign w:val="center"/>
          </w:tcPr>
          <w:p w14:paraId="22036EED" w14:textId="77777777" w:rsidR="00BC7F4D" w:rsidRPr="00FB7EA4" w:rsidRDefault="00BC7F4D" w:rsidP="007C2B6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8" w:type="dxa"/>
            <w:noWrap/>
            <w:vAlign w:val="center"/>
          </w:tcPr>
          <w:p w14:paraId="78C3410D" w14:textId="77777777" w:rsidR="00BC7F4D" w:rsidRPr="00FB7EA4" w:rsidRDefault="00BC7F4D" w:rsidP="007C2B6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36.013.333 </w:t>
            </w:r>
          </w:p>
        </w:tc>
        <w:tc>
          <w:tcPr>
            <w:tcW w:w="1417" w:type="dxa"/>
            <w:noWrap/>
            <w:vAlign w:val="center"/>
          </w:tcPr>
          <w:p w14:paraId="75A39072" w14:textId="77777777" w:rsidR="00BC7F4D" w:rsidRPr="00FB7EA4" w:rsidRDefault="00BC7F4D" w:rsidP="007C2B6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701" w:type="dxa"/>
            <w:vAlign w:val="center"/>
          </w:tcPr>
          <w:p w14:paraId="1EE96804" w14:textId="77777777" w:rsidR="00BC7F4D" w:rsidRPr="00FB7EA4" w:rsidRDefault="00BC7F4D" w:rsidP="007C2B6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36.013.333 </w:t>
            </w:r>
          </w:p>
        </w:tc>
      </w:tr>
      <w:tr w:rsidR="00BC7F4D" w:rsidRPr="0039641B" w14:paraId="183E5E6A" w14:textId="77777777" w:rsidTr="0039641B">
        <w:trPr>
          <w:cantSplit/>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14:paraId="1ACD184E" w14:textId="77777777" w:rsidR="00BC7F4D" w:rsidRPr="0039641B" w:rsidRDefault="00BC7F4D" w:rsidP="007C2B64">
            <w:pPr>
              <w:spacing w:before="100" w:after="80"/>
              <w:rPr>
                <w:rFonts w:ascii="Arial" w:hAnsi="Arial" w:cs="Arial"/>
                <w:b w:val="0"/>
                <w:color w:val="0F243E" w:themeColor="text2" w:themeShade="80"/>
                <w:sz w:val="20"/>
                <w:szCs w:val="20"/>
              </w:rPr>
            </w:pPr>
            <w:r w:rsidRPr="0039641B">
              <w:rPr>
                <w:rFonts w:ascii="Arial" w:hAnsi="Arial" w:cs="Arial"/>
                <w:b w:val="0"/>
                <w:color w:val="0F243E" w:themeColor="text2" w:themeShade="80"/>
                <w:sz w:val="20"/>
                <w:szCs w:val="20"/>
              </w:rPr>
              <w:lastRenderedPageBreak/>
              <w:t>Oficina Asesora Jurídica</w:t>
            </w:r>
          </w:p>
        </w:tc>
        <w:tc>
          <w:tcPr>
            <w:tcW w:w="1276" w:type="dxa"/>
            <w:noWrap/>
            <w:vAlign w:val="center"/>
          </w:tcPr>
          <w:p w14:paraId="492A1837" w14:textId="77777777" w:rsidR="00BC7F4D" w:rsidRPr="0039641B" w:rsidRDefault="00BC7F4D" w:rsidP="007C2B64">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641B">
              <w:rPr>
                <w:rFonts w:ascii="Arial" w:hAnsi="Arial" w:cs="Arial"/>
                <w:color w:val="0F243E" w:themeColor="text2" w:themeShade="80"/>
                <w:sz w:val="20"/>
                <w:szCs w:val="20"/>
              </w:rPr>
              <w:t>1</w:t>
            </w:r>
          </w:p>
        </w:tc>
        <w:tc>
          <w:tcPr>
            <w:tcW w:w="1417" w:type="dxa"/>
            <w:noWrap/>
            <w:vAlign w:val="center"/>
          </w:tcPr>
          <w:p w14:paraId="6EEFD270"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42.133.333 </w:t>
            </w:r>
          </w:p>
        </w:tc>
        <w:tc>
          <w:tcPr>
            <w:tcW w:w="1418" w:type="dxa"/>
            <w:noWrap/>
            <w:vAlign w:val="center"/>
          </w:tcPr>
          <w:p w14:paraId="01691870"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7" w:type="dxa"/>
            <w:noWrap/>
            <w:vAlign w:val="center"/>
          </w:tcPr>
          <w:p w14:paraId="37DB3D01"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701" w:type="dxa"/>
            <w:vAlign w:val="center"/>
          </w:tcPr>
          <w:p w14:paraId="70C031AB"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42.133.333 </w:t>
            </w:r>
          </w:p>
        </w:tc>
      </w:tr>
      <w:tr w:rsidR="00BC7F4D" w:rsidRPr="0039641B" w14:paraId="3968A6B8" w14:textId="77777777" w:rsidTr="0039641B">
        <w:trPr>
          <w:cantSplit/>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14:paraId="2BB8D490" w14:textId="77777777" w:rsidR="00BC7F4D" w:rsidRPr="0039641B" w:rsidRDefault="00BC7F4D" w:rsidP="007C2B64">
            <w:pPr>
              <w:spacing w:before="100" w:after="80"/>
              <w:rPr>
                <w:rFonts w:ascii="Arial" w:hAnsi="Arial" w:cs="Arial"/>
                <w:b w:val="0"/>
                <w:color w:val="0F243E" w:themeColor="text2" w:themeShade="80"/>
                <w:sz w:val="20"/>
                <w:szCs w:val="20"/>
              </w:rPr>
            </w:pPr>
            <w:r w:rsidRPr="0039641B">
              <w:rPr>
                <w:rFonts w:ascii="Arial" w:hAnsi="Arial" w:cs="Arial"/>
                <w:b w:val="0"/>
                <w:color w:val="0F243E" w:themeColor="text2" w:themeShade="80"/>
                <w:sz w:val="20"/>
                <w:szCs w:val="20"/>
              </w:rPr>
              <w:t>Oficina de Bonos Pensionales</w:t>
            </w:r>
          </w:p>
        </w:tc>
        <w:tc>
          <w:tcPr>
            <w:tcW w:w="1276" w:type="dxa"/>
            <w:noWrap/>
            <w:vAlign w:val="center"/>
          </w:tcPr>
          <w:p w14:paraId="6CBF59CC" w14:textId="77777777" w:rsidR="00BC7F4D" w:rsidRPr="0039641B" w:rsidRDefault="00BC7F4D" w:rsidP="007C2B64">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641B">
              <w:rPr>
                <w:rFonts w:ascii="Arial" w:hAnsi="Arial" w:cs="Arial"/>
                <w:color w:val="0F243E" w:themeColor="text2" w:themeShade="80"/>
                <w:sz w:val="20"/>
                <w:szCs w:val="20"/>
              </w:rPr>
              <w:t>1</w:t>
            </w:r>
          </w:p>
        </w:tc>
        <w:tc>
          <w:tcPr>
            <w:tcW w:w="1417" w:type="dxa"/>
            <w:noWrap/>
            <w:vAlign w:val="center"/>
          </w:tcPr>
          <w:p w14:paraId="03E4DDE0"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8" w:type="dxa"/>
            <w:noWrap/>
            <w:vAlign w:val="center"/>
          </w:tcPr>
          <w:p w14:paraId="7E208A1A"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7" w:type="dxa"/>
            <w:noWrap/>
            <w:vAlign w:val="center"/>
          </w:tcPr>
          <w:p w14:paraId="415EFC55"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47.581.365 </w:t>
            </w:r>
          </w:p>
        </w:tc>
        <w:tc>
          <w:tcPr>
            <w:tcW w:w="1701" w:type="dxa"/>
            <w:vAlign w:val="center"/>
          </w:tcPr>
          <w:p w14:paraId="74033080"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47.581.365 </w:t>
            </w:r>
          </w:p>
        </w:tc>
      </w:tr>
      <w:tr w:rsidR="00BC7F4D" w:rsidRPr="0039641B" w14:paraId="697A13DC" w14:textId="77777777" w:rsidTr="0039641B">
        <w:trPr>
          <w:cantSplit/>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14:paraId="7ED0C35F" w14:textId="77777777" w:rsidR="00BC7F4D" w:rsidRPr="0039641B" w:rsidRDefault="00BC7F4D" w:rsidP="007C2B64">
            <w:pPr>
              <w:spacing w:before="100" w:after="80"/>
              <w:rPr>
                <w:rFonts w:ascii="Arial" w:hAnsi="Arial" w:cs="Arial"/>
                <w:b w:val="0"/>
                <w:color w:val="0F243E" w:themeColor="text2" w:themeShade="80"/>
                <w:sz w:val="20"/>
                <w:szCs w:val="20"/>
              </w:rPr>
            </w:pPr>
            <w:r w:rsidRPr="0039641B">
              <w:rPr>
                <w:rFonts w:ascii="Arial" w:hAnsi="Arial" w:cs="Arial"/>
                <w:b w:val="0"/>
                <w:color w:val="0F243E" w:themeColor="text2" w:themeShade="80"/>
                <w:sz w:val="20"/>
                <w:szCs w:val="20"/>
              </w:rPr>
              <w:t>Oficina de Control Disciplinario Interno</w:t>
            </w:r>
          </w:p>
        </w:tc>
        <w:tc>
          <w:tcPr>
            <w:tcW w:w="1276" w:type="dxa"/>
            <w:noWrap/>
            <w:vAlign w:val="center"/>
          </w:tcPr>
          <w:p w14:paraId="29E40E3F" w14:textId="77777777" w:rsidR="00BC7F4D" w:rsidRPr="0039641B" w:rsidRDefault="00BC7F4D" w:rsidP="007C2B64">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641B">
              <w:rPr>
                <w:rFonts w:ascii="Arial" w:hAnsi="Arial" w:cs="Arial"/>
                <w:color w:val="0F243E" w:themeColor="text2" w:themeShade="80"/>
                <w:sz w:val="20"/>
                <w:szCs w:val="20"/>
              </w:rPr>
              <w:t>1</w:t>
            </w:r>
          </w:p>
        </w:tc>
        <w:tc>
          <w:tcPr>
            <w:tcW w:w="1417" w:type="dxa"/>
            <w:noWrap/>
            <w:vAlign w:val="center"/>
          </w:tcPr>
          <w:p w14:paraId="2D034EBF"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41.800.000 </w:t>
            </w:r>
          </w:p>
        </w:tc>
        <w:tc>
          <w:tcPr>
            <w:tcW w:w="1418" w:type="dxa"/>
            <w:noWrap/>
            <w:vAlign w:val="center"/>
          </w:tcPr>
          <w:p w14:paraId="72F0B047"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7" w:type="dxa"/>
            <w:noWrap/>
            <w:vAlign w:val="center"/>
          </w:tcPr>
          <w:p w14:paraId="16A78B28"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701" w:type="dxa"/>
            <w:vAlign w:val="center"/>
          </w:tcPr>
          <w:p w14:paraId="34923EA5"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41.800.000 </w:t>
            </w:r>
          </w:p>
        </w:tc>
      </w:tr>
      <w:tr w:rsidR="00BC7F4D" w:rsidRPr="0039641B" w14:paraId="7112A5E2" w14:textId="77777777" w:rsidTr="0039641B">
        <w:trPr>
          <w:cantSplit/>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14:paraId="0B58C98C" w14:textId="77777777" w:rsidR="00BC7F4D" w:rsidRPr="0039641B" w:rsidRDefault="00BC7F4D" w:rsidP="007C2B64">
            <w:pPr>
              <w:spacing w:before="100" w:after="80"/>
              <w:rPr>
                <w:rFonts w:ascii="Arial" w:hAnsi="Arial" w:cs="Arial"/>
                <w:b w:val="0"/>
                <w:color w:val="0F243E" w:themeColor="text2" w:themeShade="80"/>
                <w:sz w:val="20"/>
                <w:szCs w:val="20"/>
              </w:rPr>
            </w:pPr>
            <w:r w:rsidRPr="0039641B">
              <w:rPr>
                <w:rFonts w:ascii="Arial" w:hAnsi="Arial" w:cs="Arial"/>
                <w:b w:val="0"/>
                <w:color w:val="0F243E" w:themeColor="text2" w:themeShade="80"/>
                <w:sz w:val="20"/>
                <w:szCs w:val="20"/>
              </w:rPr>
              <w:t>Subdirección de Servicios</w:t>
            </w:r>
          </w:p>
        </w:tc>
        <w:tc>
          <w:tcPr>
            <w:tcW w:w="1276" w:type="dxa"/>
            <w:noWrap/>
            <w:vAlign w:val="center"/>
          </w:tcPr>
          <w:p w14:paraId="6838C58A" w14:textId="77777777" w:rsidR="00BC7F4D" w:rsidRPr="0039641B" w:rsidRDefault="00BC7F4D" w:rsidP="007C2B64">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641B">
              <w:rPr>
                <w:rFonts w:ascii="Arial" w:hAnsi="Arial" w:cs="Arial"/>
                <w:color w:val="0F243E" w:themeColor="text2" w:themeShade="80"/>
                <w:sz w:val="20"/>
                <w:szCs w:val="20"/>
              </w:rPr>
              <w:t>1</w:t>
            </w:r>
          </w:p>
        </w:tc>
        <w:tc>
          <w:tcPr>
            <w:tcW w:w="1417" w:type="dxa"/>
            <w:noWrap/>
            <w:vAlign w:val="center"/>
          </w:tcPr>
          <w:p w14:paraId="64FF3C7C"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39.000.000 </w:t>
            </w:r>
          </w:p>
        </w:tc>
        <w:tc>
          <w:tcPr>
            <w:tcW w:w="1418" w:type="dxa"/>
            <w:noWrap/>
            <w:vAlign w:val="center"/>
          </w:tcPr>
          <w:p w14:paraId="2EC05CD4"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7" w:type="dxa"/>
            <w:noWrap/>
            <w:vAlign w:val="center"/>
          </w:tcPr>
          <w:p w14:paraId="24B60D8E"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701" w:type="dxa"/>
            <w:vAlign w:val="center"/>
          </w:tcPr>
          <w:p w14:paraId="7732C092"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39.000.000 </w:t>
            </w:r>
          </w:p>
        </w:tc>
      </w:tr>
      <w:tr w:rsidR="00BC7F4D" w:rsidRPr="0039641B" w14:paraId="65214527" w14:textId="77777777" w:rsidTr="0039641B">
        <w:trPr>
          <w:cantSplit/>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14:paraId="7372D140" w14:textId="77777777" w:rsidR="00BC7F4D" w:rsidRPr="0039641B" w:rsidRDefault="00BC7F4D" w:rsidP="007C2B64">
            <w:pPr>
              <w:spacing w:before="100" w:after="80"/>
              <w:rPr>
                <w:rFonts w:ascii="Arial" w:hAnsi="Arial" w:cs="Arial"/>
                <w:b w:val="0"/>
                <w:color w:val="0F243E" w:themeColor="text2" w:themeShade="80"/>
                <w:sz w:val="20"/>
                <w:szCs w:val="20"/>
              </w:rPr>
            </w:pPr>
            <w:r w:rsidRPr="0039641B">
              <w:rPr>
                <w:rFonts w:ascii="Arial" w:hAnsi="Arial" w:cs="Arial"/>
                <w:b w:val="0"/>
                <w:color w:val="0F243E" w:themeColor="text2" w:themeShade="80"/>
                <w:sz w:val="20"/>
                <w:szCs w:val="20"/>
              </w:rPr>
              <w:t>Subdirección Jurídica</w:t>
            </w:r>
          </w:p>
        </w:tc>
        <w:tc>
          <w:tcPr>
            <w:tcW w:w="1276" w:type="dxa"/>
            <w:noWrap/>
            <w:vAlign w:val="center"/>
          </w:tcPr>
          <w:p w14:paraId="16D271B9" w14:textId="77777777" w:rsidR="00BC7F4D" w:rsidRPr="0039641B" w:rsidRDefault="00BC7F4D" w:rsidP="007C2B64">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9641B">
              <w:rPr>
                <w:rFonts w:ascii="Arial" w:hAnsi="Arial" w:cs="Arial"/>
                <w:color w:val="0F243E" w:themeColor="text2" w:themeShade="80"/>
                <w:sz w:val="20"/>
                <w:szCs w:val="20"/>
              </w:rPr>
              <w:t>1</w:t>
            </w:r>
          </w:p>
        </w:tc>
        <w:tc>
          <w:tcPr>
            <w:tcW w:w="1417" w:type="dxa"/>
            <w:noWrap/>
            <w:vAlign w:val="center"/>
          </w:tcPr>
          <w:p w14:paraId="22618839"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8" w:type="dxa"/>
            <w:noWrap/>
            <w:vAlign w:val="center"/>
          </w:tcPr>
          <w:p w14:paraId="12B3A729"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15.753.333 </w:t>
            </w:r>
          </w:p>
        </w:tc>
        <w:tc>
          <w:tcPr>
            <w:tcW w:w="1417" w:type="dxa"/>
            <w:noWrap/>
            <w:vAlign w:val="center"/>
          </w:tcPr>
          <w:p w14:paraId="11208911"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701" w:type="dxa"/>
            <w:vAlign w:val="center"/>
          </w:tcPr>
          <w:p w14:paraId="28371B5B" w14:textId="77777777" w:rsidR="00BC7F4D" w:rsidRPr="00FB7EA4"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15.753.333 </w:t>
            </w:r>
          </w:p>
        </w:tc>
      </w:tr>
      <w:tr w:rsidR="00BC7F4D" w:rsidRPr="0039641B" w14:paraId="534C6268" w14:textId="77777777" w:rsidTr="0039641B">
        <w:trPr>
          <w:cantSplit/>
        </w:trPr>
        <w:tc>
          <w:tcPr>
            <w:cnfStyle w:val="001000000000" w:firstRow="0" w:lastRow="0" w:firstColumn="1" w:lastColumn="0" w:oddVBand="0" w:evenVBand="0" w:oddHBand="0" w:evenHBand="0" w:firstRowFirstColumn="0" w:firstRowLastColumn="0" w:lastRowFirstColumn="0" w:lastRowLastColumn="0"/>
            <w:tcW w:w="2405" w:type="dxa"/>
            <w:shd w:val="clear" w:color="auto" w:fill="4F81BD" w:themeFill="accent1"/>
            <w:vAlign w:val="center"/>
            <w:hideMark/>
          </w:tcPr>
          <w:p w14:paraId="4866D3DE" w14:textId="77777777" w:rsidR="00BC7F4D" w:rsidRPr="0039641B" w:rsidRDefault="00BC7F4D" w:rsidP="007C2B64">
            <w:pPr>
              <w:spacing w:before="100" w:after="80"/>
              <w:rPr>
                <w:rFonts w:ascii="Arial" w:hAnsi="Arial" w:cs="Arial"/>
                <w:color w:val="FFFFFF" w:themeColor="background1"/>
                <w:sz w:val="20"/>
                <w:szCs w:val="20"/>
              </w:rPr>
            </w:pPr>
            <w:r w:rsidRPr="0039641B">
              <w:rPr>
                <w:rFonts w:ascii="Arial" w:hAnsi="Arial" w:cs="Arial"/>
                <w:color w:val="FFFFFF" w:themeColor="background1"/>
                <w:sz w:val="20"/>
                <w:szCs w:val="20"/>
              </w:rPr>
              <w:t xml:space="preserve">Total </w:t>
            </w:r>
          </w:p>
        </w:tc>
        <w:tc>
          <w:tcPr>
            <w:tcW w:w="1276" w:type="dxa"/>
            <w:shd w:val="clear" w:color="auto" w:fill="4F81BD" w:themeFill="accent1"/>
            <w:noWrap/>
            <w:vAlign w:val="center"/>
            <w:hideMark/>
          </w:tcPr>
          <w:p w14:paraId="2BDAB84D" w14:textId="77777777" w:rsidR="00BC7F4D" w:rsidRPr="0039641B" w:rsidRDefault="00BC7F4D" w:rsidP="007C2B64">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9641B">
              <w:rPr>
                <w:rFonts w:ascii="Arial" w:hAnsi="Arial" w:cs="Arial"/>
                <w:b/>
                <w:bCs/>
                <w:color w:val="FFFFFF" w:themeColor="background1"/>
                <w:sz w:val="20"/>
                <w:szCs w:val="20"/>
              </w:rPr>
              <w:t>8</w:t>
            </w:r>
          </w:p>
        </w:tc>
        <w:tc>
          <w:tcPr>
            <w:tcW w:w="1417" w:type="dxa"/>
            <w:shd w:val="clear" w:color="auto" w:fill="4F81BD" w:themeFill="accent1"/>
            <w:noWrap/>
            <w:vAlign w:val="center"/>
            <w:hideMark/>
          </w:tcPr>
          <w:p w14:paraId="00DD34D9" w14:textId="77777777" w:rsidR="00BC7F4D" w:rsidRPr="0039641B"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9641B">
              <w:rPr>
                <w:rFonts w:ascii="Arial" w:hAnsi="Arial" w:cs="Arial"/>
                <w:b/>
                <w:bCs/>
                <w:color w:val="FFFFFF" w:themeColor="background1"/>
                <w:sz w:val="20"/>
                <w:szCs w:val="20"/>
              </w:rPr>
              <w:t xml:space="preserve">147.285.966 </w:t>
            </w:r>
          </w:p>
        </w:tc>
        <w:tc>
          <w:tcPr>
            <w:tcW w:w="1418" w:type="dxa"/>
            <w:shd w:val="clear" w:color="auto" w:fill="4F81BD" w:themeFill="accent1"/>
            <w:noWrap/>
            <w:vAlign w:val="center"/>
            <w:hideMark/>
          </w:tcPr>
          <w:p w14:paraId="41411843" w14:textId="77777777" w:rsidR="00BC7F4D" w:rsidRPr="0039641B"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9641B">
              <w:rPr>
                <w:rFonts w:ascii="Arial" w:hAnsi="Arial" w:cs="Arial"/>
                <w:b/>
                <w:bCs/>
                <w:color w:val="FFFFFF" w:themeColor="background1"/>
                <w:sz w:val="20"/>
                <w:szCs w:val="20"/>
              </w:rPr>
              <w:t xml:space="preserve">   51.766.666 </w:t>
            </w:r>
          </w:p>
        </w:tc>
        <w:tc>
          <w:tcPr>
            <w:tcW w:w="1417" w:type="dxa"/>
            <w:shd w:val="clear" w:color="auto" w:fill="4F81BD" w:themeFill="accent1"/>
            <w:noWrap/>
            <w:vAlign w:val="center"/>
            <w:hideMark/>
          </w:tcPr>
          <w:p w14:paraId="794C9B5A" w14:textId="77777777" w:rsidR="00BC7F4D" w:rsidRPr="0039641B"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9641B">
              <w:rPr>
                <w:rFonts w:ascii="Arial" w:hAnsi="Arial" w:cs="Arial"/>
                <w:b/>
                <w:bCs/>
                <w:color w:val="FFFFFF" w:themeColor="background1"/>
                <w:sz w:val="20"/>
                <w:szCs w:val="20"/>
              </w:rPr>
              <w:t xml:space="preserve">  55.588.760 </w:t>
            </w:r>
          </w:p>
        </w:tc>
        <w:tc>
          <w:tcPr>
            <w:tcW w:w="1701" w:type="dxa"/>
            <w:shd w:val="clear" w:color="auto" w:fill="4F81BD" w:themeFill="accent1"/>
            <w:noWrap/>
            <w:vAlign w:val="center"/>
            <w:hideMark/>
          </w:tcPr>
          <w:p w14:paraId="0AF0CF46" w14:textId="77777777" w:rsidR="00BC7F4D" w:rsidRPr="0039641B" w:rsidRDefault="00BC7F4D" w:rsidP="007C2B64">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9641B">
              <w:rPr>
                <w:rFonts w:ascii="Arial" w:hAnsi="Arial" w:cs="Arial"/>
                <w:b/>
                <w:bCs/>
                <w:color w:val="FFFFFF" w:themeColor="background1"/>
                <w:sz w:val="20"/>
                <w:szCs w:val="20"/>
              </w:rPr>
              <w:t xml:space="preserve">   254.641.392 </w:t>
            </w:r>
          </w:p>
        </w:tc>
      </w:tr>
    </w:tbl>
    <w:p w14:paraId="34680F8A" w14:textId="77777777" w:rsidR="000E7175" w:rsidRPr="00A003B6" w:rsidRDefault="000E7175" w:rsidP="00136D82">
      <w:pPr>
        <w:rPr>
          <w:rFonts w:ascii="Arial" w:hAnsi="Arial" w:cs="Arial"/>
          <w:color w:val="000000"/>
          <w:sz w:val="22"/>
          <w:szCs w:val="22"/>
          <w:highlight w:val="yellow"/>
        </w:rPr>
      </w:pPr>
    </w:p>
    <w:p w14:paraId="17290038" w14:textId="77777777" w:rsidR="00723396" w:rsidRPr="00970DA0" w:rsidRDefault="00807500" w:rsidP="00926D75">
      <w:pPr>
        <w:autoSpaceDE w:val="0"/>
        <w:autoSpaceDN w:val="0"/>
        <w:jc w:val="both"/>
        <w:rPr>
          <w:rFonts w:ascii="Arial" w:hAnsi="Arial" w:cs="Arial"/>
          <w:color w:val="000000"/>
          <w:sz w:val="22"/>
          <w:szCs w:val="22"/>
        </w:rPr>
      </w:pPr>
      <w:r w:rsidRPr="00221FEF">
        <w:rPr>
          <w:rFonts w:ascii="Arial" w:hAnsi="Arial" w:cs="Arial"/>
          <w:color w:val="000000"/>
          <w:sz w:val="22"/>
          <w:szCs w:val="22"/>
        </w:rPr>
        <w:t xml:space="preserve">Para el </w:t>
      </w:r>
      <w:r w:rsidR="00970DA0" w:rsidRPr="00221FEF">
        <w:rPr>
          <w:rFonts w:ascii="Arial" w:hAnsi="Arial" w:cs="Arial"/>
          <w:color w:val="000000"/>
          <w:sz w:val="22"/>
          <w:szCs w:val="22"/>
        </w:rPr>
        <w:t xml:space="preserve">tercer </w:t>
      </w:r>
      <w:r w:rsidRPr="00221FEF">
        <w:rPr>
          <w:rFonts w:ascii="Arial" w:hAnsi="Arial" w:cs="Arial"/>
          <w:color w:val="000000"/>
          <w:sz w:val="22"/>
          <w:szCs w:val="22"/>
        </w:rPr>
        <w:t>trimestre de 2019</w:t>
      </w:r>
      <w:r w:rsidR="00D02070" w:rsidRPr="00221FEF">
        <w:rPr>
          <w:rFonts w:ascii="Arial" w:hAnsi="Arial" w:cs="Arial"/>
          <w:color w:val="000000"/>
          <w:sz w:val="22"/>
          <w:szCs w:val="22"/>
        </w:rPr>
        <w:t xml:space="preserve">, </w:t>
      </w:r>
      <w:r w:rsidR="002645BB" w:rsidRPr="00221FEF">
        <w:rPr>
          <w:rFonts w:ascii="Arial" w:hAnsi="Arial" w:cs="Arial"/>
          <w:color w:val="000000"/>
          <w:sz w:val="22"/>
          <w:szCs w:val="22"/>
        </w:rPr>
        <w:t>se suscribieron</w:t>
      </w:r>
      <w:r w:rsidR="00DC46BB" w:rsidRPr="00221FEF">
        <w:rPr>
          <w:rFonts w:ascii="Arial" w:hAnsi="Arial" w:cs="Arial"/>
          <w:color w:val="000000"/>
          <w:sz w:val="22"/>
          <w:szCs w:val="22"/>
        </w:rPr>
        <w:t xml:space="preserve"> </w:t>
      </w:r>
      <w:r w:rsidR="00970DA0" w:rsidRPr="00221FEF">
        <w:rPr>
          <w:rFonts w:ascii="Arial" w:hAnsi="Arial" w:cs="Arial"/>
          <w:color w:val="000000"/>
          <w:sz w:val="22"/>
          <w:szCs w:val="22"/>
        </w:rPr>
        <w:t>8</w:t>
      </w:r>
      <w:r w:rsidR="0074120F" w:rsidRPr="00221FEF">
        <w:rPr>
          <w:rFonts w:ascii="Arial" w:hAnsi="Arial" w:cs="Arial"/>
          <w:color w:val="000000"/>
          <w:sz w:val="22"/>
          <w:szCs w:val="22"/>
        </w:rPr>
        <w:t xml:space="preserve"> </w:t>
      </w:r>
      <w:r w:rsidR="00CC6833" w:rsidRPr="00221FEF">
        <w:rPr>
          <w:rFonts w:ascii="Arial" w:hAnsi="Arial" w:cs="Arial"/>
          <w:color w:val="000000"/>
          <w:sz w:val="22"/>
          <w:szCs w:val="22"/>
        </w:rPr>
        <w:t xml:space="preserve">contratos </w:t>
      </w:r>
      <w:r w:rsidRPr="00221FEF">
        <w:rPr>
          <w:rFonts w:ascii="Arial" w:hAnsi="Arial" w:cs="Arial"/>
          <w:color w:val="000000"/>
          <w:sz w:val="22"/>
          <w:szCs w:val="22"/>
        </w:rPr>
        <w:t xml:space="preserve">por prestación de servicios. Como actividad de verificación </w:t>
      </w:r>
      <w:r w:rsidR="00502103" w:rsidRPr="00221FEF">
        <w:rPr>
          <w:rFonts w:ascii="Arial" w:hAnsi="Arial" w:cs="Arial"/>
          <w:color w:val="000000"/>
          <w:sz w:val="22"/>
          <w:szCs w:val="22"/>
        </w:rPr>
        <w:t xml:space="preserve">se </w:t>
      </w:r>
      <w:r w:rsidR="0034572A" w:rsidRPr="00221FEF">
        <w:rPr>
          <w:rFonts w:ascii="Arial" w:hAnsi="Arial" w:cs="Arial"/>
          <w:color w:val="000000"/>
          <w:sz w:val="22"/>
          <w:szCs w:val="22"/>
        </w:rPr>
        <w:t>llevó</w:t>
      </w:r>
      <w:r w:rsidRPr="00221FEF">
        <w:rPr>
          <w:rFonts w:ascii="Arial" w:hAnsi="Arial" w:cs="Arial"/>
          <w:color w:val="000000"/>
          <w:sz w:val="22"/>
          <w:szCs w:val="22"/>
        </w:rPr>
        <w:t xml:space="preserve"> a cabo una revisión documental de los contratos, </w:t>
      </w:r>
      <w:r w:rsidR="00DC46BB" w:rsidRPr="00221FEF">
        <w:rPr>
          <w:rFonts w:ascii="Arial" w:hAnsi="Arial" w:cs="Arial"/>
          <w:color w:val="000000"/>
          <w:sz w:val="22"/>
          <w:szCs w:val="22"/>
        </w:rPr>
        <w:t>identificando</w:t>
      </w:r>
      <w:r w:rsidR="0038177E" w:rsidRPr="00221FEF">
        <w:rPr>
          <w:rFonts w:ascii="Arial" w:hAnsi="Arial" w:cs="Arial"/>
          <w:color w:val="000000"/>
          <w:sz w:val="22"/>
          <w:szCs w:val="22"/>
        </w:rPr>
        <w:t xml:space="preserve"> en cada uno,</w:t>
      </w:r>
      <w:r w:rsidR="00DC46BB" w:rsidRPr="00221FEF">
        <w:rPr>
          <w:rFonts w:ascii="Arial" w:hAnsi="Arial" w:cs="Arial"/>
          <w:color w:val="000000"/>
          <w:sz w:val="22"/>
          <w:szCs w:val="22"/>
        </w:rPr>
        <w:t xml:space="preserve"> </w:t>
      </w:r>
      <w:r w:rsidR="00221FEF">
        <w:rPr>
          <w:rFonts w:ascii="Arial" w:hAnsi="Arial" w:cs="Arial"/>
          <w:color w:val="000000"/>
          <w:sz w:val="22"/>
          <w:szCs w:val="22"/>
        </w:rPr>
        <w:t>la</w:t>
      </w:r>
      <w:r w:rsidR="002F107E" w:rsidRPr="00221FEF">
        <w:rPr>
          <w:rFonts w:ascii="Arial" w:hAnsi="Arial" w:cs="Arial"/>
          <w:color w:val="000000"/>
          <w:sz w:val="22"/>
          <w:szCs w:val="22"/>
        </w:rPr>
        <w:t xml:space="preserve"> C</w:t>
      </w:r>
      <w:r w:rsidR="006D4E50" w:rsidRPr="00221FEF">
        <w:rPr>
          <w:rFonts w:ascii="Arial" w:hAnsi="Arial" w:cs="Arial"/>
          <w:color w:val="000000"/>
          <w:sz w:val="22"/>
          <w:szCs w:val="22"/>
        </w:rPr>
        <w:t>ertificación</w:t>
      </w:r>
      <w:r w:rsidR="00221FEF">
        <w:rPr>
          <w:rFonts w:ascii="Arial" w:hAnsi="Arial" w:cs="Arial"/>
          <w:color w:val="000000"/>
          <w:sz w:val="22"/>
          <w:szCs w:val="22"/>
        </w:rPr>
        <w:t xml:space="preserve"> diligenciada y suscrita por la </w:t>
      </w:r>
      <w:r w:rsidR="00F04372" w:rsidRPr="00221FEF">
        <w:rPr>
          <w:rFonts w:ascii="Arial" w:hAnsi="Arial" w:cs="Arial"/>
          <w:sz w:val="22"/>
          <w:szCs w:val="22"/>
        </w:rPr>
        <w:t>Subdirección de Gestión del Talento Humano</w:t>
      </w:r>
      <w:r w:rsidR="002F107E" w:rsidRPr="00221FEF">
        <w:rPr>
          <w:rFonts w:ascii="Arial" w:hAnsi="Arial" w:cs="Arial"/>
          <w:color w:val="000000"/>
          <w:sz w:val="22"/>
          <w:szCs w:val="22"/>
        </w:rPr>
        <w:t xml:space="preserve">, </w:t>
      </w:r>
      <w:r w:rsidR="00D02070" w:rsidRPr="00221FEF">
        <w:rPr>
          <w:rFonts w:ascii="Arial" w:hAnsi="Arial" w:cs="Arial"/>
          <w:color w:val="000000"/>
          <w:sz w:val="22"/>
          <w:szCs w:val="22"/>
        </w:rPr>
        <w:t xml:space="preserve">en cumplimiento </w:t>
      </w:r>
      <w:r w:rsidRPr="00221FEF">
        <w:rPr>
          <w:rFonts w:ascii="Arial" w:hAnsi="Arial" w:cs="Arial"/>
          <w:color w:val="000000"/>
          <w:sz w:val="22"/>
          <w:szCs w:val="22"/>
        </w:rPr>
        <w:t>de</w:t>
      </w:r>
      <w:r w:rsidR="00D02070" w:rsidRPr="00221FEF">
        <w:rPr>
          <w:rFonts w:ascii="Arial" w:hAnsi="Arial" w:cs="Arial"/>
          <w:color w:val="000000"/>
          <w:sz w:val="22"/>
          <w:szCs w:val="22"/>
        </w:rPr>
        <w:t xml:space="preserve"> </w:t>
      </w:r>
      <w:r w:rsidR="00723396" w:rsidRPr="00221FEF">
        <w:rPr>
          <w:rFonts w:ascii="Arial" w:hAnsi="Arial" w:cs="Arial"/>
          <w:color w:val="000000"/>
          <w:sz w:val="22"/>
          <w:szCs w:val="22"/>
        </w:rPr>
        <w:t xml:space="preserve">lo </w:t>
      </w:r>
      <w:r w:rsidR="00D02070" w:rsidRPr="00221FEF">
        <w:rPr>
          <w:rFonts w:ascii="Arial" w:hAnsi="Arial" w:cs="Arial"/>
          <w:color w:val="000000"/>
          <w:sz w:val="22"/>
          <w:szCs w:val="22"/>
        </w:rPr>
        <w:t>establecido e</w:t>
      </w:r>
      <w:r w:rsidR="00723396" w:rsidRPr="00221FEF">
        <w:rPr>
          <w:rFonts w:ascii="Arial" w:hAnsi="Arial" w:cs="Arial"/>
          <w:color w:val="000000"/>
          <w:sz w:val="22"/>
          <w:szCs w:val="22"/>
        </w:rPr>
        <w:t xml:space="preserve">n el artículo 2.8.4.4.5 del Título 4 </w:t>
      </w:r>
      <w:r w:rsidR="00723396" w:rsidRPr="00221FEF">
        <w:rPr>
          <w:rFonts w:ascii="Arial" w:hAnsi="Arial" w:cs="Arial"/>
          <w:i/>
          <w:color w:val="000000"/>
          <w:sz w:val="22"/>
          <w:szCs w:val="22"/>
        </w:rPr>
        <w:t>Medidas de Austeridad del Decreto Único Reglamentario 1068 de 2015,</w:t>
      </w:r>
      <w:r w:rsidR="00723396" w:rsidRPr="00221FEF">
        <w:rPr>
          <w:rFonts w:ascii="Arial" w:hAnsi="Arial" w:cs="Arial"/>
          <w:color w:val="000000"/>
          <w:sz w:val="22"/>
          <w:szCs w:val="22"/>
        </w:rPr>
        <w:t xml:space="preserve"> el cual </w:t>
      </w:r>
      <w:r w:rsidR="00D02070" w:rsidRPr="00221FEF">
        <w:rPr>
          <w:rFonts w:ascii="Arial" w:hAnsi="Arial" w:cs="Arial"/>
          <w:color w:val="000000"/>
          <w:sz w:val="22"/>
          <w:szCs w:val="22"/>
        </w:rPr>
        <w:t>señala l</w:t>
      </w:r>
      <w:r w:rsidR="00723396" w:rsidRPr="00221FEF">
        <w:rPr>
          <w:rFonts w:ascii="Arial" w:hAnsi="Arial" w:cs="Arial"/>
          <w:color w:val="000000"/>
          <w:sz w:val="22"/>
          <w:szCs w:val="22"/>
        </w:rPr>
        <w:t>as condiciones para celebrar contratos de prestación de servicios con personas naturales o jurídicas cuando no existan funcionarios de planta con capacidad para realizar las actividades que se contratarán.</w:t>
      </w:r>
    </w:p>
    <w:p w14:paraId="1AFA2B14" w14:textId="77777777" w:rsidR="00FA2233" w:rsidRPr="00A003B6" w:rsidRDefault="00FA2233" w:rsidP="00926D75">
      <w:pPr>
        <w:autoSpaceDE w:val="0"/>
        <w:autoSpaceDN w:val="0"/>
        <w:rPr>
          <w:rFonts w:ascii="Arial" w:hAnsi="Arial" w:cs="Arial"/>
          <w:color w:val="000000"/>
          <w:sz w:val="22"/>
          <w:szCs w:val="22"/>
          <w:highlight w:val="yellow"/>
        </w:rPr>
      </w:pPr>
    </w:p>
    <w:p w14:paraId="0A5363BA" w14:textId="480966DD" w:rsidR="00983A08" w:rsidRDefault="00F926B7" w:rsidP="00926D75">
      <w:pPr>
        <w:jc w:val="both"/>
        <w:rPr>
          <w:rFonts w:ascii="Arial" w:hAnsi="Arial" w:cs="Arial"/>
          <w:sz w:val="22"/>
          <w:szCs w:val="22"/>
        </w:rPr>
      </w:pPr>
      <w:r w:rsidRPr="00F73B5C">
        <w:rPr>
          <w:rFonts w:ascii="Arial" w:hAnsi="Arial" w:cs="Arial"/>
          <w:sz w:val="22"/>
          <w:szCs w:val="22"/>
        </w:rPr>
        <w:t xml:space="preserve">Con </w:t>
      </w:r>
      <w:r w:rsidR="00CE27D7" w:rsidRPr="00F73B5C">
        <w:rPr>
          <w:rFonts w:ascii="Arial" w:hAnsi="Arial" w:cs="Arial"/>
          <w:sz w:val="22"/>
          <w:szCs w:val="22"/>
        </w:rPr>
        <w:t xml:space="preserve">corte a </w:t>
      </w:r>
      <w:r w:rsidRPr="00F73B5C">
        <w:rPr>
          <w:rFonts w:ascii="Arial" w:hAnsi="Arial" w:cs="Arial"/>
          <w:sz w:val="22"/>
          <w:szCs w:val="22"/>
        </w:rPr>
        <w:t>3</w:t>
      </w:r>
      <w:r w:rsidR="00DD3DDA" w:rsidRPr="00F73B5C">
        <w:rPr>
          <w:rFonts w:ascii="Arial" w:hAnsi="Arial" w:cs="Arial"/>
          <w:sz w:val="22"/>
          <w:szCs w:val="22"/>
        </w:rPr>
        <w:t xml:space="preserve">0 </w:t>
      </w:r>
      <w:r w:rsidRPr="00F73B5C">
        <w:rPr>
          <w:rFonts w:ascii="Arial" w:hAnsi="Arial" w:cs="Arial"/>
          <w:sz w:val="22"/>
          <w:szCs w:val="22"/>
        </w:rPr>
        <w:t xml:space="preserve">de </w:t>
      </w:r>
      <w:r w:rsidR="00F73B5C">
        <w:rPr>
          <w:rFonts w:ascii="Arial" w:hAnsi="Arial" w:cs="Arial"/>
          <w:sz w:val="22"/>
          <w:szCs w:val="22"/>
        </w:rPr>
        <w:t xml:space="preserve">septiembre </w:t>
      </w:r>
      <w:r w:rsidRPr="00F73B5C">
        <w:rPr>
          <w:rFonts w:ascii="Arial" w:hAnsi="Arial" w:cs="Arial"/>
          <w:sz w:val="22"/>
          <w:szCs w:val="22"/>
        </w:rPr>
        <w:t>de 2019</w:t>
      </w:r>
      <w:r w:rsidR="003D01DB" w:rsidRPr="00F73B5C">
        <w:rPr>
          <w:rFonts w:ascii="Arial" w:hAnsi="Arial" w:cs="Arial"/>
          <w:sz w:val="22"/>
          <w:szCs w:val="22"/>
        </w:rPr>
        <w:t xml:space="preserve">, </w:t>
      </w:r>
      <w:r w:rsidR="00CE27D7" w:rsidRPr="00F73B5C">
        <w:rPr>
          <w:rFonts w:ascii="Arial" w:hAnsi="Arial" w:cs="Arial"/>
          <w:sz w:val="22"/>
          <w:szCs w:val="22"/>
        </w:rPr>
        <w:t xml:space="preserve">se </w:t>
      </w:r>
      <w:r w:rsidR="003D01DB" w:rsidRPr="00F73B5C">
        <w:rPr>
          <w:rFonts w:ascii="Arial" w:hAnsi="Arial" w:cs="Arial"/>
          <w:sz w:val="22"/>
          <w:szCs w:val="22"/>
        </w:rPr>
        <w:t>consultó en el SIIF las obligaciones para cada uno de los contra</w:t>
      </w:r>
      <w:r w:rsidR="002E1469" w:rsidRPr="00F73B5C">
        <w:rPr>
          <w:rFonts w:ascii="Arial" w:hAnsi="Arial" w:cs="Arial"/>
          <w:sz w:val="22"/>
          <w:szCs w:val="22"/>
        </w:rPr>
        <w:t xml:space="preserve">tos de prestación de servicios. </w:t>
      </w:r>
      <w:r w:rsidR="00983A08" w:rsidRPr="00F73B5C">
        <w:rPr>
          <w:rFonts w:ascii="Arial" w:hAnsi="Arial" w:cs="Arial"/>
          <w:sz w:val="22"/>
          <w:szCs w:val="22"/>
        </w:rPr>
        <w:t>Con dicha información</w:t>
      </w:r>
      <w:r w:rsidR="00CB224A" w:rsidRPr="00F73B5C">
        <w:rPr>
          <w:rFonts w:ascii="Arial" w:hAnsi="Arial" w:cs="Arial"/>
          <w:sz w:val="22"/>
          <w:szCs w:val="22"/>
        </w:rPr>
        <w:t>,</w:t>
      </w:r>
      <w:r w:rsidR="00983A08" w:rsidRPr="00F73B5C">
        <w:rPr>
          <w:rFonts w:ascii="Arial" w:hAnsi="Arial" w:cs="Arial"/>
          <w:sz w:val="22"/>
          <w:szCs w:val="22"/>
        </w:rPr>
        <w:t xml:space="preserve"> se</w:t>
      </w:r>
      <w:r w:rsidR="005F56A4" w:rsidRPr="00F73B5C">
        <w:rPr>
          <w:rFonts w:ascii="Arial" w:hAnsi="Arial" w:cs="Arial"/>
          <w:sz w:val="22"/>
          <w:szCs w:val="22"/>
        </w:rPr>
        <w:t xml:space="preserve"> efectúo la comparación con </w:t>
      </w:r>
      <w:r w:rsidR="00315A59" w:rsidRPr="00F73B5C">
        <w:rPr>
          <w:rFonts w:ascii="Arial" w:hAnsi="Arial" w:cs="Arial"/>
          <w:sz w:val="22"/>
          <w:szCs w:val="22"/>
        </w:rPr>
        <w:t>las obligaciones correspondientes a</w:t>
      </w:r>
      <w:r w:rsidR="005F56A4" w:rsidRPr="00F73B5C">
        <w:rPr>
          <w:rFonts w:ascii="Arial" w:hAnsi="Arial" w:cs="Arial"/>
          <w:sz w:val="22"/>
          <w:szCs w:val="22"/>
        </w:rPr>
        <w:t xml:space="preserve">l </w:t>
      </w:r>
      <w:r w:rsidR="00F73B5C">
        <w:rPr>
          <w:rFonts w:ascii="Arial" w:hAnsi="Arial" w:cs="Arial"/>
          <w:sz w:val="22"/>
          <w:szCs w:val="22"/>
        </w:rPr>
        <w:t xml:space="preserve">tercer </w:t>
      </w:r>
      <w:r w:rsidR="00DD3DDA" w:rsidRPr="00F73B5C">
        <w:rPr>
          <w:rFonts w:ascii="Arial" w:hAnsi="Arial" w:cs="Arial"/>
          <w:sz w:val="22"/>
          <w:szCs w:val="22"/>
        </w:rPr>
        <w:t>trimestre</w:t>
      </w:r>
      <w:r w:rsidR="00983A08" w:rsidRPr="00F73B5C">
        <w:rPr>
          <w:rFonts w:ascii="Arial" w:hAnsi="Arial" w:cs="Arial"/>
          <w:sz w:val="22"/>
          <w:szCs w:val="22"/>
        </w:rPr>
        <w:t xml:space="preserve"> de 2018. A continuación, se presentan las variaciones </w:t>
      </w:r>
      <w:r w:rsidR="00B51E6E">
        <w:rPr>
          <w:rFonts w:ascii="Arial" w:hAnsi="Arial" w:cs="Arial"/>
          <w:sz w:val="22"/>
          <w:szCs w:val="22"/>
        </w:rPr>
        <w:t xml:space="preserve">establecidas para el </w:t>
      </w:r>
      <w:r w:rsidR="00983A08" w:rsidRPr="00F73B5C">
        <w:rPr>
          <w:rFonts w:ascii="Arial" w:hAnsi="Arial" w:cs="Arial"/>
          <w:sz w:val="22"/>
          <w:szCs w:val="22"/>
        </w:rPr>
        <w:t xml:space="preserve">trimestre objeto de análisis: </w:t>
      </w:r>
    </w:p>
    <w:p w14:paraId="2BBC1749" w14:textId="77777777" w:rsidR="00E359FD" w:rsidRDefault="00E359FD" w:rsidP="00926D75">
      <w:pPr>
        <w:jc w:val="both"/>
        <w:rPr>
          <w:rFonts w:ascii="Arial" w:hAnsi="Arial" w:cs="Arial"/>
          <w:sz w:val="22"/>
          <w:szCs w:val="22"/>
        </w:rPr>
      </w:pPr>
    </w:p>
    <w:p w14:paraId="6EF0AA73" w14:textId="77777777" w:rsidR="003C4AD6" w:rsidRPr="00F73B5C" w:rsidRDefault="003C4AD6" w:rsidP="00926D75">
      <w:pPr>
        <w:jc w:val="both"/>
        <w:rPr>
          <w:rFonts w:ascii="Arial" w:hAnsi="Arial" w:cs="Arial"/>
          <w:sz w:val="22"/>
          <w:szCs w:val="22"/>
        </w:rPr>
      </w:pPr>
    </w:p>
    <w:tbl>
      <w:tblPr>
        <w:tblStyle w:val="Tabladecuadrcula1clara-nfasis1"/>
        <w:tblW w:w="0" w:type="auto"/>
        <w:jc w:val="center"/>
        <w:tblLook w:val="04A0" w:firstRow="1" w:lastRow="0" w:firstColumn="1" w:lastColumn="0" w:noHBand="0" w:noVBand="1"/>
      </w:tblPr>
      <w:tblGrid>
        <w:gridCol w:w="1239"/>
        <w:gridCol w:w="2107"/>
        <w:gridCol w:w="1851"/>
        <w:gridCol w:w="1351"/>
        <w:gridCol w:w="1217"/>
      </w:tblGrid>
      <w:tr w:rsidR="000B21B5" w:rsidRPr="00B67C1C" w14:paraId="4988E373" w14:textId="77777777" w:rsidTr="007551A2">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095E46D1" w14:textId="77777777" w:rsidR="000B21B5" w:rsidRPr="00B67C1C" w:rsidRDefault="000B21B5" w:rsidP="007C2B64">
            <w:pPr>
              <w:spacing w:before="80" w:after="80"/>
              <w:jc w:val="center"/>
              <w:rPr>
                <w:rFonts w:ascii="Arial" w:hAnsi="Arial" w:cs="Arial"/>
                <w:color w:val="FFFFFF" w:themeColor="background1"/>
                <w:sz w:val="20"/>
                <w:szCs w:val="20"/>
              </w:rPr>
            </w:pPr>
            <w:r w:rsidRPr="00B67C1C">
              <w:rPr>
                <w:rFonts w:ascii="Arial" w:hAnsi="Arial" w:cs="Arial"/>
                <w:color w:val="FFFFFF" w:themeColor="background1"/>
                <w:sz w:val="20"/>
                <w:szCs w:val="20"/>
              </w:rPr>
              <w:t>Periodo</w:t>
            </w:r>
          </w:p>
        </w:tc>
        <w:tc>
          <w:tcPr>
            <w:tcW w:w="0" w:type="auto"/>
            <w:gridSpan w:val="2"/>
            <w:shd w:val="clear" w:color="auto" w:fill="4F81BD" w:themeFill="accent1"/>
            <w:vAlign w:val="center"/>
            <w:hideMark/>
          </w:tcPr>
          <w:p w14:paraId="00CF74FB" w14:textId="77777777" w:rsidR="000B21B5" w:rsidRPr="00B67C1C" w:rsidRDefault="000B21B5" w:rsidP="007C2B64">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67C1C">
              <w:rPr>
                <w:rFonts w:ascii="Arial" w:hAnsi="Arial" w:cs="Arial"/>
                <w:color w:val="FFFFFF" w:themeColor="background1"/>
                <w:sz w:val="20"/>
                <w:szCs w:val="20"/>
              </w:rPr>
              <w:t>Valor Obligado ($)</w:t>
            </w:r>
          </w:p>
        </w:tc>
        <w:tc>
          <w:tcPr>
            <w:tcW w:w="0" w:type="auto"/>
            <w:gridSpan w:val="2"/>
            <w:shd w:val="clear" w:color="auto" w:fill="4F81BD" w:themeFill="accent1"/>
            <w:vAlign w:val="center"/>
            <w:hideMark/>
          </w:tcPr>
          <w:p w14:paraId="31C76560" w14:textId="77777777" w:rsidR="000B21B5" w:rsidRPr="00B67C1C" w:rsidRDefault="000B21B5" w:rsidP="007C2B64">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67C1C">
              <w:rPr>
                <w:rFonts w:ascii="Arial" w:hAnsi="Arial" w:cs="Arial"/>
                <w:color w:val="FFFFFF" w:themeColor="background1"/>
                <w:sz w:val="20"/>
                <w:szCs w:val="20"/>
              </w:rPr>
              <w:t>Variaciones</w:t>
            </w:r>
          </w:p>
        </w:tc>
      </w:tr>
      <w:tr w:rsidR="000B21B5" w:rsidRPr="00B67C1C" w14:paraId="7DF0A3C7" w14:textId="77777777" w:rsidTr="007551A2">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nil"/>
            </w:tcBorders>
            <w:shd w:val="clear" w:color="auto" w:fill="4F81BD" w:themeFill="accent1"/>
            <w:vAlign w:val="center"/>
            <w:hideMark/>
          </w:tcPr>
          <w:p w14:paraId="238A9460" w14:textId="77777777" w:rsidR="000B21B5" w:rsidRPr="00B67C1C" w:rsidRDefault="000B21B5" w:rsidP="007C2B64">
            <w:pPr>
              <w:spacing w:before="80" w:after="80"/>
              <w:rPr>
                <w:rFonts w:ascii="Arial" w:hAnsi="Arial" w:cs="Arial"/>
                <w:color w:val="FFFFFF" w:themeColor="background1"/>
                <w:sz w:val="20"/>
                <w:szCs w:val="20"/>
              </w:rPr>
            </w:pPr>
          </w:p>
        </w:tc>
        <w:tc>
          <w:tcPr>
            <w:tcW w:w="0" w:type="auto"/>
            <w:tcBorders>
              <w:bottom w:val="nil"/>
            </w:tcBorders>
            <w:shd w:val="clear" w:color="auto" w:fill="4F81BD" w:themeFill="accent1"/>
            <w:vAlign w:val="center"/>
            <w:hideMark/>
          </w:tcPr>
          <w:p w14:paraId="166ADDBA" w14:textId="77777777" w:rsidR="000B21B5" w:rsidRPr="00B67C1C" w:rsidRDefault="00B67C1C"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I</w:t>
            </w:r>
            <w:r w:rsidR="000B21B5" w:rsidRPr="00B67C1C">
              <w:rPr>
                <w:rFonts w:ascii="Arial" w:hAnsi="Arial" w:cs="Arial"/>
                <w:b/>
                <w:bCs/>
                <w:color w:val="FFFFFF" w:themeColor="background1"/>
                <w:sz w:val="20"/>
                <w:szCs w:val="20"/>
              </w:rPr>
              <w:t>II Trimestre 2019</w:t>
            </w:r>
          </w:p>
        </w:tc>
        <w:tc>
          <w:tcPr>
            <w:tcW w:w="0" w:type="auto"/>
            <w:tcBorders>
              <w:bottom w:val="nil"/>
            </w:tcBorders>
            <w:shd w:val="clear" w:color="auto" w:fill="4F81BD" w:themeFill="accent1"/>
            <w:vAlign w:val="center"/>
            <w:hideMark/>
          </w:tcPr>
          <w:p w14:paraId="1CC8DA8D" w14:textId="77777777" w:rsidR="000B21B5" w:rsidRPr="00B67C1C" w:rsidRDefault="00B67C1C"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I</w:t>
            </w:r>
            <w:r w:rsidR="000B21B5" w:rsidRPr="00B67C1C">
              <w:rPr>
                <w:rFonts w:ascii="Arial" w:hAnsi="Arial" w:cs="Arial"/>
                <w:b/>
                <w:bCs/>
                <w:color w:val="FFFFFF" w:themeColor="background1"/>
                <w:sz w:val="20"/>
                <w:szCs w:val="20"/>
              </w:rPr>
              <w:t>II Trimestre 2018</w:t>
            </w:r>
          </w:p>
        </w:tc>
        <w:tc>
          <w:tcPr>
            <w:tcW w:w="0" w:type="auto"/>
            <w:tcBorders>
              <w:bottom w:val="nil"/>
            </w:tcBorders>
            <w:shd w:val="clear" w:color="auto" w:fill="4F81BD" w:themeFill="accent1"/>
            <w:vAlign w:val="center"/>
            <w:hideMark/>
          </w:tcPr>
          <w:p w14:paraId="60750C9E" w14:textId="77777777" w:rsidR="000B21B5" w:rsidRPr="00B67C1C" w:rsidRDefault="000B21B5"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67C1C">
              <w:rPr>
                <w:rFonts w:ascii="Arial" w:hAnsi="Arial" w:cs="Arial"/>
                <w:b/>
                <w:bCs/>
                <w:color w:val="FFFFFF" w:themeColor="background1"/>
                <w:sz w:val="20"/>
                <w:szCs w:val="20"/>
              </w:rPr>
              <w:t>Absoluta $</w:t>
            </w:r>
          </w:p>
        </w:tc>
        <w:tc>
          <w:tcPr>
            <w:tcW w:w="0" w:type="auto"/>
            <w:tcBorders>
              <w:bottom w:val="nil"/>
            </w:tcBorders>
            <w:shd w:val="clear" w:color="auto" w:fill="4F81BD" w:themeFill="accent1"/>
            <w:vAlign w:val="center"/>
            <w:hideMark/>
          </w:tcPr>
          <w:p w14:paraId="0571E87D" w14:textId="77777777" w:rsidR="000B21B5" w:rsidRPr="00B67C1C" w:rsidRDefault="000B21B5"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67C1C">
              <w:rPr>
                <w:rFonts w:ascii="Arial" w:hAnsi="Arial" w:cs="Arial"/>
                <w:b/>
                <w:bCs/>
                <w:color w:val="FFFFFF" w:themeColor="background1"/>
                <w:sz w:val="20"/>
                <w:szCs w:val="20"/>
              </w:rPr>
              <w:t>Relativa %</w:t>
            </w:r>
          </w:p>
        </w:tc>
      </w:tr>
      <w:tr w:rsidR="00B67C1C" w:rsidRPr="00B67C1C" w14:paraId="3E61780C" w14:textId="77777777" w:rsidTr="007551A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13C7F51E" w14:textId="77777777" w:rsidR="00B67C1C" w:rsidRPr="007551A2" w:rsidRDefault="00B67C1C" w:rsidP="007C2B64">
            <w:pPr>
              <w:spacing w:before="80" w:after="80"/>
              <w:rPr>
                <w:rFonts w:ascii="Arial" w:hAnsi="Arial" w:cs="Arial"/>
                <w:b w:val="0"/>
                <w:color w:val="0F243E" w:themeColor="text2" w:themeShade="80"/>
                <w:sz w:val="20"/>
                <w:szCs w:val="20"/>
              </w:rPr>
            </w:pPr>
            <w:r w:rsidRPr="007551A2">
              <w:rPr>
                <w:rFonts w:ascii="Arial" w:hAnsi="Arial" w:cs="Arial"/>
                <w:b w:val="0"/>
                <w:color w:val="0F243E" w:themeColor="text2" w:themeShade="80"/>
                <w:sz w:val="20"/>
                <w:szCs w:val="20"/>
              </w:rPr>
              <w:t xml:space="preserve">Julio </w:t>
            </w:r>
          </w:p>
        </w:tc>
        <w:tc>
          <w:tcPr>
            <w:tcW w:w="0" w:type="auto"/>
            <w:tcBorders>
              <w:top w:val="nil"/>
              <w:left w:val="nil"/>
              <w:bottom w:val="nil"/>
              <w:right w:val="nil"/>
            </w:tcBorders>
            <w:vAlign w:val="center"/>
            <w:hideMark/>
          </w:tcPr>
          <w:p w14:paraId="7913420F" w14:textId="77777777" w:rsidR="00B67C1C" w:rsidRPr="00FB7EA4" w:rsidRDefault="00B67C1C"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578.335.717 </w:t>
            </w:r>
          </w:p>
        </w:tc>
        <w:tc>
          <w:tcPr>
            <w:tcW w:w="0" w:type="auto"/>
            <w:tcBorders>
              <w:top w:val="nil"/>
              <w:left w:val="nil"/>
              <w:bottom w:val="nil"/>
              <w:right w:val="nil"/>
            </w:tcBorders>
            <w:vAlign w:val="center"/>
            <w:hideMark/>
          </w:tcPr>
          <w:p w14:paraId="72DA2232" w14:textId="77777777" w:rsidR="00B67C1C" w:rsidRPr="00FB7EA4" w:rsidRDefault="00B67C1C"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538.786.265</w:t>
            </w:r>
          </w:p>
        </w:tc>
        <w:tc>
          <w:tcPr>
            <w:tcW w:w="0" w:type="auto"/>
            <w:tcBorders>
              <w:top w:val="nil"/>
              <w:left w:val="nil"/>
              <w:bottom w:val="nil"/>
              <w:right w:val="nil"/>
            </w:tcBorders>
            <w:vAlign w:val="center"/>
            <w:hideMark/>
          </w:tcPr>
          <w:p w14:paraId="355ED5F8" w14:textId="77777777" w:rsidR="00B67C1C" w:rsidRPr="00FB7EA4" w:rsidRDefault="00B67C1C"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39.549.452</w:t>
            </w:r>
          </w:p>
        </w:tc>
        <w:tc>
          <w:tcPr>
            <w:tcW w:w="0" w:type="auto"/>
            <w:tcBorders>
              <w:top w:val="nil"/>
              <w:left w:val="nil"/>
              <w:bottom w:val="nil"/>
              <w:right w:val="nil"/>
            </w:tcBorders>
            <w:vAlign w:val="center"/>
            <w:hideMark/>
          </w:tcPr>
          <w:p w14:paraId="12436409" w14:textId="77777777" w:rsidR="00B67C1C" w:rsidRPr="00FB7EA4" w:rsidRDefault="00B67C1C"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7,34%</w:t>
            </w:r>
          </w:p>
        </w:tc>
      </w:tr>
      <w:tr w:rsidR="00B67C1C" w:rsidRPr="00B67C1C" w14:paraId="5F611AEF" w14:textId="77777777" w:rsidTr="007551A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3C4748D7" w14:textId="77777777" w:rsidR="00B67C1C" w:rsidRPr="007551A2" w:rsidRDefault="00B67C1C" w:rsidP="007C2B64">
            <w:pPr>
              <w:spacing w:before="80" w:after="80"/>
              <w:rPr>
                <w:rFonts w:ascii="Arial" w:hAnsi="Arial" w:cs="Arial"/>
                <w:b w:val="0"/>
                <w:color w:val="0F243E" w:themeColor="text2" w:themeShade="80"/>
                <w:sz w:val="20"/>
                <w:szCs w:val="20"/>
              </w:rPr>
            </w:pPr>
            <w:r w:rsidRPr="007551A2">
              <w:rPr>
                <w:rFonts w:ascii="Arial" w:hAnsi="Arial" w:cs="Arial"/>
                <w:b w:val="0"/>
                <w:color w:val="0F243E" w:themeColor="text2" w:themeShade="80"/>
                <w:sz w:val="20"/>
                <w:szCs w:val="20"/>
              </w:rPr>
              <w:t>Agosto</w:t>
            </w:r>
          </w:p>
        </w:tc>
        <w:tc>
          <w:tcPr>
            <w:tcW w:w="0" w:type="auto"/>
            <w:tcBorders>
              <w:top w:val="nil"/>
              <w:left w:val="nil"/>
              <w:bottom w:val="nil"/>
              <w:right w:val="nil"/>
            </w:tcBorders>
            <w:vAlign w:val="center"/>
            <w:hideMark/>
          </w:tcPr>
          <w:p w14:paraId="15C229D6" w14:textId="77777777" w:rsidR="00B67C1C" w:rsidRPr="00FB7EA4" w:rsidRDefault="00B67C1C"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576.235.717 </w:t>
            </w:r>
          </w:p>
        </w:tc>
        <w:tc>
          <w:tcPr>
            <w:tcW w:w="0" w:type="auto"/>
            <w:tcBorders>
              <w:top w:val="nil"/>
              <w:left w:val="nil"/>
              <w:bottom w:val="nil"/>
              <w:right w:val="nil"/>
            </w:tcBorders>
            <w:vAlign w:val="center"/>
            <w:hideMark/>
          </w:tcPr>
          <w:p w14:paraId="54CBC664" w14:textId="77777777" w:rsidR="00B67C1C" w:rsidRPr="00FB7EA4" w:rsidRDefault="00B67C1C"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610.749.858</w:t>
            </w:r>
          </w:p>
        </w:tc>
        <w:tc>
          <w:tcPr>
            <w:tcW w:w="0" w:type="auto"/>
            <w:tcBorders>
              <w:top w:val="nil"/>
              <w:left w:val="nil"/>
              <w:bottom w:val="nil"/>
              <w:right w:val="nil"/>
            </w:tcBorders>
            <w:vAlign w:val="center"/>
            <w:hideMark/>
          </w:tcPr>
          <w:p w14:paraId="2886C764" w14:textId="16365EFB" w:rsidR="00B67C1C" w:rsidRPr="00FB7EA4" w:rsidRDefault="00644639"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B67C1C" w:rsidRPr="00FB7EA4">
              <w:rPr>
                <w:rFonts w:ascii="Arial" w:hAnsi="Arial" w:cs="Arial"/>
                <w:color w:val="0F243E" w:themeColor="text2" w:themeShade="80"/>
                <w:sz w:val="20"/>
                <w:szCs w:val="20"/>
              </w:rPr>
              <w:t>34.514.141</w:t>
            </w:r>
            <w:r w:rsidRPr="00FB7EA4">
              <w:rPr>
                <w:rFonts w:ascii="Arial" w:hAnsi="Arial" w:cs="Arial"/>
                <w:color w:val="0F243E" w:themeColor="text2" w:themeShade="80"/>
                <w:sz w:val="20"/>
                <w:szCs w:val="20"/>
              </w:rPr>
              <w:t>)</w:t>
            </w:r>
          </w:p>
        </w:tc>
        <w:tc>
          <w:tcPr>
            <w:tcW w:w="0" w:type="auto"/>
            <w:tcBorders>
              <w:top w:val="nil"/>
              <w:left w:val="nil"/>
              <w:bottom w:val="nil"/>
              <w:right w:val="nil"/>
            </w:tcBorders>
            <w:vAlign w:val="center"/>
            <w:hideMark/>
          </w:tcPr>
          <w:p w14:paraId="559C11BB" w14:textId="7D4FA6B5" w:rsidR="00B67C1C" w:rsidRPr="00FB7EA4" w:rsidRDefault="00644639"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B67C1C" w:rsidRPr="00FB7EA4">
              <w:rPr>
                <w:rFonts w:ascii="Arial" w:hAnsi="Arial" w:cs="Arial"/>
                <w:color w:val="0F243E" w:themeColor="text2" w:themeShade="80"/>
                <w:sz w:val="20"/>
                <w:szCs w:val="20"/>
              </w:rPr>
              <w:t>5,65%</w:t>
            </w:r>
            <w:r w:rsidRPr="00FB7EA4">
              <w:rPr>
                <w:rFonts w:ascii="Arial" w:hAnsi="Arial" w:cs="Arial"/>
                <w:color w:val="0F243E" w:themeColor="text2" w:themeShade="80"/>
                <w:sz w:val="20"/>
                <w:szCs w:val="20"/>
              </w:rPr>
              <w:t>)</w:t>
            </w:r>
          </w:p>
        </w:tc>
      </w:tr>
      <w:tr w:rsidR="00B67C1C" w:rsidRPr="00B67C1C" w14:paraId="1FDE04DA" w14:textId="77777777" w:rsidTr="007551A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2B532129" w14:textId="77777777" w:rsidR="00B67C1C" w:rsidRPr="007551A2" w:rsidRDefault="00B67C1C" w:rsidP="007C2B64">
            <w:pPr>
              <w:spacing w:before="80" w:after="80"/>
              <w:rPr>
                <w:rFonts w:ascii="Arial" w:hAnsi="Arial" w:cs="Arial"/>
                <w:b w:val="0"/>
                <w:color w:val="0F243E" w:themeColor="text2" w:themeShade="80"/>
                <w:sz w:val="20"/>
                <w:szCs w:val="20"/>
              </w:rPr>
            </w:pPr>
            <w:r w:rsidRPr="007551A2">
              <w:rPr>
                <w:rFonts w:ascii="Arial" w:hAnsi="Arial" w:cs="Arial"/>
                <w:b w:val="0"/>
                <w:color w:val="0F243E" w:themeColor="text2" w:themeShade="80"/>
                <w:sz w:val="20"/>
                <w:szCs w:val="20"/>
              </w:rPr>
              <w:t>Septiembre</w:t>
            </w:r>
          </w:p>
        </w:tc>
        <w:tc>
          <w:tcPr>
            <w:tcW w:w="0" w:type="auto"/>
            <w:tcBorders>
              <w:top w:val="nil"/>
              <w:left w:val="nil"/>
              <w:bottom w:val="double" w:sz="4" w:space="0" w:color="4F81BD" w:themeColor="accent1"/>
              <w:right w:val="nil"/>
            </w:tcBorders>
            <w:vAlign w:val="center"/>
            <w:hideMark/>
          </w:tcPr>
          <w:p w14:paraId="2F2BEFAC" w14:textId="77777777" w:rsidR="00B67C1C" w:rsidRPr="00FB7EA4" w:rsidRDefault="00B67C1C"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577.635.716 </w:t>
            </w:r>
          </w:p>
        </w:tc>
        <w:tc>
          <w:tcPr>
            <w:tcW w:w="0" w:type="auto"/>
            <w:tcBorders>
              <w:top w:val="nil"/>
              <w:left w:val="nil"/>
              <w:bottom w:val="double" w:sz="4" w:space="0" w:color="4F81BD" w:themeColor="accent1"/>
              <w:right w:val="nil"/>
            </w:tcBorders>
            <w:vAlign w:val="center"/>
            <w:hideMark/>
          </w:tcPr>
          <w:p w14:paraId="439661CA" w14:textId="77777777" w:rsidR="00B67C1C" w:rsidRPr="00FB7EA4" w:rsidRDefault="00B67C1C"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611.241.883</w:t>
            </w:r>
          </w:p>
        </w:tc>
        <w:tc>
          <w:tcPr>
            <w:tcW w:w="0" w:type="auto"/>
            <w:tcBorders>
              <w:top w:val="nil"/>
              <w:left w:val="nil"/>
              <w:bottom w:val="double" w:sz="4" w:space="0" w:color="4F81BD" w:themeColor="accent1"/>
              <w:right w:val="nil"/>
            </w:tcBorders>
            <w:vAlign w:val="center"/>
            <w:hideMark/>
          </w:tcPr>
          <w:p w14:paraId="7B326715" w14:textId="76920CDF" w:rsidR="00B67C1C" w:rsidRPr="00FB7EA4" w:rsidRDefault="00644639"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B67C1C" w:rsidRPr="00FB7EA4">
              <w:rPr>
                <w:rFonts w:ascii="Arial" w:hAnsi="Arial" w:cs="Arial"/>
                <w:color w:val="0F243E" w:themeColor="text2" w:themeShade="80"/>
                <w:sz w:val="20"/>
                <w:szCs w:val="20"/>
              </w:rPr>
              <w:t>33.606.167</w:t>
            </w:r>
            <w:r w:rsidRPr="00FB7EA4">
              <w:rPr>
                <w:rFonts w:ascii="Arial" w:hAnsi="Arial" w:cs="Arial"/>
                <w:color w:val="0F243E" w:themeColor="text2" w:themeShade="80"/>
                <w:sz w:val="20"/>
                <w:szCs w:val="20"/>
              </w:rPr>
              <w:t>)</w:t>
            </w:r>
          </w:p>
        </w:tc>
        <w:tc>
          <w:tcPr>
            <w:tcW w:w="0" w:type="auto"/>
            <w:tcBorders>
              <w:top w:val="nil"/>
              <w:left w:val="nil"/>
              <w:bottom w:val="double" w:sz="4" w:space="0" w:color="4F81BD" w:themeColor="accent1"/>
              <w:right w:val="nil"/>
            </w:tcBorders>
            <w:vAlign w:val="center"/>
            <w:hideMark/>
          </w:tcPr>
          <w:p w14:paraId="57A995A0" w14:textId="695E0E92" w:rsidR="00B67C1C" w:rsidRPr="00FB7EA4" w:rsidRDefault="00644639"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B67C1C" w:rsidRPr="00FB7EA4">
              <w:rPr>
                <w:rFonts w:ascii="Arial" w:hAnsi="Arial" w:cs="Arial"/>
                <w:color w:val="0F243E" w:themeColor="text2" w:themeShade="80"/>
                <w:sz w:val="20"/>
                <w:szCs w:val="20"/>
              </w:rPr>
              <w:t>5,50%</w:t>
            </w:r>
            <w:r w:rsidRPr="00FB7EA4">
              <w:rPr>
                <w:rFonts w:ascii="Arial" w:hAnsi="Arial" w:cs="Arial"/>
                <w:color w:val="0F243E" w:themeColor="text2" w:themeShade="80"/>
                <w:sz w:val="20"/>
                <w:szCs w:val="20"/>
              </w:rPr>
              <w:t>)</w:t>
            </w:r>
          </w:p>
        </w:tc>
      </w:tr>
      <w:tr w:rsidR="00B67C1C" w:rsidRPr="00B67C1C" w14:paraId="250AC51D" w14:textId="77777777" w:rsidTr="007551A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double" w:sz="4" w:space="0" w:color="4F81BD" w:themeColor="accent1"/>
              <w:right w:val="nil"/>
            </w:tcBorders>
            <w:vAlign w:val="center"/>
            <w:hideMark/>
          </w:tcPr>
          <w:p w14:paraId="236CDDFD" w14:textId="77777777" w:rsidR="00B67C1C" w:rsidRPr="007551A2" w:rsidRDefault="00B67C1C" w:rsidP="007C2B64">
            <w:pPr>
              <w:spacing w:before="80" w:after="80"/>
              <w:jc w:val="center"/>
              <w:rPr>
                <w:rFonts w:ascii="Arial" w:hAnsi="Arial" w:cs="Arial"/>
                <w:color w:val="0F243E" w:themeColor="text2" w:themeShade="80"/>
                <w:sz w:val="20"/>
                <w:szCs w:val="20"/>
              </w:rPr>
            </w:pPr>
            <w:r w:rsidRPr="007551A2">
              <w:rPr>
                <w:rFonts w:ascii="Arial" w:hAnsi="Arial" w:cs="Arial"/>
                <w:color w:val="0F243E" w:themeColor="text2" w:themeShade="80"/>
                <w:sz w:val="20"/>
                <w:szCs w:val="20"/>
              </w:rPr>
              <w:t>Total</w:t>
            </w:r>
          </w:p>
        </w:tc>
        <w:tc>
          <w:tcPr>
            <w:tcW w:w="0" w:type="auto"/>
            <w:tcBorders>
              <w:top w:val="double" w:sz="4" w:space="0" w:color="4F81BD" w:themeColor="accent1"/>
              <w:left w:val="nil"/>
              <w:bottom w:val="double" w:sz="4" w:space="0" w:color="4F81BD" w:themeColor="accent1"/>
              <w:right w:val="nil"/>
            </w:tcBorders>
            <w:vAlign w:val="center"/>
            <w:hideMark/>
          </w:tcPr>
          <w:p w14:paraId="228CEEA1" w14:textId="77777777" w:rsidR="00B67C1C" w:rsidRPr="00FB7EA4" w:rsidRDefault="00B67C1C"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1.732.207.151 </w:t>
            </w:r>
          </w:p>
        </w:tc>
        <w:tc>
          <w:tcPr>
            <w:tcW w:w="0" w:type="auto"/>
            <w:tcBorders>
              <w:top w:val="double" w:sz="4" w:space="0" w:color="4F81BD" w:themeColor="accent1"/>
              <w:left w:val="nil"/>
              <w:bottom w:val="double" w:sz="4" w:space="0" w:color="4F81BD" w:themeColor="accent1"/>
              <w:right w:val="nil"/>
            </w:tcBorders>
            <w:vAlign w:val="center"/>
            <w:hideMark/>
          </w:tcPr>
          <w:p w14:paraId="13AB676A" w14:textId="77777777" w:rsidR="00B67C1C" w:rsidRPr="00FB7EA4" w:rsidRDefault="00B67C1C"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1.760.778.006</w:t>
            </w:r>
          </w:p>
        </w:tc>
        <w:tc>
          <w:tcPr>
            <w:tcW w:w="0" w:type="auto"/>
            <w:tcBorders>
              <w:top w:val="double" w:sz="4" w:space="0" w:color="4F81BD" w:themeColor="accent1"/>
              <w:left w:val="nil"/>
              <w:bottom w:val="double" w:sz="4" w:space="0" w:color="4F81BD" w:themeColor="accent1"/>
              <w:right w:val="nil"/>
            </w:tcBorders>
            <w:vAlign w:val="center"/>
            <w:hideMark/>
          </w:tcPr>
          <w:p w14:paraId="31AB0794" w14:textId="6D46C412" w:rsidR="00B67C1C" w:rsidRPr="00FB7EA4" w:rsidRDefault="00644639"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w:t>
            </w:r>
            <w:r w:rsidR="00B67C1C" w:rsidRPr="00FB7EA4">
              <w:rPr>
                <w:rFonts w:ascii="Arial" w:hAnsi="Arial" w:cs="Arial"/>
                <w:b/>
                <w:bCs/>
                <w:color w:val="0F243E" w:themeColor="text2" w:themeShade="80"/>
                <w:sz w:val="20"/>
                <w:szCs w:val="20"/>
              </w:rPr>
              <w:t>28.570.855</w:t>
            </w:r>
            <w:r w:rsidRPr="00FB7EA4">
              <w:rPr>
                <w:rFonts w:ascii="Arial" w:hAnsi="Arial" w:cs="Arial"/>
                <w:b/>
                <w:bCs/>
                <w:color w:val="0F243E" w:themeColor="text2" w:themeShade="80"/>
                <w:sz w:val="20"/>
                <w:szCs w:val="20"/>
              </w:rPr>
              <w:t>)</w:t>
            </w:r>
          </w:p>
        </w:tc>
        <w:tc>
          <w:tcPr>
            <w:tcW w:w="0" w:type="auto"/>
            <w:tcBorders>
              <w:top w:val="double" w:sz="4" w:space="0" w:color="4F81BD" w:themeColor="accent1"/>
              <w:left w:val="nil"/>
              <w:bottom w:val="double" w:sz="4" w:space="0" w:color="4F81BD" w:themeColor="accent1"/>
              <w:right w:val="nil"/>
            </w:tcBorders>
            <w:vAlign w:val="center"/>
            <w:hideMark/>
          </w:tcPr>
          <w:p w14:paraId="094E89D7" w14:textId="0FEE9069" w:rsidR="00B67C1C" w:rsidRPr="00FB7EA4" w:rsidRDefault="00644639" w:rsidP="007C2B64">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w:t>
            </w:r>
            <w:r w:rsidR="00B67C1C" w:rsidRPr="00FB7EA4">
              <w:rPr>
                <w:rFonts w:ascii="Arial" w:hAnsi="Arial" w:cs="Arial"/>
                <w:b/>
                <w:bCs/>
                <w:color w:val="0F243E" w:themeColor="text2" w:themeShade="80"/>
                <w:sz w:val="20"/>
                <w:szCs w:val="20"/>
              </w:rPr>
              <w:t>3,81%</w:t>
            </w:r>
            <w:r w:rsidRPr="00FB7EA4">
              <w:rPr>
                <w:rFonts w:ascii="Arial" w:hAnsi="Arial" w:cs="Arial"/>
                <w:b/>
                <w:bCs/>
                <w:color w:val="0F243E" w:themeColor="text2" w:themeShade="80"/>
                <w:sz w:val="20"/>
                <w:szCs w:val="20"/>
              </w:rPr>
              <w:t>)</w:t>
            </w:r>
          </w:p>
        </w:tc>
      </w:tr>
    </w:tbl>
    <w:p w14:paraId="0BDE0C2E" w14:textId="77777777" w:rsidR="003C4AD6" w:rsidRDefault="003C4AD6" w:rsidP="0075651C">
      <w:pPr>
        <w:jc w:val="both"/>
        <w:rPr>
          <w:rFonts w:ascii="Arial" w:hAnsi="Arial" w:cs="Arial"/>
          <w:sz w:val="22"/>
          <w:szCs w:val="22"/>
        </w:rPr>
      </w:pPr>
    </w:p>
    <w:p w14:paraId="66B4D3B2" w14:textId="77777777" w:rsidR="007C2B64" w:rsidRDefault="007C2B64" w:rsidP="0075651C">
      <w:pPr>
        <w:jc w:val="both"/>
        <w:rPr>
          <w:rFonts w:ascii="Arial" w:hAnsi="Arial" w:cs="Arial"/>
          <w:sz w:val="22"/>
          <w:szCs w:val="22"/>
        </w:rPr>
      </w:pPr>
    </w:p>
    <w:p w14:paraId="7F1F88E6" w14:textId="6F3BDDB1" w:rsidR="00983A08" w:rsidRPr="00B67C1C" w:rsidRDefault="00B51E6E" w:rsidP="0075651C">
      <w:pPr>
        <w:jc w:val="both"/>
        <w:rPr>
          <w:rFonts w:ascii="Arial" w:hAnsi="Arial" w:cs="Arial"/>
          <w:sz w:val="22"/>
          <w:szCs w:val="22"/>
        </w:rPr>
      </w:pPr>
      <w:r>
        <w:rPr>
          <w:rFonts w:ascii="Arial" w:hAnsi="Arial" w:cs="Arial"/>
          <w:sz w:val="22"/>
          <w:szCs w:val="22"/>
        </w:rPr>
        <w:t xml:space="preserve">Como resultado de las variaciones, se observó </w:t>
      </w:r>
      <w:r w:rsidR="00352369" w:rsidRPr="00B67C1C">
        <w:rPr>
          <w:rFonts w:ascii="Arial" w:hAnsi="Arial" w:cs="Arial"/>
          <w:sz w:val="22"/>
          <w:szCs w:val="22"/>
        </w:rPr>
        <w:t xml:space="preserve">una disminución </w:t>
      </w:r>
      <w:r>
        <w:rPr>
          <w:rFonts w:ascii="Arial" w:hAnsi="Arial" w:cs="Arial"/>
          <w:sz w:val="22"/>
          <w:szCs w:val="22"/>
        </w:rPr>
        <w:t xml:space="preserve">de 3.81% en el valor de las obligaciones, correspondiente a </w:t>
      </w:r>
      <w:r w:rsidR="00352369" w:rsidRPr="00B67C1C">
        <w:rPr>
          <w:rFonts w:ascii="Arial" w:hAnsi="Arial" w:cs="Arial"/>
          <w:bCs/>
          <w:sz w:val="22"/>
          <w:szCs w:val="22"/>
        </w:rPr>
        <w:t>$</w:t>
      </w:r>
      <w:r>
        <w:rPr>
          <w:rFonts w:ascii="Arial" w:hAnsi="Arial" w:cs="Arial"/>
          <w:bCs/>
          <w:sz w:val="22"/>
          <w:szCs w:val="22"/>
        </w:rPr>
        <w:t>28.570.855</w:t>
      </w:r>
      <w:r w:rsidR="00983A08" w:rsidRPr="00B67C1C">
        <w:rPr>
          <w:rFonts w:ascii="Arial" w:hAnsi="Arial" w:cs="Arial"/>
          <w:sz w:val="22"/>
          <w:szCs w:val="22"/>
        </w:rPr>
        <w:t xml:space="preserve"> </w:t>
      </w:r>
      <w:r w:rsidR="00847622" w:rsidRPr="00B67C1C">
        <w:rPr>
          <w:rFonts w:ascii="Arial" w:hAnsi="Arial" w:cs="Arial"/>
          <w:sz w:val="22"/>
          <w:szCs w:val="22"/>
        </w:rPr>
        <w:t xml:space="preserve">de </w:t>
      </w:r>
      <w:r w:rsidR="00E055D9" w:rsidRPr="00B67C1C">
        <w:rPr>
          <w:rFonts w:ascii="Arial" w:hAnsi="Arial" w:cs="Arial"/>
          <w:sz w:val="22"/>
          <w:szCs w:val="22"/>
        </w:rPr>
        <w:t xml:space="preserve">la vigencia 2019 comparada con la </w:t>
      </w:r>
      <w:r w:rsidR="00847622" w:rsidRPr="00B67C1C">
        <w:rPr>
          <w:rFonts w:ascii="Arial" w:hAnsi="Arial" w:cs="Arial"/>
          <w:sz w:val="22"/>
          <w:szCs w:val="22"/>
        </w:rPr>
        <w:t>vigencia</w:t>
      </w:r>
      <w:r w:rsidR="00E055D9" w:rsidRPr="00B67C1C">
        <w:rPr>
          <w:rFonts w:ascii="Arial" w:hAnsi="Arial" w:cs="Arial"/>
          <w:sz w:val="22"/>
          <w:szCs w:val="22"/>
        </w:rPr>
        <w:t xml:space="preserve"> 2018</w:t>
      </w:r>
      <w:r>
        <w:rPr>
          <w:rFonts w:ascii="Arial" w:hAnsi="Arial" w:cs="Arial"/>
          <w:sz w:val="22"/>
          <w:szCs w:val="22"/>
        </w:rPr>
        <w:t xml:space="preserve">. </w:t>
      </w:r>
      <w:r w:rsidR="008A6D04" w:rsidRPr="00B67C1C">
        <w:rPr>
          <w:rFonts w:ascii="Arial" w:hAnsi="Arial" w:cs="Arial"/>
          <w:sz w:val="22"/>
          <w:szCs w:val="22"/>
        </w:rPr>
        <w:t>R</w:t>
      </w:r>
      <w:r w:rsidR="00352369" w:rsidRPr="00B67C1C">
        <w:rPr>
          <w:rFonts w:ascii="Arial" w:hAnsi="Arial" w:cs="Arial"/>
          <w:sz w:val="22"/>
          <w:szCs w:val="22"/>
        </w:rPr>
        <w:t xml:space="preserve">eferente a la disminución en el </w:t>
      </w:r>
      <w:r w:rsidR="00847622" w:rsidRPr="00B67C1C">
        <w:rPr>
          <w:rFonts w:ascii="Arial" w:hAnsi="Arial" w:cs="Arial"/>
          <w:sz w:val="22"/>
          <w:szCs w:val="22"/>
        </w:rPr>
        <w:t xml:space="preserve">número de contratos </w:t>
      </w:r>
      <w:r w:rsidR="00FB2C37" w:rsidRPr="00B67C1C">
        <w:rPr>
          <w:rFonts w:ascii="Arial" w:hAnsi="Arial" w:cs="Arial"/>
          <w:sz w:val="22"/>
          <w:szCs w:val="22"/>
        </w:rPr>
        <w:t>de</w:t>
      </w:r>
      <w:r w:rsidR="00983A08" w:rsidRPr="00B67C1C">
        <w:rPr>
          <w:rFonts w:ascii="Arial" w:hAnsi="Arial" w:cs="Arial"/>
          <w:sz w:val="22"/>
          <w:szCs w:val="22"/>
        </w:rPr>
        <w:t xml:space="preserve"> prestación de servicios profesionales</w:t>
      </w:r>
      <w:r w:rsidR="00352369" w:rsidRPr="00B67C1C">
        <w:rPr>
          <w:rFonts w:ascii="Arial" w:hAnsi="Arial" w:cs="Arial"/>
          <w:sz w:val="22"/>
          <w:szCs w:val="22"/>
        </w:rPr>
        <w:t>,</w:t>
      </w:r>
      <w:r w:rsidR="007445F2" w:rsidRPr="00B67C1C">
        <w:rPr>
          <w:rFonts w:ascii="Arial" w:hAnsi="Arial" w:cs="Arial"/>
          <w:sz w:val="22"/>
          <w:szCs w:val="22"/>
        </w:rPr>
        <w:t xml:space="preserve"> </w:t>
      </w:r>
      <w:r w:rsidR="008A6D04" w:rsidRPr="00B67C1C">
        <w:rPr>
          <w:rFonts w:ascii="Arial" w:hAnsi="Arial" w:cs="Arial"/>
          <w:sz w:val="22"/>
          <w:szCs w:val="22"/>
        </w:rPr>
        <w:t xml:space="preserve">la disminución </w:t>
      </w:r>
      <w:r w:rsidR="00352369" w:rsidRPr="00B67C1C">
        <w:rPr>
          <w:rFonts w:ascii="Arial" w:hAnsi="Arial" w:cs="Arial"/>
          <w:sz w:val="22"/>
          <w:szCs w:val="22"/>
        </w:rPr>
        <w:t xml:space="preserve">representó el </w:t>
      </w:r>
      <w:r w:rsidR="006E0B87">
        <w:rPr>
          <w:rFonts w:ascii="Arial" w:hAnsi="Arial" w:cs="Arial"/>
          <w:sz w:val="22"/>
          <w:szCs w:val="22"/>
        </w:rPr>
        <w:t>2</w:t>
      </w:r>
      <w:r w:rsidR="00352369" w:rsidRPr="00B67C1C">
        <w:rPr>
          <w:rFonts w:ascii="Arial" w:hAnsi="Arial" w:cs="Arial"/>
          <w:sz w:val="22"/>
          <w:szCs w:val="22"/>
        </w:rPr>
        <w:t xml:space="preserve">%. </w:t>
      </w:r>
    </w:p>
    <w:p w14:paraId="77D3EE11" w14:textId="77777777" w:rsidR="009450BB" w:rsidRDefault="009450BB" w:rsidP="0075651C">
      <w:pPr>
        <w:autoSpaceDE w:val="0"/>
        <w:autoSpaceDN w:val="0"/>
        <w:jc w:val="both"/>
        <w:rPr>
          <w:rFonts w:ascii="Arial" w:hAnsi="Arial" w:cs="Arial"/>
          <w:color w:val="000000"/>
          <w:sz w:val="22"/>
          <w:szCs w:val="22"/>
        </w:rPr>
      </w:pPr>
    </w:p>
    <w:p w14:paraId="1860EE9A" w14:textId="3B63ADDD" w:rsidR="00BC2E57" w:rsidRDefault="0094039A" w:rsidP="0075651C">
      <w:pPr>
        <w:autoSpaceDE w:val="0"/>
        <w:autoSpaceDN w:val="0"/>
        <w:jc w:val="both"/>
        <w:rPr>
          <w:rFonts w:ascii="Arial" w:eastAsia="Calibri" w:hAnsi="Arial" w:cs="Arial"/>
          <w:sz w:val="22"/>
          <w:szCs w:val="22"/>
        </w:rPr>
      </w:pPr>
      <w:r w:rsidRPr="006C7814">
        <w:rPr>
          <w:rFonts w:ascii="Arial" w:hAnsi="Arial" w:cs="Arial"/>
          <w:color w:val="000000"/>
          <w:sz w:val="22"/>
          <w:szCs w:val="22"/>
        </w:rPr>
        <w:t>A</w:t>
      </w:r>
      <w:r w:rsidR="003F21F4" w:rsidRPr="006C7814">
        <w:rPr>
          <w:rFonts w:ascii="Arial" w:hAnsi="Arial" w:cs="Arial"/>
          <w:color w:val="000000"/>
          <w:sz w:val="22"/>
          <w:szCs w:val="22"/>
        </w:rPr>
        <w:t>unado a lo anterior, se compararon los</w:t>
      </w:r>
      <w:r w:rsidR="00A26004" w:rsidRPr="006C7814">
        <w:rPr>
          <w:rFonts w:ascii="Arial" w:hAnsi="Arial" w:cs="Arial"/>
          <w:color w:val="000000"/>
          <w:sz w:val="22"/>
          <w:szCs w:val="22"/>
        </w:rPr>
        <w:t xml:space="preserve"> contratos suscritos en el </w:t>
      </w:r>
      <w:r w:rsidR="006C7814">
        <w:rPr>
          <w:rFonts w:ascii="Arial" w:hAnsi="Arial" w:cs="Arial"/>
          <w:color w:val="000000"/>
          <w:sz w:val="22"/>
          <w:szCs w:val="22"/>
        </w:rPr>
        <w:t xml:space="preserve">tercer </w:t>
      </w:r>
      <w:r w:rsidR="00A26004" w:rsidRPr="006C7814">
        <w:rPr>
          <w:rFonts w:ascii="Arial" w:hAnsi="Arial" w:cs="Arial"/>
          <w:color w:val="000000"/>
          <w:sz w:val="22"/>
          <w:szCs w:val="22"/>
        </w:rPr>
        <w:t>trimestre de 201</w:t>
      </w:r>
      <w:r w:rsidR="002B5445" w:rsidRPr="006C7814">
        <w:rPr>
          <w:rFonts w:ascii="Arial" w:hAnsi="Arial" w:cs="Arial"/>
          <w:color w:val="000000"/>
          <w:sz w:val="22"/>
          <w:szCs w:val="22"/>
        </w:rPr>
        <w:t>9</w:t>
      </w:r>
      <w:r w:rsidR="00A26004" w:rsidRPr="006C7814">
        <w:rPr>
          <w:rFonts w:ascii="Arial" w:hAnsi="Arial" w:cs="Arial"/>
          <w:color w:val="000000"/>
          <w:sz w:val="22"/>
          <w:szCs w:val="22"/>
        </w:rPr>
        <w:t xml:space="preserve"> </w:t>
      </w:r>
      <w:r w:rsidR="00A26004" w:rsidRPr="006C7814">
        <w:rPr>
          <w:rFonts w:ascii="Arial" w:eastAsia="Calibri" w:hAnsi="Arial" w:cs="Arial"/>
          <w:sz w:val="22"/>
          <w:szCs w:val="22"/>
        </w:rPr>
        <w:t>con el mismo periodo de la vigencia 201</w:t>
      </w:r>
      <w:r w:rsidR="002B5445" w:rsidRPr="006C7814">
        <w:rPr>
          <w:rFonts w:ascii="Arial" w:eastAsia="Calibri" w:hAnsi="Arial" w:cs="Arial"/>
          <w:sz w:val="22"/>
          <w:szCs w:val="22"/>
        </w:rPr>
        <w:t>8</w:t>
      </w:r>
      <w:r w:rsidR="00A26004" w:rsidRPr="006C7814">
        <w:rPr>
          <w:rFonts w:ascii="Arial" w:eastAsia="Calibri" w:hAnsi="Arial" w:cs="Arial"/>
          <w:sz w:val="22"/>
          <w:szCs w:val="22"/>
        </w:rPr>
        <w:t>, o</w:t>
      </w:r>
      <w:r w:rsidR="00E62E81" w:rsidRPr="006C7814">
        <w:rPr>
          <w:rFonts w:ascii="Arial" w:eastAsia="Calibri" w:hAnsi="Arial" w:cs="Arial"/>
          <w:sz w:val="22"/>
          <w:szCs w:val="22"/>
        </w:rPr>
        <w:t>btenie</w:t>
      </w:r>
      <w:r w:rsidR="009B3DF5" w:rsidRPr="006C7814">
        <w:rPr>
          <w:rFonts w:ascii="Arial" w:eastAsia="Calibri" w:hAnsi="Arial" w:cs="Arial"/>
          <w:sz w:val="22"/>
          <w:szCs w:val="22"/>
        </w:rPr>
        <w:t xml:space="preserve">ndo como resultado </w:t>
      </w:r>
      <w:r w:rsidR="00E62E81" w:rsidRPr="006C7814">
        <w:rPr>
          <w:rFonts w:ascii="Arial" w:eastAsia="Calibri" w:hAnsi="Arial" w:cs="Arial"/>
          <w:sz w:val="22"/>
          <w:szCs w:val="22"/>
        </w:rPr>
        <w:t>que</w:t>
      </w:r>
      <w:r w:rsidR="009B3DF5" w:rsidRPr="006C7814">
        <w:rPr>
          <w:rFonts w:ascii="Arial" w:eastAsia="Calibri" w:hAnsi="Arial" w:cs="Arial"/>
          <w:sz w:val="22"/>
          <w:szCs w:val="22"/>
        </w:rPr>
        <w:t xml:space="preserve">, la cantidad </w:t>
      </w:r>
      <w:r w:rsidR="00393CC9" w:rsidRPr="006C7814">
        <w:rPr>
          <w:rFonts w:ascii="Arial" w:eastAsia="Calibri" w:hAnsi="Arial" w:cs="Arial"/>
          <w:sz w:val="22"/>
          <w:szCs w:val="22"/>
        </w:rPr>
        <w:t xml:space="preserve">de contratos </w:t>
      </w:r>
      <w:r w:rsidR="009B3DF5" w:rsidRPr="006C7814">
        <w:rPr>
          <w:rFonts w:ascii="Arial" w:eastAsia="Calibri" w:hAnsi="Arial" w:cs="Arial"/>
          <w:sz w:val="22"/>
          <w:szCs w:val="22"/>
        </w:rPr>
        <w:t xml:space="preserve">y el valor disminuyeron </w:t>
      </w:r>
      <w:r w:rsidR="00393CC9" w:rsidRPr="006C7814">
        <w:rPr>
          <w:rFonts w:ascii="Arial" w:eastAsia="Calibri" w:hAnsi="Arial" w:cs="Arial"/>
          <w:sz w:val="22"/>
          <w:szCs w:val="22"/>
        </w:rPr>
        <w:t xml:space="preserve">en un </w:t>
      </w:r>
      <w:r w:rsidR="006C7814">
        <w:rPr>
          <w:rFonts w:ascii="Arial" w:eastAsia="Calibri" w:hAnsi="Arial" w:cs="Arial"/>
          <w:sz w:val="22"/>
          <w:szCs w:val="22"/>
        </w:rPr>
        <w:t>27</w:t>
      </w:r>
      <w:r w:rsidR="00E62E81" w:rsidRPr="006C7814">
        <w:rPr>
          <w:rFonts w:ascii="Arial" w:eastAsia="Calibri" w:hAnsi="Arial" w:cs="Arial"/>
          <w:sz w:val="22"/>
          <w:szCs w:val="22"/>
        </w:rPr>
        <w:t xml:space="preserve">% y </w:t>
      </w:r>
      <w:r w:rsidR="006C7814">
        <w:rPr>
          <w:rFonts w:ascii="Arial" w:eastAsia="Calibri" w:hAnsi="Arial" w:cs="Arial"/>
          <w:sz w:val="22"/>
          <w:szCs w:val="22"/>
        </w:rPr>
        <w:t>30</w:t>
      </w:r>
      <w:r w:rsidR="003C5ED4" w:rsidRPr="006C7814">
        <w:rPr>
          <w:rFonts w:ascii="Arial" w:eastAsia="Calibri" w:hAnsi="Arial" w:cs="Arial"/>
          <w:sz w:val="22"/>
          <w:szCs w:val="22"/>
        </w:rPr>
        <w:t xml:space="preserve">%, respectivamente. </w:t>
      </w:r>
    </w:p>
    <w:p w14:paraId="7A11CF2C" w14:textId="77777777" w:rsidR="00E359FD" w:rsidRPr="006C7814" w:rsidRDefault="00E359FD" w:rsidP="0075651C">
      <w:pPr>
        <w:autoSpaceDE w:val="0"/>
        <w:autoSpaceDN w:val="0"/>
        <w:jc w:val="both"/>
        <w:rPr>
          <w:rFonts w:ascii="Arial" w:eastAsia="Calibri" w:hAnsi="Arial" w:cs="Arial"/>
          <w:sz w:val="22"/>
          <w:szCs w:val="22"/>
        </w:rPr>
      </w:pPr>
    </w:p>
    <w:tbl>
      <w:tblPr>
        <w:tblStyle w:val="Tabladecuadrcula1clara-nfasis1"/>
        <w:tblW w:w="0" w:type="auto"/>
        <w:jc w:val="center"/>
        <w:tblLook w:val="04A0" w:firstRow="1" w:lastRow="0" w:firstColumn="1" w:lastColumn="0" w:noHBand="0" w:noVBand="1"/>
      </w:tblPr>
      <w:tblGrid>
        <w:gridCol w:w="1962"/>
        <w:gridCol w:w="2144"/>
        <w:gridCol w:w="2835"/>
      </w:tblGrid>
      <w:tr w:rsidR="000E1880" w:rsidRPr="006C7814" w14:paraId="49043CE0" w14:textId="77777777" w:rsidTr="005654E8">
        <w:trPr>
          <w:cnfStyle w:val="100000000000" w:firstRow="1" w:lastRow="0" w:firstColumn="0" w:lastColumn="0" w:oddVBand="0" w:evenVBand="0" w:oddHBand="0" w:evenHBand="0" w:firstRowFirstColumn="0" w:firstRowLastColumn="0" w:lastRowFirstColumn="0" w:lastRowLastColumn="0"/>
          <w:cantSplit/>
          <w:trHeight w:val="60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vAlign w:val="center"/>
            <w:hideMark/>
          </w:tcPr>
          <w:p w14:paraId="0B85B4C6" w14:textId="77777777" w:rsidR="00E62E81" w:rsidRPr="006C7814" w:rsidRDefault="00E62E81" w:rsidP="00135F16">
            <w:pPr>
              <w:spacing w:before="60" w:after="60"/>
              <w:jc w:val="center"/>
              <w:rPr>
                <w:rFonts w:ascii="Arial" w:hAnsi="Arial" w:cs="Arial"/>
                <w:color w:val="FFFFFF" w:themeColor="background1"/>
                <w:sz w:val="20"/>
                <w:szCs w:val="20"/>
              </w:rPr>
            </w:pPr>
            <w:r w:rsidRPr="006C7814">
              <w:rPr>
                <w:rFonts w:ascii="Arial" w:hAnsi="Arial" w:cs="Arial"/>
                <w:color w:val="FFFFFF" w:themeColor="background1"/>
                <w:sz w:val="20"/>
                <w:szCs w:val="20"/>
              </w:rPr>
              <w:lastRenderedPageBreak/>
              <w:t>Periodo</w:t>
            </w:r>
          </w:p>
        </w:tc>
        <w:tc>
          <w:tcPr>
            <w:tcW w:w="2144" w:type="dxa"/>
            <w:tcBorders>
              <w:bottom w:val="nil"/>
            </w:tcBorders>
            <w:shd w:val="clear" w:color="auto" w:fill="4F81BD" w:themeFill="accent1"/>
            <w:vAlign w:val="center"/>
            <w:hideMark/>
          </w:tcPr>
          <w:p w14:paraId="2374C3DB" w14:textId="77777777" w:rsidR="00E62E81" w:rsidRPr="006C7814" w:rsidRDefault="00E62E81" w:rsidP="00135F1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6C7814">
              <w:rPr>
                <w:rFonts w:ascii="Arial" w:hAnsi="Arial" w:cs="Arial"/>
                <w:color w:val="FFFFFF" w:themeColor="background1"/>
                <w:sz w:val="20"/>
                <w:szCs w:val="20"/>
              </w:rPr>
              <w:t xml:space="preserve">Contratos Suscritos (Cantidad)  </w:t>
            </w:r>
          </w:p>
        </w:tc>
        <w:tc>
          <w:tcPr>
            <w:tcW w:w="2835" w:type="dxa"/>
            <w:tcBorders>
              <w:bottom w:val="nil"/>
            </w:tcBorders>
            <w:shd w:val="clear" w:color="auto" w:fill="4F81BD" w:themeFill="accent1"/>
            <w:vAlign w:val="center"/>
            <w:hideMark/>
          </w:tcPr>
          <w:p w14:paraId="518A7DAD" w14:textId="77777777" w:rsidR="00E62E81" w:rsidRPr="006C7814" w:rsidRDefault="00E62E81" w:rsidP="00135F1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6C7814">
              <w:rPr>
                <w:rFonts w:ascii="Arial" w:hAnsi="Arial" w:cs="Arial"/>
                <w:color w:val="FFFFFF" w:themeColor="background1"/>
                <w:sz w:val="20"/>
                <w:szCs w:val="20"/>
              </w:rPr>
              <w:t>Contratos Suscritos (Valor $)</w:t>
            </w:r>
          </w:p>
        </w:tc>
      </w:tr>
      <w:tr w:rsidR="00135F16" w:rsidRPr="006C7814" w14:paraId="48831E54" w14:textId="77777777" w:rsidTr="005654E8">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42A02DD9" w14:textId="77777777" w:rsidR="00135F16" w:rsidRPr="006C7814" w:rsidRDefault="00135F16" w:rsidP="00135F16">
            <w:pPr>
              <w:spacing w:before="60" w:after="60"/>
              <w:jc w:val="center"/>
              <w:rPr>
                <w:rFonts w:ascii="Arial" w:hAnsi="Arial" w:cs="Arial"/>
                <w:color w:val="0F243E" w:themeColor="text2" w:themeShade="80"/>
                <w:sz w:val="20"/>
                <w:szCs w:val="20"/>
              </w:rPr>
            </w:pPr>
            <w:r>
              <w:rPr>
                <w:rFonts w:ascii="Arial" w:hAnsi="Arial" w:cs="Arial"/>
                <w:color w:val="0F243E" w:themeColor="text2" w:themeShade="80"/>
                <w:sz w:val="20"/>
                <w:szCs w:val="20"/>
              </w:rPr>
              <w:t>I</w:t>
            </w:r>
            <w:r w:rsidRPr="006C7814">
              <w:rPr>
                <w:rFonts w:ascii="Arial" w:hAnsi="Arial" w:cs="Arial"/>
                <w:color w:val="0F243E" w:themeColor="text2" w:themeShade="80"/>
                <w:sz w:val="20"/>
                <w:szCs w:val="20"/>
              </w:rPr>
              <w:t>II Trimestres 2019</w:t>
            </w:r>
          </w:p>
        </w:tc>
        <w:tc>
          <w:tcPr>
            <w:tcW w:w="2144" w:type="dxa"/>
            <w:tcBorders>
              <w:top w:val="nil"/>
              <w:left w:val="nil"/>
              <w:bottom w:val="nil"/>
              <w:right w:val="nil"/>
            </w:tcBorders>
            <w:vAlign w:val="center"/>
            <w:hideMark/>
          </w:tcPr>
          <w:p w14:paraId="160BBAD2" w14:textId="77777777" w:rsidR="00135F16" w:rsidRPr="00135F16" w:rsidRDefault="00135F16" w:rsidP="00135F1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35F16">
              <w:rPr>
                <w:rFonts w:ascii="Arial" w:hAnsi="Arial" w:cs="Arial"/>
                <w:color w:val="000000"/>
                <w:sz w:val="20"/>
                <w:szCs w:val="20"/>
              </w:rPr>
              <w:t xml:space="preserve">                              8 </w:t>
            </w:r>
          </w:p>
        </w:tc>
        <w:tc>
          <w:tcPr>
            <w:tcW w:w="2835" w:type="dxa"/>
            <w:tcBorders>
              <w:top w:val="nil"/>
              <w:left w:val="nil"/>
              <w:bottom w:val="nil"/>
              <w:right w:val="nil"/>
            </w:tcBorders>
            <w:noWrap/>
            <w:vAlign w:val="center"/>
            <w:hideMark/>
          </w:tcPr>
          <w:p w14:paraId="5B0ACDB9" w14:textId="77777777" w:rsidR="00135F16" w:rsidRPr="00135F16" w:rsidRDefault="00135F16" w:rsidP="00135F1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35F16">
              <w:rPr>
                <w:rFonts w:ascii="Arial" w:hAnsi="Arial" w:cs="Arial"/>
                <w:color w:val="000000"/>
                <w:sz w:val="20"/>
                <w:szCs w:val="20"/>
              </w:rPr>
              <w:t xml:space="preserve">  254.641.392 </w:t>
            </w:r>
          </w:p>
        </w:tc>
      </w:tr>
      <w:tr w:rsidR="00135F16" w:rsidRPr="006C7814" w14:paraId="05F73E89" w14:textId="77777777" w:rsidTr="005654E8">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692F5A79" w14:textId="77777777" w:rsidR="00135F16" w:rsidRPr="006C7814" w:rsidRDefault="00135F16" w:rsidP="00135F16">
            <w:pPr>
              <w:spacing w:before="60" w:after="60"/>
              <w:jc w:val="center"/>
              <w:rPr>
                <w:rFonts w:ascii="Arial" w:hAnsi="Arial" w:cs="Arial"/>
                <w:color w:val="0F243E" w:themeColor="text2" w:themeShade="80"/>
                <w:sz w:val="20"/>
                <w:szCs w:val="20"/>
              </w:rPr>
            </w:pPr>
            <w:r>
              <w:rPr>
                <w:rFonts w:ascii="Arial" w:hAnsi="Arial" w:cs="Arial"/>
                <w:color w:val="0F243E" w:themeColor="text2" w:themeShade="80"/>
                <w:sz w:val="20"/>
                <w:szCs w:val="20"/>
              </w:rPr>
              <w:t>I</w:t>
            </w:r>
            <w:r w:rsidRPr="006C7814">
              <w:rPr>
                <w:rFonts w:ascii="Arial" w:hAnsi="Arial" w:cs="Arial"/>
                <w:color w:val="0F243E" w:themeColor="text2" w:themeShade="80"/>
                <w:sz w:val="20"/>
                <w:szCs w:val="20"/>
              </w:rPr>
              <w:t>II Trimestres 2018</w:t>
            </w:r>
          </w:p>
        </w:tc>
        <w:tc>
          <w:tcPr>
            <w:tcW w:w="2144" w:type="dxa"/>
            <w:tcBorders>
              <w:top w:val="nil"/>
              <w:left w:val="nil"/>
              <w:bottom w:val="double" w:sz="4" w:space="0" w:color="4F81BD" w:themeColor="accent1"/>
              <w:right w:val="nil"/>
            </w:tcBorders>
            <w:vAlign w:val="center"/>
            <w:hideMark/>
          </w:tcPr>
          <w:p w14:paraId="58AECB9E" w14:textId="77777777" w:rsidR="00135F16" w:rsidRPr="00135F16" w:rsidRDefault="00135F16" w:rsidP="00135F1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35F16">
              <w:rPr>
                <w:rFonts w:ascii="Arial" w:hAnsi="Arial" w:cs="Arial"/>
                <w:color w:val="000000"/>
                <w:sz w:val="20"/>
                <w:szCs w:val="20"/>
              </w:rPr>
              <w:t xml:space="preserve">                            11 </w:t>
            </w:r>
          </w:p>
        </w:tc>
        <w:tc>
          <w:tcPr>
            <w:tcW w:w="2835" w:type="dxa"/>
            <w:tcBorders>
              <w:top w:val="nil"/>
              <w:left w:val="nil"/>
              <w:bottom w:val="double" w:sz="4" w:space="0" w:color="4F81BD" w:themeColor="accent1"/>
              <w:right w:val="nil"/>
            </w:tcBorders>
            <w:noWrap/>
            <w:vAlign w:val="center"/>
            <w:hideMark/>
          </w:tcPr>
          <w:p w14:paraId="44C6494F" w14:textId="77777777" w:rsidR="00135F16" w:rsidRPr="00135F16" w:rsidRDefault="00135F16" w:rsidP="00135F1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35F16">
              <w:rPr>
                <w:rFonts w:ascii="Arial" w:hAnsi="Arial" w:cs="Arial"/>
                <w:color w:val="000000"/>
                <w:sz w:val="20"/>
                <w:szCs w:val="20"/>
              </w:rPr>
              <w:t xml:space="preserve">       362.729.394 </w:t>
            </w:r>
          </w:p>
        </w:tc>
      </w:tr>
      <w:tr w:rsidR="00135F16" w:rsidRPr="006C7814" w14:paraId="77595E82" w14:textId="77777777" w:rsidTr="005654E8">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4F81BD" w:themeColor="accent1"/>
              <w:left w:val="nil"/>
              <w:bottom w:val="nil"/>
              <w:right w:val="nil"/>
            </w:tcBorders>
            <w:shd w:val="clear" w:color="auto" w:fill="auto"/>
            <w:vAlign w:val="center"/>
            <w:hideMark/>
          </w:tcPr>
          <w:p w14:paraId="7926B148" w14:textId="77777777" w:rsidR="00135F16" w:rsidRPr="006C7814" w:rsidRDefault="00135F16" w:rsidP="00135F16">
            <w:pPr>
              <w:spacing w:before="60" w:after="60"/>
              <w:jc w:val="center"/>
              <w:rPr>
                <w:rFonts w:ascii="Arial" w:hAnsi="Arial" w:cs="Arial"/>
                <w:color w:val="0F243E" w:themeColor="text2" w:themeShade="80"/>
                <w:sz w:val="20"/>
                <w:szCs w:val="20"/>
              </w:rPr>
            </w:pPr>
            <w:r w:rsidRPr="006C7814">
              <w:rPr>
                <w:rFonts w:ascii="Arial" w:hAnsi="Arial" w:cs="Arial"/>
                <w:color w:val="0F243E" w:themeColor="text2" w:themeShade="80"/>
                <w:sz w:val="20"/>
                <w:szCs w:val="20"/>
              </w:rPr>
              <w:t xml:space="preserve">Variaciones </w:t>
            </w:r>
          </w:p>
        </w:tc>
        <w:tc>
          <w:tcPr>
            <w:tcW w:w="2144" w:type="dxa"/>
            <w:tcBorders>
              <w:top w:val="double" w:sz="4" w:space="0" w:color="4F81BD" w:themeColor="accent1"/>
              <w:left w:val="nil"/>
              <w:bottom w:val="nil"/>
              <w:right w:val="nil"/>
            </w:tcBorders>
            <w:shd w:val="clear" w:color="auto" w:fill="auto"/>
            <w:noWrap/>
            <w:vAlign w:val="center"/>
            <w:hideMark/>
          </w:tcPr>
          <w:p w14:paraId="5C6C1B1B" w14:textId="77777777" w:rsidR="00135F16" w:rsidRPr="00135F16" w:rsidRDefault="00135F16" w:rsidP="00135F1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135F16">
              <w:rPr>
                <w:rFonts w:ascii="Arial" w:hAnsi="Arial" w:cs="Arial"/>
                <w:b/>
                <w:bCs/>
                <w:color w:val="000000"/>
                <w:sz w:val="20"/>
                <w:szCs w:val="20"/>
              </w:rPr>
              <w:t xml:space="preserve">                        </w:t>
            </w:r>
            <w:r w:rsidR="005654E8">
              <w:rPr>
                <w:rFonts w:ascii="Arial" w:hAnsi="Arial" w:cs="Arial"/>
                <w:b/>
                <w:bCs/>
                <w:color w:val="000000"/>
                <w:sz w:val="20"/>
                <w:szCs w:val="20"/>
              </w:rPr>
              <w:t>(3)</w:t>
            </w:r>
          </w:p>
        </w:tc>
        <w:tc>
          <w:tcPr>
            <w:tcW w:w="2835" w:type="dxa"/>
            <w:tcBorders>
              <w:top w:val="double" w:sz="4" w:space="0" w:color="4F81BD" w:themeColor="accent1"/>
              <w:left w:val="nil"/>
              <w:bottom w:val="nil"/>
              <w:right w:val="nil"/>
            </w:tcBorders>
            <w:shd w:val="clear" w:color="auto" w:fill="auto"/>
            <w:noWrap/>
            <w:vAlign w:val="center"/>
            <w:hideMark/>
          </w:tcPr>
          <w:p w14:paraId="3A58AFB4" w14:textId="77777777" w:rsidR="00135F16" w:rsidRPr="00135F16" w:rsidRDefault="005654E8" w:rsidP="00135F1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w:t>
            </w:r>
            <w:r w:rsidR="00135F16" w:rsidRPr="00135F16">
              <w:rPr>
                <w:rFonts w:ascii="Arial" w:hAnsi="Arial" w:cs="Arial"/>
                <w:b/>
                <w:bCs/>
                <w:color w:val="000000"/>
                <w:sz w:val="20"/>
                <w:szCs w:val="20"/>
              </w:rPr>
              <w:t>108.088.002</w:t>
            </w:r>
            <w:r>
              <w:rPr>
                <w:rFonts w:ascii="Arial" w:hAnsi="Arial" w:cs="Arial"/>
                <w:b/>
                <w:bCs/>
                <w:color w:val="000000"/>
                <w:sz w:val="20"/>
                <w:szCs w:val="20"/>
              </w:rPr>
              <w:t>)</w:t>
            </w:r>
          </w:p>
        </w:tc>
      </w:tr>
      <w:tr w:rsidR="00135F16" w:rsidRPr="00A003B6" w14:paraId="38E244C0" w14:textId="77777777" w:rsidTr="005654E8">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double" w:sz="4" w:space="0" w:color="4F81BD" w:themeColor="accent1"/>
              <w:right w:val="nil"/>
            </w:tcBorders>
            <w:shd w:val="clear" w:color="auto" w:fill="auto"/>
            <w:vAlign w:val="center"/>
            <w:hideMark/>
          </w:tcPr>
          <w:p w14:paraId="3A8BA46D" w14:textId="77777777" w:rsidR="00135F16" w:rsidRPr="006C7814" w:rsidRDefault="00135F16" w:rsidP="00135F16">
            <w:pPr>
              <w:spacing w:before="60" w:after="60"/>
              <w:rPr>
                <w:rFonts w:ascii="Arial" w:hAnsi="Arial" w:cs="Arial"/>
                <w:color w:val="0F243E" w:themeColor="text2" w:themeShade="80"/>
                <w:sz w:val="20"/>
                <w:szCs w:val="20"/>
              </w:rPr>
            </w:pPr>
          </w:p>
        </w:tc>
        <w:tc>
          <w:tcPr>
            <w:tcW w:w="2144" w:type="dxa"/>
            <w:tcBorders>
              <w:top w:val="nil"/>
              <w:left w:val="nil"/>
              <w:bottom w:val="double" w:sz="4" w:space="0" w:color="4F81BD" w:themeColor="accent1"/>
              <w:right w:val="nil"/>
            </w:tcBorders>
            <w:shd w:val="clear" w:color="auto" w:fill="auto"/>
            <w:noWrap/>
            <w:vAlign w:val="center"/>
            <w:hideMark/>
          </w:tcPr>
          <w:p w14:paraId="1A2FC58A" w14:textId="77777777" w:rsidR="00135F16" w:rsidRPr="00135F16" w:rsidRDefault="005654E8" w:rsidP="00135F1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w:t>
            </w:r>
            <w:r w:rsidR="00135F16" w:rsidRPr="00135F16">
              <w:rPr>
                <w:rFonts w:ascii="Arial" w:hAnsi="Arial" w:cs="Arial"/>
                <w:b/>
                <w:bCs/>
                <w:color w:val="000000"/>
                <w:sz w:val="20"/>
                <w:szCs w:val="20"/>
              </w:rPr>
              <w:t>27%</w:t>
            </w:r>
            <w:r>
              <w:rPr>
                <w:rFonts w:ascii="Arial" w:hAnsi="Arial" w:cs="Arial"/>
                <w:b/>
                <w:bCs/>
                <w:color w:val="000000"/>
                <w:sz w:val="20"/>
                <w:szCs w:val="20"/>
              </w:rPr>
              <w:t>)</w:t>
            </w:r>
          </w:p>
        </w:tc>
        <w:tc>
          <w:tcPr>
            <w:tcW w:w="2835" w:type="dxa"/>
            <w:tcBorders>
              <w:top w:val="nil"/>
              <w:left w:val="nil"/>
              <w:bottom w:val="double" w:sz="4" w:space="0" w:color="4F81BD" w:themeColor="accent1"/>
              <w:right w:val="nil"/>
            </w:tcBorders>
            <w:shd w:val="clear" w:color="auto" w:fill="auto"/>
            <w:noWrap/>
            <w:vAlign w:val="center"/>
            <w:hideMark/>
          </w:tcPr>
          <w:p w14:paraId="35B9EDBD" w14:textId="77777777" w:rsidR="00135F16" w:rsidRPr="00135F16" w:rsidRDefault="005654E8" w:rsidP="00135F16">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w:t>
            </w:r>
            <w:r w:rsidR="00135F16" w:rsidRPr="00135F16">
              <w:rPr>
                <w:rFonts w:ascii="Arial" w:hAnsi="Arial" w:cs="Arial"/>
                <w:b/>
                <w:bCs/>
                <w:color w:val="000000"/>
                <w:sz w:val="20"/>
                <w:szCs w:val="20"/>
              </w:rPr>
              <w:t>30%</w:t>
            </w:r>
            <w:r>
              <w:rPr>
                <w:rFonts w:ascii="Arial" w:hAnsi="Arial" w:cs="Arial"/>
                <w:b/>
                <w:bCs/>
                <w:color w:val="000000"/>
                <w:sz w:val="20"/>
                <w:szCs w:val="20"/>
              </w:rPr>
              <w:t>)</w:t>
            </w:r>
          </w:p>
        </w:tc>
      </w:tr>
    </w:tbl>
    <w:p w14:paraId="7E929E33" w14:textId="5B1DC1F0" w:rsidR="003C4AD6" w:rsidRDefault="003C4AD6" w:rsidP="003C4AD6">
      <w:pPr>
        <w:pStyle w:val="Prrafodelista"/>
        <w:ind w:left="284"/>
        <w:jc w:val="left"/>
        <w:rPr>
          <w:rFonts w:ascii="Arial" w:hAnsi="Arial" w:cs="Arial"/>
          <w:b/>
          <w:sz w:val="22"/>
          <w:szCs w:val="22"/>
        </w:rPr>
      </w:pPr>
    </w:p>
    <w:p w14:paraId="1FA5FC0A" w14:textId="77777777" w:rsidR="007C2B64" w:rsidRPr="003C4AD6" w:rsidRDefault="007C2B64" w:rsidP="003C4AD6">
      <w:pPr>
        <w:pStyle w:val="Prrafodelista"/>
        <w:ind w:left="284"/>
        <w:jc w:val="left"/>
        <w:rPr>
          <w:rFonts w:ascii="Arial" w:hAnsi="Arial" w:cs="Arial"/>
          <w:b/>
          <w:sz w:val="22"/>
          <w:szCs w:val="22"/>
        </w:rPr>
      </w:pPr>
    </w:p>
    <w:p w14:paraId="60697512" w14:textId="59CC1059" w:rsidR="00B83072" w:rsidRPr="00041447" w:rsidRDefault="00AD2AB0" w:rsidP="0045629B">
      <w:pPr>
        <w:pStyle w:val="Prrafodelista"/>
        <w:numPr>
          <w:ilvl w:val="0"/>
          <w:numId w:val="8"/>
        </w:numPr>
        <w:ind w:left="284" w:hanging="284"/>
        <w:jc w:val="left"/>
        <w:rPr>
          <w:rFonts w:ascii="Arial" w:hAnsi="Arial" w:cs="Arial"/>
          <w:b/>
          <w:sz w:val="22"/>
          <w:szCs w:val="22"/>
        </w:rPr>
      </w:pPr>
      <w:r w:rsidRPr="00041447">
        <w:rPr>
          <w:rFonts w:ascii="Arial" w:hAnsi="Arial" w:cs="Arial"/>
          <w:b/>
          <w:color w:val="000000"/>
          <w:sz w:val="22"/>
          <w:szCs w:val="22"/>
        </w:rPr>
        <w:t>GASTOS DE TIQUETES AÉREOS Y VIÁTICOS</w:t>
      </w:r>
      <w:r w:rsidRPr="00041447">
        <w:rPr>
          <w:rFonts w:ascii="Arial" w:hAnsi="Arial" w:cs="Arial"/>
          <w:b/>
          <w:sz w:val="22"/>
          <w:szCs w:val="22"/>
        </w:rPr>
        <w:t xml:space="preserve"> </w:t>
      </w:r>
    </w:p>
    <w:p w14:paraId="48BD2282" w14:textId="77777777" w:rsidR="003779EA" w:rsidRPr="00A003B6" w:rsidRDefault="003779EA" w:rsidP="00361AE8">
      <w:pPr>
        <w:pStyle w:val="Prrafodelista"/>
        <w:ind w:left="284"/>
        <w:contextualSpacing w:val="0"/>
        <w:jc w:val="left"/>
        <w:rPr>
          <w:rFonts w:ascii="Arial" w:hAnsi="Arial" w:cs="Arial"/>
          <w:b/>
          <w:sz w:val="22"/>
          <w:szCs w:val="22"/>
          <w:highlight w:val="yellow"/>
        </w:rPr>
      </w:pPr>
    </w:p>
    <w:p w14:paraId="1AE1AF71" w14:textId="77777777" w:rsidR="005E6490" w:rsidRPr="00041447" w:rsidRDefault="005E6490" w:rsidP="00361AE8">
      <w:pPr>
        <w:jc w:val="both"/>
        <w:rPr>
          <w:rFonts w:ascii="Arial" w:hAnsi="Arial" w:cs="Arial"/>
          <w:sz w:val="22"/>
          <w:szCs w:val="22"/>
        </w:rPr>
      </w:pPr>
      <w:r w:rsidRPr="00041447">
        <w:rPr>
          <w:rFonts w:ascii="Arial" w:hAnsi="Arial" w:cs="Arial"/>
          <w:sz w:val="22"/>
          <w:szCs w:val="22"/>
        </w:rPr>
        <w:t>En atención con lo previsto en el artículo 8</w:t>
      </w:r>
      <w:r w:rsidR="00600126" w:rsidRPr="00041447">
        <w:rPr>
          <w:rFonts w:ascii="Arial" w:hAnsi="Arial" w:cs="Arial"/>
          <w:sz w:val="22"/>
          <w:szCs w:val="22"/>
        </w:rPr>
        <w:t>1</w:t>
      </w:r>
      <w:r w:rsidRPr="00041447">
        <w:rPr>
          <w:rFonts w:ascii="Arial" w:hAnsi="Arial" w:cs="Arial"/>
          <w:sz w:val="22"/>
          <w:szCs w:val="22"/>
        </w:rPr>
        <w:t xml:space="preserve"> de la Ley </w:t>
      </w:r>
      <w:r w:rsidR="00600126" w:rsidRPr="00041447">
        <w:rPr>
          <w:rFonts w:ascii="Arial" w:hAnsi="Arial" w:cs="Arial"/>
          <w:sz w:val="22"/>
          <w:szCs w:val="22"/>
        </w:rPr>
        <w:t>1940</w:t>
      </w:r>
      <w:r w:rsidRPr="00041447">
        <w:rPr>
          <w:rFonts w:ascii="Arial" w:hAnsi="Arial" w:cs="Arial"/>
          <w:sz w:val="22"/>
          <w:szCs w:val="22"/>
        </w:rPr>
        <w:t xml:space="preserve"> de 201</w:t>
      </w:r>
      <w:r w:rsidR="00600126" w:rsidRPr="00041447">
        <w:rPr>
          <w:rFonts w:ascii="Arial" w:hAnsi="Arial" w:cs="Arial"/>
          <w:sz w:val="22"/>
          <w:szCs w:val="22"/>
        </w:rPr>
        <w:t>8</w:t>
      </w:r>
      <w:r w:rsidRPr="00041447">
        <w:rPr>
          <w:rFonts w:ascii="Arial" w:hAnsi="Arial" w:cs="Arial"/>
          <w:sz w:val="22"/>
          <w:szCs w:val="22"/>
        </w:rPr>
        <w:t>, el cual indicó en el inciso final lo siguiente: «</w:t>
      </w:r>
      <w:r w:rsidRPr="00041447">
        <w:rPr>
          <w:rFonts w:ascii="Arial" w:hAnsi="Arial" w:cs="Aharoni"/>
          <w:i/>
          <w:sz w:val="20"/>
          <w:szCs w:val="20"/>
        </w:rPr>
        <w:t>Se deberá justificar la necesidad de los gastos de viaje y viáticos, los cuales solo serán en clase económica, excepto los señalados en el artículo 2.2.5.</w:t>
      </w:r>
      <w:r w:rsidR="00D43AFB" w:rsidRPr="00041447">
        <w:rPr>
          <w:rFonts w:ascii="Arial" w:hAnsi="Arial" w:cs="Aharoni"/>
          <w:i/>
          <w:sz w:val="20"/>
          <w:szCs w:val="20"/>
        </w:rPr>
        <w:t>5.28</w:t>
      </w:r>
      <w:r w:rsidRPr="00041447">
        <w:rPr>
          <w:rFonts w:ascii="Arial" w:hAnsi="Arial" w:cs="Aharoni"/>
          <w:i/>
          <w:sz w:val="20"/>
          <w:szCs w:val="20"/>
        </w:rPr>
        <w:t xml:space="preserve"> del Decreto 1083 de 2015</w:t>
      </w:r>
      <w:r w:rsidRPr="00041447">
        <w:rPr>
          <w:rFonts w:ascii="Arial" w:hAnsi="Arial" w:cs="Arial"/>
          <w:i/>
          <w:sz w:val="20"/>
          <w:szCs w:val="20"/>
        </w:rPr>
        <w:t xml:space="preserve">». </w:t>
      </w:r>
      <w:r w:rsidRPr="00041447">
        <w:rPr>
          <w:rFonts w:ascii="Arial" w:hAnsi="Arial" w:cs="Arial"/>
          <w:sz w:val="22"/>
          <w:szCs w:val="22"/>
        </w:rPr>
        <w:t xml:space="preserve">Por lo anterior, se solicitó a la </w:t>
      </w:r>
      <w:r w:rsidR="00F04372" w:rsidRPr="00041447">
        <w:rPr>
          <w:rFonts w:ascii="Arial" w:hAnsi="Arial" w:cs="Arial"/>
          <w:sz w:val="22"/>
          <w:szCs w:val="22"/>
        </w:rPr>
        <w:t xml:space="preserve">Subdirección de Gestión del Talento Humano </w:t>
      </w:r>
      <w:r w:rsidRPr="00041447">
        <w:rPr>
          <w:rFonts w:ascii="Arial" w:hAnsi="Arial" w:cs="Arial"/>
          <w:sz w:val="22"/>
          <w:szCs w:val="22"/>
        </w:rPr>
        <w:t>el listado de gastos de viajes y viáticos ejecutados durante el</w:t>
      </w:r>
      <w:r w:rsidR="00600126" w:rsidRPr="00041447">
        <w:rPr>
          <w:rFonts w:ascii="Arial" w:hAnsi="Arial" w:cs="Arial"/>
          <w:sz w:val="22"/>
          <w:szCs w:val="22"/>
        </w:rPr>
        <w:t xml:space="preserve"> </w:t>
      </w:r>
      <w:r w:rsidR="00041447">
        <w:rPr>
          <w:rFonts w:ascii="Arial" w:hAnsi="Arial" w:cs="Arial"/>
          <w:sz w:val="22"/>
          <w:szCs w:val="22"/>
        </w:rPr>
        <w:t xml:space="preserve">tercer </w:t>
      </w:r>
      <w:r w:rsidRPr="00041447">
        <w:rPr>
          <w:rFonts w:ascii="Arial" w:hAnsi="Arial" w:cs="Arial"/>
          <w:sz w:val="22"/>
          <w:szCs w:val="22"/>
        </w:rPr>
        <w:t>trimestre del año 201</w:t>
      </w:r>
      <w:r w:rsidR="00600126" w:rsidRPr="00041447">
        <w:rPr>
          <w:rFonts w:ascii="Arial" w:hAnsi="Arial" w:cs="Arial"/>
          <w:sz w:val="22"/>
          <w:szCs w:val="22"/>
        </w:rPr>
        <w:t>9</w:t>
      </w:r>
      <w:r w:rsidRPr="00041447">
        <w:rPr>
          <w:rFonts w:ascii="Arial" w:hAnsi="Arial" w:cs="Arial"/>
          <w:sz w:val="22"/>
          <w:szCs w:val="22"/>
        </w:rPr>
        <w:t xml:space="preserve"> y 201</w:t>
      </w:r>
      <w:r w:rsidR="00600126" w:rsidRPr="00041447">
        <w:rPr>
          <w:rFonts w:ascii="Arial" w:hAnsi="Arial" w:cs="Arial"/>
          <w:sz w:val="22"/>
          <w:szCs w:val="22"/>
        </w:rPr>
        <w:t>8</w:t>
      </w:r>
      <w:r w:rsidRPr="00041447">
        <w:rPr>
          <w:rFonts w:ascii="Arial" w:hAnsi="Arial" w:cs="Arial"/>
          <w:sz w:val="22"/>
          <w:szCs w:val="22"/>
        </w:rPr>
        <w:t>.</w:t>
      </w:r>
    </w:p>
    <w:p w14:paraId="5F145033" w14:textId="77777777" w:rsidR="003779EA" w:rsidRPr="00A003B6" w:rsidRDefault="003779EA" w:rsidP="007C2B64">
      <w:pPr>
        <w:spacing w:line="168" w:lineRule="auto"/>
        <w:jc w:val="both"/>
        <w:rPr>
          <w:rFonts w:ascii="Arial" w:hAnsi="Arial" w:cs="Arial"/>
          <w:sz w:val="22"/>
          <w:szCs w:val="22"/>
          <w:highlight w:val="yellow"/>
        </w:rPr>
      </w:pPr>
    </w:p>
    <w:p w14:paraId="29559FAD" w14:textId="77777777" w:rsidR="00110E24" w:rsidRDefault="005E6490" w:rsidP="00361AE8">
      <w:pPr>
        <w:jc w:val="both"/>
        <w:rPr>
          <w:rFonts w:ascii="Arial" w:hAnsi="Arial" w:cs="Arial"/>
          <w:sz w:val="22"/>
          <w:szCs w:val="22"/>
        </w:rPr>
      </w:pPr>
      <w:r w:rsidRPr="00041447">
        <w:rPr>
          <w:rFonts w:ascii="Arial" w:hAnsi="Arial" w:cs="Arial"/>
          <w:sz w:val="22"/>
          <w:szCs w:val="22"/>
        </w:rPr>
        <w:t>De acuerdo con la información allegada</w:t>
      </w:r>
      <w:r w:rsidR="001F0363" w:rsidRPr="00041447">
        <w:rPr>
          <w:rFonts w:ascii="Arial" w:hAnsi="Arial" w:cs="Arial"/>
          <w:sz w:val="22"/>
          <w:szCs w:val="22"/>
        </w:rPr>
        <w:t xml:space="preserve"> por </w:t>
      </w:r>
      <w:r w:rsidR="003170E5" w:rsidRPr="00041447">
        <w:rPr>
          <w:rFonts w:ascii="Arial" w:hAnsi="Arial" w:cs="Arial"/>
          <w:sz w:val="22"/>
          <w:szCs w:val="22"/>
        </w:rPr>
        <w:t xml:space="preserve">la </w:t>
      </w:r>
      <w:r w:rsidR="001F0363" w:rsidRPr="00041447">
        <w:rPr>
          <w:rFonts w:ascii="Arial" w:hAnsi="Arial" w:cs="Arial"/>
          <w:sz w:val="22"/>
          <w:szCs w:val="22"/>
        </w:rPr>
        <w:t>Subdirección</w:t>
      </w:r>
      <w:r w:rsidR="003170E5" w:rsidRPr="00041447">
        <w:rPr>
          <w:rFonts w:ascii="Arial" w:hAnsi="Arial" w:cs="Arial"/>
          <w:sz w:val="22"/>
          <w:szCs w:val="22"/>
        </w:rPr>
        <w:t xml:space="preserve"> antes mencionada, </w:t>
      </w:r>
      <w:r w:rsidR="001F0363" w:rsidRPr="00041447">
        <w:rPr>
          <w:rFonts w:ascii="Arial" w:hAnsi="Arial" w:cs="Arial"/>
          <w:sz w:val="22"/>
          <w:szCs w:val="22"/>
        </w:rPr>
        <w:t>se observ</w:t>
      </w:r>
      <w:r w:rsidR="005F56A4" w:rsidRPr="00041447">
        <w:rPr>
          <w:rFonts w:ascii="Arial" w:hAnsi="Arial" w:cs="Arial"/>
          <w:sz w:val="22"/>
          <w:szCs w:val="22"/>
        </w:rPr>
        <w:t xml:space="preserve">ó que para el </w:t>
      </w:r>
      <w:r w:rsidR="00041447">
        <w:rPr>
          <w:rFonts w:ascii="Arial" w:hAnsi="Arial" w:cs="Arial"/>
          <w:sz w:val="22"/>
          <w:szCs w:val="22"/>
        </w:rPr>
        <w:t xml:space="preserve">tercer </w:t>
      </w:r>
      <w:r w:rsidR="00705F6F" w:rsidRPr="00041447">
        <w:rPr>
          <w:rFonts w:ascii="Arial" w:hAnsi="Arial" w:cs="Arial"/>
          <w:sz w:val="22"/>
          <w:szCs w:val="22"/>
        </w:rPr>
        <w:t>t</w:t>
      </w:r>
      <w:r w:rsidR="001F0363" w:rsidRPr="00041447">
        <w:rPr>
          <w:rFonts w:ascii="Arial" w:hAnsi="Arial" w:cs="Arial"/>
          <w:sz w:val="22"/>
          <w:szCs w:val="22"/>
        </w:rPr>
        <w:t xml:space="preserve">rimestre de 2019 se </w:t>
      </w:r>
      <w:r w:rsidR="00A03A2C">
        <w:rPr>
          <w:rFonts w:ascii="Arial" w:hAnsi="Arial" w:cs="Arial"/>
          <w:sz w:val="22"/>
          <w:szCs w:val="22"/>
        </w:rPr>
        <w:t xml:space="preserve">autorizaron 455 comisiones </w:t>
      </w:r>
      <w:r w:rsidR="003170E5" w:rsidRPr="00041447">
        <w:rPr>
          <w:rFonts w:ascii="Arial" w:hAnsi="Arial" w:cs="Arial"/>
          <w:sz w:val="22"/>
          <w:szCs w:val="22"/>
        </w:rPr>
        <w:t xml:space="preserve">para los </w:t>
      </w:r>
      <w:r w:rsidR="00A03A2C">
        <w:rPr>
          <w:rFonts w:ascii="Arial" w:hAnsi="Arial" w:cs="Arial"/>
          <w:sz w:val="22"/>
          <w:szCs w:val="22"/>
        </w:rPr>
        <w:t>funcionarios de este Ministerio, d</w:t>
      </w:r>
      <w:r w:rsidR="00110E24">
        <w:rPr>
          <w:rFonts w:ascii="Arial" w:hAnsi="Arial" w:cs="Arial"/>
          <w:sz w:val="22"/>
          <w:szCs w:val="22"/>
        </w:rPr>
        <w:t xml:space="preserve">e las cuales 343 generaron </w:t>
      </w:r>
      <w:r w:rsidR="00A03A2C">
        <w:rPr>
          <w:rFonts w:ascii="Arial" w:hAnsi="Arial" w:cs="Arial"/>
          <w:sz w:val="22"/>
          <w:szCs w:val="22"/>
        </w:rPr>
        <w:t xml:space="preserve">gastos </w:t>
      </w:r>
      <w:r w:rsidR="00653BEC">
        <w:rPr>
          <w:rFonts w:ascii="Arial" w:hAnsi="Arial" w:cs="Arial"/>
          <w:sz w:val="22"/>
          <w:szCs w:val="22"/>
        </w:rPr>
        <w:t>por viáticos</w:t>
      </w:r>
      <w:r w:rsidR="00110E24">
        <w:rPr>
          <w:rFonts w:ascii="Arial" w:hAnsi="Arial" w:cs="Arial"/>
          <w:sz w:val="22"/>
          <w:szCs w:val="22"/>
        </w:rPr>
        <w:t>, de igual forma, del número total de comisiones</w:t>
      </w:r>
      <w:r w:rsidR="00653BEC">
        <w:rPr>
          <w:rFonts w:ascii="Arial" w:hAnsi="Arial" w:cs="Arial"/>
          <w:sz w:val="22"/>
          <w:szCs w:val="22"/>
        </w:rPr>
        <w:t xml:space="preserve"> [455]</w:t>
      </w:r>
      <w:r w:rsidR="00110E24">
        <w:rPr>
          <w:rFonts w:ascii="Arial" w:hAnsi="Arial" w:cs="Arial"/>
          <w:sz w:val="22"/>
          <w:szCs w:val="22"/>
        </w:rPr>
        <w:t xml:space="preserve">, 255 </w:t>
      </w:r>
      <w:r w:rsidR="00653BEC">
        <w:rPr>
          <w:rFonts w:ascii="Arial" w:hAnsi="Arial" w:cs="Arial"/>
          <w:sz w:val="22"/>
          <w:szCs w:val="22"/>
        </w:rPr>
        <w:t xml:space="preserve">presentaron </w:t>
      </w:r>
      <w:r w:rsidR="00110E24">
        <w:rPr>
          <w:rFonts w:ascii="Arial" w:hAnsi="Arial" w:cs="Arial"/>
          <w:sz w:val="22"/>
          <w:szCs w:val="22"/>
        </w:rPr>
        <w:t>gasto</w:t>
      </w:r>
      <w:r w:rsidR="00A03A2C">
        <w:rPr>
          <w:rFonts w:ascii="Arial" w:hAnsi="Arial" w:cs="Arial"/>
          <w:sz w:val="22"/>
          <w:szCs w:val="22"/>
        </w:rPr>
        <w:t>s</w:t>
      </w:r>
      <w:r w:rsidR="00110E24">
        <w:rPr>
          <w:rFonts w:ascii="Arial" w:hAnsi="Arial" w:cs="Arial"/>
          <w:sz w:val="22"/>
          <w:szCs w:val="22"/>
        </w:rPr>
        <w:t xml:space="preserve"> por pasajes aéreos. </w:t>
      </w:r>
      <w:r w:rsidR="00653BEC">
        <w:rPr>
          <w:rFonts w:ascii="Arial" w:hAnsi="Arial" w:cs="Arial"/>
          <w:sz w:val="22"/>
          <w:szCs w:val="22"/>
        </w:rPr>
        <w:t xml:space="preserve">Al respecto, </w:t>
      </w:r>
      <w:r w:rsidR="00110E24">
        <w:rPr>
          <w:rFonts w:ascii="Arial" w:hAnsi="Arial" w:cs="Arial"/>
          <w:sz w:val="22"/>
          <w:szCs w:val="22"/>
        </w:rPr>
        <w:t>la Subdirección de</w:t>
      </w:r>
      <w:r w:rsidR="00A03A2C">
        <w:rPr>
          <w:rFonts w:ascii="Arial" w:hAnsi="Arial" w:cs="Arial"/>
          <w:sz w:val="22"/>
          <w:szCs w:val="22"/>
        </w:rPr>
        <w:t xml:space="preserve"> Gestión del</w:t>
      </w:r>
      <w:r w:rsidR="00110E24">
        <w:rPr>
          <w:rFonts w:ascii="Arial" w:hAnsi="Arial" w:cs="Arial"/>
          <w:sz w:val="22"/>
          <w:szCs w:val="22"/>
        </w:rPr>
        <w:t xml:space="preserve"> Talento Humano </w:t>
      </w:r>
      <w:r w:rsidR="00B2161C">
        <w:rPr>
          <w:rFonts w:ascii="Arial" w:hAnsi="Arial" w:cs="Arial"/>
          <w:sz w:val="22"/>
          <w:szCs w:val="22"/>
        </w:rPr>
        <w:t xml:space="preserve">informó </w:t>
      </w:r>
      <w:r w:rsidR="00A03A2C">
        <w:rPr>
          <w:rFonts w:ascii="Arial" w:hAnsi="Arial" w:cs="Arial"/>
          <w:sz w:val="22"/>
          <w:szCs w:val="22"/>
        </w:rPr>
        <w:t xml:space="preserve">que lo anterior </w:t>
      </w:r>
      <w:r w:rsidR="00FA0813">
        <w:rPr>
          <w:rFonts w:ascii="Arial" w:hAnsi="Arial" w:cs="Arial"/>
          <w:sz w:val="22"/>
          <w:szCs w:val="22"/>
        </w:rPr>
        <w:t>se presenta</w:t>
      </w:r>
      <w:r w:rsidR="00A03A2C">
        <w:rPr>
          <w:rFonts w:ascii="Arial" w:hAnsi="Arial" w:cs="Arial"/>
          <w:sz w:val="22"/>
          <w:szCs w:val="22"/>
        </w:rPr>
        <w:t>,</w:t>
      </w:r>
      <w:r w:rsidR="00FA0813">
        <w:rPr>
          <w:rFonts w:ascii="Arial" w:hAnsi="Arial" w:cs="Arial"/>
          <w:sz w:val="22"/>
          <w:szCs w:val="22"/>
        </w:rPr>
        <w:t xml:space="preserve"> toda vez </w:t>
      </w:r>
      <w:r w:rsidR="00B2161C">
        <w:rPr>
          <w:rFonts w:ascii="Arial" w:hAnsi="Arial" w:cs="Arial"/>
          <w:sz w:val="22"/>
          <w:szCs w:val="22"/>
        </w:rPr>
        <w:t xml:space="preserve">que </w:t>
      </w:r>
      <w:r w:rsidR="00FA0813">
        <w:rPr>
          <w:rFonts w:ascii="Arial" w:hAnsi="Arial" w:cs="Arial"/>
          <w:sz w:val="22"/>
          <w:szCs w:val="22"/>
        </w:rPr>
        <w:t xml:space="preserve">en ocasiones </w:t>
      </w:r>
      <w:r w:rsidR="00B2161C">
        <w:rPr>
          <w:rFonts w:ascii="Arial" w:hAnsi="Arial" w:cs="Arial"/>
          <w:sz w:val="22"/>
          <w:szCs w:val="22"/>
        </w:rPr>
        <w:t xml:space="preserve">los gastos de viáticos y pasajes aéreos </w:t>
      </w:r>
      <w:r w:rsidR="00FA0813">
        <w:rPr>
          <w:rFonts w:ascii="Arial" w:hAnsi="Arial" w:cs="Arial"/>
          <w:sz w:val="22"/>
          <w:szCs w:val="22"/>
        </w:rPr>
        <w:t xml:space="preserve">son asumidos por las entidades a donde se </w:t>
      </w:r>
      <w:r w:rsidR="00B2161C">
        <w:rPr>
          <w:rFonts w:ascii="Arial" w:hAnsi="Arial" w:cs="Arial"/>
          <w:sz w:val="22"/>
          <w:szCs w:val="22"/>
        </w:rPr>
        <w:t xml:space="preserve">aprueba la comisión para que el funcionario asita en </w:t>
      </w:r>
      <w:r w:rsidR="00FA0813">
        <w:rPr>
          <w:rFonts w:ascii="Arial" w:hAnsi="Arial" w:cs="Arial"/>
          <w:sz w:val="22"/>
          <w:szCs w:val="22"/>
        </w:rPr>
        <w:t xml:space="preserve">representación de este Ministerio. </w:t>
      </w:r>
    </w:p>
    <w:p w14:paraId="54DB7FF2" w14:textId="77777777" w:rsidR="00110E24" w:rsidRDefault="00110E24" w:rsidP="007C2B64">
      <w:pPr>
        <w:spacing w:line="168" w:lineRule="auto"/>
        <w:jc w:val="both"/>
        <w:rPr>
          <w:rFonts w:ascii="Arial" w:hAnsi="Arial" w:cs="Arial"/>
          <w:sz w:val="22"/>
          <w:szCs w:val="22"/>
        </w:rPr>
      </w:pPr>
    </w:p>
    <w:p w14:paraId="03C8476D" w14:textId="77777777" w:rsidR="005E6490" w:rsidRDefault="00A03A2C" w:rsidP="00361AE8">
      <w:pPr>
        <w:jc w:val="both"/>
        <w:rPr>
          <w:rFonts w:ascii="Arial" w:hAnsi="Arial" w:cs="Arial"/>
          <w:sz w:val="22"/>
          <w:szCs w:val="22"/>
        </w:rPr>
      </w:pPr>
      <w:r>
        <w:rPr>
          <w:rFonts w:ascii="Arial" w:hAnsi="Arial" w:cs="Arial"/>
          <w:sz w:val="22"/>
          <w:szCs w:val="22"/>
        </w:rPr>
        <w:t xml:space="preserve">Según la información remitida a esta Oficina por parte de la Subdirección de </w:t>
      </w:r>
      <w:r w:rsidR="00695AF4">
        <w:rPr>
          <w:rFonts w:ascii="Arial" w:hAnsi="Arial" w:cs="Arial"/>
          <w:sz w:val="22"/>
          <w:szCs w:val="22"/>
        </w:rPr>
        <w:t xml:space="preserve">Gestión </w:t>
      </w:r>
      <w:r w:rsidR="00C87226">
        <w:rPr>
          <w:rFonts w:ascii="Arial" w:hAnsi="Arial" w:cs="Arial"/>
          <w:sz w:val="22"/>
          <w:szCs w:val="22"/>
        </w:rPr>
        <w:t>de Talento Humano,</w:t>
      </w:r>
      <w:r>
        <w:rPr>
          <w:rFonts w:ascii="Arial" w:hAnsi="Arial" w:cs="Arial"/>
          <w:sz w:val="22"/>
          <w:szCs w:val="22"/>
        </w:rPr>
        <w:t xml:space="preserve"> se constató </w:t>
      </w:r>
      <w:r w:rsidR="00C87226">
        <w:rPr>
          <w:rFonts w:ascii="Arial" w:hAnsi="Arial" w:cs="Arial"/>
          <w:sz w:val="22"/>
          <w:szCs w:val="22"/>
        </w:rPr>
        <w:t xml:space="preserve">que los pasajes </w:t>
      </w:r>
      <w:r w:rsidR="00E231BC">
        <w:rPr>
          <w:rFonts w:ascii="Arial" w:hAnsi="Arial" w:cs="Arial"/>
          <w:sz w:val="22"/>
          <w:szCs w:val="22"/>
        </w:rPr>
        <w:t xml:space="preserve">aéreos </w:t>
      </w:r>
      <w:r w:rsidR="003170E5" w:rsidRPr="00041447">
        <w:rPr>
          <w:rFonts w:ascii="Arial" w:hAnsi="Arial" w:cs="Arial"/>
          <w:sz w:val="22"/>
          <w:szCs w:val="22"/>
        </w:rPr>
        <w:t>fueron expedidos en clase económica (e</w:t>
      </w:r>
      <w:r w:rsidR="00705F6F" w:rsidRPr="00041447">
        <w:rPr>
          <w:rFonts w:ascii="Arial" w:hAnsi="Arial" w:cs="Arial"/>
          <w:sz w:val="22"/>
          <w:szCs w:val="22"/>
        </w:rPr>
        <w:t xml:space="preserve">). </w:t>
      </w:r>
      <w:r w:rsidR="00F249FD" w:rsidRPr="00041447">
        <w:rPr>
          <w:rFonts w:ascii="Arial" w:hAnsi="Arial" w:cs="Arial"/>
          <w:sz w:val="22"/>
          <w:szCs w:val="22"/>
        </w:rPr>
        <w:t xml:space="preserve">Frente a </w:t>
      </w:r>
      <w:r w:rsidR="00E231BC">
        <w:rPr>
          <w:rFonts w:ascii="Arial" w:hAnsi="Arial" w:cs="Arial"/>
          <w:sz w:val="22"/>
          <w:szCs w:val="22"/>
        </w:rPr>
        <w:t xml:space="preserve">lo anterior, se concluye que este Ministerio </w:t>
      </w:r>
      <w:r w:rsidR="00F249FD" w:rsidRPr="00041447">
        <w:rPr>
          <w:rFonts w:ascii="Arial" w:hAnsi="Arial" w:cs="Arial"/>
          <w:sz w:val="22"/>
          <w:szCs w:val="22"/>
        </w:rPr>
        <w:t xml:space="preserve">está cumpliendo con la directriz </w:t>
      </w:r>
      <w:r w:rsidR="001829A6">
        <w:rPr>
          <w:rFonts w:ascii="Arial" w:hAnsi="Arial" w:cs="Arial"/>
          <w:sz w:val="22"/>
          <w:szCs w:val="22"/>
        </w:rPr>
        <w:t>señalada</w:t>
      </w:r>
      <w:r w:rsidR="008F6AA9" w:rsidRPr="00041447">
        <w:rPr>
          <w:rFonts w:ascii="Arial" w:hAnsi="Arial" w:cs="Arial"/>
          <w:sz w:val="22"/>
          <w:szCs w:val="22"/>
        </w:rPr>
        <w:t xml:space="preserve"> en el artículo 2.2.5</w:t>
      </w:r>
      <w:r w:rsidR="001829A6">
        <w:rPr>
          <w:rFonts w:ascii="Arial" w:hAnsi="Arial" w:cs="Arial"/>
          <w:sz w:val="22"/>
          <w:szCs w:val="22"/>
        </w:rPr>
        <w:t xml:space="preserve">.5.28 del Decreto 1083 de 2015 y la Ley 1940 de 2018. </w:t>
      </w:r>
      <w:r w:rsidR="00B15ADD">
        <w:rPr>
          <w:rFonts w:ascii="Arial" w:hAnsi="Arial" w:cs="Arial"/>
          <w:sz w:val="22"/>
          <w:szCs w:val="22"/>
        </w:rPr>
        <w:t xml:space="preserve"> </w:t>
      </w:r>
      <w:r w:rsidR="008F6AA9" w:rsidRPr="00041447">
        <w:rPr>
          <w:rFonts w:ascii="Arial" w:hAnsi="Arial" w:cs="Arial"/>
          <w:sz w:val="22"/>
          <w:szCs w:val="22"/>
        </w:rPr>
        <w:t xml:space="preserve"> </w:t>
      </w:r>
    </w:p>
    <w:p w14:paraId="3568D247" w14:textId="77777777" w:rsidR="003779EA" w:rsidRPr="00A003B6" w:rsidRDefault="003779EA" w:rsidP="007C2B64">
      <w:pPr>
        <w:spacing w:line="168" w:lineRule="auto"/>
        <w:jc w:val="both"/>
        <w:rPr>
          <w:rFonts w:ascii="Arial" w:hAnsi="Arial" w:cs="Arial"/>
          <w:sz w:val="22"/>
          <w:szCs w:val="22"/>
          <w:highlight w:val="yellow"/>
        </w:rPr>
      </w:pPr>
    </w:p>
    <w:p w14:paraId="1157B1AE" w14:textId="77777777" w:rsidR="00C30244" w:rsidRPr="004325B3" w:rsidRDefault="00C945B5" w:rsidP="00361AE8">
      <w:pPr>
        <w:jc w:val="both"/>
        <w:rPr>
          <w:rFonts w:ascii="Arial" w:hAnsi="Arial" w:cs="Arial"/>
          <w:sz w:val="22"/>
          <w:szCs w:val="22"/>
        </w:rPr>
      </w:pPr>
      <w:r w:rsidRPr="004325B3">
        <w:rPr>
          <w:rFonts w:ascii="Arial" w:hAnsi="Arial" w:cs="Arial"/>
          <w:sz w:val="22"/>
          <w:szCs w:val="22"/>
        </w:rPr>
        <w:t>Ahora bien, c</w:t>
      </w:r>
      <w:r w:rsidR="005E6490" w:rsidRPr="004325B3">
        <w:rPr>
          <w:rFonts w:ascii="Arial" w:hAnsi="Arial" w:cs="Arial"/>
          <w:sz w:val="22"/>
          <w:szCs w:val="22"/>
        </w:rPr>
        <w:t xml:space="preserve">on base en la información </w:t>
      </w:r>
      <w:r w:rsidR="00C30244" w:rsidRPr="004325B3">
        <w:rPr>
          <w:rFonts w:ascii="Arial" w:hAnsi="Arial" w:cs="Arial"/>
          <w:sz w:val="22"/>
          <w:szCs w:val="22"/>
        </w:rPr>
        <w:t xml:space="preserve">remitida por la </w:t>
      </w:r>
      <w:r w:rsidR="00F04372" w:rsidRPr="004325B3">
        <w:rPr>
          <w:rFonts w:ascii="Arial" w:hAnsi="Arial" w:cs="Arial"/>
          <w:sz w:val="22"/>
          <w:szCs w:val="22"/>
        </w:rPr>
        <w:t xml:space="preserve">Subdirección de Gestión del Talento Humano </w:t>
      </w:r>
      <w:r w:rsidR="005E6490" w:rsidRPr="004325B3">
        <w:rPr>
          <w:rFonts w:ascii="Arial" w:hAnsi="Arial" w:cs="Arial"/>
          <w:sz w:val="22"/>
          <w:szCs w:val="22"/>
        </w:rPr>
        <w:t>concern</w:t>
      </w:r>
      <w:r w:rsidR="00901CA9" w:rsidRPr="004325B3">
        <w:rPr>
          <w:rFonts w:ascii="Arial" w:hAnsi="Arial" w:cs="Arial"/>
          <w:sz w:val="22"/>
          <w:szCs w:val="22"/>
        </w:rPr>
        <w:t xml:space="preserve">iente a la relación de gastos de viáticos y pasajes aéreos </w:t>
      </w:r>
      <w:r w:rsidR="005E6490" w:rsidRPr="004325B3">
        <w:rPr>
          <w:rFonts w:ascii="Arial" w:hAnsi="Arial" w:cs="Arial"/>
          <w:sz w:val="22"/>
          <w:szCs w:val="22"/>
        </w:rPr>
        <w:t>por funcionario</w:t>
      </w:r>
      <w:r w:rsidR="007B4D58" w:rsidRPr="004325B3">
        <w:rPr>
          <w:rFonts w:ascii="Arial" w:hAnsi="Arial" w:cs="Arial"/>
          <w:sz w:val="22"/>
          <w:szCs w:val="22"/>
        </w:rPr>
        <w:t xml:space="preserve"> y/o contratista</w:t>
      </w:r>
      <w:r w:rsidRPr="004325B3">
        <w:rPr>
          <w:rFonts w:ascii="Arial" w:hAnsi="Arial" w:cs="Arial"/>
          <w:sz w:val="22"/>
          <w:szCs w:val="22"/>
        </w:rPr>
        <w:t>,</w:t>
      </w:r>
      <w:r w:rsidR="00C30244" w:rsidRPr="004325B3">
        <w:rPr>
          <w:rFonts w:ascii="Arial" w:hAnsi="Arial" w:cs="Arial"/>
          <w:sz w:val="22"/>
          <w:szCs w:val="22"/>
        </w:rPr>
        <w:t xml:space="preserve"> se procedió a determinar el valor de las erogaciones por los conceptos </w:t>
      </w:r>
      <w:r w:rsidR="00FE287D" w:rsidRPr="004325B3">
        <w:rPr>
          <w:rFonts w:ascii="Arial" w:hAnsi="Arial" w:cs="Arial"/>
          <w:sz w:val="22"/>
          <w:szCs w:val="22"/>
        </w:rPr>
        <w:t xml:space="preserve">antes mencionados que </w:t>
      </w:r>
      <w:r w:rsidR="00C30244" w:rsidRPr="004325B3">
        <w:rPr>
          <w:rFonts w:ascii="Arial" w:hAnsi="Arial" w:cs="Arial"/>
          <w:sz w:val="22"/>
          <w:szCs w:val="22"/>
        </w:rPr>
        <w:t xml:space="preserve">se efectuaron en el </w:t>
      </w:r>
      <w:r w:rsidR="004325B3">
        <w:rPr>
          <w:rFonts w:ascii="Arial" w:hAnsi="Arial" w:cs="Arial"/>
          <w:sz w:val="22"/>
          <w:szCs w:val="22"/>
        </w:rPr>
        <w:t xml:space="preserve">tercer </w:t>
      </w:r>
      <w:r w:rsidR="00C30244" w:rsidRPr="004325B3">
        <w:rPr>
          <w:rFonts w:ascii="Arial" w:hAnsi="Arial" w:cs="Arial"/>
          <w:sz w:val="22"/>
          <w:szCs w:val="22"/>
        </w:rPr>
        <w:t xml:space="preserve">trimestre de 2019 y comparado con el mismo periodo de la vigencia 2018. </w:t>
      </w:r>
    </w:p>
    <w:p w14:paraId="6C48296A" w14:textId="77777777" w:rsidR="004325B3" w:rsidRDefault="004325B3" w:rsidP="007C2B64">
      <w:pPr>
        <w:spacing w:line="168" w:lineRule="auto"/>
        <w:jc w:val="both"/>
        <w:rPr>
          <w:rFonts w:ascii="Arial" w:hAnsi="Arial" w:cs="Arial"/>
          <w:sz w:val="22"/>
          <w:szCs w:val="22"/>
        </w:rPr>
      </w:pPr>
    </w:p>
    <w:p w14:paraId="2769B31B" w14:textId="77777777" w:rsidR="00C44322" w:rsidRPr="004325B3" w:rsidRDefault="00C30244" w:rsidP="00361AE8">
      <w:pPr>
        <w:jc w:val="both"/>
        <w:rPr>
          <w:rFonts w:ascii="Arial" w:hAnsi="Arial" w:cs="Arial"/>
          <w:sz w:val="22"/>
          <w:szCs w:val="22"/>
        </w:rPr>
      </w:pPr>
      <w:r w:rsidRPr="004325B3">
        <w:rPr>
          <w:rFonts w:ascii="Arial" w:hAnsi="Arial" w:cs="Arial"/>
          <w:sz w:val="22"/>
          <w:szCs w:val="22"/>
        </w:rPr>
        <w:t>En este punto, es importante aclarar que la información analizada por esta Oficina corresponde a la ejecución de gastos de viáticos y pasajes aéreos teniendo en cuenta la f</w:t>
      </w:r>
      <w:r w:rsidR="00210AFB" w:rsidRPr="004325B3">
        <w:rPr>
          <w:rFonts w:ascii="Arial" w:hAnsi="Arial" w:cs="Arial"/>
          <w:sz w:val="22"/>
          <w:szCs w:val="22"/>
        </w:rPr>
        <w:t>echa real que en la que se llevó</w:t>
      </w:r>
      <w:r w:rsidRPr="004325B3">
        <w:rPr>
          <w:rFonts w:ascii="Arial" w:hAnsi="Arial" w:cs="Arial"/>
          <w:sz w:val="22"/>
          <w:szCs w:val="22"/>
        </w:rPr>
        <w:t xml:space="preserve"> a cabo la comisión y no la fecha </w:t>
      </w:r>
      <w:r w:rsidR="00233C35" w:rsidRPr="004325B3">
        <w:rPr>
          <w:rFonts w:ascii="Arial" w:hAnsi="Arial" w:cs="Arial"/>
          <w:sz w:val="22"/>
          <w:szCs w:val="22"/>
        </w:rPr>
        <w:t>de</w:t>
      </w:r>
      <w:r w:rsidRPr="004325B3">
        <w:rPr>
          <w:rFonts w:ascii="Arial" w:hAnsi="Arial" w:cs="Arial"/>
          <w:sz w:val="22"/>
          <w:szCs w:val="22"/>
        </w:rPr>
        <w:t xml:space="preserve"> solicitud de la misma, toda vez que existe la probabilidad que se presenten cancelaciones de las comisiones aprobadas, lo que implicaría la sobreestimación de los gastos que le correspo</w:t>
      </w:r>
      <w:r w:rsidR="00D31632" w:rsidRPr="004325B3">
        <w:rPr>
          <w:rFonts w:ascii="Arial" w:hAnsi="Arial" w:cs="Arial"/>
          <w:sz w:val="22"/>
          <w:szCs w:val="22"/>
        </w:rPr>
        <w:t xml:space="preserve">nden a cada periodo analizado. </w:t>
      </w:r>
      <w:r w:rsidRPr="004325B3">
        <w:rPr>
          <w:rFonts w:ascii="Arial" w:hAnsi="Arial" w:cs="Arial"/>
          <w:sz w:val="22"/>
          <w:szCs w:val="22"/>
        </w:rPr>
        <w:t xml:space="preserve">A continuación, se presenta el resultado obtenido: </w:t>
      </w:r>
    </w:p>
    <w:p w14:paraId="1D08E65B" w14:textId="77777777" w:rsidR="00D31632" w:rsidRPr="00A003B6" w:rsidRDefault="00D31632" w:rsidP="00D31632">
      <w:pPr>
        <w:jc w:val="both"/>
        <w:rPr>
          <w:rFonts w:ascii="Arial" w:hAnsi="Arial" w:cs="Arial"/>
          <w:sz w:val="22"/>
          <w:szCs w:val="22"/>
          <w:highlight w:val="yellow"/>
        </w:rPr>
      </w:pPr>
    </w:p>
    <w:tbl>
      <w:tblPr>
        <w:tblStyle w:val="Tabladecuadrcula1clara-nfasis1"/>
        <w:tblW w:w="0" w:type="auto"/>
        <w:jc w:val="center"/>
        <w:tblLook w:val="04A0" w:firstRow="1" w:lastRow="0" w:firstColumn="1" w:lastColumn="0" w:noHBand="0" w:noVBand="1"/>
      </w:tblPr>
      <w:tblGrid>
        <w:gridCol w:w="2263"/>
        <w:gridCol w:w="1843"/>
        <w:gridCol w:w="2126"/>
        <w:gridCol w:w="1985"/>
      </w:tblGrid>
      <w:tr w:rsidR="00C44322" w:rsidRPr="008B236D" w14:paraId="574C2A65" w14:textId="77777777" w:rsidTr="00CD6E92">
        <w:trPr>
          <w:cnfStyle w:val="100000000000" w:firstRow="1" w:lastRow="0" w:firstColumn="0" w:lastColumn="0" w:oddVBand="0" w:evenVBand="0" w:oddHBand="0" w:evenHBand="0" w:firstRowFirstColumn="0" w:firstRowLastColumn="0" w:lastRowFirstColumn="0" w:lastRowLastColumn="0"/>
          <w:trHeight w:val="390"/>
          <w:tblHeader/>
          <w:jc w:val="center"/>
        </w:trPr>
        <w:tc>
          <w:tcPr>
            <w:cnfStyle w:val="001000000000" w:firstRow="0" w:lastRow="0" w:firstColumn="1" w:lastColumn="0" w:oddVBand="0" w:evenVBand="0" w:oddHBand="0" w:evenHBand="0" w:firstRowFirstColumn="0" w:firstRowLastColumn="0" w:lastRowFirstColumn="0" w:lastRowLastColumn="0"/>
            <w:tcW w:w="8217" w:type="dxa"/>
            <w:gridSpan w:val="4"/>
            <w:shd w:val="clear" w:color="auto" w:fill="4F81BD" w:themeFill="accent1"/>
            <w:hideMark/>
          </w:tcPr>
          <w:p w14:paraId="7979F8D6" w14:textId="77777777" w:rsidR="00C44322" w:rsidRPr="008B236D" w:rsidRDefault="00C44322" w:rsidP="007C2B64">
            <w:pPr>
              <w:spacing w:before="100" w:after="100"/>
              <w:jc w:val="center"/>
              <w:rPr>
                <w:rFonts w:ascii="Arial" w:hAnsi="Arial" w:cs="Arial"/>
                <w:color w:val="000000"/>
                <w:sz w:val="20"/>
                <w:szCs w:val="20"/>
              </w:rPr>
            </w:pPr>
            <w:r w:rsidRPr="008B236D">
              <w:rPr>
                <w:rFonts w:ascii="Arial" w:hAnsi="Arial" w:cs="Arial"/>
                <w:sz w:val="20"/>
                <w:szCs w:val="20"/>
              </w:rPr>
              <w:br w:type="page"/>
            </w:r>
            <w:r w:rsidRPr="008B236D">
              <w:rPr>
                <w:rFonts w:ascii="Arial" w:hAnsi="Arial" w:cs="Arial"/>
                <w:color w:val="FFFFFF" w:themeColor="background1"/>
                <w:sz w:val="20"/>
                <w:szCs w:val="20"/>
              </w:rPr>
              <w:t xml:space="preserve">Variaciones Viáticos y Pasajes  </w:t>
            </w:r>
            <w:r w:rsidR="007F447D">
              <w:rPr>
                <w:rFonts w:ascii="Arial" w:hAnsi="Arial" w:cs="Arial"/>
                <w:color w:val="FFFFFF" w:themeColor="background1"/>
                <w:sz w:val="20"/>
                <w:szCs w:val="20"/>
              </w:rPr>
              <w:t>I</w:t>
            </w:r>
            <w:r w:rsidRPr="008B236D">
              <w:rPr>
                <w:rFonts w:ascii="Arial" w:hAnsi="Arial" w:cs="Arial"/>
                <w:color w:val="FFFFFF" w:themeColor="background1"/>
                <w:sz w:val="20"/>
                <w:szCs w:val="20"/>
              </w:rPr>
              <w:t>II Trimestre 2019-2018</w:t>
            </w:r>
          </w:p>
        </w:tc>
      </w:tr>
      <w:tr w:rsidR="008B236D" w:rsidRPr="008B236D" w14:paraId="4B2EEB00" w14:textId="77777777" w:rsidTr="00CD6E92">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B8CCE4" w:themeFill="accent1" w:themeFillTint="66"/>
            <w:hideMark/>
          </w:tcPr>
          <w:p w14:paraId="200339E3" w14:textId="77777777" w:rsidR="008B236D" w:rsidRPr="008B236D" w:rsidRDefault="008B236D" w:rsidP="007C2B64">
            <w:pPr>
              <w:spacing w:before="100" w:after="100"/>
              <w:jc w:val="center"/>
              <w:rPr>
                <w:rFonts w:ascii="Arial" w:hAnsi="Arial" w:cs="Arial"/>
                <w:color w:val="0F243E" w:themeColor="text2" w:themeShade="80"/>
                <w:sz w:val="20"/>
                <w:szCs w:val="20"/>
              </w:rPr>
            </w:pPr>
            <w:r w:rsidRPr="008B236D">
              <w:rPr>
                <w:rFonts w:ascii="Arial" w:hAnsi="Arial" w:cs="Arial"/>
                <w:color w:val="0F243E" w:themeColor="text2" w:themeShade="80"/>
                <w:sz w:val="20"/>
                <w:szCs w:val="20"/>
              </w:rPr>
              <w:t>Concepto/ Mes</w:t>
            </w:r>
          </w:p>
        </w:tc>
        <w:tc>
          <w:tcPr>
            <w:tcW w:w="1843" w:type="dxa"/>
            <w:shd w:val="clear" w:color="auto" w:fill="B8CCE4" w:themeFill="accent1" w:themeFillTint="66"/>
            <w:vAlign w:val="center"/>
            <w:hideMark/>
          </w:tcPr>
          <w:p w14:paraId="36D08119" w14:textId="77777777" w:rsidR="008B236D" w:rsidRPr="007C2B64" w:rsidRDefault="008B236D" w:rsidP="007C2B64">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F243E"/>
                <w:sz w:val="20"/>
                <w:szCs w:val="20"/>
              </w:rPr>
            </w:pPr>
            <w:r w:rsidRPr="007C2B64">
              <w:rPr>
                <w:rFonts w:ascii="Arial" w:hAnsi="Arial" w:cs="Arial"/>
                <w:bCs w:val="0"/>
                <w:color w:val="0F243E"/>
                <w:sz w:val="20"/>
                <w:szCs w:val="20"/>
              </w:rPr>
              <w:t>Julio</w:t>
            </w:r>
          </w:p>
        </w:tc>
        <w:tc>
          <w:tcPr>
            <w:tcW w:w="2126" w:type="dxa"/>
            <w:shd w:val="clear" w:color="auto" w:fill="B8CCE4" w:themeFill="accent1" w:themeFillTint="66"/>
            <w:vAlign w:val="center"/>
            <w:hideMark/>
          </w:tcPr>
          <w:p w14:paraId="77F5686E" w14:textId="77777777" w:rsidR="008B236D" w:rsidRPr="007C2B64" w:rsidRDefault="008B236D" w:rsidP="007C2B64">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F243E"/>
                <w:sz w:val="20"/>
                <w:szCs w:val="20"/>
              </w:rPr>
            </w:pPr>
            <w:r w:rsidRPr="007C2B64">
              <w:rPr>
                <w:rFonts w:ascii="Arial" w:hAnsi="Arial" w:cs="Arial"/>
                <w:bCs w:val="0"/>
                <w:color w:val="0F243E"/>
                <w:sz w:val="20"/>
                <w:szCs w:val="20"/>
              </w:rPr>
              <w:t>Agosto</w:t>
            </w:r>
          </w:p>
        </w:tc>
        <w:tc>
          <w:tcPr>
            <w:tcW w:w="1985" w:type="dxa"/>
            <w:shd w:val="clear" w:color="auto" w:fill="B8CCE4" w:themeFill="accent1" w:themeFillTint="66"/>
            <w:vAlign w:val="center"/>
            <w:hideMark/>
          </w:tcPr>
          <w:p w14:paraId="1CB447B0" w14:textId="77777777" w:rsidR="008B236D" w:rsidRPr="007C2B64" w:rsidRDefault="008B236D" w:rsidP="007C2B64">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F243E"/>
                <w:sz w:val="20"/>
                <w:szCs w:val="20"/>
              </w:rPr>
            </w:pPr>
            <w:r w:rsidRPr="007C2B64">
              <w:rPr>
                <w:rFonts w:ascii="Arial" w:hAnsi="Arial" w:cs="Arial"/>
                <w:bCs w:val="0"/>
                <w:color w:val="0F243E"/>
                <w:sz w:val="20"/>
                <w:szCs w:val="20"/>
              </w:rPr>
              <w:t>Septiembre</w:t>
            </w:r>
          </w:p>
        </w:tc>
      </w:tr>
      <w:tr w:rsidR="008B236D" w:rsidRPr="008B236D" w14:paraId="7C3D9D6B" w14:textId="77777777" w:rsidTr="007F447D">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hideMark/>
          </w:tcPr>
          <w:p w14:paraId="61FA4473" w14:textId="77777777" w:rsidR="008B236D" w:rsidRPr="008B236D" w:rsidRDefault="008B236D" w:rsidP="007C2B64">
            <w:pPr>
              <w:spacing w:before="100" w:after="100"/>
              <w:jc w:val="center"/>
              <w:rPr>
                <w:rFonts w:ascii="Arial" w:hAnsi="Arial" w:cs="Arial"/>
                <w:color w:val="0F243E" w:themeColor="text2" w:themeShade="80"/>
                <w:sz w:val="20"/>
                <w:szCs w:val="20"/>
              </w:rPr>
            </w:pPr>
            <w:r w:rsidRPr="008B236D">
              <w:rPr>
                <w:rFonts w:ascii="Arial" w:hAnsi="Arial" w:cs="Arial"/>
                <w:color w:val="0F243E" w:themeColor="text2" w:themeShade="80"/>
                <w:sz w:val="20"/>
                <w:szCs w:val="20"/>
              </w:rPr>
              <w:t>Viáticos 2019</w:t>
            </w:r>
          </w:p>
        </w:tc>
        <w:tc>
          <w:tcPr>
            <w:tcW w:w="1843" w:type="dxa"/>
            <w:vAlign w:val="center"/>
            <w:hideMark/>
          </w:tcPr>
          <w:p w14:paraId="5920EDBB" w14:textId="77777777" w:rsidR="008B236D" w:rsidRPr="00FB7EA4" w:rsidRDefault="008B236D" w:rsidP="007C2B64">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40.870.408</w:t>
            </w:r>
          </w:p>
        </w:tc>
        <w:tc>
          <w:tcPr>
            <w:tcW w:w="2126" w:type="dxa"/>
            <w:vAlign w:val="bottom"/>
            <w:hideMark/>
          </w:tcPr>
          <w:p w14:paraId="5F4D05BC" w14:textId="77777777" w:rsidR="008B236D" w:rsidRPr="00FB7EA4" w:rsidRDefault="008B236D" w:rsidP="007C2B64">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39.797.672</w:t>
            </w:r>
          </w:p>
        </w:tc>
        <w:tc>
          <w:tcPr>
            <w:tcW w:w="1985" w:type="dxa"/>
            <w:vAlign w:val="bottom"/>
            <w:hideMark/>
          </w:tcPr>
          <w:p w14:paraId="28E1DF3B" w14:textId="77777777" w:rsidR="008B236D" w:rsidRPr="00FB7EA4" w:rsidRDefault="008B236D" w:rsidP="007C2B64">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41.694.408</w:t>
            </w:r>
          </w:p>
        </w:tc>
      </w:tr>
      <w:tr w:rsidR="008B236D" w:rsidRPr="008B236D" w14:paraId="41E9DB8C" w14:textId="77777777" w:rsidTr="007F447D">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hideMark/>
          </w:tcPr>
          <w:p w14:paraId="62CCFA8B" w14:textId="77777777" w:rsidR="008B236D" w:rsidRPr="008B236D" w:rsidRDefault="008B236D" w:rsidP="007C2B64">
            <w:pPr>
              <w:spacing w:before="100" w:after="100"/>
              <w:jc w:val="center"/>
              <w:rPr>
                <w:rFonts w:ascii="Arial" w:hAnsi="Arial" w:cs="Arial"/>
                <w:color w:val="0F243E" w:themeColor="text2" w:themeShade="80"/>
                <w:sz w:val="20"/>
                <w:szCs w:val="20"/>
              </w:rPr>
            </w:pPr>
            <w:r w:rsidRPr="008B236D">
              <w:rPr>
                <w:rFonts w:ascii="Arial" w:hAnsi="Arial" w:cs="Arial"/>
                <w:color w:val="0F243E" w:themeColor="text2" w:themeShade="80"/>
                <w:sz w:val="20"/>
                <w:szCs w:val="20"/>
              </w:rPr>
              <w:t>Viáticos 2018</w:t>
            </w:r>
          </w:p>
        </w:tc>
        <w:tc>
          <w:tcPr>
            <w:tcW w:w="1843" w:type="dxa"/>
            <w:noWrap/>
            <w:vAlign w:val="bottom"/>
            <w:hideMark/>
          </w:tcPr>
          <w:p w14:paraId="6CB49D41" w14:textId="77777777" w:rsidR="008B236D" w:rsidRPr="00FB7EA4" w:rsidRDefault="008B236D" w:rsidP="007C2B64">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43.678.412</w:t>
            </w:r>
          </w:p>
        </w:tc>
        <w:tc>
          <w:tcPr>
            <w:tcW w:w="2126" w:type="dxa"/>
            <w:noWrap/>
            <w:vAlign w:val="bottom"/>
            <w:hideMark/>
          </w:tcPr>
          <w:p w14:paraId="6801C2FE" w14:textId="77777777" w:rsidR="008B236D" w:rsidRPr="00FB7EA4" w:rsidRDefault="008B236D" w:rsidP="007C2B64">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35.857.818</w:t>
            </w:r>
          </w:p>
        </w:tc>
        <w:tc>
          <w:tcPr>
            <w:tcW w:w="1985" w:type="dxa"/>
            <w:noWrap/>
            <w:vAlign w:val="bottom"/>
            <w:hideMark/>
          </w:tcPr>
          <w:p w14:paraId="26A27832" w14:textId="77777777" w:rsidR="008B236D" w:rsidRPr="00FB7EA4" w:rsidRDefault="008B236D" w:rsidP="007C2B64">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44.220.979</w:t>
            </w:r>
          </w:p>
        </w:tc>
      </w:tr>
      <w:tr w:rsidR="008B236D" w:rsidRPr="008B236D" w14:paraId="5BD08879" w14:textId="77777777" w:rsidTr="007F447D">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4F81BD" w:themeFill="accent1"/>
            <w:hideMark/>
          </w:tcPr>
          <w:p w14:paraId="43986B57" w14:textId="77777777" w:rsidR="008B236D" w:rsidRPr="008B236D" w:rsidRDefault="008B236D" w:rsidP="007C2B64">
            <w:pPr>
              <w:spacing w:before="100" w:after="100"/>
              <w:jc w:val="center"/>
              <w:rPr>
                <w:rFonts w:ascii="Arial" w:hAnsi="Arial" w:cs="Arial"/>
                <w:color w:val="FFFFFF" w:themeColor="background1"/>
                <w:sz w:val="20"/>
                <w:szCs w:val="20"/>
              </w:rPr>
            </w:pPr>
            <w:r w:rsidRPr="008B236D">
              <w:rPr>
                <w:rFonts w:ascii="Arial" w:hAnsi="Arial" w:cs="Arial"/>
                <w:color w:val="FFFFFF" w:themeColor="background1"/>
                <w:sz w:val="20"/>
                <w:szCs w:val="20"/>
              </w:rPr>
              <w:t>Variación  Absoluta</w:t>
            </w:r>
          </w:p>
        </w:tc>
        <w:tc>
          <w:tcPr>
            <w:tcW w:w="1843" w:type="dxa"/>
            <w:shd w:val="clear" w:color="auto" w:fill="4F81BD" w:themeFill="accent1"/>
            <w:vAlign w:val="center"/>
            <w:hideMark/>
          </w:tcPr>
          <w:p w14:paraId="495ACE82" w14:textId="47BC1A63" w:rsidR="008B236D" w:rsidRPr="008B236D" w:rsidRDefault="00132C59" w:rsidP="007C2B64">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w:t>
            </w:r>
            <w:r w:rsidR="008B236D" w:rsidRPr="008B236D">
              <w:rPr>
                <w:rFonts w:ascii="Arial" w:hAnsi="Arial" w:cs="Arial"/>
                <w:b/>
                <w:bCs/>
                <w:color w:val="FFFFFF"/>
                <w:sz w:val="20"/>
                <w:szCs w:val="20"/>
              </w:rPr>
              <w:t>2.808.004</w:t>
            </w:r>
            <w:r>
              <w:rPr>
                <w:rFonts w:ascii="Arial" w:hAnsi="Arial" w:cs="Arial"/>
                <w:b/>
                <w:bCs/>
                <w:color w:val="FFFFFF"/>
                <w:sz w:val="20"/>
                <w:szCs w:val="20"/>
              </w:rPr>
              <w:t>)</w:t>
            </w:r>
          </w:p>
        </w:tc>
        <w:tc>
          <w:tcPr>
            <w:tcW w:w="2126" w:type="dxa"/>
            <w:shd w:val="clear" w:color="auto" w:fill="4F81BD" w:themeFill="accent1"/>
            <w:vAlign w:val="center"/>
            <w:hideMark/>
          </w:tcPr>
          <w:p w14:paraId="3BB12C44" w14:textId="77777777" w:rsidR="008B236D" w:rsidRPr="008B236D" w:rsidRDefault="008B236D" w:rsidP="007C2B64">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8B236D">
              <w:rPr>
                <w:rFonts w:ascii="Arial" w:hAnsi="Arial" w:cs="Arial"/>
                <w:b/>
                <w:bCs/>
                <w:color w:val="FFFFFF"/>
                <w:sz w:val="20"/>
                <w:szCs w:val="20"/>
              </w:rPr>
              <w:t>3.939.854</w:t>
            </w:r>
          </w:p>
        </w:tc>
        <w:tc>
          <w:tcPr>
            <w:tcW w:w="1985" w:type="dxa"/>
            <w:shd w:val="clear" w:color="auto" w:fill="4F81BD" w:themeFill="accent1"/>
            <w:vAlign w:val="center"/>
            <w:hideMark/>
          </w:tcPr>
          <w:p w14:paraId="16FBFAC8" w14:textId="6B05D80B" w:rsidR="008B236D" w:rsidRPr="008B236D" w:rsidRDefault="00132C59" w:rsidP="007C2B64">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w:t>
            </w:r>
            <w:r w:rsidR="008B236D" w:rsidRPr="008B236D">
              <w:rPr>
                <w:rFonts w:ascii="Arial" w:hAnsi="Arial" w:cs="Arial"/>
                <w:b/>
                <w:bCs/>
                <w:color w:val="FFFFFF"/>
                <w:sz w:val="20"/>
                <w:szCs w:val="20"/>
              </w:rPr>
              <w:t>2.526.571</w:t>
            </w:r>
            <w:r>
              <w:rPr>
                <w:rFonts w:ascii="Arial" w:hAnsi="Arial" w:cs="Arial"/>
                <w:b/>
                <w:bCs/>
                <w:color w:val="FFFFFF"/>
                <w:sz w:val="20"/>
                <w:szCs w:val="20"/>
              </w:rPr>
              <w:t>)</w:t>
            </w:r>
          </w:p>
        </w:tc>
      </w:tr>
      <w:tr w:rsidR="008B236D" w:rsidRPr="008B236D" w14:paraId="5E3DC392" w14:textId="77777777" w:rsidTr="007F447D">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4F81BD" w:themeFill="accent1"/>
            <w:hideMark/>
          </w:tcPr>
          <w:p w14:paraId="6A105E2D" w14:textId="77777777" w:rsidR="008B236D" w:rsidRPr="008B236D" w:rsidRDefault="008B236D" w:rsidP="007C2B64">
            <w:pPr>
              <w:spacing w:before="100" w:after="100"/>
              <w:jc w:val="center"/>
              <w:rPr>
                <w:rFonts w:ascii="Arial" w:hAnsi="Arial" w:cs="Arial"/>
                <w:color w:val="FFFFFF" w:themeColor="background1"/>
                <w:sz w:val="20"/>
                <w:szCs w:val="20"/>
              </w:rPr>
            </w:pPr>
            <w:r w:rsidRPr="008B236D">
              <w:rPr>
                <w:rFonts w:ascii="Arial" w:hAnsi="Arial" w:cs="Arial"/>
                <w:color w:val="FFFFFF" w:themeColor="background1"/>
                <w:sz w:val="20"/>
                <w:szCs w:val="20"/>
              </w:rPr>
              <w:t>Variación  Relativa</w:t>
            </w:r>
          </w:p>
        </w:tc>
        <w:tc>
          <w:tcPr>
            <w:tcW w:w="1843" w:type="dxa"/>
            <w:shd w:val="clear" w:color="auto" w:fill="4F81BD" w:themeFill="accent1"/>
            <w:vAlign w:val="center"/>
            <w:hideMark/>
          </w:tcPr>
          <w:p w14:paraId="10F9C47C" w14:textId="4243F249" w:rsidR="008B236D" w:rsidRPr="008B236D" w:rsidRDefault="00132C59" w:rsidP="007C2B64">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w:t>
            </w:r>
            <w:r w:rsidR="008B236D" w:rsidRPr="008B236D">
              <w:rPr>
                <w:rFonts w:ascii="Arial" w:hAnsi="Arial" w:cs="Arial"/>
                <w:b/>
                <w:bCs/>
                <w:color w:val="FFFFFF"/>
                <w:sz w:val="20"/>
                <w:szCs w:val="20"/>
              </w:rPr>
              <w:t>6%</w:t>
            </w:r>
            <w:r>
              <w:rPr>
                <w:rFonts w:ascii="Arial" w:hAnsi="Arial" w:cs="Arial"/>
                <w:b/>
                <w:bCs/>
                <w:color w:val="FFFFFF"/>
                <w:sz w:val="20"/>
                <w:szCs w:val="20"/>
              </w:rPr>
              <w:t>)</w:t>
            </w:r>
          </w:p>
        </w:tc>
        <w:tc>
          <w:tcPr>
            <w:tcW w:w="2126" w:type="dxa"/>
            <w:shd w:val="clear" w:color="auto" w:fill="4F81BD" w:themeFill="accent1"/>
            <w:vAlign w:val="center"/>
            <w:hideMark/>
          </w:tcPr>
          <w:p w14:paraId="58F37E3F" w14:textId="77777777" w:rsidR="008B236D" w:rsidRPr="008B236D" w:rsidRDefault="008B236D" w:rsidP="007C2B64">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8B236D">
              <w:rPr>
                <w:rFonts w:ascii="Arial" w:hAnsi="Arial" w:cs="Arial"/>
                <w:b/>
                <w:bCs/>
                <w:color w:val="FFFFFF"/>
                <w:sz w:val="20"/>
                <w:szCs w:val="20"/>
              </w:rPr>
              <w:t>11%</w:t>
            </w:r>
          </w:p>
        </w:tc>
        <w:tc>
          <w:tcPr>
            <w:tcW w:w="1985" w:type="dxa"/>
            <w:shd w:val="clear" w:color="auto" w:fill="4F81BD" w:themeFill="accent1"/>
            <w:vAlign w:val="center"/>
            <w:hideMark/>
          </w:tcPr>
          <w:p w14:paraId="103F0F61" w14:textId="70829D91" w:rsidR="008B236D" w:rsidRPr="008B236D" w:rsidRDefault="00132C59" w:rsidP="007C2B64">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w:t>
            </w:r>
            <w:r w:rsidR="008B236D" w:rsidRPr="008B236D">
              <w:rPr>
                <w:rFonts w:ascii="Arial" w:hAnsi="Arial" w:cs="Arial"/>
                <w:b/>
                <w:bCs/>
                <w:color w:val="FFFFFF"/>
                <w:sz w:val="20"/>
                <w:szCs w:val="20"/>
              </w:rPr>
              <w:t>6%</w:t>
            </w:r>
            <w:r>
              <w:rPr>
                <w:rFonts w:ascii="Arial" w:hAnsi="Arial" w:cs="Arial"/>
                <w:b/>
                <w:bCs/>
                <w:color w:val="FFFFFF"/>
                <w:sz w:val="20"/>
                <w:szCs w:val="20"/>
              </w:rPr>
              <w:t>)</w:t>
            </w:r>
          </w:p>
        </w:tc>
      </w:tr>
      <w:tr w:rsidR="008B236D" w:rsidRPr="008B236D" w14:paraId="4431BFED" w14:textId="77777777" w:rsidTr="007F447D">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hideMark/>
          </w:tcPr>
          <w:p w14:paraId="02848EE3" w14:textId="77777777" w:rsidR="008B236D" w:rsidRPr="008B236D" w:rsidRDefault="008B236D" w:rsidP="005844C5">
            <w:pPr>
              <w:spacing w:before="80" w:after="80"/>
              <w:jc w:val="center"/>
              <w:rPr>
                <w:rFonts w:ascii="Arial" w:hAnsi="Arial" w:cs="Arial"/>
                <w:color w:val="0F243E" w:themeColor="text2" w:themeShade="80"/>
                <w:sz w:val="20"/>
                <w:szCs w:val="20"/>
              </w:rPr>
            </w:pPr>
            <w:r w:rsidRPr="008B236D">
              <w:rPr>
                <w:rFonts w:ascii="Arial" w:hAnsi="Arial" w:cs="Arial"/>
                <w:color w:val="0F243E" w:themeColor="text2" w:themeShade="80"/>
                <w:sz w:val="20"/>
                <w:szCs w:val="20"/>
              </w:rPr>
              <w:lastRenderedPageBreak/>
              <w:t>Pasajes 2019</w:t>
            </w:r>
          </w:p>
        </w:tc>
        <w:tc>
          <w:tcPr>
            <w:tcW w:w="1843" w:type="dxa"/>
            <w:vAlign w:val="center"/>
            <w:hideMark/>
          </w:tcPr>
          <w:p w14:paraId="326A3B96" w14:textId="77777777" w:rsidR="008B236D" w:rsidRPr="00FB7EA4" w:rsidRDefault="008B236D" w:rsidP="005844C5">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52.392.535</w:t>
            </w:r>
          </w:p>
        </w:tc>
        <w:tc>
          <w:tcPr>
            <w:tcW w:w="2126" w:type="dxa"/>
            <w:vAlign w:val="bottom"/>
            <w:hideMark/>
          </w:tcPr>
          <w:p w14:paraId="307CA7E9" w14:textId="77777777" w:rsidR="008B236D" w:rsidRPr="00FB7EA4" w:rsidRDefault="008B236D" w:rsidP="005844C5">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47.834.245</w:t>
            </w:r>
          </w:p>
        </w:tc>
        <w:tc>
          <w:tcPr>
            <w:tcW w:w="1985" w:type="dxa"/>
            <w:vAlign w:val="bottom"/>
            <w:hideMark/>
          </w:tcPr>
          <w:p w14:paraId="39426BE3" w14:textId="77777777" w:rsidR="008B236D" w:rsidRPr="00FB7EA4" w:rsidRDefault="008B236D" w:rsidP="005844C5">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61.245.633</w:t>
            </w:r>
          </w:p>
        </w:tc>
      </w:tr>
      <w:tr w:rsidR="008B236D" w:rsidRPr="008B236D" w14:paraId="656F83CF" w14:textId="77777777" w:rsidTr="007F447D">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hideMark/>
          </w:tcPr>
          <w:p w14:paraId="439CC67B" w14:textId="77777777" w:rsidR="008B236D" w:rsidRPr="008B236D" w:rsidRDefault="008B236D" w:rsidP="005844C5">
            <w:pPr>
              <w:spacing w:before="80" w:after="80"/>
              <w:jc w:val="center"/>
              <w:rPr>
                <w:rFonts w:ascii="Arial" w:hAnsi="Arial" w:cs="Arial"/>
                <w:color w:val="0F243E" w:themeColor="text2" w:themeShade="80"/>
                <w:sz w:val="20"/>
                <w:szCs w:val="20"/>
              </w:rPr>
            </w:pPr>
            <w:r w:rsidRPr="008B236D">
              <w:rPr>
                <w:rFonts w:ascii="Arial" w:hAnsi="Arial" w:cs="Arial"/>
                <w:color w:val="0F243E" w:themeColor="text2" w:themeShade="80"/>
                <w:sz w:val="20"/>
                <w:szCs w:val="20"/>
              </w:rPr>
              <w:t>Pasajes 2018</w:t>
            </w:r>
          </w:p>
        </w:tc>
        <w:tc>
          <w:tcPr>
            <w:tcW w:w="1843" w:type="dxa"/>
            <w:noWrap/>
            <w:vAlign w:val="bottom"/>
            <w:hideMark/>
          </w:tcPr>
          <w:p w14:paraId="70773F49" w14:textId="77777777" w:rsidR="008B236D" w:rsidRPr="00FB7EA4" w:rsidRDefault="008B236D" w:rsidP="005844C5">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65.538.062</w:t>
            </w:r>
          </w:p>
        </w:tc>
        <w:tc>
          <w:tcPr>
            <w:tcW w:w="2126" w:type="dxa"/>
            <w:noWrap/>
            <w:vAlign w:val="bottom"/>
            <w:hideMark/>
          </w:tcPr>
          <w:p w14:paraId="29C3D539" w14:textId="77777777" w:rsidR="008B236D" w:rsidRPr="00FB7EA4" w:rsidRDefault="008B236D" w:rsidP="005844C5">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68.570.973</w:t>
            </w:r>
          </w:p>
        </w:tc>
        <w:tc>
          <w:tcPr>
            <w:tcW w:w="1985" w:type="dxa"/>
            <w:vAlign w:val="bottom"/>
            <w:hideMark/>
          </w:tcPr>
          <w:p w14:paraId="58D7AF5E" w14:textId="77777777" w:rsidR="008B236D" w:rsidRPr="00FB7EA4" w:rsidRDefault="008B236D" w:rsidP="005844C5">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61.462.906</w:t>
            </w:r>
          </w:p>
        </w:tc>
      </w:tr>
      <w:tr w:rsidR="008B236D" w:rsidRPr="008B236D" w14:paraId="0E975D80" w14:textId="77777777" w:rsidTr="007F447D">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4F81BD" w:themeFill="accent1"/>
            <w:hideMark/>
          </w:tcPr>
          <w:p w14:paraId="0220942A" w14:textId="417DFE55" w:rsidR="008B236D" w:rsidRPr="008B236D" w:rsidRDefault="008B236D" w:rsidP="005844C5">
            <w:pPr>
              <w:spacing w:before="80" w:after="80"/>
              <w:jc w:val="center"/>
              <w:rPr>
                <w:rFonts w:ascii="Arial" w:hAnsi="Arial" w:cs="Arial"/>
                <w:color w:val="FFFFFF" w:themeColor="background1"/>
                <w:sz w:val="20"/>
                <w:szCs w:val="20"/>
              </w:rPr>
            </w:pPr>
            <w:r w:rsidRPr="008B236D">
              <w:rPr>
                <w:rFonts w:ascii="Arial" w:hAnsi="Arial" w:cs="Arial"/>
                <w:color w:val="FFFFFF" w:themeColor="background1"/>
                <w:sz w:val="20"/>
                <w:szCs w:val="20"/>
              </w:rPr>
              <w:t>Variación  Absoluta</w:t>
            </w:r>
          </w:p>
        </w:tc>
        <w:tc>
          <w:tcPr>
            <w:tcW w:w="1843" w:type="dxa"/>
            <w:shd w:val="clear" w:color="auto" w:fill="4F81BD" w:themeFill="accent1"/>
            <w:vAlign w:val="center"/>
            <w:hideMark/>
          </w:tcPr>
          <w:p w14:paraId="36E0BB51" w14:textId="18259B46" w:rsidR="008B236D" w:rsidRPr="008B236D" w:rsidRDefault="00132C59" w:rsidP="005844C5">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w:t>
            </w:r>
            <w:r w:rsidR="008B236D" w:rsidRPr="008B236D">
              <w:rPr>
                <w:rFonts w:ascii="Arial" w:hAnsi="Arial" w:cs="Arial"/>
                <w:b/>
                <w:bCs/>
                <w:color w:val="FFFFFF"/>
                <w:sz w:val="20"/>
                <w:szCs w:val="20"/>
              </w:rPr>
              <w:t>13.145.527</w:t>
            </w:r>
            <w:r>
              <w:rPr>
                <w:rFonts w:ascii="Arial" w:hAnsi="Arial" w:cs="Arial"/>
                <w:b/>
                <w:bCs/>
                <w:color w:val="FFFFFF"/>
                <w:sz w:val="20"/>
                <w:szCs w:val="20"/>
              </w:rPr>
              <w:t>)</w:t>
            </w:r>
          </w:p>
        </w:tc>
        <w:tc>
          <w:tcPr>
            <w:tcW w:w="2126" w:type="dxa"/>
            <w:shd w:val="clear" w:color="auto" w:fill="4F81BD" w:themeFill="accent1"/>
            <w:vAlign w:val="center"/>
            <w:hideMark/>
          </w:tcPr>
          <w:p w14:paraId="667EE4C6" w14:textId="6D8E154F" w:rsidR="008B236D" w:rsidRPr="008B236D" w:rsidRDefault="00132C59" w:rsidP="005844C5">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w:t>
            </w:r>
            <w:r w:rsidR="008B236D" w:rsidRPr="008B236D">
              <w:rPr>
                <w:rFonts w:ascii="Arial" w:hAnsi="Arial" w:cs="Arial"/>
                <w:b/>
                <w:bCs/>
                <w:color w:val="FFFFFF"/>
                <w:sz w:val="20"/>
                <w:szCs w:val="20"/>
              </w:rPr>
              <w:t>20.736.728</w:t>
            </w:r>
            <w:r>
              <w:rPr>
                <w:rFonts w:ascii="Arial" w:hAnsi="Arial" w:cs="Arial"/>
                <w:b/>
                <w:bCs/>
                <w:color w:val="FFFFFF"/>
                <w:sz w:val="20"/>
                <w:szCs w:val="20"/>
              </w:rPr>
              <w:t>)</w:t>
            </w:r>
          </w:p>
        </w:tc>
        <w:tc>
          <w:tcPr>
            <w:tcW w:w="1985" w:type="dxa"/>
            <w:shd w:val="clear" w:color="auto" w:fill="4F81BD" w:themeFill="accent1"/>
            <w:vAlign w:val="center"/>
            <w:hideMark/>
          </w:tcPr>
          <w:p w14:paraId="2D1B6250" w14:textId="77777777" w:rsidR="008B236D" w:rsidRPr="008B236D" w:rsidRDefault="008B236D" w:rsidP="005844C5">
            <w:pPr>
              <w:spacing w:before="80" w:after="80"/>
              <w:ind w:left="708" w:hanging="708"/>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8B236D">
              <w:rPr>
                <w:rFonts w:ascii="Arial" w:hAnsi="Arial" w:cs="Arial"/>
                <w:b/>
                <w:bCs/>
                <w:color w:val="FFFFFF"/>
                <w:sz w:val="20"/>
                <w:szCs w:val="20"/>
              </w:rPr>
              <w:t>-217.273</w:t>
            </w:r>
          </w:p>
        </w:tc>
      </w:tr>
      <w:tr w:rsidR="008B236D" w:rsidRPr="008B236D" w14:paraId="3B056E18" w14:textId="77777777" w:rsidTr="007F447D">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4F81BD" w:themeFill="accent1"/>
            <w:hideMark/>
          </w:tcPr>
          <w:p w14:paraId="5FEAA115" w14:textId="0C0E4597" w:rsidR="008B236D" w:rsidRPr="008B236D" w:rsidRDefault="008B236D" w:rsidP="005844C5">
            <w:pPr>
              <w:spacing w:before="80" w:after="80"/>
              <w:jc w:val="center"/>
              <w:rPr>
                <w:rFonts w:ascii="Arial" w:hAnsi="Arial" w:cs="Arial"/>
                <w:color w:val="FFFFFF" w:themeColor="background1"/>
                <w:sz w:val="20"/>
                <w:szCs w:val="20"/>
              </w:rPr>
            </w:pPr>
            <w:r w:rsidRPr="008B236D">
              <w:rPr>
                <w:rFonts w:ascii="Arial" w:hAnsi="Arial" w:cs="Arial"/>
                <w:color w:val="FFFFFF" w:themeColor="background1"/>
                <w:sz w:val="20"/>
                <w:szCs w:val="20"/>
              </w:rPr>
              <w:t>Variación  Relativa</w:t>
            </w:r>
          </w:p>
        </w:tc>
        <w:tc>
          <w:tcPr>
            <w:tcW w:w="1843" w:type="dxa"/>
            <w:shd w:val="clear" w:color="auto" w:fill="4F81BD" w:themeFill="accent1"/>
            <w:vAlign w:val="center"/>
            <w:hideMark/>
          </w:tcPr>
          <w:p w14:paraId="47329B90" w14:textId="2F3D976D" w:rsidR="008B236D" w:rsidRPr="008B236D" w:rsidRDefault="00132C59" w:rsidP="005844C5">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w:t>
            </w:r>
            <w:r w:rsidR="008B236D" w:rsidRPr="008B236D">
              <w:rPr>
                <w:rFonts w:ascii="Arial" w:hAnsi="Arial" w:cs="Arial"/>
                <w:b/>
                <w:bCs/>
                <w:color w:val="FFFFFF"/>
                <w:sz w:val="20"/>
                <w:szCs w:val="20"/>
              </w:rPr>
              <w:t>20%</w:t>
            </w:r>
            <w:r>
              <w:rPr>
                <w:rFonts w:ascii="Arial" w:hAnsi="Arial" w:cs="Arial"/>
                <w:b/>
                <w:bCs/>
                <w:color w:val="FFFFFF"/>
                <w:sz w:val="20"/>
                <w:szCs w:val="20"/>
              </w:rPr>
              <w:t>)</w:t>
            </w:r>
          </w:p>
        </w:tc>
        <w:tc>
          <w:tcPr>
            <w:tcW w:w="2126" w:type="dxa"/>
            <w:shd w:val="clear" w:color="auto" w:fill="4F81BD" w:themeFill="accent1"/>
            <w:vAlign w:val="center"/>
            <w:hideMark/>
          </w:tcPr>
          <w:p w14:paraId="7B86C398" w14:textId="7106337F" w:rsidR="008B236D" w:rsidRPr="008B236D" w:rsidRDefault="00132C59" w:rsidP="005844C5">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w:t>
            </w:r>
            <w:r w:rsidR="008B236D" w:rsidRPr="008B236D">
              <w:rPr>
                <w:rFonts w:ascii="Arial" w:hAnsi="Arial" w:cs="Arial"/>
                <w:b/>
                <w:bCs/>
                <w:color w:val="FFFFFF"/>
                <w:sz w:val="20"/>
                <w:szCs w:val="20"/>
              </w:rPr>
              <w:t>30%</w:t>
            </w:r>
            <w:r>
              <w:rPr>
                <w:rFonts w:ascii="Arial" w:hAnsi="Arial" w:cs="Arial"/>
                <w:b/>
                <w:bCs/>
                <w:color w:val="FFFFFF"/>
                <w:sz w:val="20"/>
                <w:szCs w:val="20"/>
              </w:rPr>
              <w:t>)</w:t>
            </w:r>
          </w:p>
        </w:tc>
        <w:tc>
          <w:tcPr>
            <w:tcW w:w="1985" w:type="dxa"/>
            <w:shd w:val="clear" w:color="auto" w:fill="4F81BD" w:themeFill="accent1"/>
            <w:vAlign w:val="center"/>
            <w:hideMark/>
          </w:tcPr>
          <w:p w14:paraId="7C0A87B7" w14:textId="77777777" w:rsidR="008B236D" w:rsidRPr="008B236D" w:rsidRDefault="008B236D" w:rsidP="005844C5">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8B236D">
              <w:rPr>
                <w:rFonts w:ascii="Arial" w:hAnsi="Arial" w:cs="Arial"/>
                <w:b/>
                <w:bCs/>
                <w:color w:val="FFFFFF"/>
                <w:sz w:val="20"/>
                <w:szCs w:val="20"/>
              </w:rPr>
              <w:t>-0,4%</w:t>
            </w:r>
          </w:p>
        </w:tc>
      </w:tr>
    </w:tbl>
    <w:p w14:paraId="5A5D56E0" w14:textId="3017A4F1" w:rsidR="00CD6E92" w:rsidRDefault="005844C5" w:rsidP="00EC7059">
      <w:pPr>
        <w:spacing w:before="100" w:beforeAutospacing="1" w:after="100" w:afterAutospacing="1"/>
        <w:jc w:val="both"/>
        <w:rPr>
          <w:rFonts w:ascii="Arial" w:hAnsi="Arial" w:cs="Arial"/>
          <w:sz w:val="22"/>
          <w:szCs w:val="22"/>
        </w:rPr>
      </w:pPr>
      <w:r w:rsidRPr="001E4A8A">
        <w:rPr>
          <w:rFonts w:ascii="Arial" w:hAnsi="Arial" w:cs="Arial"/>
          <w:noProof/>
          <w:color w:val="000000"/>
          <w:sz w:val="20"/>
          <w:szCs w:val="20"/>
        </w:rPr>
        <w:drawing>
          <wp:anchor distT="0" distB="0" distL="114300" distR="114300" simplePos="0" relativeHeight="251951104" behindDoc="0" locked="0" layoutInCell="1" allowOverlap="1" wp14:anchorId="14C79144" wp14:editId="7DF08495">
            <wp:simplePos x="0" y="0"/>
            <wp:positionH relativeFrom="margin">
              <wp:align>right</wp:align>
            </wp:positionH>
            <wp:positionV relativeFrom="paragraph">
              <wp:posOffset>193040</wp:posOffset>
            </wp:positionV>
            <wp:extent cx="2990850" cy="2343150"/>
            <wp:effectExtent l="0" t="0" r="0" b="0"/>
            <wp:wrapNone/>
            <wp:docPr id="17" name="Gráfico 1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A00-000007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7C2B64" w:rsidRPr="00DB293A">
        <w:rPr>
          <w:rFonts w:ascii="Calibri" w:hAnsi="Calibri" w:cs="Calibri"/>
          <w:noProof/>
          <w:color w:val="000000"/>
          <w:sz w:val="22"/>
          <w:szCs w:val="22"/>
        </w:rPr>
        <w:drawing>
          <wp:anchor distT="0" distB="0" distL="114300" distR="114300" simplePos="0" relativeHeight="251952128" behindDoc="0" locked="0" layoutInCell="1" allowOverlap="1" wp14:anchorId="68CAEECB" wp14:editId="778E3FB1">
            <wp:simplePos x="0" y="0"/>
            <wp:positionH relativeFrom="margin">
              <wp:align>left</wp:align>
            </wp:positionH>
            <wp:positionV relativeFrom="paragraph">
              <wp:posOffset>250190</wp:posOffset>
            </wp:positionV>
            <wp:extent cx="3076575" cy="2314575"/>
            <wp:effectExtent l="0" t="0" r="0" b="0"/>
            <wp:wrapNone/>
            <wp:docPr id="21" name="Gráfico 2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A00-000006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49DAA624" w14:textId="14E089E6" w:rsidR="008B236D" w:rsidRDefault="008B236D" w:rsidP="00EC7059">
      <w:pPr>
        <w:spacing w:before="100" w:beforeAutospacing="1" w:after="100" w:afterAutospacing="1"/>
        <w:jc w:val="both"/>
        <w:rPr>
          <w:rFonts w:ascii="Arial" w:hAnsi="Arial" w:cs="Arial"/>
          <w:sz w:val="22"/>
          <w:szCs w:val="22"/>
          <w:highlight w:val="yellow"/>
        </w:rPr>
      </w:pPr>
    </w:p>
    <w:p w14:paraId="642499F4" w14:textId="77777777" w:rsidR="008B236D" w:rsidRDefault="008B236D" w:rsidP="00EC7059">
      <w:pPr>
        <w:spacing w:before="100" w:beforeAutospacing="1" w:after="100" w:afterAutospacing="1"/>
        <w:jc w:val="both"/>
        <w:rPr>
          <w:rFonts w:ascii="Arial" w:hAnsi="Arial" w:cs="Arial"/>
          <w:sz w:val="22"/>
          <w:szCs w:val="22"/>
          <w:highlight w:val="yellow"/>
        </w:rPr>
      </w:pPr>
    </w:p>
    <w:p w14:paraId="6B330E8A" w14:textId="77777777" w:rsidR="008B236D" w:rsidRDefault="008B236D" w:rsidP="00EC7059">
      <w:pPr>
        <w:spacing w:before="100" w:beforeAutospacing="1" w:after="100" w:afterAutospacing="1"/>
        <w:jc w:val="both"/>
        <w:rPr>
          <w:rFonts w:ascii="Arial" w:hAnsi="Arial" w:cs="Arial"/>
          <w:sz w:val="22"/>
          <w:szCs w:val="22"/>
          <w:highlight w:val="yellow"/>
        </w:rPr>
      </w:pPr>
    </w:p>
    <w:p w14:paraId="20C1A95D" w14:textId="77777777" w:rsidR="008B236D" w:rsidRDefault="008B236D" w:rsidP="00EC7059">
      <w:pPr>
        <w:spacing w:before="100" w:beforeAutospacing="1" w:after="100" w:afterAutospacing="1"/>
        <w:jc w:val="both"/>
        <w:rPr>
          <w:rFonts w:ascii="Arial" w:hAnsi="Arial" w:cs="Arial"/>
          <w:sz w:val="22"/>
          <w:szCs w:val="22"/>
          <w:highlight w:val="yellow"/>
        </w:rPr>
      </w:pPr>
    </w:p>
    <w:p w14:paraId="408B178C" w14:textId="77777777" w:rsidR="008B236D" w:rsidRDefault="008B236D" w:rsidP="00EC7059">
      <w:pPr>
        <w:spacing w:before="100" w:beforeAutospacing="1" w:after="100" w:afterAutospacing="1"/>
        <w:jc w:val="both"/>
        <w:rPr>
          <w:rFonts w:ascii="Arial" w:hAnsi="Arial" w:cs="Arial"/>
          <w:sz w:val="22"/>
          <w:szCs w:val="22"/>
          <w:highlight w:val="yellow"/>
        </w:rPr>
      </w:pPr>
    </w:p>
    <w:p w14:paraId="331329A1" w14:textId="77777777" w:rsidR="008B236D" w:rsidRDefault="008B236D" w:rsidP="00EC7059">
      <w:pPr>
        <w:spacing w:before="100" w:beforeAutospacing="1" w:after="100" w:afterAutospacing="1"/>
        <w:jc w:val="both"/>
        <w:rPr>
          <w:rFonts w:ascii="Arial" w:hAnsi="Arial" w:cs="Arial"/>
          <w:sz w:val="22"/>
          <w:szCs w:val="22"/>
          <w:highlight w:val="yellow"/>
        </w:rPr>
      </w:pPr>
    </w:p>
    <w:p w14:paraId="16AAD751" w14:textId="77777777" w:rsidR="00361AE8" w:rsidRDefault="00361AE8" w:rsidP="00361AE8">
      <w:pPr>
        <w:jc w:val="both"/>
        <w:rPr>
          <w:rFonts w:ascii="Arial" w:hAnsi="Arial" w:cs="Arial"/>
          <w:sz w:val="22"/>
          <w:szCs w:val="22"/>
        </w:rPr>
      </w:pPr>
    </w:p>
    <w:p w14:paraId="0A2B2B6A" w14:textId="06D84A94" w:rsidR="00F35523" w:rsidRDefault="00DE0225" w:rsidP="00361AE8">
      <w:pPr>
        <w:jc w:val="both"/>
        <w:rPr>
          <w:rFonts w:ascii="Arial" w:hAnsi="Arial" w:cs="Arial"/>
          <w:sz w:val="22"/>
          <w:szCs w:val="22"/>
        </w:rPr>
      </w:pPr>
      <w:r w:rsidRPr="001742A2">
        <w:rPr>
          <w:rFonts w:ascii="Arial" w:hAnsi="Arial" w:cs="Arial"/>
          <w:sz w:val="22"/>
          <w:szCs w:val="22"/>
        </w:rPr>
        <w:t>A</w:t>
      </w:r>
      <w:r w:rsidR="00FB1523" w:rsidRPr="001742A2">
        <w:rPr>
          <w:rFonts w:ascii="Arial" w:hAnsi="Arial" w:cs="Arial"/>
          <w:sz w:val="22"/>
          <w:szCs w:val="22"/>
        </w:rPr>
        <w:t xml:space="preserve">nalizado el comportamiento de los gastos </w:t>
      </w:r>
      <w:r w:rsidR="00A73E67" w:rsidRPr="001742A2">
        <w:rPr>
          <w:rFonts w:ascii="Arial" w:hAnsi="Arial" w:cs="Arial"/>
          <w:sz w:val="22"/>
          <w:szCs w:val="22"/>
        </w:rPr>
        <w:t>de</w:t>
      </w:r>
      <w:r w:rsidR="00FB1523" w:rsidRPr="001742A2">
        <w:rPr>
          <w:rFonts w:ascii="Arial" w:hAnsi="Arial" w:cs="Arial"/>
          <w:sz w:val="22"/>
          <w:szCs w:val="22"/>
        </w:rPr>
        <w:t xml:space="preserve"> viáticos y p</w:t>
      </w:r>
      <w:r w:rsidRPr="001742A2">
        <w:rPr>
          <w:rFonts w:ascii="Arial" w:hAnsi="Arial" w:cs="Arial"/>
          <w:sz w:val="22"/>
          <w:szCs w:val="22"/>
        </w:rPr>
        <w:t xml:space="preserve">asajes aéreos de </w:t>
      </w:r>
      <w:r w:rsidR="00F35523" w:rsidRPr="001742A2">
        <w:rPr>
          <w:rFonts w:ascii="Arial" w:hAnsi="Arial" w:cs="Arial"/>
          <w:sz w:val="22"/>
          <w:szCs w:val="22"/>
        </w:rPr>
        <w:t xml:space="preserve">forma </w:t>
      </w:r>
      <w:r w:rsidRPr="001742A2">
        <w:rPr>
          <w:rFonts w:ascii="Arial" w:hAnsi="Arial" w:cs="Arial"/>
          <w:sz w:val="22"/>
          <w:szCs w:val="22"/>
        </w:rPr>
        <w:t>mensual</w:t>
      </w:r>
      <w:r w:rsidR="00F35523" w:rsidRPr="001742A2">
        <w:rPr>
          <w:rFonts w:ascii="Arial" w:hAnsi="Arial" w:cs="Arial"/>
          <w:sz w:val="22"/>
          <w:szCs w:val="22"/>
        </w:rPr>
        <w:t xml:space="preserve"> </w:t>
      </w:r>
      <w:r w:rsidR="007F6B55" w:rsidRPr="001742A2">
        <w:rPr>
          <w:rFonts w:ascii="Arial" w:hAnsi="Arial" w:cs="Arial"/>
          <w:sz w:val="22"/>
          <w:szCs w:val="22"/>
        </w:rPr>
        <w:t xml:space="preserve">para </w:t>
      </w:r>
      <w:r w:rsidR="001742A2">
        <w:rPr>
          <w:rFonts w:ascii="Arial" w:hAnsi="Arial" w:cs="Arial"/>
          <w:sz w:val="22"/>
          <w:szCs w:val="22"/>
        </w:rPr>
        <w:t xml:space="preserve">tercer </w:t>
      </w:r>
      <w:r w:rsidR="00F35523" w:rsidRPr="001742A2">
        <w:rPr>
          <w:rFonts w:ascii="Arial" w:hAnsi="Arial" w:cs="Arial"/>
          <w:sz w:val="22"/>
          <w:szCs w:val="22"/>
        </w:rPr>
        <w:t xml:space="preserve">trimestre de 2019 </w:t>
      </w:r>
      <w:r w:rsidR="007F6B55" w:rsidRPr="001742A2">
        <w:rPr>
          <w:rFonts w:ascii="Arial" w:hAnsi="Arial" w:cs="Arial"/>
          <w:sz w:val="22"/>
          <w:szCs w:val="22"/>
        </w:rPr>
        <w:t xml:space="preserve">comparado con el mismo periodo de la vigencia 2018, </w:t>
      </w:r>
      <w:r w:rsidR="00FB1523" w:rsidRPr="001742A2">
        <w:rPr>
          <w:rFonts w:ascii="Arial" w:hAnsi="Arial" w:cs="Arial"/>
          <w:sz w:val="22"/>
          <w:szCs w:val="22"/>
        </w:rPr>
        <w:t>se</w:t>
      </w:r>
      <w:r w:rsidR="00ED0864" w:rsidRPr="001742A2">
        <w:rPr>
          <w:rFonts w:ascii="Arial" w:hAnsi="Arial" w:cs="Arial"/>
          <w:sz w:val="22"/>
          <w:szCs w:val="22"/>
        </w:rPr>
        <w:t xml:space="preserve"> observó </w:t>
      </w:r>
      <w:r w:rsidRPr="001742A2">
        <w:rPr>
          <w:rFonts w:ascii="Arial" w:hAnsi="Arial" w:cs="Arial"/>
          <w:sz w:val="22"/>
          <w:szCs w:val="22"/>
        </w:rPr>
        <w:t xml:space="preserve">que, para el </w:t>
      </w:r>
      <w:r w:rsidR="007F6B55" w:rsidRPr="001742A2">
        <w:rPr>
          <w:rFonts w:ascii="Arial" w:hAnsi="Arial" w:cs="Arial"/>
          <w:sz w:val="22"/>
          <w:szCs w:val="22"/>
        </w:rPr>
        <w:t xml:space="preserve">periodo </w:t>
      </w:r>
      <w:r w:rsidRPr="001742A2">
        <w:rPr>
          <w:rFonts w:ascii="Arial" w:hAnsi="Arial" w:cs="Arial"/>
          <w:sz w:val="22"/>
          <w:szCs w:val="22"/>
        </w:rPr>
        <w:t xml:space="preserve">de </w:t>
      </w:r>
      <w:r w:rsidR="001742A2">
        <w:rPr>
          <w:rFonts w:ascii="Arial" w:hAnsi="Arial" w:cs="Arial"/>
          <w:sz w:val="22"/>
          <w:szCs w:val="22"/>
        </w:rPr>
        <w:t xml:space="preserve">julio </w:t>
      </w:r>
      <w:r w:rsidR="00647547">
        <w:rPr>
          <w:rFonts w:ascii="Arial" w:hAnsi="Arial" w:cs="Arial"/>
          <w:sz w:val="22"/>
          <w:szCs w:val="22"/>
        </w:rPr>
        <w:t>y septiembre l</w:t>
      </w:r>
      <w:r w:rsidRPr="001742A2">
        <w:rPr>
          <w:rFonts w:ascii="Arial" w:hAnsi="Arial" w:cs="Arial"/>
          <w:sz w:val="22"/>
          <w:szCs w:val="22"/>
        </w:rPr>
        <w:t>os gastos</w:t>
      </w:r>
      <w:r w:rsidR="00647547">
        <w:rPr>
          <w:rFonts w:ascii="Arial" w:hAnsi="Arial" w:cs="Arial"/>
          <w:sz w:val="22"/>
          <w:szCs w:val="22"/>
        </w:rPr>
        <w:t xml:space="preserve"> de viáticos disminuyeron en el mismo porcentaje [6%].</w:t>
      </w:r>
      <w:r w:rsidRPr="001742A2">
        <w:rPr>
          <w:rFonts w:ascii="Arial" w:hAnsi="Arial" w:cs="Arial"/>
          <w:sz w:val="22"/>
          <w:szCs w:val="22"/>
        </w:rPr>
        <w:t xml:space="preserve"> Caso contrario se presentó, </w:t>
      </w:r>
      <w:r w:rsidR="00647547">
        <w:rPr>
          <w:rFonts w:ascii="Arial" w:hAnsi="Arial" w:cs="Arial"/>
          <w:sz w:val="22"/>
          <w:szCs w:val="22"/>
        </w:rPr>
        <w:t xml:space="preserve">para el mes de agosto en donde se </w:t>
      </w:r>
      <w:r w:rsidR="001D531C">
        <w:rPr>
          <w:rFonts w:ascii="Arial" w:hAnsi="Arial" w:cs="Arial"/>
          <w:sz w:val="22"/>
          <w:szCs w:val="22"/>
        </w:rPr>
        <w:t xml:space="preserve">observó </w:t>
      </w:r>
      <w:r w:rsidR="00647547">
        <w:rPr>
          <w:rFonts w:ascii="Arial" w:hAnsi="Arial" w:cs="Arial"/>
          <w:sz w:val="22"/>
          <w:szCs w:val="22"/>
        </w:rPr>
        <w:t xml:space="preserve">un incremento de 11%. Con respecto al gasto por pasajes aéreos, para los </w:t>
      </w:r>
      <w:r w:rsidR="00F15E62">
        <w:rPr>
          <w:rFonts w:ascii="Arial" w:hAnsi="Arial" w:cs="Arial"/>
          <w:sz w:val="22"/>
          <w:szCs w:val="22"/>
        </w:rPr>
        <w:t xml:space="preserve">tres </w:t>
      </w:r>
      <w:r w:rsidR="00647547">
        <w:rPr>
          <w:rFonts w:ascii="Arial" w:hAnsi="Arial" w:cs="Arial"/>
          <w:sz w:val="22"/>
          <w:szCs w:val="22"/>
        </w:rPr>
        <w:t>meses que</w:t>
      </w:r>
      <w:r w:rsidRPr="001742A2">
        <w:rPr>
          <w:rFonts w:ascii="Arial" w:hAnsi="Arial" w:cs="Arial"/>
          <w:sz w:val="22"/>
          <w:szCs w:val="22"/>
        </w:rPr>
        <w:t xml:space="preserve"> </w:t>
      </w:r>
      <w:r w:rsidR="00647547">
        <w:rPr>
          <w:rFonts w:ascii="Arial" w:hAnsi="Arial" w:cs="Arial"/>
          <w:sz w:val="22"/>
          <w:szCs w:val="22"/>
        </w:rPr>
        <w:t>conforman el</w:t>
      </w:r>
      <w:r w:rsidR="00F15E62">
        <w:rPr>
          <w:rFonts w:ascii="Arial" w:hAnsi="Arial" w:cs="Arial"/>
          <w:sz w:val="22"/>
          <w:szCs w:val="22"/>
        </w:rPr>
        <w:t xml:space="preserve"> periodo analizado</w:t>
      </w:r>
      <w:r w:rsidR="00647547">
        <w:rPr>
          <w:rFonts w:ascii="Arial" w:hAnsi="Arial" w:cs="Arial"/>
          <w:sz w:val="22"/>
          <w:szCs w:val="22"/>
        </w:rPr>
        <w:t xml:space="preserve"> se observ</w:t>
      </w:r>
      <w:r w:rsidR="00F15E62">
        <w:rPr>
          <w:rFonts w:ascii="Arial" w:hAnsi="Arial" w:cs="Arial"/>
          <w:sz w:val="22"/>
          <w:szCs w:val="22"/>
        </w:rPr>
        <w:t xml:space="preserve">aron </w:t>
      </w:r>
      <w:r w:rsidR="00F15E62" w:rsidRPr="00F15E62">
        <w:rPr>
          <w:rFonts w:ascii="Arial" w:hAnsi="Arial" w:cs="Arial"/>
          <w:b/>
          <w:sz w:val="22"/>
          <w:szCs w:val="22"/>
        </w:rPr>
        <w:t>variaciones</w:t>
      </w:r>
      <w:r w:rsidR="00647547" w:rsidRPr="00F15E62">
        <w:rPr>
          <w:rFonts w:ascii="Arial" w:hAnsi="Arial" w:cs="Arial"/>
          <w:b/>
          <w:sz w:val="22"/>
          <w:szCs w:val="22"/>
        </w:rPr>
        <w:t xml:space="preserve"> negativa</w:t>
      </w:r>
      <w:r w:rsidR="00F15E62" w:rsidRPr="00F15E62">
        <w:rPr>
          <w:rFonts w:ascii="Arial" w:hAnsi="Arial" w:cs="Arial"/>
          <w:b/>
          <w:sz w:val="22"/>
          <w:szCs w:val="22"/>
        </w:rPr>
        <w:t>s.</w:t>
      </w:r>
      <w:r w:rsidR="00F15E62">
        <w:rPr>
          <w:rFonts w:ascii="Arial" w:hAnsi="Arial" w:cs="Arial"/>
          <w:sz w:val="22"/>
          <w:szCs w:val="22"/>
        </w:rPr>
        <w:t xml:space="preserve"> </w:t>
      </w:r>
    </w:p>
    <w:p w14:paraId="2A4022A8" w14:textId="77777777" w:rsidR="00361AE8" w:rsidRPr="001742A2" w:rsidRDefault="00361AE8" w:rsidP="00361AE8">
      <w:pPr>
        <w:jc w:val="both"/>
        <w:rPr>
          <w:rFonts w:ascii="Arial" w:hAnsi="Arial" w:cs="Arial"/>
          <w:sz w:val="22"/>
          <w:szCs w:val="22"/>
        </w:rPr>
      </w:pPr>
    </w:p>
    <w:p w14:paraId="352D3296" w14:textId="797E56D4" w:rsidR="00EF50FC" w:rsidRDefault="00484E87" w:rsidP="00361AE8">
      <w:pPr>
        <w:jc w:val="both"/>
        <w:rPr>
          <w:rFonts w:ascii="Arial" w:hAnsi="Arial" w:cs="Arial"/>
          <w:sz w:val="22"/>
          <w:szCs w:val="22"/>
        </w:rPr>
      </w:pPr>
      <w:r w:rsidRPr="00977C00">
        <w:rPr>
          <w:rFonts w:ascii="Arial" w:hAnsi="Arial" w:cs="Arial"/>
          <w:sz w:val="22"/>
          <w:szCs w:val="22"/>
        </w:rPr>
        <w:t>P</w:t>
      </w:r>
      <w:r w:rsidR="00DC2970" w:rsidRPr="00977C00">
        <w:rPr>
          <w:rFonts w:ascii="Arial" w:hAnsi="Arial" w:cs="Arial"/>
          <w:sz w:val="22"/>
          <w:szCs w:val="22"/>
        </w:rPr>
        <w:t xml:space="preserve">ara el </w:t>
      </w:r>
      <w:r w:rsidR="00977C00">
        <w:rPr>
          <w:rFonts w:ascii="Arial" w:hAnsi="Arial" w:cs="Arial"/>
          <w:sz w:val="22"/>
          <w:szCs w:val="22"/>
        </w:rPr>
        <w:t>tercer t</w:t>
      </w:r>
      <w:r w:rsidR="00A73E67" w:rsidRPr="00977C00">
        <w:rPr>
          <w:rFonts w:ascii="Arial" w:hAnsi="Arial" w:cs="Arial"/>
          <w:sz w:val="22"/>
          <w:szCs w:val="22"/>
        </w:rPr>
        <w:t xml:space="preserve">rimestre </w:t>
      </w:r>
      <w:r w:rsidR="00DC2970" w:rsidRPr="00977C00">
        <w:rPr>
          <w:rFonts w:ascii="Arial" w:hAnsi="Arial" w:cs="Arial"/>
          <w:sz w:val="22"/>
          <w:szCs w:val="22"/>
        </w:rPr>
        <w:t>de 2019</w:t>
      </w:r>
      <w:r w:rsidR="00E7402B" w:rsidRPr="00977C00">
        <w:rPr>
          <w:rFonts w:ascii="Arial" w:hAnsi="Arial" w:cs="Arial"/>
          <w:sz w:val="22"/>
          <w:szCs w:val="22"/>
        </w:rPr>
        <w:t xml:space="preserve"> comparado con el mismo trimestre de la vigencia 2018, se</w:t>
      </w:r>
      <w:r w:rsidR="00A73E67" w:rsidRPr="00977C00">
        <w:rPr>
          <w:rFonts w:ascii="Arial" w:hAnsi="Arial" w:cs="Arial"/>
          <w:sz w:val="22"/>
          <w:szCs w:val="22"/>
        </w:rPr>
        <w:t xml:space="preserve"> puede concluir que los gastos ejecutados </w:t>
      </w:r>
      <w:r w:rsidRPr="00977C00">
        <w:rPr>
          <w:rFonts w:ascii="Arial" w:hAnsi="Arial" w:cs="Arial"/>
          <w:sz w:val="22"/>
          <w:szCs w:val="22"/>
        </w:rPr>
        <w:t xml:space="preserve">a nivel consolidado </w:t>
      </w:r>
      <w:r w:rsidR="00A73E67" w:rsidRPr="00977C00">
        <w:rPr>
          <w:rFonts w:ascii="Arial" w:hAnsi="Arial" w:cs="Arial"/>
          <w:sz w:val="22"/>
          <w:szCs w:val="22"/>
        </w:rPr>
        <w:t>por</w:t>
      </w:r>
      <w:r w:rsidRPr="00977C00">
        <w:rPr>
          <w:rFonts w:ascii="Arial" w:hAnsi="Arial" w:cs="Arial"/>
          <w:sz w:val="22"/>
          <w:szCs w:val="22"/>
        </w:rPr>
        <w:t xml:space="preserve"> los</w:t>
      </w:r>
      <w:r w:rsidR="00A73E67" w:rsidRPr="00977C00">
        <w:rPr>
          <w:rFonts w:ascii="Arial" w:hAnsi="Arial" w:cs="Arial"/>
          <w:sz w:val="22"/>
          <w:szCs w:val="22"/>
        </w:rPr>
        <w:t xml:space="preserve"> concepto</w:t>
      </w:r>
      <w:r w:rsidRPr="00977C00">
        <w:rPr>
          <w:rFonts w:ascii="Arial" w:hAnsi="Arial" w:cs="Arial"/>
          <w:sz w:val="22"/>
          <w:szCs w:val="22"/>
        </w:rPr>
        <w:t>s</w:t>
      </w:r>
      <w:r w:rsidR="00A73E67" w:rsidRPr="00977C00">
        <w:rPr>
          <w:rFonts w:ascii="Arial" w:hAnsi="Arial" w:cs="Arial"/>
          <w:sz w:val="22"/>
          <w:szCs w:val="22"/>
        </w:rPr>
        <w:t xml:space="preserve"> de viáticos</w:t>
      </w:r>
      <w:r w:rsidRPr="00977C00">
        <w:rPr>
          <w:rFonts w:ascii="Arial" w:hAnsi="Arial" w:cs="Arial"/>
          <w:sz w:val="22"/>
          <w:szCs w:val="22"/>
        </w:rPr>
        <w:t xml:space="preserve"> y pasajes aéreos</w:t>
      </w:r>
      <w:r w:rsidR="00E7402B" w:rsidRPr="00977C00">
        <w:rPr>
          <w:rFonts w:ascii="Arial" w:hAnsi="Arial" w:cs="Arial"/>
          <w:sz w:val="22"/>
          <w:szCs w:val="22"/>
        </w:rPr>
        <w:t xml:space="preserve"> disminuyeron un </w:t>
      </w:r>
      <w:r w:rsidR="00977C00">
        <w:rPr>
          <w:rFonts w:ascii="Arial" w:hAnsi="Arial" w:cs="Arial"/>
          <w:sz w:val="22"/>
          <w:szCs w:val="22"/>
        </w:rPr>
        <w:t>1</w:t>
      </w:r>
      <w:r w:rsidR="00E7402B" w:rsidRPr="00977C00">
        <w:rPr>
          <w:rFonts w:ascii="Arial" w:hAnsi="Arial" w:cs="Arial"/>
          <w:sz w:val="22"/>
          <w:szCs w:val="22"/>
        </w:rPr>
        <w:t xml:space="preserve">% </w:t>
      </w:r>
      <w:r w:rsidRPr="00977C00">
        <w:rPr>
          <w:rFonts w:ascii="Arial" w:hAnsi="Arial" w:cs="Arial"/>
          <w:sz w:val="22"/>
          <w:szCs w:val="22"/>
        </w:rPr>
        <w:t xml:space="preserve">y </w:t>
      </w:r>
      <w:r w:rsidR="00977C00">
        <w:rPr>
          <w:rFonts w:ascii="Arial" w:hAnsi="Arial" w:cs="Arial"/>
          <w:sz w:val="22"/>
          <w:szCs w:val="22"/>
        </w:rPr>
        <w:t>17</w:t>
      </w:r>
      <w:r w:rsidRPr="00977C00">
        <w:rPr>
          <w:rFonts w:ascii="Arial" w:hAnsi="Arial" w:cs="Arial"/>
          <w:sz w:val="22"/>
          <w:szCs w:val="22"/>
        </w:rPr>
        <w:t xml:space="preserve">%, respectivamente. </w:t>
      </w:r>
      <w:r w:rsidR="00E7402B" w:rsidRPr="00977C00">
        <w:rPr>
          <w:rFonts w:ascii="Arial" w:hAnsi="Arial" w:cs="Arial"/>
          <w:sz w:val="22"/>
          <w:szCs w:val="22"/>
        </w:rPr>
        <w:t xml:space="preserve"> A nivel global, los gastos analizados en este punto presentaron una </w:t>
      </w:r>
      <w:r w:rsidR="00E7402B" w:rsidRPr="00977C00">
        <w:rPr>
          <w:rFonts w:ascii="Arial" w:hAnsi="Arial" w:cs="Arial"/>
          <w:b/>
          <w:sz w:val="22"/>
          <w:szCs w:val="22"/>
        </w:rPr>
        <w:t>reducción</w:t>
      </w:r>
      <w:r w:rsidR="00E7402B" w:rsidRPr="00977C00">
        <w:rPr>
          <w:rFonts w:ascii="Arial" w:hAnsi="Arial" w:cs="Arial"/>
          <w:sz w:val="22"/>
          <w:szCs w:val="22"/>
        </w:rPr>
        <w:t xml:space="preserve"> del </w:t>
      </w:r>
      <w:r w:rsidR="00977C00">
        <w:rPr>
          <w:rFonts w:ascii="Arial" w:hAnsi="Arial" w:cs="Arial"/>
          <w:sz w:val="22"/>
          <w:szCs w:val="22"/>
        </w:rPr>
        <w:t>11</w:t>
      </w:r>
      <w:r w:rsidR="00E7402B" w:rsidRPr="00977C00">
        <w:rPr>
          <w:rFonts w:ascii="Arial" w:hAnsi="Arial" w:cs="Arial"/>
          <w:sz w:val="22"/>
          <w:szCs w:val="22"/>
        </w:rPr>
        <w:t xml:space="preserve">%.  </w:t>
      </w:r>
      <w:r w:rsidR="00C76D6C" w:rsidRPr="00977C00">
        <w:rPr>
          <w:rFonts w:ascii="Arial" w:hAnsi="Arial" w:cs="Arial"/>
          <w:sz w:val="22"/>
          <w:szCs w:val="22"/>
        </w:rPr>
        <w:t xml:space="preserve">Lo anterior, </w:t>
      </w:r>
      <w:r w:rsidR="009D10AC" w:rsidRPr="00977C00">
        <w:rPr>
          <w:rFonts w:ascii="Arial" w:hAnsi="Arial" w:cs="Arial"/>
          <w:sz w:val="22"/>
          <w:szCs w:val="22"/>
        </w:rPr>
        <w:t xml:space="preserve">presentado así: </w:t>
      </w:r>
      <w:r w:rsidR="00C76D6C" w:rsidRPr="00977C00">
        <w:rPr>
          <w:rFonts w:ascii="Arial" w:hAnsi="Arial" w:cs="Arial"/>
          <w:sz w:val="22"/>
          <w:szCs w:val="22"/>
        </w:rPr>
        <w:t xml:space="preserve"> </w:t>
      </w:r>
    </w:p>
    <w:p w14:paraId="7ED5EE02" w14:textId="77777777" w:rsidR="00361AE8" w:rsidRPr="00977C00" w:rsidRDefault="00361AE8" w:rsidP="00361AE8">
      <w:pPr>
        <w:jc w:val="both"/>
        <w:rPr>
          <w:rFonts w:ascii="Arial" w:hAnsi="Arial" w:cs="Arial"/>
          <w:sz w:val="22"/>
          <w:szCs w:val="22"/>
        </w:rPr>
      </w:pPr>
    </w:p>
    <w:tbl>
      <w:tblPr>
        <w:tblStyle w:val="Tabladecuadrcula1clara-nfasis1"/>
        <w:tblW w:w="0" w:type="auto"/>
        <w:tblLook w:val="04A0" w:firstRow="1" w:lastRow="0" w:firstColumn="1" w:lastColumn="0" w:noHBand="0" w:noVBand="1"/>
      </w:tblPr>
      <w:tblGrid>
        <w:gridCol w:w="3451"/>
        <w:gridCol w:w="1455"/>
        <w:gridCol w:w="1454"/>
        <w:gridCol w:w="1466"/>
        <w:gridCol w:w="1466"/>
      </w:tblGrid>
      <w:tr w:rsidR="00EF50FC" w:rsidRPr="00A003B6" w14:paraId="439E1E09" w14:textId="77777777" w:rsidTr="00182CF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21FA7D5C" w14:textId="77777777" w:rsidR="00EF50FC" w:rsidRPr="00D960E7" w:rsidRDefault="00EF50FC" w:rsidP="001C38E0">
            <w:pPr>
              <w:spacing w:before="40" w:after="40"/>
              <w:jc w:val="center"/>
              <w:rPr>
                <w:rFonts w:ascii="Arial" w:hAnsi="Arial" w:cs="Arial"/>
                <w:sz w:val="22"/>
                <w:szCs w:val="22"/>
              </w:rPr>
            </w:pPr>
            <w:r w:rsidRPr="00AA7AD8">
              <w:rPr>
                <w:rFonts w:ascii="Arial" w:hAnsi="Arial" w:cs="Arial"/>
                <w:sz w:val="22"/>
                <w:szCs w:val="22"/>
              </w:rPr>
              <w:br w:type="page"/>
            </w:r>
            <w:r w:rsidRPr="00182CF3">
              <w:rPr>
                <w:rFonts w:ascii="Arial" w:hAnsi="Arial" w:cs="Arial"/>
                <w:color w:val="FFFFFF" w:themeColor="background1"/>
                <w:sz w:val="22"/>
                <w:szCs w:val="22"/>
              </w:rPr>
              <w:t>Mes</w:t>
            </w:r>
          </w:p>
        </w:tc>
        <w:tc>
          <w:tcPr>
            <w:tcW w:w="0" w:type="auto"/>
            <w:gridSpan w:val="4"/>
            <w:shd w:val="clear" w:color="auto" w:fill="4F81BD" w:themeFill="accent1"/>
            <w:vAlign w:val="center"/>
            <w:hideMark/>
          </w:tcPr>
          <w:p w14:paraId="21A7F63C" w14:textId="77777777" w:rsidR="00EF50FC" w:rsidRPr="00AA7AD8" w:rsidRDefault="00EF50FC" w:rsidP="001C38E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A7AD8">
              <w:rPr>
                <w:rFonts w:ascii="Arial" w:hAnsi="Arial" w:cs="Arial"/>
                <w:color w:val="FFFFFF" w:themeColor="background1"/>
                <w:sz w:val="20"/>
                <w:szCs w:val="20"/>
              </w:rPr>
              <w:t xml:space="preserve">Comparativo </w:t>
            </w:r>
            <w:r w:rsidR="00D019A1">
              <w:rPr>
                <w:rFonts w:ascii="Arial" w:hAnsi="Arial" w:cs="Arial"/>
                <w:color w:val="FFFFFF" w:themeColor="background1"/>
                <w:sz w:val="20"/>
                <w:szCs w:val="20"/>
              </w:rPr>
              <w:t>I</w:t>
            </w:r>
            <w:r w:rsidRPr="00AA7AD8">
              <w:rPr>
                <w:rFonts w:ascii="Arial" w:hAnsi="Arial" w:cs="Arial"/>
                <w:color w:val="FFFFFF" w:themeColor="background1"/>
                <w:sz w:val="20"/>
                <w:szCs w:val="20"/>
              </w:rPr>
              <w:t>II Trimestre 2019 - 2018 Viáticos y Pasajes</w:t>
            </w:r>
            <w:r w:rsidR="00D95366" w:rsidRPr="00AA7AD8">
              <w:rPr>
                <w:rFonts w:ascii="Arial" w:hAnsi="Arial" w:cs="Arial"/>
                <w:color w:val="FFFFFF" w:themeColor="background1"/>
                <w:sz w:val="20"/>
                <w:szCs w:val="20"/>
              </w:rPr>
              <w:t xml:space="preserve"> ($)</w:t>
            </w:r>
          </w:p>
        </w:tc>
      </w:tr>
      <w:tr w:rsidR="003829CE" w:rsidRPr="00A003B6" w14:paraId="21014483" w14:textId="77777777" w:rsidTr="00182CF3">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23F308A0" w14:textId="77777777" w:rsidR="00EF50FC" w:rsidRPr="00AA7AD8" w:rsidRDefault="00EF50FC" w:rsidP="001C38E0">
            <w:pPr>
              <w:spacing w:before="40" w:after="40"/>
              <w:rPr>
                <w:rFonts w:ascii="Arial" w:hAnsi="Arial" w:cs="Arial"/>
                <w:b w:val="0"/>
                <w:bCs w:val="0"/>
                <w:color w:val="FFFFFF" w:themeColor="background1"/>
                <w:sz w:val="20"/>
                <w:szCs w:val="20"/>
              </w:rPr>
            </w:pPr>
          </w:p>
        </w:tc>
        <w:tc>
          <w:tcPr>
            <w:tcW w:w="0" w:type="auto"/>
            <w:shd w:val="clear" w:color="auto" w:fill="4F81BD" w:themeFill="accent1"/>
            <w:vAlign w:val="center"/>
            <w:hideMark/>
          </w:tcPr>
          <w:p w14:paraId="3D9EB54C" w14:textId="77777777" w:rsidR="00EF50FC" w:rsidRPr="00AA7AD8" w:rsidRDefault="00EF50FC" w:rsidP="001C38E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A7AD8">
              <w:rPr>
                <w:rFonts w:ascii="Arial" w:hAnsi="Arial" w:cs="Arial"/>
                <w:b w:val="0"/>
                <w:bCs w:val="0"/>
                <w:color w:val="FFFFFF" w:themeColor="background1"/>
                <w:sz w:val="20"/>
                <w:szCs w:val="20"/>
              </w:rPr>
              <w:t>Viáticos 2019</w:t>
            </w:r>
          </w:p>
        </w:tc>
        <w:tc>
          <w:tcPr>
            <w:tcW w:w="0" w:type="auto"/>
            <w:shd w:val="clear" w:color="auto" w:fill="4F81BD" w:themeFill="accent1"/>
            <w:vAlign w:val="center"/>
            <w:hideMark/>
          </w:tcPr>
          <w:p w14:paraId="0C9DEFEA" w14:textId="77777777" w:rsidR="00EF50FC" w:rsidRPr="00AA7AD8" w:rsidRDefault="00EF50FC" w:rsidP="001C38E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A7AD8">
              <w:rPr>
                <w:rFonts w:ascii="Arial" w:hAnsi="Arial" w:cs="Arial"/>
                <w:b w:val="0"/>
                <w:bCs w:val="0"/>
                <w:color w:val="FFFFFF" w:themeColor="background1"/>
                <w:sz w:val="20"/>
                <w:szCs w:val="20"/>
              </w:rPr>
              <w:t>Viáticos 2018</w:t>
            </w:r>
          </w:p>
        </w:tc>
        <w:tc>
          <w:tcPr>
            <w:tcW w:w="0" w:type="auto"/>
            <w:shd w:val="clear" w:color="auto" w:fill="4F81BD" w:themeFill="accent1"/>
            <w:vAlign w:val="center"/>
            <w:hideMark/>
          </w:tcPr>
          <w:p w14:paraId="2209AC8A" w14:textId="77777777" w:rsidR="00EF50FC" w:rsidRPr="00AA7AD8" w:rsidRDefault="00EF50FC" w:rsidP="001C38E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A7AD8">
              <w:rPr>
                <w:rFonts w:ascii="Arial" w:hAnsi="Arial" w:cs="Arial"/>
                <w:b w:val="0"/>
                <w:bCs w:val="0"/>
                <w:color w:val="FFFFFF" w:themeColor="background1"/>
                <w:sz w:val="20"/>
                <w:szCs w:val="20"/>
              </w:rPr>
              <w:t>Pasajes 2019</w:t>
            </w:r>
          </w:p>
        </w:tc>
        <w:tc>
          <w:tcPr>
            <w:tcW w:w="0" w:type="auto"/>
            <w:shd w:val="clear" w:color="auto" w:fill="4F81BD" w:themeFill="accent1"/>
            <w:vAlign w:val="center"/>
            <w:hideMark/>
          </w:tcPr>
          <w:p w14:paraId="682CFD60" w14:textId="77777777" w:rsidR="00EF50FC" w:rsidRPr="00AA7AD8" w:rsidRDefault="00EF50FC" w:rsidP="001C38E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A7AD8">
              <w:rPr>
                <w:rFonts w:ascii="Arial" w:hAnsi="Arial" w:cs="Arial"/>
                <w:b w:val="0"/>
                <w:bCs w:val="0"/>
                <w:color w:val="FFFFFF" w:themeColor="background1"/>
                <w:sz w:val="20"/>
                <w:szCs w:val="20"/>
              </w:rPr>
              <w:t>Pasajes 2018</w:t>
            </w:r>
          </w:p>
        </w:tc>
      </w:tr>
      <w:tr w:rsidR="00D019A1" w:rsidRPr="00A003B6" w14:paraId="59F7E699" w14:textId="77777777" w:rsidTr="003829CE">
        <w:trPr>
          <w:cantSplit/>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AE1A00" w14:textId="77777777" w:rsidR="00D019A1" w:rsidRPr="00D019A1" w:rsidRDefault="00D019A1" w:rsidP="001C38E0">
            <w:pPr>
              <w:spacing w:before="40" w:after="40"/>
              <w:jc w:val="center"/>
              <w:rPr>
                <w:rFonts w:ascii="Arial" w:hAnsi="Arial" w:cs="Arial"/>
                <w:color w:val="0F243E"/>
                <w:sz w:val="20"/>
                <w:szCs w:val="20"/>
              </w:rPr>
            </w:pPr>
            <w:r w:rsidRPr="00D019A1">
              <w:rPr>
                <w:rFonts w:ascii="Arial" w:hAnsi="Arial" w:cs="Arial"/>
                <w:bCs w:val="0"/>
                <w:color w:val="0F243E"/>
                <w:sz w:val="20"/>
                <w:szCs w:val="20"/>
              </w:rPr>
              <w:t xml:space="preserve">Julio </w:t>
            </w:r>
          </w:p>
        </w:tc>
        <w:tc>
          <w:tcPr>
            <w:tcW w:w="0" w:type="auto"/>
            <w:vAlign w:val="center"/>
            <w:hideMark/>
          </w:tcPr>
          <w:p w14:paraId="5A28459E" w14:textId="77777777" w:rsidR="00D019A1" w:rsidRPr="00FB7EA4" w:rsidRDefault="00D019A1"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40.870.408</w:t>
            </w:r>
          </w:p>
        </w:tc>
        <w:tc>
          <w:tcPr>
            <w:tcW w:w="0" w:type="auto"/>
            <w:noWrap/>
            <w:vAlign w:val="center"/>
            <w:hideMark/>
          </w:tcPr>
          <w:p w14:paraId="5603B383" w14:textId="77777777" w:rsidR="00D019A1" w:rsidRPr="00FB7EA4" w:rsidRDefault="00D019A1" w:rsidP="001C38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43.678.412</w:t>
            </w:r>
          </w:p>
        </w:tc>
        <w:tc>
          <w:tcPr>
            <w:tcW w:w="0" w:type="auto"/>
            <w:vAlign w:val="center"/>
            <w:hideMark/>
          </w:tcPr>
          <w:p w14:paraId="670A7EC1" w14:textId="77777777" w:rsidR="00D019A1" w:rsidRPr="00FB7EA4" w:rsidRDefault="00D019A1"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52.392.535</w:t>
            </w:r>
          </w:p>
        </w:tc>
        <w:tc>
          <w:tcPr>
            <w:tcW w:w="0" w:type="auto"/>
            <w:noWrap/>
            <w:vAlign w:val="center"/>
            <w:hideMark/>
          </w:tcPr>
          <w:p w14:paraId="18ADADF9" w14:textId="77777777" w:rsidR="00D019A1" w:rsidRPr="00FB7EA4" w:rsidRDefault="00D019A1" w:rsidP="001C38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65.538.062</w:t>
            </w:r>
          </w:p>
        </w:tc>
      </w:tr>
      <w:tr w:rsidR="00D019A1" w:rsidRPr="00A003B6" w14:paraId="1A299F83" w14:textId="77777777" w:rsidTr="003829CE">
        <w:trPr>
          <w:cantSplit/>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565DD1" w14:textId="77777777" w:rsidR="00D019A1" w:rsidRPr="00D019A1" w:rsidRDefault="00D019A1" w:rsidP="001C38E0">
            <w:pPr>
              <w:spacing w:before="40" w:after="40"/>
              <w:jc w:val="center"/>
              <w:rPr>
                <w:rFonts w:ascii="Arial" w:hAnsi="Arial" w:cs="Arial"/>
                <w:bCs w:val="0"/>
                <w:color w:val="0F243E"/>
                <w:sz w:val="20"/>
                <w:szCs w:val="20"/>
              </w:rPr>
            </w:pPr>
            <w:r w:rsidRPr="00D019A1">
              <w:rPr>
                <w:rFonts w:ascii="Arial" w:hAnsi="Arial" w:cs="Arial"/>
                <w:bCs w:val="0"/>
                <w:color w:val="0F243E"/>
                <w:sz w:val="20"/>
                <w:szCs w:val="20"/>
              </w:rPr>
              <w:t>Agosto</w:t>
            </w:r>
          </w:p>
        </w:tc>
        <w:tc>
          <w:tcPr>
            <w:tcW w:w="0" w:type="auto"/>
            <w:vAlign w:val="center"/>
            <w:hideMark/>
          </w:tcPr>
          <w:p w14:paraId="0A59D36D" w14:textId="77777777" w:rsidR="00D019A1" w:rsidRPr="00FB7EA4" w:rsidRDefault="00D019A1"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39.797.672</w:t>
            </w:r>
          </w:p>
        </w:tc>
        <w:tc>
          <w:tcPr>
            <w:tcW w:w="0" w:type="auto"/>
            <w:noWrap/>
            <w:vAlign w:val="center"/>
            <w:hideMark/>
          </w:tcPr>
          <w:p w14:paraId="3310AE6D" w14:textId="77777777" w:rsidR="00D019A1" w:rsidRPr="00FB7EA4" w:rsidRDefault="00D019A1" w:rsidP="001C38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35.857.818</w:t>
            </w:r>
          </w:p>
        </w:tc>
        <w:tc>
          <w:tcPr>
            <w:tcW w:w="0" w:type="auto"/>
            <w:vAlign w:val="center"/>
            <w:hideMark/>
          </w:tcPr>
          <w:p w14:paraId="22005D6C" w14:textId="77777777" w:rsidR="00D019A1" w:rsidRPr="00FB7EA4" w:rsidRDefault="00D019A1"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47.834.245</w:t>
            </w:r>
          </w:p>
        </w:tc>
        <w:tc>
          <w:tcPr>
            <w:tcW w:w="0" w:type="auto"/>
            <w:noWrap/>
            <w:vAlign w:val="center"/>
            <w:hideMark/>
          </w:tcPr>
          <w:p w14:paraId="030CB934" w14:textId="77777777" w:rsidR="00D019A1" w:rsidRPr="00FB7EA4" w:rsidRDefault="00D019A1" w:rsidP="001C38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68.570.973</w:t>
            </w:r>
          </w:p>
        </w:tc>
      </w:tr>
      <w:tr w:rsidR="00D019A1" w:rsidRPr="00A003B6" w14:paraId="3DDF49C7" w14:textId="77777777" w:rsidTr="003829CE">
        <w:trPr>
          <w:cantSplit/>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D93118" w14:textId="77777777" w:rsidR="00D019A1" w:rsidRPr="00D019A1" w:rsidRDefault="00D019A1" w:rsidP="001C38E0">
            <w:pPr>
              <w:spacing w:before="40" w:after="40"/>
              <w:jc w:val="center"/>
              <w:rPr>
                <w:rFonts w:ascii="Arial" w:hAnsi="Arial" w:cs="Arial"/>
                <w:bCs w:val="0"/>
                <w:color w:val="0F243E"/>
                <w:sz w:val="20"/>
                <w:szCs w:val="20"/>
              </w:rPr>
            </w:pPr>
            <w:r w:rsidRPr="00D019A1">
              <w:rPr>
                <w:rFonts w:ascii="Arial" w:hAnsi="Arial" w:cs="Arial"/>
                <w:bCs w:val="0"/>
                <w:color w:val="0F243E"/>
                <w:sz w:val="20"/>
                <w:szCs w:val="20"/>
              </w:rPr>
              <w:t>Septiembre</w:t>
            </w:r>
          </w:p>
        </w:tc>
        <w:tc>
          <w:tcPr>
            <w:tcW w:w="0" w:type="auto"/>
            <w:vAlign w:val="center"/>
            <w:hideMark/>
          </w:tcPr>
          <w:p w14:paraId="2C3D41A8" w14:textId="77777777" w:rsidR="00D019A1" w:rsidRPr="00FB7EA4" w:rsidRDefault="00D019A1"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41.694.408</w:t>
            </w:r>
          </w:p>
        </w:tc>
        <w:tc>
          <w:tcPr>
            <w:tcW w:w="0" w:type="auto"/>
            <w:noWrap/>
            <w:vAlign w:val="center"/>
            <w:hideMark/>
          </w:tcPr>
          <w:p w14:paraId="450C9F00" w14:textId="77777777" w:rsidR="00D019A1" w:rsidRPr="00FB7EA4" w:rsidRDefault="00D019A1" w:rsidP="001C38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44.220.979</w:t>
            </w:r>
          </w:p>
        </w:tc>
        <w:tc>
          <w:tcPr>
            <w:tcW w:w="0" w:type="auto"/>
            <w:vAlign w:val="center"/>
            <w:hideMark/>
          </w:tcPr>
          <w:p w14:paraId="103C9C18" w14:textId="77777777" w:rsidR="00D019A1" w:rsidRPr="00FB7EA4" w:rsidRDefault="00D019A1"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61.245.633</w:t>
            </w:r>
          </w:p>
        </w:tc>
        <w:tc>
          <w:tcPr>
            <w:tcW w:w="0" w:type="auto"/>
            <w:vAlign w:val="center"/>
            <w:hideMark/>
          </w:tcPr>
          <w:p w14:paraId="003CF713" w14:textId="77777777" w:rsidR="00D019A1" w:rsidRPr="00FB7EA4" w:rsidRDefault="00D019A1"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61.462.906</w:t>
            </w:r>
          </w:p>
        </w:tc>
      </w:tr>
      <w:tr w:rsidR="00D019A1" w:rsidRPr="00A003B6" w14:paraId="5D3E5C82" w14:textId="77777777" w:rsidTr="003829CE">
        <w:trPr>
          <w:cantSplit/>
          <w:trHeight w:val="5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A1E21C6" w14:textId="77777777" w:rsidR="00D019A1" w:rsidRPr="00AA7AD8" w:rsidRDefault="00D019A1" w:rsidP="001C38E0">
            <w:pPr>
              <w:spacing w:before="40" w:after="40"/>
              <w:jc w:val="center"/>
              <w:rPr>
                <w:rFonts w:ascii="Arial" w:hAnsi="Arial" w:cs="Arial"/>
                <w:b w:val="0"/>
                <w:bCs w:val="0"/>
                <w:color w:val="0F243E" w:themeColor="text2" w:themeShade="80"/>
                <w:sz w:val="20"/>
                <w:szCs w:val="20"/>
              </w:rPr>
            </w:pPr>
            <w:r w:rsidRPr="00AA7AD8">
              <w:rPr>
                <w:rFonts w:ascii="Arial" w:hAnsi="Arial" w:cs="Arial"/>
                <w:color w:val="0F243E" w:themeColor="text2" w:themeShade="80"/>
                <w:sz w:val="20"/>
                <w:szCs w:val="20"/>
              </w:rPr>
              <w:t>Total  Gasto de Viáticos y Pasajes</w:t>
            </w:r>
          </w:p>
        </w:tc>
        <w:tc>
          <w:tcPr>
            <w:tcW w:w="0" w:type="auto"/>
            <w:vAlign w:val="center"/>
            <w:hideMark/>
          </w:tcPr>
          <w:p w14:paraId="31027FEC" w14:textId="77777777" w:rsidR="00D019A1" w:rsidRPr="00FB7EA4" w:rsidRDefault="00D019A1"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122.362.488</w:t>
            </w:r>
          </w:p>
        </w:tc>
        <w:tc>
          <w:tcPr>
            <w:tcW w:w="0" w:type="auto"/>
            <w:vAlign w:val="center"/>
            <w:hideMark/>
          </w:tcPr>
          <w:p w14:paraId="47F25627" w14:textId="77777777" w:rsidR="00D019A1" w:rsidRPr="00FB7EA4" w:rsidRDefault="00D019A1"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123.757.209</w:t>
            </w:r>
          </w:p>
        </w:tc>
        <w:tc>
          <w:tcPr>
            <w:tcW w:w="0" w:type="auto"/>
            <w:vAlign w:val="center"/>
            <w:hideMark/>
          </w:tcPr>
          <w:p w14:paraId="36DFF2B5" w14:textId="77777777" w:rsidR="00D019A1" w:rsidRPr="00FB7EA4" w:rsidRDefault="00D019A1"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161.472.413</w:t>
            </w:r>
          </w:p>
        </w:tc>
        <w:tc>
          <w:tcPr>
            <w:tcW w:w="0" w:type="auto"/>
            <w:vAlign w:val="center"/>
            <w:hideMark/>
          </w:tcPr>
          <w:p w14:paraId="486EC9BE" w14:textId="77777777" w:rsidR="00D019A1" w:rsidRPr="00FB7EA4" w:rsidRDefault="00D019A1"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195.571.941</w:t>
            </w:r>
          </w:p>
        </w:tc>
      </w:tr>
      <w:tr w:rsidR="003829CE" w:rsidRPr="00A003B6" w14:paraId="12A81E01" w14:textId="77777777" w:rsidTr="003829CE">
        <w:trPr>
          <w:cantSplit/>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6FC2F0" w14:textId="77777777" w:rsidR="00EF50FC" w:rsidRPr="00AA7AD8" w:rsidRDefault="00EF50FC" w:rsidP="001C38E0">
            <w:pPr>
              <w:spacing w:before="40" w:after="40"/>
              <w:jc w:val="center"/>
              <w:rPr>
                <w:rFonts w:ascii="Arial" w:hAnsi="Arial" w:cs="Arial"/>
                <w:b w:val="0"/>
                <w:bCs w:val="0"/>
                <w:color w:val="0F243E" w:themeColor="text2" w:themeShade="80"/>
                <w:sz w:val="20"/>
                <w:szCs w:val="20"/>
              </w:rPr>
            </w:pPr>
            <w:r w:rsidRPr="00AA7AD8">
              <w:rPr>
                <w:rFonts w:ascii="Arial" w:hAnsi="Arial" w:cs="Arial"/>
                <w:color w:val="0F243E" w:themeColor="text2" w:themeShade="80"/>
                <w:sz w:val="20"/>
                <w:szCs w:val="20"/>
              </w:rPr>
              <w:t>Variación Absoluta</w:t>
            </w:r>
          </w:p>
        </w:tc>
        <w:tc>
          <w:tcPr>
            <w:tcW w:w="0" w:type="auto"/>
            <w:gridSpan w:val="2"/>
            <w:vAlign w:val="center"/>
            <w:hideMark/>
          </w:tcPr>
          <w:p w14:paraId="2696579E" w14:textId="77777777" w:rsidR="00EF50FC" w:rsidRPr="00FB7EA4" w:rsidRDefault="00D019A1"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(1.394.720) </w:t>
            </w:r>
          </w:p>
        </w:tc>
        <w:tc>
          <w:tcPr>
            <w:tcW w:w="0" w:type="auto"/>
            <w:gridSpan w:val="2"/>
            <w:vAlign w:val="center"/>
            <w:hideMark/>
          </w:tcPr>
          <w:p w14:paraId="70AC077C" w14:textId="77777777" w:rsidR="00EF50FC" w:rsidRPr="00FB7EA4" w:rsidRDefault="00D019A1" w:rsidP="001C38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(34.099.528)</w:t>
            </w:r>
          </w:p>
        </w:tc>
      </w:tr>
      <w:tr w:rsidR="003829CE" w:rsidRPr="00A003B6" w14:paraId="65037627" w14:textId="77777777" w:rsidTr="003829CE">
        <w:trPr>
          <w:cantSplit/>
          <w:trHeight w:val="30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693CCE0" w14:textId="77777777" w:rsidR="00EF50FC" w:rsidRPr="00AA7AD8" w:rsidRDefault="00EF50FC" w:rsidP="001C38E0">
            <w:pPr>
              <w:spacing w:before="40" w:after="40"/>
              <w:jc w:val="center"/>
              <w:rPr>
                <w:rFonts w:ascii="Arial" w:hAnsi="Arial" w:cs="Arial"/>
                <w:b w:val="0"/>
                <w:bCs w:val="0"/>
                <w:color w:val="0F243E" w:themeColor="text2" w:themeShade="80"/>
                <w:sz w:val="20"/>
                <w:szCs w:val="20"/>
              </w:rPr>
            </w:pPr>
            <w:r w:rsidRPr="00AA7AD8">
              <w:rPr>
                <w:rFonts w:ascii="Arial" w:hAnsi="Arial" w:cs="Arial"/>
                <w:color w:val="0F243E" w:themeColor="text2" w:themeShade="80"/>
                <w:sz w:val="20"/>
                <w:szCs w:val="20"/>
              </w:rPr>
              <w:t>variación Relativa</w:t>
            </w:r>
          </w:p>
        </w:tc>
        <w:tc>
          <w:tcPr>
            <w:tcW w:w="0" w:type="auto"/>
            <w:gridSpan w:val="2"/>
            <w:vAlign w:val="center"/>
            <w:hideMark/>
          </w:tcPr>
          <w:p w14:paraId="7F279645" w14:textId="77777777" w:rsidR="00EF50FC" w:rsidRPr="00FB7EA4" w:rsidRDefault="003829CE"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w:t>
            </w:r>
            <w:r w:rsidR="00F05AF8" w:rsidRPr="00FB7EA4">
              <w:rPr>
                <w:rFonts w:ascii="Arial" w:hAnsi="Arial" w:cs="Arial"/>
                <w:b/>
                <w:bCs/>
                <w:color w:val="0F243E" w:themeColor="text2" w:themeShade="80"/>
                <w:sz w:val="20"/>
                <w:szCs w:val="20"/>
              </w:rPr>
              <w:t>1</w:t>
            </w:r>
            <w:r w:rsidR="00EF50FC" w:rsidRPr="00FB7EA4">
              <w:rPr>
                <w:rFonts w:ascii="Arial" w:hAnsi="Arial" w:cs="Arial"/>
                <w:b/>
                <w:bCs/>
                <w:color w:val="0F243E" w:themeColor="text2" w:themeShade="80"/>
                <w:sz w:val="20"/>
                <w:szCs w:val="20"/>
              </w:rPr>
              <w:t>%</w:t>
            </w:r>
            <w:r w:rsidRPr="00FB7EA4">
              <w:rPr>
                <w:rFonts w:ascii="Arial" w:hAnsi="Arial" w:cs="Arial"/>
                <w:b/>
                <w:bCs/>
                <w:color w:val="0F243E" w:themeColor="text2" w:themeShade="80"/>
                <w:sz w:val="20"/>
                <w:szCs w:val="20"/>
              </w:rPr>
              <w:t>)</w:t>
            </w:r>
          </w:p>
        </w:tc>
        <w:tc>
          <w:tcPr>
            <w:tcW w:w="0" w:type="auto"/>
            <w:gridSpan w:val="2"/>
            <w:vAlign w:val="center"/>
            <w:hideMark/>
          </w:tcPr>
          <w:p w14:paraId="2CBCE0A9" w14:textId="77777777" w:rsidR="00EF50FC" w:rsidRPr="00FB7EA4" w:rsidRDefault="003829CE"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w:t>
            </w:r>
            <w:r w:rsidR="00F05AF8" w:rsidRPr="00FB7EA4">
              <w:rPr>
                <w:rFonts w:ascii="Arial" w:hAnsi="Arial" w:cs="Arial"/>
                <w:b/>
                <w:bCs/>
                <w:color w:val="0F243E" w:themeColor="text2" w:themeShade="80"/>
                <w:sz w:val="20"/>
                <w:szCs w:val="20"/>
              </w:rPr>
              <w:t>17</w:t>
            </w:r>
            <w:r w:rsidR="00EF50FC" w:rsidRPr="00FB7EA4">
              <w:rPr>
                <w:rFonts w:ascii="Arial" w:hAnsi="Arial" w:cs="Arial"/>
                <w:b/>
                <w:bCs/>
                <w:color w:val="0F243E" w:themeColor="text2" w:themeShade="80"/>
                <w:sz w:val="20"/>
                <w:szCs w:val="20"/>
              </w:rPr>
              <w:t>%</w:t>
            </w:r>
            <w:r w:rsidRPr="00FB7EA4">
              <w:rPr>
                <w:rFonts w:ascii="Arial" w:hAnsi="Arial" w:cs="Arial"/>
                <w:b/>
                <w:bCs/>
                <w:color w:val="0F243E" w:themeColor="text2" w:themeShade="80"/>
                <w:sz w:val="20"/>
                <w:szCs w:val="20"/>
              </w:rPr>
              <w:t>)</w:t>
            </w:r>
          </w:p>
        </w:tc>
      </w:tr>
      <w:tr w:rsidR="00EF50FC" w:rsidRPr="00A003B6" w14:paraId="56395F52" w14:textId="77777777" w:rsidTr="003829CE">
        <w:trPr>
          <w:cantSplit/>
          <w:trHeight w:val="601"/>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50D8B04D" w14:textId="77777777" w:rsidR="00EF50FC" w:rsidRPr="00AA7AD8" w:rsidRDefault="00EF50FC" w:rsidP="001C38E0">
            <w:pPr>
              <w:spacing w:before="40" w:after="40"/>
              <w:jc w:val="center"/>
              <w:rPr>
                <w:rFonts w:ascii="Arial" w:hAnsi="Arial" w:cs="Arial"/>
                <w:b w:val="0"/>
                <w:bCs w:val="0"/>
                <w:color w:val="FFFFFF" w:themeColor="background1"/>
                <w:sz w:val="20"/>
                <w:szCs w:val="20"/>
              </w:rPr>
            </w:pPr>
            <w:r w:rsidRPr="00AA7AD8">
              <w:rPr>
                <w:rFonts w:ascii="Arial" w:hAnsi="Arial" w:cs="Arial"/>
                <w:color w:val="FFFFFF" w:themeColor="background1"/>
                <w:sz w:val="20"/>
                <w:szCs w:val="20"/>
              </w:rPr>
              <w:t xml:space="preserve">Variación Relativa Total </w:t>
            </w:r>
          </w:p>
        </w:tc>
        <w:tc>
          <w:tcPr>
            <w:tcW w:w="0" w:type="auto"/>
            <w:gridSpan w:val="4"/>
            <w:shd w:val="clear" w:color="auto" w:fill="4F81BD" w:themeFill="accent1"/>
            <w:vAlign w:val="center"/>
            <w:hideMark/>
          </w:tcPr>
          <w:p w14:paraId="23F056A9" w14:textId="77777777" w:rsidR="00EF50FC" w:rsidRPr="00AA7AD8" w:rsidRDefault="003829CE" w:rsidP="001C38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A7AD8">
              <w:rPr>
                <w:rFonts w:ascii="Arial" w:hAnsi="Arial" w:cs="Arial"/>
                <w:b/>
                <w:bCs/>
                <w:color w:val="FFFFFF" w:themeColor="background1"/>
                <w:sz w:val="20"/>
                <w:szCs w:val="20"/>
              </w:rPr>
              <w:t>(</w:t>
            </w:r>
            <w:r w:rsidR="00F05AF8">
              <w:rPr>
                <w:rFonts w:ascii="Arial" w:hAnsi="Arial" w:cs="Arial"/>
                <w:b/>
                <w:bCs/>
                <w:color w:val="FFFFFF" w:themeColor="background1"/>
                <w:sz w:val="20"/>
                <w:szCs w:val="20"/>
              </w:rPr>
              <w:t>11</w:t>
            </w:r>
            <w:r w:rsidR="00EF50FC" w:rsidRPr="00AA7AD8">
              <w:rPr>
                <w:rFonts w:ascii="Arial" w:hAnsi="Arial" w:cs="Arial"/>
                <w:b/>
                <w:bCs/>
                <w:color w:val="FFFFFF" w:themeColor="background1"/>
                <w:sz w:val="20"/>
                <w:szCs w:val="20"/>
              </w:rPr>
              <w:t>%</w:t>
            </w:r>
            <w:r w:rsidRPr="00AA7AD8">
              <w:rPr>
                <w:rFonts w:ascii="Arial" w:hAnsi="Arial" w:cs="Arial"/>
                <w:b/>
                <w:bCs/>
                <w:color w:val="FFFFFF" w:themeColor="background1"/>
                <w:sz w:val="20"/>
                <w:szCs w:val="20"/>
              </w:rPr>
              <w:t>)</w:t>
            </w:r>
          </w:p>
        </w:tc>
      </w:tr>
    </w:tbl>
    <w:p w14:paraId="720AA307" w14:textId="77777777" w:rsidR="00B45759" w:rsidRPr="00B15ADD" w:rsidRDefault="000E2C2B" w:rsidP="00B15ADD">
      <w:pPr>
        <w:spacing w:before="100" w:beforeAutospacing="1" w:after="100" w:afterAutospacing="1"/>
        <w:jc w:val="both"/>
        <w:rPr>
          <w:rFonts w:ascii="Arial" w:hAnsi="Arial" w:cs="Arial"/>
          <w:sz w:val="22"/>
          <w:szCs w:val="22"/>
        </w:rPr>
      </w:pPr>
      <w:r>
        <w:rPr>
          <w:rFonts w:ascii="Arial" w:hAnsi="Arial" w:cs="Arial"/>
          <w:sz w:val="22"/>
          <w:szCs w:val="22"/>
        </w:rPr>
        <w:lastRenderedPageBreak/>
        <w:t xml:space="preserve">Es de mencionar, que para los tres trimestres analizados durante la vigencia 2019, </w:t>
      </w:r>
      <w:r w:rsidR="00BC493A" w:rsidRPr="00B15ADD">
        <w:rPr>
          <w:rFonts w:ascii="Arial" w:hAnsi="Arial" w:cs="Arial"/>
          <w:sz w:val="22"/>
          <w:szCs w:val="22"/>
        </w:rPr>
        <w:t xml:space="preserve">comparado con el mismo periodo de 2018 </w:t>
      </w:r>
      <w:r>
        <w:rPr>
          <w:rFonts w:ascii="Arial" w:hAnsi="Arial" w:cs="Arial"/>
          <w:sz w:val="22"/>
          <w:szCs w:val="22"/>
        </w:rPr>
        <w:t>los c</w:t>
      </w:r>
      <w:r w:rsidR="00BC493A" w:rsidRPr="00B15ADD">
        <w:rPr>
          <w:rFonts w:ascii="Arial" w:hAnsi="Arial" w:cs="Arial"/>
          <w:sz w:val="22"/>
          <w:szCs w:val="22"/>
        </w:rPr>
        <w:t xml:space="preserve">onceptos </w:t>
      </w:r>
      <w:r>
        <w:rPr>
          <w:rFonts w:ascii="Arial" w:hAnsi="Arial" w:cs="Arial"/>
          <w:sz w:val="22"/>
          <w:szCs w:val="22"/>
        </w:rPr>
        <w:t xml:space="preserve">objeto de seguimiento han presentado </w:t>
      </w:r>
      <w:r>
        <w:rPr>
          <w:rFonts w:ascii="Arial" w:hAnsi="Arial" w:cs="Arial"/>
          <w:b/>
          <w:sz w:val="22"/>
          <w:szCs w:val="22"/>
        </w:rPr>
        <w:t>disminuciones,</w:t>
      </w:r>
      <w:r w:rsidR="00204AD2">
        <w:rPr>
          <w:rFonts w:ascii="Arial" w:hAnsi="Arial" w:cs="Arial"/>
          <w:sz w:val="22"/>
          <w:szCs w:val="22"/>
        </w:rPr>
        <w:t xml:space="preserve"> permitiendo deducir, que el gasto por viáticos y pasajes presentan una </w:t>
      </w:r>
      <w:r w:rsidR="00B15ADD">
        <w:rPr>
          <w:rFonts w:ascii="Arial" w:hAnsi="Arial" w:cs="Arial"/>
          <w:sz w:val="22"/>
          <w:szCs w:val="22"/>
        </w:rPr>
        <w:t>tendencia decreciente, apuntando al cumplimiento de lo preceptu</w:t>
      </w:r>
      <w:r w:rsidR="00204AD2">
        <w:rPr>
          <w:rFonts w:ascii="Arial" w:hAnsi="Arial" w:cs="Arial"/>
          <w:sz w:val="22"/>
          <w:szCs w:val="22"/>
        </w:rPr>
        <w:t xml:space="preserve">ado en la normatividad vigente sobre la materia. </w:t>
      </w:r>
    </w:p>
    <w:p w14:paraId="1D1D465F" w14:textId="77777777" w:rsidR="00F10F74" w:rsidRPr="00A003B6" w:rsidRDefault="00B45759" w:rsidP="00F95910">
      <w:pPr>
        <w:jc w:val="both"/>
        <w:rPr>
          <w:rFonts w:ascii="Arial" w:hAnsi="Arial" w:cs="Arial"/>
          <w:sz w:val="22"/>
          <w:szCs w:val="22"/>
          <w:highlight w:val="yellow"/>
        </w:rPr>
      </w:pPr>
      <w:r w:rsidRPr="00D960E7">
        <w:rPr>
          <w:rFonts w:ascii="Arial" w:hAnsi="Arial" w:cs="Arial"/>
          <w:sz w:val="22"/>
          <w:szCs w:val="22"/>
        </w:rPr>
        <w:t>Ahora bien, d</w:t>
      </w:r>
      <w:r w:rsidR="002C6B39" w:rsidRPr="00D960E7">
        <w:rPr>
          <w:rFonts w:ascii="Arial" w:hAnsi="Arial" w:cs="Arial"/>
          <w:sz w:val="22"/>
          <w:szCs w:val="22"/>
        </w:rPr>
        <w:t>e acuerdo con</w:t>
      </w:r>
      <w:r w:rsidR="002B0816" w:rsidRPr="00D960E7">
        <w:rPr>
          <w:rFonts w:ascii="Arial" w:hAnsi="Arial" w:cs="Arial"/>
          <w:sz w:val="22"/>
          <w:szCs w:val="22"/>
        </w:rPr>
        <w:t xml:space="preserve"> el comportamiento </w:t>
      </w:r>
      <w:r w:rsidR="00F10F74" w:rsidRPr="00D960E7">
        <w:rPr>
          <w:rFonts w:ascii="Arial" w:hAnsi="Arial" w:cs="Arial"/>
          <w:sz w:val="22"/>
          <w:szCs w:val="22"/>
        </w:rPr>
        <w:t xml:space="preserve">de </w:t>
      </w:r>
      <w:r w:rsidR="002C6B39" w:rsidRPr="00D960E7">
        <w:rPr>
          <w:rFonts w:ascii="Arial" w:hAnsi="Arial" w:cs="Arial"/>
          <w:sz w:val="22"/>
          <w:szCs w:val="22"/>
        </w:rPr>
        <w:t xml:space="preserve">los gastos generados por viáticos y pasajes aéreos </w:t>
      </w:r>
      <w:r w:rsidR="00D960E7">
        <w:rPr>
          <w:rFonts w:ascii="Arial" w:hAnsi="Arial" w:cs="Arial"/>
          <w:sz w:val="22"/>
          <w:szCs w:val="22"/>
        </w:rPr>
        <w:t xml:space="preserve">de enero a septiembre de </w:t>
      </w:r>
      <w:r w:rsidRPr="00D960E7">
        <w:rPr>
          <w:rFonts w:ascii="Arial" w:hAnsi="Arial" w:cs="Arial"/>
          <w:sz w:val="22"/>
          <w:szCs w:val="22"/>
        </w:rPr>
        <w:t xml:space="preserve">2019, demuestra </w:t>
      </w:r>
      <w:r w:rsidR="00EC4FE6" w:rsidRPr="00D960E7">
        <w:rPr>
          <w:rFonts w:ascii="Arial" w:hAnsi="Arial" w:cs="Arial"/>
          <w:sz w:val="22"/>
          <w:szCs w:val="22"/>
        </w:rPr>
        <w:t>que,</w:t>
      </w:r>
      <w:r w:rsidRPr="00D960E7">
        <w:rPr>
          <w:rFonts w:ascii="Arial" w:hAnsi="Arial" w:cs="Arial"/>
          <w:sz w:val="22"/>
          <w:szCs w:val="22"/>
        </w:rPr>
        <w:t xml:space="preserve"> </w:t>
      </w:r>
      <w:r w:rsidR="00D960E7">
        <w:rPr>
          <w:rFonts w:ascii="Arial" w:hAnsi="Arial" w:cs="Arial"/>
          <w:sz w:val="22"/>
          <w:szCs w:val="22"/>
        </w:rPr>
        <w:t xml:space="preserve">para los meses de </w:t>
      </w:r>
      <w:r w:rsidRPr="00D960E7">
        <w:rPr>
          <w:rFonts w:ascii="Arial" w:hAnsi="Arial" w:cs="Arial"/>
          <w:sz w:val="22"/>
          <w:szCs w:val="22"/>
        </w:rPr>
        <w:t>abril</w:t>
      </w:r>
      <w:r w:rsidR="00D960E7">
        <w:rPr>
          <w:rFonts w:ascii="Arial" w:hAnsi="Arial" w:cs="Arial"/>
          <w:sz w:val="22"/>
          <w:szCs w:val="22"/>
        </w:rPr>
        <w:t xml:space="preserve"> y </w:t>
      </w:r>
      <w:r w:rsidR="00F45610">
        <w:rPr>
          <w:rFonts w:ascii="Arial" w:hAnsi="Arial" w:cs="Arial"/>
          <w:sz w:val="22"/>
          <w:szCs w:val="22"/>
        </w:rPr>
        <w:t xml:space="preserve">junio </w:t>
      </w:r>
      <w:r w:rsidR="00F45610" w:rsidRPr="00D960E7">
        <w:rPr>
          <w:rFonts w:ascii="Arial" w:hAnsi="Arial" w:cs="Arial"/>
          <w:sz w:val="22"/>
          <w:szCs w:val="22"/>
        </w:rPr>
        <w:t>se</w:t>
      </w:r>
      <w:r w:rsidR="00D960E7">
        <w:rPr>
          <w:rFonts w:ascii="Arial" w:hAnsi="Arial" w:cs="Arial"/>
          <w:sz w:val="22"/>
          <w:szCs w:val="22"/>
        </w:rPr>
        <w:t xml:space="preserve"> presentaron los</w:t>
      </w:r>
      <w:r w:rsidRPr="00D960E7">
        <w:rPr>
          <w:rFonts w:ascii="Arial" w:hAnsi="Arial" w:cs="Arial"/>
          <w:sz w:val="22"/>
          <w:szCs w:val="22"/>
        </w:rPr>
        <w:t xml:space="preserve"> punto</w:t>
      </w:r>
      <w:r w:rsidR="00D960E7">
        <w:rPr>
          <w:rFonts w:ascii="Arial" w:hAnsi="Arial" w:cs="Arial"/>
          <w:sz w:val="22"/>
          <w:szCs w:val="22"/>
        </w:rPr>
        <w:t>s</w:t>
      </w:r>
      <w:r w:rsidRPr="00D960E7">
        <w:rPr>
          <w:rFonts w:ascii="Arial" w:hAnsi="Arial" w:cs="Arial"/>
          <w:sz w:val="22"/>
          <w:szCs w:val="22"/>
        </w:rPr>
        <w:t xml:space="preserve"> máximo</w:t>
      </w:r>
      <w:r w:rsidR="00D960E7">
        <w:rPr>
          <w:rFonts w:ascii="Arial" w:hAnsi="Arial" w:cs="Arial"/>
          <w:sz w:val="22"/>
          <w:szCs w:val="22"/>
        </w:rPr>
        <w:t>s</w:t>
      </w:r>
      <w:r w:rsidRPr="00D960E7">
        <w:rPr>
          <w:rFonts w:ascii="Arial" w:hAnsi="Arial" w:cs="Arial"/>
          <w:sz w:val="22"/>
          <w:szCs w:val="22"/>
        </w:rPr>
        <w:t xml:space="preserve"> de gasto</w:t>
      </w:r>
      <w:r w:rsidR="002B0816" w:rsidRPr="00D960E7">
        <w:rPr>
          <w:rFonts w:ascii="Arial" w:hAnsi="Arial" w:cs="Arial"/>
          <w:sz w:val="22"/>
          <w:szCs w:val="22"/>
        </w:rPr>
        <w:t xml:space="preserve"> para los dos conceptos. </w:t>
      </w:r>
      <w:r w:rsidR="00430C6A">
        <w:rPr>
          <w:rFonts w:ascii="Arial" w:hAnsi="Arial" w:cs="Arial"/>
          <w:sz w:val="22"/>
          <w:szCs w:val="22"/>
        </w:rPr>
        <w:t xml:space="preserve">En relación al </w:t>
      </w:r>
      <w:r w:rsidR="00EC4FE6" w:rsidRPr="00D960E7">
        <w:rPr>
          <w:rFonts w:ascii="Arial" w:hAnsi="Arial" w:cs="Arial"/>
          <w:sz w:val="22"/>
          <w:szCs w:val="22"/>
        </w:rPr>
        <w:t xml:space="preserve">mes de </w:t>
      </w:r>
      <w:r w:rsidR="00F10F74" w:rsidRPr="00F45610">
        <w:rPr>
          <w:rFonts w:ascii="Arial" w:hAnsi="Arial" w:cs="Arial"/>
          <w:sz w:val="22"/>
          <w:szCs w:val="22"/>
        </w:rPr>
        <w:t>mayo los gastos</w:t>
      </w:r>
      <w:r w:rsidR="007C2AFA">
        <w:rPr>
          <w:rFonts w:ascii="Arial" w:hAnsi="Arial" w:cs="Arial"/>
          <w:sz w:val="22"/>
          <w:szCs w:val="22"/>
        </w:rPr>
        <w:t xml:space="preserve"> </w:t>
      </w:r>
      <w:r w:rsidR="00430C6A">
        <w:rPr>
          <w:rFonts w:ascii="Arial" w:hAnsi="Arial" w:cs="Arial"/>
          <w:sz w:val="22"/>
          <w:szCs w:val="22"/>
        </w:rPr>
        <w:t>decrecieron d</w:t>
      </w:r>
      <w:r w:rsidR="007C2AFA">
        <w:rPr>
          <w:rFonts w:ascii="Arial" w:hAnsi="Arial" w:cs="Arial"/>
          <w:sz w:val="22"/>
          <w:szCs w:val="22"/>
        </w:rPr>
        <w:t xml:space="preserve">e </w:t>
      </w:r>
      <w:r w:rsidR="00044F6E">
        <w:rPr>
          <w:rFonts w:ascii="Arial" w:hAnsi="Arial" w:cs="Arial"/>
          <w:sz w:val="22"/>
          <w:szCs w:val="22"/>
        </w:rPr>
        <w:t>forma paralela</w:t>
      </w:r>
      <w:r w:rsidR="00F10F74" w:rsidRPr="00F45610">
        <w:rPr>
          <w:rFonts w:ascii="Arial" w:hAnsi="Arial" w:cs="Arial"/>
          <w:sz w:val="22"/>
          <w:szCs w:val="22"/>
        </w:rPr>
        <w:t>.</w:t>
      </w:r>
      <w:r w:rsidR="002B0816" w:rsidRPr="00F45610">
        <w:rPr>
          <w:rFonts w:ascii="Arial" w:hAnsi="Arial" w:cs="Arial"/>
          <w:sz w:val="22"/>
          <w:szCs w:val="22"/>
        </w:rPr>
        <w:t xml:space="preserve"> </w:t>
      </w:r>
      <w:r w:rsidR="00F10F74" w:rsidRPr="00F45610">
        <w:rPr>
          <w:rFonts w:ascii="Arial" w:hAnsi="Arial" w:cs="Arial"/>
          <w:sz w:val="22"/>
          <w:szCs w:val="22"/>
        </w:rPr>
        <w:t xml:space="preserve">Finalmente, </w:t>
      </w:r>
      <w:r w:rsidR="00A50B61">
        <w:rPr>
          <w:rFonts w:ascii="Arial" w:hAnsi="Arial" w:cs="Arial"/>
          <w:sz w:val="22"/>
          <w:szCs w:val="22"/>
        </w:rPr>
        <w:t xml:space="preserve">para </w:t>
      </w:r>
      <w:r w:rsidR="00044F6E">
        <w:rPr>
          <w:rFonts w:ascii="Arial" w:hAnsi="Arial" w:cs="Arial"/>
          <w:sz w:val="22"/>
          <w:szCs w:val="22"/>
        </w:rPr>
        <w:t xml:space="preserve">los meses de julio y agosto </w:t>
      </w:r>
      <w:r w:rsidR="00F45610">
        <w:rPr>
          <w:rFonts w:ascii="Arial" w:hAnsi="Arial" w:cs="Arial"/>
          <w:sz w:val="22"/>
          <w:szCs w:val="22"/>
        </w:rPr>
        <w:t xml:space="preserve">los gastos analizados </w:t>
      </w:r>
      <w:r w:rsidR="00A50B61">
        <w:rPr>
          <w:rFonts w:ascii="Arial" w:hAnsi="Arial" w:cs="Arial"/>
          <w:sz w:val="22"/>
          <w:szCs w:val="22"/>
        </w:rPr>
        <w:t>presentaron</w:t>
      </w:r>
      <w:r w:rsidR="00F45610">
        <w:rPr>
          <w:rFonts w:ascii="Arial" w:hAnsi="Arial" w:cs="Arial"/>
          <w:sz w:val="22"/>
          <w:szCs w:val="22"/>
        </w:rPr>
        <w:t xml:space="preserve"> un comportamiento </w:t>
      </w:r>
      <w:r w:rsidR="00044F6E">
        <w:rPr>
          <w:rFonts w:ascii="Arial" w:hAnsi="Arial" w:cs="Arial"/>
          <w:sz w:val="22"/>
          <w:szCs w:val="22"/>
        </w:rPr>
        <w:t>constante</w:t>
      </w:r>
      <w:r w:rsidR="00206259">
        <w:rPr>
          <w:rFonts w:ascii="Arial" w:hAnsi="Arial" w:cs="Arial"/>
          <w:sz w:val="22"/>
          <w:szCs w:val="22"/>
        </w:rPr>
        <w:t xml:space="preserve"> y paralelos.</w:t>
      </w:r>
      <w:r w:rsidR="00072D76">
        <w:rPr>
          <w:rFonts w:ascii="Arial" w:hAnsi="Arial" w:cs="Arial"/>
          <w:sz w:val="22"/>
          <w:szCs w:val="22"/>
        </w:rPr>
        <w:t xml:space="preserve"> En lo que respecta a </w:t>
      </w:r>
      <w:r w:rsidR="00044F6E">
        <w:rPr>
          <w:rFonts w:ascii="Arial" w:hAnsi="Arial" w:cs="Arial"/>
          <w:sz w:val="22"/>
          <w:szCs w:val="22"/>
        </w:rPr>
        <w:t>septiembre se observó un leve crecimiento</w:t>
      </w:r>
      <w:r w:rsidR="00FF5D14">
        <w:rPr>
          <w:rFonts w:ascii="Arial" w:hAnsi="Arial" w:cs="Arial"/>
          <w:sz w:val="22"/>
          <w:szCs w:val="22"/>
        </w:rPr>
        <w:t xml:space="preserve">, especialmente, para los pasajes aéreos. </w:t>
      </w:r>
    </w:p>
    <w:p w14:paraId="072163B0" w14:textId="77777777" w:rsidR="003829CE" w:rsidRDefault="00F45610" w:rsidP="004A130B">
      <w:pPr>
        <w:spacing w:before="100" w:beforeAutospacing="1" w:after="100" w:afterAutospacing="1"/>
        <w:rPr>
          <w:noProof/>
          <w:highlight w:val="yellow"/>
        </w:rPr>
      </w:pPr>
      <w:r>
        <w:rPr>
          <w:noProof/>
        </w:rPr>
        <w:drawing>
          <wp:inline distT="0" distB="0" distL="0" distR="0" wp14:anchorId="2F08973A" wp14:editId="1779B40B">
            <wp:extent cx="6151880" cy="2257425"/>
            <wp:effectExtent l="0" t="0" r="127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F9FAC1" w14:textId="442E6C0B" w:rsidR="00084F23" w:rsidRDefault="005E6490" w:rsidP="00FF2728">
      <w:pPr>
        <w:rPr>
          <w:rFonts w:ascii="Arial" w:hAnsi="Arial" w:cs="Arial"/>
          <w:sz w:val="22"/>
          <w:szCs w:val="22"/>
        </w:rPr>
      </w:pPr>
      <w:r w:rsidRPr="00A156BE">
        <w:rPr>
          <w:rFonts w:ascii="Arial" w:hAnsi="Arial" w:cs="Arial"/>
          <w:sz w:val="22"/>
          <w:szCs w:val="22"/>
        </w:rPr>
        <w:t xml:space="preserve">Por otra parte, se </w:t>
      </w:r>
      <w:r w:rsidR="00A156BE">
        <w:rPr>
          <w:rFonts w:ascii="Arial" w:hAnsi="Arial" w:cs="Arial"/>
          <w:sz w:val="22"/>
          <w:szCs w:val="22"/>
        </w:rPr>
        <w:t>realizó un análisis teniendo</w:t>
      </w:r>
      <w:r w:rsidR="00BA0883">
        <w:rPr>
          <w:rFonts w:ascii="Arial" w:hAnsi="Arial" w:cs="Arial"/>
          <w:sz w:val="22"/>
          <w:szCs w:val="22"/>
        </w:rPr>
        <w:t xml:space="preserve"> en cuenta</w:t>
      </w:r>
      <w:r w:rsidR="00A156BE">
        <w:rPr>
          <w:rFonts w:ascii="Arial" w:hAnsi="Arial" w:cs="Arial"/>
          <w:sz w:val="22"/>
          <w:szCs w:val="22"/>
        </w:rPr>
        <w:t xml:space="preserve"> la </w:t>
      </w:r>
      <w:r w:rsidRPr="00A156BE">
        <w:rPr>
          <w:rFonts w:ascii="Arial" w:hAnsi="Arial" w:cs="Arial"/>
          <w:sz w:val="22"/>
          <w:szCs w:val="22"/>
        </w:rPr>
        <w:t xml:space="preserve">cantidad de </w:t>
      </w:r>
      <w:r w:rsidR="00694E63" w:rsidRPr="00A156BE">
        <w:rPr>
          <w:rFonts w:ascii="Arial" w:hAnsi="Arial" w:cs="Arial"/>
          <w:sz w:val="22"/>
          <w:szCs w:val="22"/>
        </w:rPr>
        <w:t xml:space="preserve">viáticos y </w:t>
      </w:r>
      <w:r w:rsidRPr="00A156BE">
        <w:rPr>
          <w:rFonts w:ascii="Arial" w:hAnsi="Arial" w:cs="Arial"/>
          <w:sz w:val="22"/>
          <w:szCs w:val="22"/>
        </w:rPr>
        <w:t>pasajes</w:t>
      </w:r>
      <w:r w:rsidR="00694E63" w:rsidRPr="00A156BE">
        <w:rPr>
          <w:rFonts w:ascii="Arial" w:hAnsi="Arial" w:cs="Arial"/>
          <w:sz w:val="22"/>
          <w:szCs w:val="22"/>
        </w:rPr>
        <w:t xml:space="preserve"> aéreos</w:t>
      </w:r>
      <w:r w:rsidR="00A156BE">
        <w:rPr>
          <w:rFonts w:ascii="Arial" w:hAnsi="Arial" w:cs="Arial"/>
          <w:sz w:val="22"/>
          <w:szCs w:val="22"/>
        </w:rPr>
        <w:t xml:space="preserve"> </w:t>
      </w:r>
      <w:r w:rsidR="00BA0883">
        <w:rPr>
          <w:rFonts w:ascii="Arial" w:hAnsi="Arial" w:cs="Arial"/>
          <w:sz w:val="22"/>
          <w:szCs w:val="22"/>
        </w:rPr>
        <w:t xml:space="preserve">para </w:t>
      </w:r>
      <w:r w:rsidR="00A156BE" w:rsidRPr="00A156BE">
        <w:rPr>
          <w:rFonts w:ascii="Arial" w:hAnsi="Arial" w:cs="Arial"/>
          <w:sz w:val="22"/>
          <w:szCs w:val="22"/>
        </w:rPr>
        <w:t>funcionarios autorizados</w:t>
      </w:r>
      <w:r w:rsidRPr="00A156BE">
        <w:rPr>
          <w:rFonts w:ascii="Arial" w:hAnsi="Arial" w:cs="Arial"/>
          <w:sz w:val="22"/>
          <w:szCs w:val="22"/>
        </w:rPr>
        <w:t xml:space="preserve"> para los meses de </w:t>
      </w:r>
      <w:r w:rsidR="00A156BE">
        <w:rPr>
          <w:rFonts w:ascii="Arial" w:hAnsi="Arial" w:cs="Arial"/>
          <w:sz w:val="22"/>
          <w:szCs w:val="22"/>
        </w:rPr>
        <w:t xml:space="preserve">julio, agosto y septiembre </w:t>
      </w:r>
      <w:r w:rsidR="00414C78" w:rsidRPr="00A156BE">
        <w:rPr>
          <w:rFonts w:ascii="Arial" w:hAnsi="Arial" w:cs="Arial"/>
          <w:sz w:val="22"/>
          <w:szCs w:val="22"/>
        </w:rPr>
        <w:t xml:space="preserve">de 2019 -2018, </w:t>
      </w:r>
      <w:r w:rsidRPr="00A156BE">
        <w:rPr>
          <w:rFonts w:ascii="Arial" w:hAnsi="Arial" w:cs="Arial"/>
          <w:sz w:val="22"/>
          <w:szCs w:val="22"/>
        </w:rPr>
        <w:t xml:space="preserve">así: </w:t>
      </w:r>
    </w:p>
    <w:p w14:paraId="5F159135" w14:textId="77777777" w:rsidR="00BF07F4" w:rsidRDefault="00BF07F4" w:rsidP="00FF2728">
      <w:pPr>
        <w:rPr>
          <w:rFonts w:ascii="Arial" w:hAnsi="Arial" w:cs="Arial"/>
          <w:sz w:val="22"/>
          <w:szCs w:val="22"/>
        </w:rPr>
      </w:pPr>
    </w:p>
    <w:tbl>
      <w:tblPr>
        <w:tblStyle w:val="Tabladecuadrcula1clara-nfasis1"/>
        <w:tblW w:w="9776" w:type="dxa"/>
        <w:tblLayout w:type="fixed"/>
        <w:tblLook w:val="04A0" w:firstRow="1" w:lastRow="0" w:firstColumn="1" w:lastColumn="0" w:noHBand="0" w:noVBand="1"/>
      </w:tblPr>
      <w:tblGrid>
        <w:gridCol w:w="1129"/>
        <w:gridCol w:w="993"/>
        <w:gridCol w:w="992"/>
        <w:gridCol w:w="1134"/>
        <w:gridCol w:w="567"/>
        <w:gridCol w:w="992"/>
        <w:gridCol w:w="1134"/>
        <w:gridCol w:w="1134"/>
        <w:gridCol w:w="1134"/>
        <w:gridCol w:w="567"/>
      </w:tblGrid>
      <w:tr w:rsidR="003B277C" w:rsidRPr="00A003B6" w14:paraId="1597A11F" w14:textId="77777777" w:rsidTr="00763AF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gridSpan w:val="5"/>
            <w:shd w:val="clear" w:color="auto" w:fill="4F81BD" w:themeFill="accent1"/>
            <w:vAlign w:val="center"/>
          </w:tcPr>
          <w:p w14:paraId="597088F3" w14:textId="77777777" w:rsidR="003B277C" w:rsidRPr="00FA13A1" w:rsidRDefault="003B277C" w:rsidP="00FF2728">
            <w:pPr>
              <w:ind w:right="-57"/>
              <w:jc w:val="center"/>
              <w:rPr>
                <w:rFonts w:ascii="Arial" w:hAnsi="Arial" w:cs="Arial"/>
                <w:b w:val="0"/>
                <w:bCs w:val="0"/>
                <w:color w:val="FFFFFF" w:themeColor="background1"/>
                <w:sz w:val="18"/>
                <w:szCs w:val="18"/>
              </w:rPr>
            </w:pPr>
            <w:r w:rsidRPr="00FA13A1">
              <w:rPr>
                <w:rFonts w:ascii="Arial" w:hAnsi="Arial" w:cs="Arial"/>
                <w:b w:val="0"/>
                <w:bCs w:val="0"/>
                <w:color w:val="FFFFFF" w:themeColor="background1"/>
                <w:sz w:val="18"/>
                <w:szCs w:val="18"/>
              </w:rPr>
              <w:t>Variación de Pasajes Aéreos - I</w:t>
            </w:r>
            <w:r w:rsidR="00575BAD">
              <w:rPr>
                <w:rFonts w:ascii="Arial" w:hAnsi="Arial" w:cs="Arial"/>
                <w:b w:val="0"/>
                <w:bCs w:val="0"/>
                <w:color w:val="FFFFFF" w:themeColor="background1"/>
                <w:sz w:val="18"/>
                <w:szCs w:val="18"/>
              </w:rPr>
              <w:t>I</w:t>
            </w:r>
            <w:r w:rsidRPr="00FA13A1">
              <w:rPr>
                <w:rFonts w:ascii="Arial" w:hAnsi="Arial" w:cs="Arial"/>
                <w:b w:val="0"/>
                <w:bCs w:val="0"/>
                <w:color w:val="FFFFFF" w:themeColor="background1"/>
                <w:sz w:val="18"/>
                <w:szCs w:val="18"/>
              </w:rPr>
              <w:t>I Trimestre 2019 -2018</w:t>
            </w:r>
          </w:p>
        </w:tc>
        <w:tc>
          <w:tcPr>
            <w:tcW w:w="4961" w:type="dxa"/>
            <w:gridSpan w:val="5"/>
            <w:shd w:val="clear" w:color="auto" w:fill="4F81BD" w:themeFill="accent1"/>
            <w:vAlign w:val="center"/>
          </w:tcPr>
          <w:p w14:paraId="4D42C54B" w14:textId="77777777" w:rsidR="003B277C" w:rsidRPr="00FA13A1" w:rsidRDefault="00575BAD" w:rsidP="00FF2728">
            <w:pPr>
              <w:ind w:left="-57" w:right="-5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b w:val="0"/>
                <w:bCs w:val="0"/>
                <w:color w:val="FFFFFF" w:themeColor="background1"/>
                <w:sz w:val="18"/>
                <w:szCs w:val="18"/>
              </w:rPr>
              <w:t xml:space="preserve">Variación de Viáticos – III </w:t>
            </w:r>
            <w:r w:rsidR="003B277C" w:rsidRPr="00FA13A1">
              <w:rPr>
                <w:rFonts w:ascii="Arial" w:hAnsi="Arial" w:cs="Arial"/>
                <w:b w:val="0"/>
                <w:bCs w:val="0"/>
                <w:color w:val="FFFFFF" w:themeColor="background1"/>
                <w:sz w:val="18"/>
                <w:szCs w:val="18"/>
              </w:rPr>
              <w:t>Trimestre 2019 -2018</w:t>
            </w:r>
          </w:p>
        </w:tc>
      </w:tr>
      <w:tr w:rsidR="001E2C57" w:rsidRPr="00A003B6" w14:paraId="70DD7F68" w14:textId="77777777" w:rsidTr="00763AF8">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4F81BD" w:themeFill="accent1"/>
            <w:vAlign w:val="center"/>
            <w:hideMark/>
          </w:tcPr>
          <w:p w14:paraId="750CD1B0" w14:textId="77777777" w:rsidR="001E2C57" w:rsidRPr="00FA13A1" w:rsidRDefault="001E2C57" w:rsidP="001E2C57">
            <w:pPr>
              <w:ind w:right="-57"/>
              <w:jc w:val="center"/>
              <w:rPr>
                <w:rFonts w:ascii="Arial" w:hAnsi="Arial" w:cs="Arial"/>
                <w:color w:val="FFFFFF" w:themeColor="background1"/>
                <w:sz w:val="18"/>
                <w:szCs w:val="18"/>
              </w:rPr>
            </w:pPr>
            <w:r w:rsidRPr="00FA13A1">
              <w:rPr>
                <w:rFonts w:ascii="Arial" w:hAnsi="Arial" w:cs="Arial"/>
                <w:color w:val="FFFFFF" w:themeColor="background1"/>
                <w:sz w:val="18"/>
                <w:szCs w:val="18"/>
              </w:rPr>
              <w:t>Concepto</w:t>
            </w:r>
          </w:p>
        </w:tc>
        <w:tc>
          <w:tcPr>
            <w:tcW w:w="993" w:type="dxa"/>
            <w:vMerge w:val="restart"/>
            <w:shd w:val="clear" w:color="auto" w:fill="4F81BD" w:themeFill="accent1"/>
            <w:vAlign w:val="center"/>
            <w:hideMark/>
          </w:tcPr>
          <w:p w14:paraId="07D54C52" w14:textId="77777777" w:rsidR="001E2C57" w:rsidRPr="00FA13A1" w:rsidRDefault="001E2C57" w:rsidP="001E2C57">
            <w:pPr>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Jul-19</w:t>
            </w:r>
          </w:p>
        </w:tc>
        <w:tc>
          <w:tcPr>
            <w:tcW w:w="992" w:type="dxa"/>
            <w:vMerge w:val="restart"/>
            <w:shd w:val="clear" w:color="auto" w:fill="4F81BD" w:themeFill="accent1"/>
            <w:vAlign w:val="center"/>
            <w:hideMark/>
          </w:tcPr>
          <w:p w14:paraId="1CDD912D" w14:textId="77777777" w:rsidR="001E2C57" w:rsidRPr="00FA13A1" w:rsidRDefault="001E2C57" w:rsidP="001E2C57">
            <w:pPr>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Jul-18</w:t>
            </w:r>
          </w:p>
        </w:tc>
        <w:tc>
          <w:tcPr>
            <w:tcW w:w="1701" w:type="dxa"/>
            <w:gridSpan w:val="2"/>
            <w:shd w:val="clear" w:color="auto" w:fill="4F81BD" w:themeFill="accent1"/>
            <w:vAlign w:val="center"/>
            <w:hideMark/>
          </w:tcPr>
          <w:p w14:paraId="7B172557" w14:textId="77777777" w:rsidR="001E2C57" w:rsidRPr="00FA13A1" w:rsidRDefault="001E2C57" w:rsidP="001E2C57">
            <w:pPr>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 xml:space="preserve">Variación </w:t>
            </w:r>
          </w:p>
        </w:tc>
        <w:tc>
          <w:tcPr>
            <w:tcW w:w="992" w:type="dxa"/>
            <w:vMerge w:val="restart"/>
            <w:shd w:val="clear" w:color="auto" w:fill="4F81BD" w:themeFill="accent1"/>
            <w:vAlign w:val="center"/>
            <w:hideMark/>
          </w:tcPr>
          <w:p w14:paraId="42006B13" w14:textId="77777777" w:rsidR="001E2C57" w:rsidRPr="00FA13A1" w:rsidRDefault="001E2C57" w:rsidP="001E2C57">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Concepto</w:t>
            </w:r>
          </w:p>
        </w:tc>
        <w:tc>
          <w:tcPr>
            <w:tcW w:w="1134" w:type="dxa"/>
            <w:vMerge w:val="restart"/>
            <w:shd w:val="clear" w:color="auto" w:fill="4F81BD" w:themeFill="accent1"/>
            <w:vAlign w:val="center"/>
            <w:hideMark/>
          </w:tcPr>
          <w:p w14:paraId="2518841B" w14:textId="77777777" w:rsidR="001E2C57" w:rsidRPr="00FA13A1" w:rsidRDefault="001E2C57" w:rsidP="001E2C57">
            <w:pPr>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Jul-19</w:t>
            </w:r>
          </w:p>
        </w:tc>
        <w:tc>
          <w:tcPr>
            <w:tcW w:w="1134" w:type="dxa"/>
            <w:vMerge w:val="restart"/>
            <w:shd w:val="clear" w:color="auto" w:fill="4F81BD" w:themeFill="accent1"/>
            <w:vAlign w:val="center"/>
            <w:hideMark/>
          </w:tcPr>
          <w:p w14:paraId="3890CF3C" w14:textId="77777777" w:rsidR="001E2C57" w:rsidRPr="00FA13A1" w:rsidRDefault="001E2C57" w:rsidP="001E2C57">
            <w:pPr>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Jul-18</w:t>
            </w:r>
          </w:p>
        </w:tc>
        <w:tc>
          <w:tcPr>
            <w:tcW w:w="1701" w:type="dxa"/>
            <w:gridSpan w:val="2"/>
            <w:shd w:val="clear" w:color="auto" w:fill="4F81BD" w:themeFill="accent1"/>
            <w:vAlign w:val="center"/>
            <w:hideMark/>
          </w:tcPr>
          <w:p w14:paraId="266AF8F4" w14:textId="77777777" w:rsidR="001E2C57" w:rsidRPr="00FA13A1" w:rsidRDefault="001E2C57" w:rsidP="001E2C57">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 xml:space="preserve">Variación </w:t>
            </w:r>
          </w:p>
        </w:tc>
      </w:tr>
      <w:tr w:rsidR="00566D8B" w:rsidRPr="00A003B6" w14:paraId="004B6C45" w14:textId="77777777" w:rsidTr="00763AF8">
        <w:trPr>
          <w:trHeight w:val="300"/>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4F81BD" w:themeFill="accent1"/>
            <w:vAlign w:val="center"/>
            <w:hideMark/>
          </w:tcPr>
          <w:p w14:paraId="7C6D9FA8" w14:textId="77777777" w:rsidR="00566D8B" w:rsidRPr="00FA13A1" w:rsidRDefault="00566D8B" w:rsidP="00FF2728">
            <w:pPr>
              <w:ind w:right="-57"/>
              <w:rPr>
                <w:rFonts w:ascii="Arial" w:hAnsi="Arial" w:cs="Arial"/>
                <w:color w:val="FFFFFF" w:themeColor="background1"/>
                <w:sz w:val="18"/>
                <w:szCs w:val="18"/>
              </w:rPr>
            </w:pPr>
          </w:p>
        </w:tc>
        <w:tc>
          <w:tcPr>
            <w:tcW w:w="993" w:type="dxa"/>
            <w:vMerge/>
            <w:shd w:val="clear" w:color="auto" w:fill="4F81BD" w:themeFill="accent1"/>
            <w:vAlign w:val="center"/>
            <w:hideMark/>
          </w:tcPr>
          <w:p w14:paraId="1492D902" w14:textId="77777777" w:rsidR="00566D8B" w:rsidRPr="00FA13A1" w:rsidRDefault="00566D8B" w:rsidP="00FF2728">
            <w:pPr>
              <w:ind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992" w:type="dxa"/>
            <w:vMerge/>
            <w:shd w:val="clear" w:color="auto" w:fill="4F81BD" w:themeFill="accent1"/>
            <w:vAlign w:val="center"/>
            <w:hideMark/>
          </w:tcPr>
          <w:p w14:paraId="609BE7A2" w14:textId="77777777" w:rsidR="00566D8B" w:rsidRPr="00FA13A1" w:rsidRDefault="00566D8B" w:rsidP="00FF2728">
            <w:pPr>
              <w:ind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58121DBF" w14:textId="77777777" w:rsidR="00566D8B" w:rsidRPr="00FA13A1" w:rsidRDefault="00566D8B" w:rsidP="00FF2728">
            <w:pPr>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 /#</w:t>
            </w:r>
          </w:p>
        </w:tc>
        <w:tc>
          <w:tcPr>
            <w:tcW w:w="567" w:type="dxa"/>
            <w:shd w:val="clear" w:color="auto" w:fill="4F81BD" w:themeFill="accent1"/>
            <w:vAlign w:val="center"/>
            <w:hideMark/>
          </w:tcPr>
          <w:p w14:paraId="4A0C17CE" w14:textId="77777777" w:rsidR="00566D8B" w:rsidRPr="00FA13A1" w:rsidRDefault="00566D8B" w:rsidP="00FF2728">
            <w:pPr>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w:t>
            </w:r>
          </w:p>
        </w:tc>
        <w:tc>
          <w:tcPr>
            <w:tcW w:w="992" w:type="dxa"/>
            <w:vMerge/>
            <w:shd w:val="clear" w:color="auto" w:fill="4F81BD" w:themeFill="accent1"/>
            <w:vAlign w:val="center"/>
            <w:hideMark/>
          </w:tcPr>
          <w:p w14:paraId="4CFA177F" w14:textId="77777777" w:rsidR="00566D8B" w:rsidRPr="00FA13A1"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31643EED" w14:textId="77777777" w:rsidR="00566D8B" w:rsidRPr="00FA13A1"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6DCED121" w14:textId="77777777" w:rsidR="00566D8B" w:rsidRPr="00FA13A1"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3239C052" w14:textId="77777777" w:rsidR="00566D8B" w:rsidRPr="00FA13A1"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 /#</w:t>
            </w:r>
          </w:p>
        </w:tc>
        <w:tc>
          <w:tcPr>
            <w:tcW w:w="567" w:type="dxa"/>
            <w:shd w:val="clear" w:color="auto" w:fill="4F81BD" w:themeFill="accent1"/>
            <w:vAlign w:val="center"/>
            <w:hideMark/>
          </w:tcPr>
          <w:p w14:paraId="6C93E1D4" w14:textId="77777777" w:rsidR="00566D8B" w:rsidRPr="004F38A3"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F38A3">
              <w:rPr>
                <w:rFonts w:ascii="Arial" w:hAnsi="Arial" w:cs="Arial"/>
                <w:b/>
                <w:bCs/>
                <w:color w:val="FFFFFF" w:themeColor="background1"/>
                <w:sz w:val="18"/>
                <w:szCs w:val="18"/>
              </w:rPr>
              <w:t>%</w:t>
            </w:r>
          </w:p>
        </w:tc>
      </w:tr>
      <w:tr w:rsidR="00566D8B" w:rsidRPr="00A003B6" w14:paraId="15A356E3" w14:textId="77777777" w:rsidTr="00763AF8">
        <w:trPr>
          <w:trHeight w:val="557"/>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6885360E" w14:textId="77777777" w:rsidR="00566D8B" w:rsidRPr="00FA13A1" w:rsidRDefault="00566D8B" w:rsidP="00FF2728">
            <w:pPr>
              <w:ind w:left="-113" w:right="-57"/>
              <w:jc w:val="center"/>
              <w:rPr>
                <w:rFonts w:ascii="Arial" w:hAnsi="Arial" w:cs="Arial"/>
                <w:color w:val="0F243E" w:themeColor="text2" w:themeShade="80"/>
                <w:sz w:val="18"/>
                <w:szCs w:val="18"/>
              </w:rPr>
            </w:pPr>
            <w:r w:rsidRPr="00FA13A1">
              <w:rPr>
                <w:rFonts w:ascii="Arial" w:hAnsi="Arial" w:cs="Arial"/>
                <w:color w:val="0F243E" w:themeColor="text2" w:themeShade="80"/>
                <w:sz w:val="18"/>
                <w:szCs w:val="18"/>
              </w:rPr>
              <w:t>Pasajes $</w:t>
            </w:r>
          </w:p>
        </w:tc>
        <w:tc>
          <w:tcPr>
            <w:tcW w:w="993" w:type="dxa"/>
            <w:vAlign w:val="center"/>
            <w:hideMark/>
          </w:tcPr>
          <w:p w14:paraId="5977B09F" w14:textId="77777777" w:rsidR="00566D8B" w:rsidRPr="00FA13A1" w:rsidRDefault="002938D7" w:rsidP="00FF2728">
            <w:pPr>
              <w:ind w:left="-113"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52.392.535</w:t>
            </w:r>
          </w:p>
        </w:tc>
        <w:tc>
          <w:tcPr>
            <w:tcW w:w="992" w:type="dxa"/>
            <w:vAlign w:val="center"/>
            <w:hideMark/>
          </w:tcPr>
          <w:p w14:paraId="5FBF9D73" w14:textId="77777777" w:rsidR="00566D8B" w:rsidRPr="00FA13A1" w:rsidRDefault="002938D7"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65.538.062</w:t>
            </w:r>
          </w:p>
        </w:tc>
        <w:tc>
          <w:tcPr>
            <w:tcW w:w="1134" w:type="dxa"/>
            <w:vAlign w:val="center"/>
            <w:hideMark/>
          </w:tcPr>
          <w:p w14:paraId="55082EE0" w14:textId="77777777" w:rsidR="00566D8B" w:rsidRPr="00FA13A1" w:rsidRDefault="001E2C57" w:rsidP="00FF2728">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(13.145.527)</w:t>
            </w:r>
          </w:p>
        </w:tc>
        <w:tc>
          <w:tcPr>
            <w:tcW w:w="567" w:type="dxa"/>
            <w:vAlign w:val="center"/>
            <w:hideMark/>
          </w:tcPr>
          <w:p w14:paraId="35FB2902" w14:textId="77777777" w:rsidR="00566D8B" w:rsidRPr="00FA13A1" w:rsidRDefault="00771770" w:rsidP="00771770">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(20)</w:t>
            </w:r>
          </w:p>
        </w:tc>
        <w:tc>
          <w:tcPr>
            <w:tcW w:w="992" w:type="dxa"/>
            <w:vAlign w:val="center"/>
            <w:hideMark/>
          </w:tcPr>
          <w:p w14:paraId="7F60FF33" w14:textId="77777777" w:rsidR="00566D8B" w:rsidRPr="00FA13A1"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FA13A1">
              <w:rPr>
                <w:rFonts w:ascii="Arial" w:hAnsi="Arial" w:cs="Arial"/>
                <w:b/>
                <w:color w:val="0F243E" w:themeColor="text2" w:themeShade="80"/>
                <w:sz w:val="18"/>
                <w:szCs w:val="18"/>
              </w:rPr>
              <w:t>Viáticos $</w:t>
            </w:r>
          </w:p>
        </w:tc>
        <w:tc>
          <w:tcPr>
            <w:tcW w:w="1134" w:type="dxa"/>
            <w:vAlign w:val="center"/>
            <w:hideMark/>
          </w:tcPr>
          <w:p w14:paraId="472B40B0" w14:textId="77777777" w:rsidR="00566D8B" w:rsidRPr="00FA13A1" w:rsidRDefault="001E2C57"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40.870.408</w:t>
            </w:r>
            <w:r w:rsidR="00566D8B" w:rsidRPr="00FA13A1">
              <w:rPr>
                <w:rFonts w:ascii="Arial" w:hAnsi="Arial" w:cs="Arial"/>
                <w:color w:val="0F243E" w:themeColor="text2" w:themeShade="80"/>
                <w:sz w:val="18"/>
                <w:szCs w:val="18"/>
              </w:rPr>
              <w:t xml:space="preserve"> </w:t>
            </w:r>
          </w:p>
        </w:tc>
        <w:tc>
          <w:tcPr>
            <w:tcW w:w="1134" w:type="dxa"/>
            <w:vAlign w:val="center"/>
            <w:hideMark/>
          </w:tcPr>
          <w:p w14:paraId="615D6ED6" w14:textId="77777777" w:rsidR="00566D8B" w:rsidRPr="00FA13A1" w:rsidRDefault="00566D8B" w:rsidP="001E2C57">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A13A1">
              <w:rPr>
                <w:rFonts w:ascii="Arial" w:hAnsi="Arial" w:cs="Arial"/>
                <w:color w:val="0F243E" w:themeColor="text2" w:themeShade="80"/>
                <w:sz w:val="18"/>
                <w:szCs w:val="18"/>
              </w:rPr>
              <w:t xml:space="preserve"> </w:t>
            </w:r>
            <w:r w:rsidR="001E2C57">
              <w:rPr>
                <w:rFonts w:ascii="Arial" w:hAnsi="Arial" w:cs="Arial"/>
                <w:color w:val="0F243E" w:themeColor="text2" w:themeShade="80"/>
                <w:sz w:val="18"/>
                <w:szCs w:val="18"/>
              </w:rPr>
              <w:t>43.678.412</w:t>
            </w:r>
            <w:r w:rsidRPr="00FA13A1">
              <w:rPr>
                <w:rFonts w:ascii="Arial" w:hAnsi="Arial" w:cs="Arial"/>
                <w:color w:val="0F243E" w:themeColor="text2" w:themeShade="80"/>
                <w:sz w:val="18"/>
                <w:szCs w:val="18"/>
              </w:rPr>
              <w:t xml:space="preserve"> </w:t>
            </w:r>
          </w:p>
        </w:tc>
        <w:tc>
          <w:tcPr>
            <w:tcW w:w="1134" w:type="dxa"/>
            <w:vAlign w:val="center"/>
            <w:hideMark/>
          </w:tcPr>
          <w:p w14:paraId="5871EBD8" w14:textId="77777777" w:rsidR="00566D8B" w:rsidRPr="00FA13A1" w:rsidRDefault="00F403F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(2.808.004)</w:t>
            </w:r>
          </w:p>
        </w:tc>
        <w:tc>
          <w:tcPr>
            <w:tcW w:w="567" w:type="dxa"/>
            <w:vAlign w:val="center"/>
            <w:hideMark/>
          </w:tcPr>
          <w:p w14:paraId="2571B116" w14:textId="77777777" w:rsidR="00566D8B" w:rsidRPr="004F38A3" w:rsidRDefault="00F403F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(6)</w:t>
            </w:r>
          </w:p>
        </w:tc>
      </w:tr>
      <w:tr w:rsidR="00566D8B" w:rsidRPr="00A003B6" w14:paraId="71B82FCB" w14:textId="77777777" w:rsidTr="00763AF8">
        <w:trPr>
          <w:trHeight w:val="510"/>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648F74A" w14:textId="77777777" w:rsidR="00566D8B" w:rsidRPr="00FA13A1" w:rsidRDefault="00D95366" w:rsidP="00FF2728">
            <w:pPr>
              <w:ind w:left="-113" w:right="-57"/>
              <w:jc w:val="center"/>
              <w:rPr>
                <w:rFonts w:ascii="Arial" w:hAnsi="Arial" w:cs="Arial"/>
                <w:color w:val="0F243E" w:themeColor="text2" w:themeShade="80"/>
                <w:sz w:val="18"/>
                <w:szCs w:val="18"/>
              </w:rPr>
            </w:pPr>
            <w:r w:rsidRPr="00FA13A1">
              <w:rPr>
                <w:rFonts w:ascii="Arial" w:hAnsi="Arial" w:cs="Arial"/>
                <w:color w:val="0F243E" w:themeColor="text2" w:themeShade="80"/>
                <w:sz w:val="18"/>
                <w:szCs w:val="18"/>
              </w:rPr>
              <w:t>Cantidad Pasajeros</w:t>
            </w:r>
            <w:r w:rsidR="00566D8B" w:rsidRPr="00FA13A1">
              <w:rPr>
                <w:rFonts w:ascii="Arial" w:hAnsi="Arial" w:cs="Arial"/>
                <w:color w:val="0F243E" w:themeColor="text2" w:themeShade="80"/>
                <w:sz w:val="18"/>
                <w:szCs w:val="18"/>
              </w:rPr>
              <w:t xml:space="preserve"> </w:t>
            </w:r>
          </w:p>
        </w:tc>
        <w:tc>
          <w:tcPr>
            <w:tcW w:w="993" w:type="dxa"/>
            <w:vAlign w:val="center"/>
            <w:hideMark/>
          </w:tcPr>
          <w:p w14:paraId="2843ADE6" w14:textId="77777777" w:rsidR="00566D8B" w:rsidRPr="00FA13A1" w:rsidRDefault="002938D7"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76</w:t>
            </w:r>
          </w:p>
        </w:tc>
        <w:tc>
          <w:tcPr>
            <w:tcW w:w="992" w:type="dxa"/>
            <w:vAlign w:val="center"/>
            <w:hideMark/>
          </w:tcPr>
          <w:p w14:paraId="47730621" w14:textId="77777777" w:rsidR="00566D8B" w:rsidRPr="00FA13A1" w:rsidRDefault="002938D7"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82</w:t>
            </w:r>
          </w:p>
        </w:tc>
        <w:tc>
          <w:tcPr>
            <w:tcW w:w="1134" w:type="dxa"/>
            <w:vAlign w:val="center"/>
            <w:hideMark/>
          </w:tcPr>
          <w:p w14:paraId="22BEF4F6" w14:textId="77777777" w:rsidR="00566D8B" w:rsidRPr="00FA13A1" w:rsidRDefault="001E2C57"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(6)</w:t>
            </w:r>
          </w:p>
        </w:tc>
        <w:tc>
          <w:tcPr>
            <w:tcW w:w="567" w:type="dxa"/>
            <w:vAlign w:val="center"/>
            <w:hideMark/>
          </w:tcPr>
          <w:p w14:paraId="12C83419" w14:textId="77777777" w:rsidR="00566D8B" w:rsidRPr="00FA13A1" w:rsidRDefault="00771770"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(-7)</w:t>
            </w:r>
          </w:p>
        </w:tc>
        <w:tc>
          <w:tcPr>
            <w:tcW w:w="992" w:type="dxa"/>
            <w:vAlign w:val="center"/>
            <w:hideMark/>
          </w:tcPr>
          <w:p w14:paraId="25835570" w14:textId="77777777" w:rsidR="00566D8B" w:rsidRPr="00FA13A1" w:rsidRDefault="00D9536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FA13A1">
              <w:rPr>
                <w:rFonts w:ascii="Arial" w:hAnsi="Arial" w:cs="Arial"/>
                <w:b/>
                <w:color w:val="0F243E" w:themeColor="text2" w:themeShade="80"/>
                <w:sz w:val="18"/>
                <w:szCs w:val="18"/>
              </w:rPr>
              <w:t>Cantidad Viáticos</w:t>
            </w:r>
          </w:p>
        </w:tc>
        <w:tc>
          <w:tcPr>
            <w:tcW w:w="1134" w:type="dxa"/>
            <w:vAlign w:val="center"/>
            <w:hideMark/>
          </w:tcPr>
          <w:p w14:paraId="3A715F90" w14:textId="77777777" w:rsidR="00566D8B" w:rsidRPr="00FA13A1"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A13A1">
              <w:rPr>
                <w:rFonts w:ascii="Arial" w:hAnsi="Arial" w:cs="Arial"/>
                <w:color w:val="0F243E" w:themeColor="text2" w:themeShade="80"/>
                <w:sz w:val="18"/>
                <w:szCs w:val="18"/>
              </w:rPr>
              <w:t>105</w:t>
            </w:r>
          </w:p>
        </w:tc>
        <w:tc>
          <w:tcPr>
            <w:tcW w:w="1134" w:type="dxa"/>
            <w:vAlign w:val="center"/>
            <w:hideMark/>
          </w:tcPr>
          <w:p w14:paraId="2A6BE1CB" w14:textId="77777777" w:rsidR="00566D8B" w:rsidRPr="00FA13A1" w:rsidRDefault="001E2C57"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96</w:t>
            </w:r>
          </w:p>
        </w:tc>
        <w:tc>
          <w:tcPr>
            <w:tcW w:w="1134" w:type="dxa"/>
            <w:vAlign w:val="center"/>
            <w:hideMark/>
          </w:tcPr>
          <w:p w14:paraId="07C1F15B" w14:textId="77777777" w:rsidR="00566D8B" w:rsidRPr="00FA13A1" w:rsidRDefault="00F403F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9</w:t>
            </w:r>
          </w:p>
        </w:tc>
        <w:tc>
          <w:tcPr>
            <w:tcW w:w="567" w:type="dxa"/>
            <w:vAlign w:val="center"/>
            <w:hideMark/>
          </w:tcPr>
          <w:p w14:paraId="3654E3E9" w14:textId="77777777" w:rsidR="00566D8B" w:rsidRPr="004F38A3" w:rsidRDefault="00F403F6" w:rsidP="00F403F6">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9</w:t>
            </w:r>
          </w:p>
        </w:tc>
      </w:tr>
      <w:tr w:rsidR="001E2C57" w:rsidRPr="00A003B6" w14:paraId="1BE7BFFB" w14:textId="77777777" w:rsidTr="00763AF8">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4F81BD" w:themeFill="accent1"/>
            <w:vAlign w:val="center"/>
            <w:hideMark/>
          </w:tcPr>
          <w:p w14:paraId="420E69E5" w14:textId="77777777" w:rsidR="001E2C57" w:rsidRPr="00FA13A1" w:rsidRDefault="001E2C57" w:rsidP="001E2C57">
            <w:pPr>
              <w:ind w:left="-113" w:right="-57"/>
              <w:jc w:val="center"/>
              <w:rPr>
                <w:rFonts w:ascii="Arial" w:hAnsi="Arial" w:cs="Arial"/>
                <w:color w:val="FFFFFF" w:themeColor="background1"/>
                <w:sz w:val="18"/>
                <w:szCs w:val="18"/>
              </w:rPr>
            </w:pPr>
            <w:r w:rsidRPr="00FA13A1">
              <w:rPr>
                <w:rFonts w:ascii="Arial" w:hAnsi="Arial" w:cs="Arial"/>
                <w:color w:val="FFFFFF" w:themeColor="background1"/>
                <w:sz w:val="18"/>
                <w:szCs w:val="18"/>
              </w:rPr>
              <w:t>Concepto</w:t>
            </w:r>
          </w:p>
        </w:tc>
        <w:tc>
          <w:tcPr>
            <w:tcW w:w="993" w:type="dxa"/>
            <w:vMerge w:val="restart"/>
            <w:shd w:val="clear" w:color="auto" w:fill="4F81BD" w:themeFill="accent1"/>
            <w:vAlign w:val="center"/>
            <w:hideMark/>
          </w:tcPr>
          <w:p w14:paraId="3E014671" w14:textId="77777777" w:rsidR="001E2C57" w:rsidRPr="00FA13A1" w:rsidRDefault="001E2C57" w:rsidP="001E2C57">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Ago-19</w:t>
            </w:r>
          </w:p>
        </w:tc>
        <w:tc>
          <w:tcPr>
            <w:tcW w:w="992" w:type="dxa"/>
            <w:vMerge w:val="restart"/>
            <w:shd w:val="clear" w:color="auto" w:fill="4F81BD" w:themeFill="accent1"/>
            <w:vAlign w:val="center"/>
            <w:hideMark/>
          </w:tcPr>
          <w:p w14:paraId="51F82522" w14:textId="77777777" w:rsidR="001E2C57" w:rsidRPr="00FA13A1" w:rsidRDefault="001E2C57" w:rsidP="001E2C57">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Ago-18</w:t>
            </w:r>
          </w:p>
        </w:tc>
        <w:tc>
          <w:tcPr>
            <w:tcW w:w="1701" w:type="dxa"/>
            <w:gridSpan w:val="2"/>
            <w:shd w:val="clear" w:color="auto" w:fill="4F81BD" w:themeFill="accent1"/>
            <w:vAlign w:val="center"/>
            <w:hideMark/>
          </w:tcPr>
          <w:p w14:paraId="37B55927" w14:textId="77777777" w:rsidR="001E2C57" w:rsidRPr="00FA13A1" w:rsidRDefault="001E2C57" w:rsidP="001E2C57">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 xml:space="preserve">Variación </w:t>
            </w:r>
          </w:p>
        </w:tc>
        <w:tc>
          <w:tcPr>
            <w:tcW w:w="992" w:type="dxa"/>
            <w:vMerge w:val="restart"/>
            <w:shd w:val="clear" w:color="auto" w:fill="4F81BD" w:themeFill="accent1"/>
            <w:vAlign w:val="center"/>
            <w:hideMark/>
          </w:tcPr>
          <w:p w14:paraId="4329F1CD" w14:textId="77777777" w:rsidR="001E2C57" w:rsidRPr="00FA13A1" w:rsidRDefault="001E2C57" w:rsidP="001E2C57">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Concepto</w:t>
            </w:r>
          </w:p>
        </w:tc>
        <w:tc>
          <w:tcPr>
            <w:tcW w:w="1134" w:type="dxa"/>
            <w:vMerge w:val="restart"/>
            <w:shd w:val="clear" w:color="auto" w:fill="4F81BD" w:themeFill="accent1"/>
            <w:vAlign w:val="center"/>
            <w:hideMark/>
          </w:tcPr>
          <w:p w14:paraId="3B2E2E00" w14:textId="77777777" w:rsidR="001E2C57" w:rsidRPr="00FA13A1" w:rsidRDefault="001E2C57" w:rsidP="001E2C57">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Ago-19</w:t>
            </w:r>
          </w:p>
        </w:tc>
        <w:tc>
          <w:tcPr>
            <w:tcW w:w="1134" w:type="dxa"/>
            <w:vMerge w:val="restart"/>
            <w:shd w:val="clear" w:color="auto" w:fill="4F81BD" w:themeFill="accent1"/>
            <w:vAlign w:val="center"/>
            <w:hideMark/>
          </w:tcPr>
          <w:p w14:paraId="75A77862" w14:textId="77777777" w:rsidR="001E2C57" w:rsidRPr="00FA13A1" w:rsidRDefault="001E2C57" w:rsidP="001E2C57">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Ago-18</w:t>
            </w:r>
          </w:p>
        </w:tc>
        <w:tc>
          <w:tcPr>
            <w:tcW w:w="1701" w:type="dxa"/>
            <w:gridSpan w:val="2"/>
            <w:shd w:val="clear" w:color="auto" w:fill="4F81BD" w:themeFill="accent1"/>
            <w:vAlign w:val="center"/>
            <w:hideMark/>
          </w:tcPr>
          <w:p w14:paraId="34C24542" w14:textId="77777777" w:rsidR="001E2C57" w:rsidRPr="004F38A3" w:rsidRDefault="001E2C57" w:rsidP="001E2C57">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F38A3">
              <w:rPr>
                <w:rFonts w:ascii="Arial" w:hAnsi="Arial" w:cs="Arial"/>
                <w:b/>
                <w:bCs/>
                <w:color w:val="FFFFFF" w:themeColor="background1"/>
                <w:sz w:val="18"/>
                <w:szCs w:val="18"/>
              </w:rPr>
              <w:t xml:space="preserve">Variación </w:t>
            </w:r>
          </w:p>
        </w:tc>
      </w:tr>
      <w:tr w:rsidR="00566D8B" w:rsidRPr="00A003B6" w14:paraId="1580DF54" w14:textId="77777777" w:rsidTr="00763AF8">
        <w:trPr>
          <w:trHeight w:val="300"/>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4F81BD" w:themeFill="accent1"/>
            <w:vAlign w:val="center"/>
            <w:hideMark/>
          </w:tcPr>
          <w:p w14:paraId="24BCD335" w14:textId="77777777" w:rsidR="00566D8B" w:rsidRPr="00FA13A1" w:rsidRDefault="00566D8B" w:rsidP="00FF2728">
            <w:pPr>
              <w:ind w:left="-113" w:right="-57"/>
              <w:rPr>
                <w:rFonts w:ascii="Arial" w:hAnsi="Arial" w:cs="Arial"/>
                <w:color w:val="FFFFFF" w:themeColor="background1"/>
                <w:sz w:val="18"/>
                <w:szCs w:val="18"/>
              </w:rPr>
            </w:pPr>
          </w:p>
        </w:tc>
        <w:tc>
          <w:tcPr>
            <w:tcW w:w="993" w:type="dxa"/>
            <w:vMerge/>
            <w:shd w:val="clear" w:color="auto" w:fill="4F81BD" w:themeFill="accent1"/>
            <w:vAlign w:val="center"/>
            <w:hideMark/>
          </w:tcPr>
          <w:p w14:paraId="7AFF559E" w14:textId="77777777" w:rsidR="00566D8B" w:rsidRPr="00FA13A1" w:rsidRDefault="00566D8B" w:rsidP="00FF2728">
            <w:pPr>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992" w:type="dxa"/>
            <w:vMerge/>
            <w:shd w:val="clear" w:color="auto" w:fill="4F81BD" w:themeFill="accent1"/>
            <w:vAlign w:val="center"/>
            <w:hideMark/>
          </w:tcPr>
          <w:p w14:paraId="30848589" w14:textId="77777777" w:rsidR="00566D8B" w:rsidRPr="00FA13A1" w:rsidRDefault="00566D8B" w:rsidP="00FF2728">
            <w:pPr>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6703AB6A" w14:textId="77777777" w:rsidR="00566D8B" w:rsidRPr="00FA13A1"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 /#</w:t>
            </w:r>
          </w:p>
        </w:tc>
        <w:tc>
          <w:tcPr>
            <w:tcW w:w="567" w:type="dxa"/>
            <w:shd w:val="clear" w:color="auto" w:fill="4F81BD" w:themeFill="accent1"/>
            <w:vAlign w:val="center"/>
            <w:hideMark/>
          </w:tcPr>
          <w:p w14:paraId="12D3E8C3" w14:textId="77777777" w:rsidR="00566D8B" w:rsidRPr="00FA13A1"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w:t>
            </w:r>
          </w:p>
        </w:tc>
        <w:tc>
          <w:tcPr>
            <w:tcW w:w="992" w:type="dxa"/>
            <w:vMerge/>
            <w:shd w:val="clear" w:color="auto" w:fill="4F81BD" w:themeFill="accent1"/>
            <w:vAlign w:val="center"/>
            <w:hideMark/>
          </w:tcPr>
          <w:p w14:paraId="66953FDA" w14:textId="77777777" w:rsidR="00566D8B" w:rsidRPr="00FA13A1"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06BF852F" w14:textId="77777777" w:rsidR="00566D8B" w:rsidRPr="00FA13A1"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7C6520A1" w14:textId="77777777" w:rsidR="00566D8B" w:rsidRPr="00FA13A1"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4EA1C868" w14:textId="77777777" w:rsidR="00566D8B" w:rsidRPr="00FA13A1"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 /#</w:t>
            </w:r>
          </w:p>
        </w:tc>
        <w:tc>
          <w:tcPr>
            <w:tcW w:w="567" w:type="dxa"/>
            <w:shd w:val="clear" w:color="auto" w:fill="4F81BD" w:themeFill="accent1"/>
            <w:vAlign w:val="center"/>
            <w:hideMark/>
          </w:tcPr>
          <w:p w14:paraId="2F922ACE" w14:textId="77777777" w:rsidR="00566D8B" w:rsidRPr="004F38A3"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F38A3">
              <w:rPr>
                <w:rFonts w:ascii="Arial" w:hAnsi="Arial" w:cs="Arial"/>
                <w:b/>
                <w:bCs/>
                <w:color w:val="FFFFFF" w:themeColor="background1"/>
                <w:sz w:val="18"/>
                <w:szCs w:val="18"/>
              </w:rPr>
              <w:t>%</w:t>
            </w:r>
          </w:p>
        </w:tc>
      </w:tr>
      <w:tr w:rsidR="00566D8B" w:rsidRPr="00A003B6" w14:paraId="4CFDB87B" w14:textId="77777777" w:rsidTr="00763AF8">
        <w:trPr>
          <w:trHeight w:val="482"/>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0C045FBA" w14:textId="77777777" w:rsidR="00566D8B" w:rsidRPr="00FA13A1" w:rsidRDefault="00566D8B" w:rsidP="00FF2728">
            <w:pPr>
              <w:ind w:left="-113" w:right="-57"/>
              <w:jc w:val="center"/>
              <w:rPr>
                <w:rFonts w:ascii="Arial" w:hAnsi="Arial" w:cs="Arial"/>
                <w:color w:val="0F243E" w:themeColor="text2" w:themeShade="80"/>
                <w:sz w:val="18"/>
                <w:szCs w:val="18"/>
              </w:rPr>
            </w:pPr>
            <w:r w:rsidRPr="00FA13A1">
              <w:rPr>
                <w:rFonts w:ascii="Arial" w:hAnsi="Arial" w:cs="Arial"/>
                <w:color w:val="0F243E" w:themeColor="text2" w:themeShade="80"/>
                <w:sz w:val="18"/>
                <w:szCs w:val="18"/>
              </w:rPr>
              <w:t>Pasajes $</w:t>
            </w:r>
          </w:p>
        </w:tc>
        <w:tc>
          <w:tcPr>
            <w:tcW w:w="993" w:type="dxa"/>
            <w:vAlign w:val="center"/>
            <w:hideMark/>
          </w:tcPr>
          <w:p w14:paraId="1ED91D9E" w14:textId="77777777" w:rsidR="00566D8B" w:rsidRPr="00FA13A1" w:rsidRDefault="002938D7"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47.834.245</w:t>
            </w:r>
            <w:r w:rsidR="00566D8B" w:rsidRPr="00FA13A1">
              <w:rPr>
                <w:rFonts w:ascii="Arial" w:hAnsi="Arial" w:cs="Arial"/>
                <w:color w:val="0F243E" w:themeColor="text2" w:themeShade="80"/>
                <w:sz w:val="18"/>
                <w:szCs w:val="18"/>
              </w:rPr>
              <w:t xml:space="preserve"> </w:t>
            </w:r>
          </w:p>
        </w:tc>
        <w:tc>
          <w:tcPr>
            <w:tcW w:w="992" w:type="dxa"/>
            <w:vAlign w:val="center"/>
            <w:hideMark/>
          </w:tcPr>
          <w:p w14:paraId="0A51EEF9" w14:textId="77777777" w:rsidR="00566D8B" w:rsidRPr="00FA13A1" w:rsidRDefault="002938D7"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68.570.973</w:t>
            </w:r>
          </w:p>
        </w:tc>
        <w:tc>
          <w:tcPr>
            <w:tcW w:w="1134" w:type="dxa"/>
            <w:vAlign w:val="center"/>
            <w:hideMark/>
          </w:tcPr>
          <w:p w14:paraId="04497F42" w14:textId="77777777" w:rsidR="00566D8B" w:rsidRPr="00FA13A1" w:rsidRDefault="00771770" w:rsidP="00FF2728">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(20.736.728)</w:t>
            </w:r>
          </w:p>
        </w:tc>
        <w:tc>
          <w:tcPr>
            <w:tcW w:w="567" w:type="dxa"/>
            <w:vAlign w:val="center"/>
            <w:hideMark/>
          </w:tcPr>
          <w:p w14:paraId="12A3AE51" w14:textId="77777777" w:rsidR="00566D8B" w:rsidRPr="00FA13A1" w:rsidRDefault="00771770" w:rsidP="00FF2728">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(-30)</w:t>
            </w:r>
          </w:p>
        </w:tc>
        <w:tc>
          <w:tcPr>
            <w:tcW w:w="992" w:type="dxa"/>
            <w:vAlign w:val="center"/>
            <w:hideMark/>
          </w:tcPr>
          <w:p w14:paraId="2C631AC4" w14:textId="77777777" w:rsidR="00566D8B" w:rsidRPr="00FA13A1"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FA13A1">
              <w:rPr>
                <w:rFonts w:ascii="Arial" w:hAnsi="Arial" w:cs="Arial"/>
                <w:b/>
                <w:color w:val="0F243E" w:themeColor="text2" w:themeShade="80"/>
                <w:sz w:val="18"/>
                <w:szCs w:val="18"/>
              </w:rPr>
              <w:t>Viáticos $</w:t>
            </w:r>
          </w:p>
        </w:tc>
        <w:tc>
          <w:tcPr>
            <w:tcW w:w="1134" w:type="dxa"/>
            <w:vAlign w:val="center"/>
            <w:hideMark/>
          </w:tcPr>
          <w:p w14:paraId="710693A9" w14:textId="77777777" w:rsidR="00566D8B" w:rsidRPr="00FA13A1" w:rsidRDefault="00566D8B" w:rsidP="001E2C57">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A13A1">
              <w:rPr>
                <w:rFonts w:ascii="Arial" w:hAnsi="Arial" w:cs="Arial"/>
                <w:color w:val="0F243E" w:themeColor="text2" w:themeShade="80"/>
                <w:sz w:val="18"/>
                <w:szCs w:val="18"/>
              </w:rPr>
              <w:t xml:space="preserve"> </w:t>
            </w:r>
            <w:r w:rsidR="001E2C57">
              <w:rPr>
                <w:rFonts w:ascii="Arial" w:hAnsi="Arial" w:cs="Arial"/>
                <w:color w:val="0F243E" w:themeColor="text2" w:themeShade="80"/>
                <w:sz w:val="18"/>
                <w:szCs w:val="18"/>
              </w:rPr>
              <w:t>39.797.672</w:t>
            </w:r>
          </w:p>
        </w:tc>
        <w:tc>
          <w:tcPr>
            <w:tcW w:w="1134" w:type="dxa"/>
            <w:vAlign w:val="center"/>
            <w:hideMark/>
          </w:tcPr>
          <w:p w14:paraId="245BBF05" w14:textId="77777777" w:rsidR="00566D8B" w:rsidRPr="00FA13A1" w:rsidRDefault="00566D8B" w:rsidP="001E2C57">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A13A1">
              <w:rPr>
                <w:rFonts w:ascii="Arial" w:hAnsi="Arial" w:cs="Arial"/>
                <w:color w:val="0F243E" w:themeColor="text2" w:themeShade="80"/>
                <w:sz w:val="18"/>
                <w:szCs w:val="18"/>
              </w:rPr>
              <w:t xml:space="preserve"> </w:t>
            </w:r>
            <w:r w:rsidR="001E2C57">
              <w:rPr>
                <w:rFonts w:ascii="Arial" w:hAnsi="Arial" w:cs="Arial"/>
                <w:color w:val="0F243E" w:themeColor="text2" w:themeShade="80"/>
                <w:sz w:val="18"/>
                <w:szCs w:val="18"/>
              </w:rPr>
              <w:t>35.857.818</w:t>
            </w:r>
            <w:r w:rsidRPr="00FA13A1">
              <w:rPr>
                <w:rFonts w:ascii="Arial" w:hAnsi="Arial" w:cs="Arial"/>
                <w:color w:val="0F243E" w:themeColor="text2" w:themeShade="80"/>
                <w:sz w:val="18"/>
                <w:szCs w:val="18"/>
              </w:rPr>
              <w:t xml:space="preserve"> </w:t>
            </w:r>
          </w:p>
        </w:tc>
        <w:tc>
          <w:tcPr>
            <w:tcW w:w="1134" w:type="dxa"/>
            <w:vAlign w:val="center"/>
            <w:hideMark/>
          </w:tcPr>
          <w:p w14:paraId="6EBBE9C5" w14:textId="77777777" w:rsidR="00566D8B" w:rsidRPr="00FA13A1" w:rsidRDefault="00F403F6" w:rsidP="00F403F6">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3.939.854</w:t>
            </w:r>
          </w:p>
        </w:tc>
        <w:tc>
          <w:tcPr>
            <w:tcW w:w="567" w:type="dxa"/>
            <w:vAlign w:val="center"/>
            <w:hideMark/>
          </w:tcPr>
          <w:p w14:paraId="3A042B4B" w14:textId="77777777" w:rsidR="00566D8B" w:rsidRPr="004F38A3" w:rsidRDefault="00F403F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11</w:t>
            </w:r>
          </w:p>
        </w:tc>
      </w:tr>
      <w:tr w:rsidR="00566D8B" w:rsidRPr="00A003B6" w14:paraId="144C506D" w14:textId="77777777" w:rsidTr="00763AF8">
        <w:trPr>
          <w:trHeight w:val="510"/>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C9B3787" w14:textId="77777777" w:rsidR="00566D8B" w:rsidRPr="00FA13A1" w:rsidRDefault="00D95366" w:rsidP="00FF2728">
            <w:pPr>
              <w:ind w:left="-113" w:right="-57"/>
              <w:jc w:val="center"/>
              <w:rPr>
                <w:rFonts w:ascii="Arial" w:hAnsi="Arial" w:cs="Arial"/>
                <w:color w:val="0F243E" w:themeColor="text2" w:themeShade="80"/>
                <w:sz w:val="18"/>
                <w:szCs w:val="18"/>
              </w:rPr>
            </w:pPr>
            <w:r w:rsidRPr="00FA13A1">
              <w:rPr>
                <w:rFonts w:ascii="Arial" w:hAnsi="Arial" w:cs="Arial"/>
                <w:color w:val="0F243E" w:themeColor="text2" w:themeShade="80"/>
                <w:sz w:val="18"/>
                <w:szCs w:val="18"/>
              </w:rPr>
              <w:t>Cantidad Pasajeros</w:t>
            </w:r>
          </w:p>
        </w:tc>
        <w:tc>
          <w:tcPr>
            <w:tcW w:w="993" w:type="dxa"/>
            <w:vAlign w:val="center"/>
            <w:hideMark/>
          </w:tcPr>
          <w:p w14:paraId="29ADFEA6" w14:textId="77777777" w:rsidR="00566D8B" w:rsidRPr="00FA13A1" w:rsidRDefault="002938D7"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87</w:t>
            </w:r>
          </w:p>
        </w:tc>
        <w:tc>
          <w:tcPr>
            <w:tcW w:w="992" w:type="dxa"/>
            <w:vAlign w:val="center"/>
            <w:hideMark/>
          </w:tcPr>
          <w:p w14:paraId="130F0085" w14:textId="77777777" w:rsidR="00566D8B" w:rsidRPr="00FA13A1" w:rsidRDefault="002938D7"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103</w:t>
            </w:r>
          </w:p>
        </w:tc>
        <w:tc>
          <w:tcPr>
            <w:tcW w:w="1134" w:type="dxa"/>
            <w:vAlign w:val="center"/>
            <w:hideMark/>
          </w:tcPr>
          <w:p w14:paraId="4193BC78" w14:textId="77777777" w:rsidR="00566D8B" w:rsidRPr="00FA13A1" w:rsidRDefault="00771770" w:rsidP="00771770">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(16)</w:t>
            </w:r>
          </w:p>
        </w:tc>
        <w:tc>
          <w:tcPr>
            <w:tcW w:w="567" w:type="dxa"/>
            <w:vAlign w:val="center"/>
            <w:hideMark/>
          </w:tcPr>
          <w:p w14:paraId="5BB20C60" w14:textId="77777777" w:rsidR="00566D8B" w:rsidRPr="00FA13A1" w:rsidRDefault="00771770"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(-16)</w:t>
            </w:r>
          </w:p>
        </w:tc>
        <w:tc>
          <w:tcPr>
            <w:tcW w:w="992" w:type="dxa"/>
            <w:vAlign w:val="center"/>
            <w:hideMark/>
          </w:tcPr>
          <w:p w14:paraId="5891B556" w14:textId="77777777" w:rsidR="00566D8B" w:rsidRPr="00FA13A1" w:rsidRDefault="00D9536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FA13A1">
              <w:rPr>
                <w:rFonts w:ascii="Arial" w:hAnsi="Arial" w:cs="Arial"/>
                <w:b/>
                <w:color w:val="0F243E" w:themeColor="text2" w:themeShade="80"/>
                <w:sz w:val="18"/>
                <w:szCs w:val="18"/>
              </w:rPr>
              <w:t>Cantidad Viáticos</w:t>
            </w:r>
          </w:p>
        </w:tc>
        <w:tc>
          <w:tcPr>
            <w:tcW w:w="1134" w:type="dxa"/>
            <w:vAlign w:val="center"/>
            <w:hideMark/>
          </w:tcPr>
          <w:p w14:paraId="68E684BF" w14:textId="77777777" w:rsidR="00566D8B" w:rsidRPr="00FA13A1" w:rsidRDefault="001E2C57"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124</w:t>
            </w:r>
          </w:p>
        </w:tc>
        <w:tc>
          <w:tcPr>
            <w:tcW w:w="1134" w:type="dxa"/>
            <w:vAlign w:val="center"/>
            <w:hideMark/>
          </w:tcPr>
          <w:p w14:paraId="6E7F91CA" w14:textId="77777777" w:rsidR="00566D8B" w:rsidRPr="00FA13A1" w:rsidRDefault="001E2C57"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103</w:t>
            </w:r>
          </w:p>
        </w:tc>
        <w:tc>
          <w:tcPr>
            <w:tcW w:w="1134" w:type="dxa"/>
            <w:vAlign w:val="center"/>
            <w:hideMark/>
          </w:tcPr>
          <w:p w14:paraId="2F08DCA2" w14:textId="77777777" w:rsidR="00566D8B" w:rsidRPr="00FA13A1" w:rsidRDefault="00F403F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21</w:t>
            </w:r>
          </w:p>
        </w:tc>
        <w:tc>
          <w:tcPr>
            <w:tcW w:w="567" w:type="dxa"/>
            <w:vAlign w:val="center"/>
            <w:hideMark/>
          </w:tcPr>
          <w:p w14:paraId="0204FC36" w14:textId="77777777" w:rsidR="00566D8B" w:rsidRPr="004F38A3" w:rsidRDefault="00F403F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20</w:t>
            </w:r>
          </w:p>
        </w:tc>
      </w:tr>
      <w:tr w:rsidR="001E2C57" w:rsidRPr="00A003B6" w14:paraId="5F856479" w14:textId="77777777" w:rsidTr="00763AF8">
        <w:trPr>
          <w:trHeight w:val="300"/>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4F81BD" w:themeFill="accent1"/>
            <w:vAlign w:val="center"/>
            <w:hideMark/>
          </w:tcPr>
          <w:p w14:paraId="4EB630E7" w14:textId="77777777" w:rsidR="001E2C57" w:rsidRPr="00FA13A1" w:rsidRDefault="001E2C57" w:rsidP="001E2C57">
            <w:pPr>
              <w:ind w:left="-113" w:right="-57"/>
              <w:jc w:val="center"/>
              <w:rPr>
                <w:rFonts w:ascii="Arial" w:hAnsi="Arial" w:cs="Arial"/>
                <w:color w:val="FFFFFF" w:themeColor="background1"/>
                <w:sz w:val="18"/>
                <w:szCs w:val="18"/>
              </w:rPr>
            </w:pPr>
            <w:r w:rsidRPr="00FA13A1">
              <w:rPr>
                <w:rFonts w:ascii="Arial" w:hAnsi="Arial" w:cs="Arial"/>
                <w:color w:val="FFFFFF" w:themeColor="background1"/>
                <w:sz w:val="18"/>
                <w:szCs w:val="18"/>
              </w:rPr>
              <w:t>Concepto</w:t>
            </w:r>
          </w:p>
        </w:tc>
        <w:tc>
          <w:tcPr>
            <w:tcW w:w="993" w:type="dxa"/>
            <w:vMerge w:val="restart"/>
            <w:shd w:val="clear" w:color="auto" w:fill="4F81BD" w:themeFill="accent1"/>
            <w:vAlign w:val="center"/>
            <w:hideMark/>
          </w:tcPr>
          <w:p w14:paraId="3E7EED74" w14:textId="77777777" w:rsidR="001E2C57" w:rsidRPr="00FA13A1" w:rsidRDefault="001E2C57" w:rsidP="001E2C57">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Sep-19</w:t>
            </w:r>
          </w:p>
        </w:tc>
        <w:tc>
          <w:tcPr>
            <w:tcW w:w="992" w:type="dxa"/>
            <w:vMerge w:val="restart"/>
            <w:shd w:val="clear" w:color="auto" w:fill="4F81BD" w:themeFill="accent1"/>
            <w:vAlign w:val="center"/>
            <w:hideMark/>
          </w:tcPr>
          <w:p w14:paraId="26684552" w14:textId="77777777" w:rsidR="001E2C57" w:rsidRPr="00FA13A1" w:rsidRDefault="001E2C57" w:rsidP="001E2C57">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Sep-18</w:t>
            </w:r>
          </w:p>
        </w:tc>
        <w:tc>
          <w:tcPr>
            <w:tcW w:w="1701" w:type="dxa"/>
            <w:gridSpan w:val="2"/>
            <w:shd w:val="clear" w:color="auto" w:fill="4F81BD" w:themeFill="accent1"/>
            <w:vAlign w:val="center"/>
            <w:hideMark/>
          </w:tcPr>
          <w:p w14:paraId="09382DE3" w14:textId="77777777" w:rsidR="001E2C57" w:rsidRPr="00FA13A1" w:rsidRDefault="001E2C57" w:rsidP="001E2C57">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 xml:space="preserve">Variación </w:t>
            </w:r>
          </w:p>
        </w:tc>
        <w:tc>
          <w:tcPr>
            <w:tcW w:w="992" w:type="dxa"/>
            <w:vMerge w:val="restart"/>
            <w:shd w:val="clear" w:color="auto" w:fill="4F81BD" w:themeFill="accent1"/>
            <w:vAlign w:val="center"/>
            <w:hideMark/>
          </w:tcPr>
          <w:p w14:paraId="4B4521CD" w14:textId="77777777" w:rsidR="001E2C57" w:rsidRPr="00FA13A1" w:rsidRDefault="001E2C57" w:rsidP="001E2C57">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Concepto</w:t>
            </w:r>
          </w:p>
        </w:tc>
        <w:tc>
          <w:tcPr>
            <w:tcW w:w="1134" w:type="dxa"/>
            <w:vMerge w:val="restart"/>
            <w:shd w:val="clear" w:color="auto" w:fill="4F81BD" w:themeFill="accent1"/>
            <w:vAlign w:val="center"/>
            <w:hideMark/>
          </w:tcPr>
          <w:p w14:paraId="362E8220" w14:textId="77777777" w:rsidR="001E2C57" w:rsidRPr="00FA13A1" w:rsidRDefault="001E2C57" w:rsidP="001E2C57">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Sep-19</w:t>
            </w:r>
          </w:p>
        </w:tc>
        <w:tc>
          <w:tcPr>
            <w:tcW w:w="1134" w:type="dxa"/>
            <w:vMerge w:val="restart"/>
            <w:shd w:val="clear" w:color="auto" w:fill="4F81BD" w:themeFill="accent1"/>
            <w:vAlign w:val="center"/>
            <w:hideMark/>
          </w:tcPr>
          <w:p w14:paraId="3142D87F" w14:textId="77777777" w:rsidR="001E2C57" w:rsidRPr="00FA13A1" w:rsidRDefault="001E2C57" w:rsidP="001E2C57">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Sep-18</w:t>
            </w:r>
          </w:p>
        </w:tc>
        <w:tc>
          <w:tcPr>
            <w:tcW w:w="1701" w:type="dxa"/>
            <w:gridSpan w:val="2"/>
            <w:shd w:val="clear" w:color="auto" w:fill="4F81BD" w:themeFill="accent1"/>
            <w:vAlign w:val="center"/>
            <w:hideMark/>
          </w:tcPr>
          <w:p w14:paraId="6C7855ED" w14:textId="77777777" w:rsidR="001E2C57" w:rsidRPr="004F38A3" w:rsidRDefault="001E2C57" w:rsidP="001E2C57">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F38A3">
              <w:rPr>
                <w:rFonts w:ascii="Arial" w:hAnsi="Arial" w:cs="Arial"/>
                <w:b/>
                <w:bCs/>
                <w:color w:val="FFFFFF" w:themeColor="background1"/>
                <w:sz w:val="18"/>
                <w:szCs w:val="18"/>
              </w:rPr>
              <w:t xml:space="preserve">Variación </w:t>
            </w:r>
          </w:p>
        </w:tc>
      </w:tr>
      <w:tr w:rsidR="00566D8B" w:rsidRPr="00A003B6" w14:paraId="7DF72023" w14:textId="77777777" w:rsidTr="00763AF8">
        <w:trPr>
          <w:trHeight w:val="375"/>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4F81BD" w:themeFill="accent1"/>
            <w:vAlign w:val="center"/>
            <w:hideMark/>
          </w:tcPr>
          <w:p w14:paraId="1B6C6E12" w14:textId="77777777" w:rsidR="00566D8B" w:rsidRPr="00FA13A1" w:rsidRDefault="00566D8B" w:rsidP="00FF2728">
            <w:pPr>
              <w:ind w:left="-113" w:right="-57"/>
              <w:rPr>
                <w:rFonts w:ascii="Arial" w:hAnsi="Arial" w:cs="Arial"/>
                <w:color w:val="FFFFFF" w:themeColor="background1"/>
                <w:sz w:val="18"/>
                <w:szCs w:val="18"/>
              </w:rPr>
            </w:pPr>
          </w:p>
        </w:tc>
        <w:tc>
          <w:tcPr>
            <w:tcW w:w="993" w:type="dxa"/>
            <w:vMerge/>
            <w:shd w:val="clear" w:color="auto" w:fill="4F81BD" w:themeFill="accent1"/>
            <w:vAlign w:val="center"/>
            <w:hideMark/>
          </w:tcPr>
          <w:p w14:paraId="29C76289" w14:textId="77777777" w:rsidR="00566D8B" w:rsidRPr="00FA13A1" w:rsidRDefault="00566D8B" w:rsidP="00FF2728">
            <w:pPr>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992" w:type="dxa"/>
            <w:vMerge/>
            <w:shd w:val="clear" w:color="auto" w:fill="4F81BD" w:themeFill="accent1"/>
            <w:vAlign w:val="center"/>
            <w:hideMark/>
          </w:tcPr>
          <w:p w14:paraId="611BEBDF" w14:textId="77777777" w:rsidR="00566D8B" w:rsidRPr="00FA13A1" w:rsidRDefault="00566D8B" w:rsidP="00FF2728">
            <w:pPr>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0734BC82" w14:textId="77777777" w:rsidR="00566D8B" w:rsidRPr="00FA13A1"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 /#</w:t>
            </w:r>
          </w:p>
        </w:tc>
        <w:tc>
          <w:tcPr>
            <w:tcW w:w="567" w:type="dxa"/>
            <w:shd w:val="clear" w:color="auto" w:fill="4F81BD" w:themeFill="accent1"/>
            <w:vAlign w:val="center"/>
            <w:hideMark/>
          </w:tcPr>
          <w:p w14:paraId="0D306953" w14:textId="77777777" w:rsidR="00566D8B" w:rsidRPr="00FA13A1"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w:t>
            </w:r>
          </w:p>
        </w:tc>
        <w:tc>
          <w:tcPr>
            <w:tcW w:w="992" w:type="dxa"/>
            <w:vMerge/>
            <w:shd w:val="clear" w:color="auto" w:fill="4F81BD" w:themeFill="accent1"/>
            <w:vAlign w:val="center"/>
            <w:hideMark/>
          </w:tcPr>
          <w:p w14:paraId="15453B12" w14:textId="77777777" w:rsidR="00566D8B" w:rsidRPr="00FA13A1"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1BF7D192" w14:textId="77777777" w:rsidR="00566D8B" w:rsidRPr="00FA13A1"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0D2F9214" w14:textId="77777777" w:rsidR="00566D8B" w:rsidRPr="00FA13A1" w:rsidRDefault="00566D8B" w:rsidP="00FF2728">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7503BA0B" w14:textId="77777777" w:rsidR="00566D8B" w:rsidRPr="00FA13A1"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FA13A1">
              <w:rPr>
                <w:rFonts w:ascii="Arial" w:hAnsi="Arial" w:cs="Arial"/>
                <w:b/>
                <w:bCs/>
                <w:color w:val="FFFFFF" w:themeColor="background1"/>
                <w:sz w:val="18"/>
                <w:szCs w:val="18"/>
              </w:rPr>
              <w:t>$ /#</w:t>
            </w:r>
          </w:p>
        </w:tc>
        <w:tc>
          <w:tcPr>
            <w:tcW w:w="567" w:type="dxa"/>
            <w:shd w:val="clear" w:color="auto" w:fill="4F81BD" w:themeFill="accent1"/>
            <w:vAlign w:val="center"/>
            <w:hideMark/>
          </w:tcPr>
          <w:p w14:paraId="2B051B5A" w14:textId="77777777" w:rsidR="00566D8B" w:rsidRPr="004F38A3"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4F38A3">
              <w:rPr>
                <w:rFonts w:ascii="Arial" w:hAnsi="Arial" w:cs="Arial"/>
                <w:b/>
                <w:bCs/>
                <w:color w:val="FFFFFF" w:themeColor="background1"/>
                <w:sz w:val="18"/>
                <w:szCs w:val="18"/>
              </w:rPr>
              <w:t>%</w:t>
            </w:r>
          </w:p>
        </w:tc>
      </w:tr>
      <w:tr w:rsidR="00566D8B" w:rsidRPr="00A003B6" w14:paraId="78F04C7F" w14:textId="77777777" w:rsidTr="00763AF8">
        <w:trPr>
          <w:trHeight w:val="706"/>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0C98D3C2" w14:textId="77777777" w:rsidR="00566D8B" w:rsidRPr="00FA13A1" w:rsidRDefault="00566D8B" w:rsidP="00FF2728">
            <w:pPr>
              <w:ind w:left="-113" w:right="-57"/>
              <w:jc w:val="center"/>
              <w:rPr>
                <w:rFonts w:ascii="Arial" w:hAnsi="Arial" w:cs="Arial"/>
                <w:color w:val="0F243E" w:themeColor="text2" w:themeShade="80"/>
                <w:sz w:val="18"/>
                <w:szCs w:val="18"/>
              </w:rPr>
            </w:pPr>
            <w:r w:rsidRPr="00FA13A1">
              <w:rPr>
                <w:rFonts w:ascii="Arial" w:hAnsi="Arial" w:cs="Arial"/>
                <w:color w:val="0F243E" w:themeColor="text2" w:themeShade="80"/>
                <w:sz w:val="18"/>
                <w:szCs w:val="18"/>
              </w:rPr>
              <w:t>Pasajes $</w:t>
            </w:r>
          </w:p>
        </w:tc>
        <w:tc>
          <w:tcPr>
            <w:tcW w:w="993" w:type="dxa"/>
            <w:vAlign w:val="center"/>
            <w:hideMark/>
          </w:tcPr>
          <w:p w14:paraId="5E006276" w14:textId="77777777" w:rsidR="00566D8B" w:rsidRPr="00FA13A1" w:rsidRDefault="002938D7"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61.245.633</w:t>
            </w:r>
            <w:r w:rsidR="00566D8B" w:rsidRPr="00FA13A1">
              <w:rPr>
                <w:rFonts w:ascii="Arial" w:hAnsi="Arial" w:cs="Arial"/>
                <w:color w:val="0F243E" w:themeColor="text2" w:themeShade="80"/>
                <w:sz w:val="18"/>
                <w:szCs w:val="18"/>
              </w:rPr>
              <w:t xml:space="preserve"> </w:t>
            </w:r>
          </w:p>
        </w:tc>
        <w:tc>
          <w:tcPr>
            <w:tcW w:w="992" w:type="dxa"/>
            <w:vAlign w:val="center"/>
            <w:hideMark/>
          </w:tcPr>
          <w:p w14:paraId="4FCE306B" w14:textId="77777777" w:rsidR="00566D8B" w:rsidRPr="00FA13A1" w:rsidRDefault="002938D7"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61.462.906</w:t>
            </w:r>
          </w:p>
        </w:tc>
        <w:tc>
          <w:tcPr>
            <w:tcW w:w="1134" w:type="dxa"/>
            <w:vAlign w:val="center"/>
            <w:hideMark/>
          </w:tcPr>
          <w:p w14:paraId="342453C3" w14:textId="77777777" w:rsidR="00566D8B" w:rsidRPr="00FA13A1" w:rsidRDefault="00771770" w:rsidP="00FF2728">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(217.273)</w:t>
            </w:r>
          </w:p>
        </w:tc>
        <w:tc>
          <w:tcPr>
            <w:tcW w:w="567" w:type="dxa"/>
            <w:vAlign w:val="center"/>
            <w:hideMark/>
          </w:tcPr>
          <w:p w14:paraId="70AE1FFA" w14:textId="77777777" w:rsidR="00566D8B" w:rsidRPr="00FA13A1" w:rsidRDefault="00771770" w:rsidP="00771770">
            <w:pPr>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(-0,4)</w:t>
            </w:r>
          </w:p>
        </w:tc>
        <w:tc>
          <w:tcPr>
            <w:tcW w:w="992" w:type="dxa"/>
            <w:vAlign w:val="center"/>
            <w:hideMark/>
          </w:tcPr>
          <w:p w14:paraId="630DA63D" w14:textId="77777777" w:rsidR="00566D8B" w:rsidRPr="00FA13A1" w:rsidRDefault="00566D8B"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FA13A1">
              <w:rPr>
                <w:rFonts w:ascii="Arial" w:hAnsi="Arial" w:cs="Arial"/>
                <w:b/>
                <w:color w:val="0F243E" w:themeColor="text2" w:themeShade="80"/>
                <w:sz w:val="18"/>
                <w:szCs w:val="18"/>
              </w:rPr>
              <w:t>Viáticos $</w:t>
            </w:r>
          </w:p>
        </w:tc>
        <w:tc>
          <w:tcPr>
            <w:tcW w:w="1134" w:type="dxa"/>
            <w:vAlign w:val="center"/>
            <w:hideMark/>
          </w:tcPr>
          <w:p w14:paraId="1DAF6C12" w14:textId="77777777" w:rsidR="00566D8B" w:rsidRPr="00FA13A1" w:rsidRDefault="00566D8B" w:rsidP="001E2C57">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A13A1">
              <w:rPr>
                <w:rFonts w:ascii="Arial" w:hAnsi="Arial" w:cs="Arial"/>
                <w:color w:val="0F243E" w:themeColor="text2" w:themeShade="80"/>
                <w:sz w:val="18"/>
                <w:szCs w:val="18"/>
              </w:rPr>
              <w:t xml:space="preserve"> </w:t>
            </w:r>
            <w:r w:rsidR="001E2C57">
              <w:rPr>
                <w:rFonts w:ascii="Arial" w:hAnsi="Arial" w:cs="Arial"/>
                <w:color w:val="0F243E" w:themeColor="text2" w:themeShade="80"/>
                <w:sz w:val="18"/>
                <w:szCs w:val="18"/>
              </w:rPr>
              <w:t>41.694.408</w:t>
            </w:r>
            <w:r w:rsidRPr="00FA13A1">
              <w:rPr>
                <w:rFonts w:ascii="Arial" w:hAnsi="Arial" w:cs="Arial"/>
                <w:color w:val="0F243E" w:themeColor="text2" w:themeShade="80"/>
                <w:sz w:val="18"/>
                <w:szCs w:val="18"/>
              </w:rPr>
              <w:t xml:space="preserve"> </w:t>
            </w:r>
          </w:p>
        </w:tc>
        <w:tc>
          <w:tcPr>
            <w:tcW w:w="1134" w:type="dxa"/>
            <w:vAlign w:val="center"/>
            <w:hideMark/>
          </w:tcPr>
          <w:p w14:paraId="6DD1B651" w14:textId="77777777" w:rsidR="00566D8B" w:rsidRPr="00FA13A1" w:rsidRDefault="00566D8B" w:rsidP="001E2C57">
            <w:pPr>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A13A1">
              <w:rPr>
                <w:rFonts w:ascii="Arial" w:hAnsi="Arial" w:cs="Arial"/>
                <w:color w:val="0F243E" w:themeColor="text2" w:themeShade="80"/>
                <w:sz w:val="18"/>
                <w:szCs w:val="18"/>
              </w:rPr>
              <w:t xml:space="preserve"> </w:t>
            </w:r>
            <w:r w:rsidR="001E2C57">
              <w:rPr>
                <w:rFonts w:ascii="Arial" w:hAnsi="Arial" w:cs="Arial"/>
                <w:color w:val="0F243E" w:themeColor="text2" w:themeShade="80"/>
                <w:sz w:val="18"/>
                <w:szCs w:val="18"/>
              </w:rPr>
              <w:t>44.220.979</w:t>
            </w:r>
            <w:r w:rsidRPr="00FA13A1">
              <w:rPr>
                <w:rFonts w:ascii="Arial" w:hAnsi="Arial" w:cs="Arial"/>
                <w:color w:val="0F243E" w:themeColor="text2" w:themeShade="80"/>
                <w:sz w:val="18"/>
                <w:szCs w:val="18"/>
              </w:rPr>
              <w:t xml:space="preserve"> </w:t>
            </w:r>
          </w:p>
        </w:tc>
        <w:tc>
          <w:tcPr>
            <w:tcW w:w="1134" w:type="dxa"/>
            <w:vAlign w:val="center"/>
            <w:hideMark/>
          </w:tcPr>
          <w:p w14:paraId="214C4214" w14:textId="77777777" w:rsidR="00566D8B" w:rsidRPr="00FA13A1" w:rsidRDefault="00F403F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(2.526.571)</w:t>
            </w:r>
          </w:p>
        </w:tc>
        <w:tc>
          <w:tcPr>
            <w:tcW w:w="567" w:type="dxa"/>
            <w:vAlign w:val="center"/>
            <w:hideMark/>
          </w:tcPr>
          <w:p w14:paraId="058FCE77" w14:textId="77777777" w:rsidR="00566D8B" w:rsidRPr="004F38A3" w:rsidRDefault="00F403F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(6)</w:t>
            </w:r>
          </w:p>
        </w:tc>
      </w:tr>
      <w:tr w:rsidR="00566D8B" w:rsidRPr="00A003B6" w14:paraId="475D3621" w14:textId="77777777" w:rsidTr="00763AF8">
        <w:trPr>
          <w:trHeight w:val="510"/>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5B396DA" w14:textId="77777777" w:rsidR="00566D8B" w:rsidRPr="00FA13A1" w:rsidRDefault="00D95366" w:rsidP="00FF2728">
            <w:pPr>
              <w:ind w:left="-113" w:right="-57"/>
              <w:jc w:val="center"/>
              <w:rPr>
                <w:rFonts w:ascii="Arial" w:hAnsi="Arial" w:cs="Arial"/>
                <w:color w:val="0F243E" w:themeColor="text2" w:themeShade="80"/>
                <w:sz w:val="18"/>
                <w:szCs w:val="18"/>
              </w:rPr>
            </w:pPr>
            <w:r w:rsidRPr="00FA13A1">
              <w:rPr>
                <w:rFonts w:ascii="Arial" w:hAnsi="Arial" w:cs="Arial"/>
                <w:color w:val="0F243E" w:themeColor="text2" w:themeShade="80"/>
                <w:sz w:val="18"/>
                <w:szCs w:val="18"/>
              </w:rPr>
              <w:t>Cantidad Pasajeros</w:t>
            </w:r>
          </w:p>
        </w:tc>
        <w:tc>
          <w:tcPr>
            <w:tcW w:w="993" w:type="dxa"/>
            <w:vAlign w:val="center"/>
            <w:hideMark/>
          </w:tcPr>
          <w:p w14:paraId="45AF06A2" w14:textId="77777777" w:rsidR="00566D8B" w:rsidRPr="00FA13A1" w:rsidRDefault="002938D7"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92</w:t>
            </w:r>
          </w:p>
        </w:tc>
        <w:tc>
          <w:tcPr>
            <w:tcW w:w="992" w:type="dxa"/>
            <w:vAlign w:val="center"/>
            <w:hideMark/>
          </w:tcPr>
          <w:p w14:paraId="669E3BBB" w14:textId="77777777" w:rsidR="00566D8B" w:rsidRPr="00FA13A1" w:rsidRDefault="00566D8B"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A13A1">
              <w:rPr>
                <w:rFonts w:ascii="Arial" w:hAnsi="Arial" w:cs="Arial"/>
                <w:color w:val="0F243E" w:themeColor="text2" w:themeShade="80"/>
                <w:sz w:val="18"/>
                <w:szCs w:val="18"/>
              </w:rPr>
              <w:t>87</w:t>
            </w:r>
          </w:p>
        </w:tc>
        <w:tc>
          <w:tcPr>
            <w:tcW w:w="1134" w:type="dxa"/>
            <w:vAlign w:val="center"/>
            <w:hideMark/>
          </w:tcPr>
          <w:p w14:paraId="5F666EB1" w14:textId="77777777" w:rsidR="00566D8B" w:rsidRPr="00FA13A1" w:rsidRDefault="00771770"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5</w:t>
            </w:r>
          </w:p>
        </w:tc>
        <w:tc>
          <w:tcPr>
            <w:tcW w:w="567" w:type="dxa"/>
            <w:vAlign w:val="center"/>
            <w:hideMark/>
          </w:tcPr>
          <w:p w14:paraId="77B15C81" w14:textId="77777777" w:rsidR="00566D8B" w:rsidRPr="00FA13A1" w:rsidRDefault="00771770" w:rsidP="00FF2728">
            <w:pPr>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6</w:t>
            </w:r>
          </w:p>
        </w:tc>
        <w:tc>
          <w:tcPr>
            <w:tcW w:w="992" w:type="dxa"/>
            <w:vAlign w:val="center"/>
            <w:hideMark/>
          </w:tcPr>
          <w:p w14:paraId="6A36C9C1" w14:textId="77777777" w:rsidR="00566D8B" w:rsidRPr="00FA13A1" w:rsidRDefault="00D95366"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FA13A1">
              <w:rPr>
                <w:rFonts w:ascii="Arial" w:hAnsi="Arial" w:cs="Arial"/>
                <w:b/>
                <w:color w:val="0F243E" w:themeColor="text2" w:themeShade="80"/>
                <w:sz w:val="18"/>
                <w:szCs w:val="18"/>
              </w:rPr>
              <w:t>Cantidad Viáticos</w:t>
            </w:r>
          </w:p>
        </w:tc>
        <w:tc>
          <w:tcPr>
            <w:tcW w:w="1134" w:type="dxa"/>
            <w:vAlign w:val="center"/>
            <w:hideMark/>
          </w:tcPr>
          <w:p w14:paraId="52E6EBEB" w14:textId="77777777" w:rsidR="00566D8B" w:rsidRPr="00FA13A1" w:rsidRDefault="001E2C57"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114</w:t>
            </w:r>
          </w:p>
        </w:tc>
        <w:tc>
          <w:tcPr>
            <w:tcW w:w="1134" w:type="dxa"/>
            <w:vAlign w:val="center"/>
            <w:hideMark/>
          </w:tcPr>
          <w:p w14:paraId="7FF58B68" w14:textId="77777777" w:rsidR="00566D8B" w:rsidRPr="00FA13A1" w:rsidRDefault="001E2C57" w:rsidP="00FF2728">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F243E" w:themeColor="text2" w:themeShade="80"/>
                <w:sz w:val="18"/>
                <w:szCs w:val="18"/>
              </w:rPr>
              <w:t>115</w:t>
            </w:r>
          </w:p>
        </w:tc>
        <w:tc>
          <w:tcPr>
            <w:tcW w:w="1134" w:type="dxa"/>
            <w:vAlign w:val="center"/>
            <w:hideMark/>
          </w:tcPr>
          <w:p w14:paraId="09F20A59" w14:textId="77777777" w:rsidR="00566D8B" w:rsidRPr="00FA13A1" w:rsidRDefault="00F403F6" w:rsidP="00F403F6">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(1)</w:t>
            </w:r>
          </w:p>
        </w:tc>
        <w:tc>
          <w:tcPr>
            <w:tcW w:w="567" w:type="dxa"/>
            <w:vAlign w:val="center"/>
            <w:hideMark/>
          </w:tcPr>
          <w:p w14:paraId="2583ABA9" w14:textId="77777777" w:rsidR="00566D8B" w:rsidRPr="004F38A3" w:rsidRDefault="00F403F6" w:rsidP="00F403F6">
            <w:pPr>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Pr>
                <w:rFonts w:ascii="Arial" w:hAnsi="Arial" w:cs="Arial"/>
                <w:b/>
                <w:bCs/>
                <w:color w:val="0F243E" w:themeColor="text2" w:themeShade="80"/>
                <w:sz w:val="18"/>
                <w:szCs w:val="18"/>
              </w:rPr>
              <w:t>(-1)</w:t>
            </w:r>
          </w:p>
        </w:tc>
      </w:tr>
    </w:tbl>
    <w:p w14:paraId="38FDAE3D" w14:textId="4BBF6F9A" w:rsidR="00DE59D8" w:rsidRDefault="00DE59D8" w:rsidP="0011574E">
      <w:pPr>
        <w:tabs>
          <w:tab w:val="left" w:pos="567"/>
        </w:tabs>
        <w:jc w:val="both"/>
        <w:rPr>
          <w:rFonts w:ascii="Arial" w:hAnsi="Arial" w:cs="Arial"/>
          <w:color w:val="000000" w:themeColor="text1"/>
          <w:sz w:val="22"/>
          <w:szCs w:val="22"/>
          <w:highlight w:val="yellow"/>
        </w:rPr>
      </w:pPr>
    </w:p>
    <w:p w14:paraId="39D987CD" w14:textId="6ACE57FB" w:rsidR="00DE59D8" w:rsidRDefault="00353D5B" w:rsidP="0011574E">
      <w:pPr>
        <w:tabs>
          <w:tab w:val="left" w:pos="567"/>
        </w:tabs>
        <w:jc w:val="both"/>
        <w:rPr>
          <w:rFonts w:ascii="Arial" w:hAnsi="Arial" w:cs="Arial"/>
          <w:color w:val="000000" w:themeColor="text1"/>
          <w:sz w:val="22"/>
          <w:szCs w:val="22"/>
          <w:highlight w:val="yellow"/>
        </w:rPr>
      </w:pPr>
      <w:r w:rsidRPr="00444C5B">
        <w:rPr>
          <w:rFonts w:ascii="Arial" w:hAnsi="Arial" w:cs="Arial"/>
          <w:noProof/>
          <w:color w:val="0F243E" w:themeColor="text2" w:themeShade="80"/>
          <w:sz w:val="22"/>
          <w:szCs w:val="22"/>
        </w:rPr>
        <w:drawing>
          <wp:anchor distT="0" distB="0" distL="114300" distR="114300" simplePos="0" relativeHeight="251955200" behindDoc="0" locked="0" layoutInCell="1" allowOverlap="1" wp14:anchorId="12177490" wp14:editId="267B23DC">
            <wp:simplePos x="0" y="0"/>
            <wp:positionH relativeFrom="page">
              <wp:posOffset>4105275</wp:posOffset>
            </wp:positionH>
            <wp:positionV relativeFrom="paragraph">
              <wp:posOffset>-57785</wp:posOffset>
            </wp:positionV>
            <wp:extent cx="3105150" cy="2905125"/>
            <wp:effectExtent l="0" t="0" r="0" b="0"/>
            <wp:wrapNone/>
            <wp:docPr id="25" name="Gráfico 2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A00-000005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444C5B">
        <w:rPr>
          <w:rFonts w:ascii="Arial" w:hAnsi="Arial" w:cs="Arial"/>
          <w:noProof/>
          <w:color w:val="0F243E" w:themeColor="text2" w:themeShade="80"/>
          <w:sz w:val="22"/>
          <w:szCs w:val="22"/>
        </w:rPr>
        <w:drawing>
          <wp:anchor distT="0" distB="0" distL="114300" distR="114300" simplePos="0" relativeHeight="251954176" behindDoc="0" locked="0" layoutInCell="1" allowOverlap="1" wp14:anchorId="1E42758A" wp14:editId="46DE4A9F">
            <wp:simplePos x="0" y="0"/>
            <wp:positionH relativeFrom="margin">
              <wp:posOffset>33020</wp:posOffset>
            </wp:positionH>
            <wp:positionV relativeFrom="paragraph">
              <wp:posOffset>-38734</wp:posOffset>
            </wp:positionV>
            <wp:extent cx="3114675" cy="2895600"/>
            <wp:effectExtent l="0" t="0" r="0" b="0"/>
            <wp:wrapNone/>
            <wp:docPr id="26" name="Gráfico 2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A00-000008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693B8DB9" w14:textId="03F309F9" w:rsidR="00DE59D8" w:rsidRDefault="00DE59D8" w:rsidP="0011574E">
      <w:pPr>
        <w:tabs>
          <w:tab w:val="left" w:pos="567"/>
        </w:tabs>
        <w:jc w:val="both"/>
        <w:rPr>
          <w:rFonts w:ascii="Arial" w:hAnsi="Arial" w:cs="Arial"/>
          <w:color w:val="000000" w:themeColor="text1"/>
          <w:sz w:val="22"/>
          <w:szCs w:val="22"/>
          <w:highlight w:val="yellow"/>
        </w:rPr>
      </w:pPr>
    </w:p>
    <w:p w14:paraId="2CB8F2A3" w14:textId="50D64EF0" w:rsidR="00DE59D8" w:rsidRDefault="00DE59D8" w:rsidP="0011574E">
      <w:pPr>
        <w:tabs>
          <w:tab w:val="left" w:pos="567"/>
        </w:tabs>
        <w:jc w:val="both"/>
        <w:rPr>
          <w:rFonts w:ascii="Arial" w:hAnsi="Arial" w:cs="Arial"/>
          <w:color w:val="000000" w:themeColor="text1"/>
          <w:sz w:val="22"/>
          <w:szCs w:val="22"/>
          <w:highlight w:val="yellow"/>
        </w:rPr>
      </w:pPr>
    </w:p>
    <w:p w14:paraId="4E41176E" w14:textId="66AECA6F" w:rsidR="00DE59D8" w:rsidRDefault="00DE59D8" w:rsidP="0011574E">
      <w:pPr>
        <w:tabs>
          <w:tab w:val="left" w:pos="567"/>
        </w:tabs>
        <w:jc w:val="both"/>
        <w:rPr>
          <w:rFonts w:ascii="Arial" w:hAnsi="Arial" w:cs="Arial"/>
          <w:color w:val="000000" w:themeColor="text1"/>
          <w:sz w:val="22"/>
          <w:szCs w:val="22"/>
          <w:highlight w:val="yellow"/>
        </w:rPr>
      </w:pPr>
    </w:p>
    <w:p w14:paraId="322CA3FD" w14:textId="77777777" w:rsidR="00DE59D8" w:rsidRDefault="00DE59D8" w:rsidP="0011574E">
      <w:pPr>
        <w:tabs>
          <w:tab w:val="left" w:pos="567"/>
        </w:tabs>
        <w:jc w:val="both"/>
        <w:rPr>
          <w:rFonts w:ascii="Arial" w:hAnsi="Arial" w:cs="Arial"/>
          <w:color w:val="000000" w:themeColor="text1"/>
          <w:sz w:val="22"/>
          <w:szCs w:val="22"/>
          <w:highlight w:val="yellow"/>
        </w:rPr>
      </w:pPr>
    </w:p>
    <w:p w14:paraId="759BF042" w14:textId="4AB16E01" w:rsidR="00DE59D8" w:rsidRDefault="00DE59D8" w:rsidP="0011574E">
      <w:pPr>
        <w:tabs>
          <w:tab w:val="left" w:pos="567"/>
        </w:tabs>
        <w:jc w:val="both"/>
        <w:rPr>
          <w:rFonts w:ascii="Arial" w:hAnsi="Arial" w:cs="Arial"/>
          <w:color w:val="000000" w:themeColor="text1"/>
          <w:sz w:val="22"/>
          <w:szCs w:val="22"/>
          <w:highlight w:val="yellow"/>
        </w:rPr>
      </w:pPr>
    </w:p>
    <w:p w14:paraId="13D5EE0A" w14:textId="561587EE" w:rsidR="00E31BA9" w:rsidRDefault="00E31BA9" w:rsidP="0011574E">
      <w:pPr>
        <w:tabs>
          <w:tab w:val="left" w:pos="567"/>
        </w:tabs>
        <w:jc w:val="both"/>
        <w:rPr>
          <w:rFonts w:ascii="Arial" w:hAnsi="Arial" w:cs="Arial"/>
          <w:color w:val="000000" w:themeColor="text1"/>
          <w:sz w:val="22"/>
          <w:szCs w:val="22"/>
          <w:highlight w:val="yellow"/>
        </w:rPr>
      </w:pPr>
    </w:p>
    <w:p w14:paraId="130C9659" w14:textId="64F0827C" w:rsidR="00E31BA9" w:rsidRDefault="00E31BA9" w:rsidP="0011574E">
      <w:pPr>
        <w:tabs>
          <w:tab w:val="left" w:pos="567"/>
        </w:tabs>
        <w:jc w:val="both"/>
        <w:rPr>
          <w:rFonts w:ascii="Arial" w:hAnsi="Arial" w:cs="Arial"/>
          <w:color w:val="000000" w:themeColor="text1"/>
          <w:sz w:val="22"/>
          <w:szCs w:val="22"/>
          <w:highlight w:val="yellow"/>
        </w:rPr>
      </w:pPr>
    </w:p>
    <w:p w14:paraId="79CACB0D" w14:textId="73DCA329" w:rsidR="00E31BA9" w:rsidRDefault="00E31BA9" w:rsidP="0011574E">
      <w:pPr>
        <w:tabs>
          <w:tab w:val="left" w:pos="567"/>
        </w:tabs>
        <w:jc w:val="both"/>
        <w:rPr>
          <w:rFonts w:ascii="Arial" w:hAnsi="Arial" w:cs="Arial"/>
          <w:color w:val="000000" w:themeColor="text1"/>
          <w:sz w:val="22"/>
          <w:szCs w:val="22"/>
          <w:highlight w:val="yellow"/>
        </w:rPr>
      </w:pPr>
    </w:p>
    <w:p w14:paraId="726C5C65" w14:textId="42217C50" w:rsidR="00E31BA9" w:rsidRDefault="00E31BA9" w:rsidP="0011574E">
      <w:pPr>
        <w:tabs>
          <w:tab w:val="left" w:pos="567"/>
        </w:tabs>
        <w:jc w:val="both"/>
        <w:rPr>
          <w:rFonts w:ascii="Arial" w:hAnsi="Arial" w:cs="Arial"/>
          <w:color w:val="000000" w:themeColor="text1"/>
          <w:sz w:val="22"/>
          <w:szCs w:val="22"/>
          <w:highlight w:val="yellow"/>
        </w:rPr>
      </w:pPr>
    </w:p>
    <w:p w14:paraId="19AAD903" w14:textId="77777777" w:rsidR="00E31BA9" w:rsidRDefault="00E31BA9" w:rsidP="0011574E">
      <w:pPr>
        <w:tabs>
          <w:tab w:val="left" w:pos="567"/>
        </w:tabs>
        <w:jc w:val="both"/>
        <w:rPr>
          <w:rFonts w:ascii="Arial" w:hAnsi="Arial" w:cs="Arial"/>
          <w:color w:val="000000" w:themeColor="text1"/>
          <w:sz w:val="22"/>
          <w:szCs w:val="22"/>
          <w:highlight w:val="yellow"/>
        </w:rPr>
      </w:pPr>
    </w:p>
    <w:p w14:paraId="7A5CFB86" w14:textId="77777777" w:rsidR="00DE59D8" w:rsidRDefault="00DE59D8" w:rsidP="0011574E">
      <w:pPr>
        <w:tabs>
          <w:tab w:val="left" w:pos="567"/>
        </w:tabs>
        <w:jc w:val="both"/>
        <w:rPr>
          <w:rFonts w:ascii="Arial" w:hAnsi="Arial" w:cs="Arial"/>
          <w:color w:val="000000" w:themeColor="text1"/>
          <w:sz w:val="22"/>
          <w:szCs w:val="22"/>
          <w:highlight w:val="yellow"/>
        </w:rPr>
      </w:pPr>
    </w:p>
    <w:p w14:paraId="5C2A4514" w14:textId="77777777" w:rsidR="00DE59D8" w:rsidRDefault="00DE59D8" w:rsidP="0011574E">
      <w:pPr>
        <w:tabs>
          <w:tab w:val="left" w:pos="567"/>
        </w:tabs>
        <w:jc w:val="both"/>
        <w:rPr>
          <w:rFonts w:ascii="Arial" w:hAnsi="Arial" w:cs="Arial"/>
          <w:color w:val="000000" w:themeColor="text1"/>
          <w:sz w:val="22"/>
          <w:szCs w:val="22"/>
          <w:highlight w:val="yellow"/>
        </w:rPr>
      </w:pPr>
    </w:p>
    <w:p w14:paraId="5CA904C7" w14:textId="77777777" w:rsidR="00DE59D8" w:rsidRDefault="00DE59D8" w:rsidP="0011574E">
      <w:pPr>
        <w:tabs>
          <w:tab w:val="left" w:pos="567"/>
        </w:tabs>
        <w:jc w:val="both"/>
        <w:rPr>
          <w:rFonts w:ascii="Arial" w:hAnsi="Arial" w:cs="Arial"/>
          <w:color w:val="000000" w:themeColor="text1"/>
          <w:sz w:val="22"/>
          <w:szCs w:val="22"/>
          <w:highlight w:val="yellow"/>
        </w:rPr>
      </w:pPr>
    </w:p>
    <w:p w14:paraId="5B293170" w14:textId="77777777" w:rsidR="00DE59D8" w:rsidRDefault="00DE59D8" w:rsidP="0011574E">
      <w:pPr>
        <w:tabs>
          <w:tab w:val="left" w:pos="567"/>
        </w:tabs>
        <w:jc w:val="both"/>
        <w:rPr>
          <w:rFonts w:ascii="Arial" w:hAnsi="Arial" w:cs="Arial"/>
          <w:color w:val="000000" w:themeColor="text1"/>
          <w:sz w:val="22"/>
          <w:szCs w:val="22"/>
          <w:highlight w:val="yellow"/>
        </w:rPr>
      </w:pPr>
    </w:p>
    <w:p w14:paraId="565A8C26" w14:textId="77777777" w:rsidR="00DE59D8" w:rsidRDefault="00DE59D8" w:rsidP="0011574E">
      <w:pPr>
        <w:tabs>
          <w:tab w:val="left" w:pos="567"/>
        </w:tabs>
        <w:jc w:val="both"/>
        <w:rPr>
          <w:rFonts w:ascii="Arial" w:hAnsi="Arial" w:cs="Arial"/>
          <w:color w:val="000000" w:themeColor="text1"/>
          <w:sz w:val="22"/>
          <w:szCs w:val="22"/>
          <w:highlight w:val="yellow"/>
        </w:rPr>
      </w:pPr>
    </w:p>
    <w:p w14:paraId="6ABF6E4F" w14:textId="77777777" w:rsidR="00C22AEF" w:rsidRDefault="00C22AEF" w:rsidP="0011574E">
      <w:pPr>
        <w:tabs>
          <w:tab w:val="left" w:pos="567"/>
        </w:tabs>
        <w:jc w:val="both"/>
        <w:rPr>
          <w:rFonts w:ascii="Arial" w:hAnsi="Arial" w:cs="Arial"/>
          <w:color w:val="000000" w:themeColor="text1"/>
          <w:sz w:val="22"/>
          <w:szCs w:val="22"/>
          <w:highlight w:val="yellow"/>
        </w:rPr>
      </w:pPr>
    </w:p>
    <w:p w14:paraId="4CF7CB1A" w14:textId="77777777" w:rsidR="00C22AEF" w:rsidRDefault="00C22AEF" w:rsidP="0011574E">
      <w:pPr>
        <w:tabs>
          <w:tab w:val="left" w:pos="567"/>
        </w:tabs>
        <w:jc w:val="both"/>
        <w:rPr>
          <w:rFonts w:ascii="Arial" w:hAnsi="Arial" w:cs="Arial"/>
          <w:color w:val="000000" w:themeColor="text1"/>
          <w:sz w:val="22"/>
          <w:szCs w:val="22"/>
          <w:highlight w:val="yellow"/>
        </w:rPr>
      </w:pPr>
    </w:p>
    <w:p w14:paraId="59378EB1" w14:textId="77777777" w:rsidR="002B5DB4" w:rsidRDefault="002B5DB4" w:rsidP="0011574E">
      <w:pPr>
        <w:tabs>
          <w:tab w:val="left" w:pos="567"/>
        </w:tabs>
        <w:jc w:val="both"/>
        <w:rPr>
          <w:rFonts w:ascii="Arial" w:hAnsi="Arial" w:cs="Arial"/>
          <w:color w:val="000000" w:themeColor="text1"/>
          <w:sz w:val="22"/>
          <w:szCs w:val="22"/>
        </w:rPr>
      </w:pPr>
    </w:p>
    <w:p w14:paraId="436A0BDE" w14:textId="2F9C45CD" w:rsidR="005325A9" w:rsidRDefault="003641AA" w:rsidP="0011574E">
      <w:pPr>
        <w:tabs>
          <w:tab w:val="left" w:pos="567"/>
        </w:tabs>
        <w:jc w:val="both"/>
        <w:rPr>
          <w:rFonts w:ascii="Arial" w:hAnsi="Arial" w:cs="Arial"/>
          <w:color w:val="000000" w:themeColor="text1"/>
          <w:sz w:val="22"/>
          <w:szCs w:val="22"/>
        </w:rPr>
      </w:pPr>
      <w:r w:rsidRPr="001D62C6">
        <w:rPr>
          <w:rFonts w:ascii="Arial" w:hAnsi="Arial" w:cs="Arial"/>
          <w:color w:val="000000" w:themeColor="text1"/>
          <w:sz w:val="22"/>
          <w:szCs w:val="22"/>
        </w:rPr>
        <w:t xml:space="preserve">De acuerdo con el comportamiento </w:t>
      </w:r>
      <w:r w:rsidR="00631FFE" w:rsidRPr="001D62C6">
        <w:rPr>
          <w:rFonts w:ascii="Arial" w:hAnsi="Arial" w:cs="Arial"/>
          <w:color w:val="000000" w:themeColor="text1"/>
          <w:sz w:val="22"/>
          <w:szCs w:val="22"/>
        </w:rPr>
        <w:t xml:space="preserve">de la </w:t>
      </w:r>
      <w:r w:rsidR="007A5FDF" w:rsidRPr="001D62C6">
        <w:rPr>
          <w:rFonts w:ascii="Arial" w:hAnsi="Arial" w:cs="Arial"/>
          <w:color w:val="000000" w:themeColor="text1"/>
          <w:sz w:val="22"/>
          <w:szCs w:val="22"/>
        </w:rPr>
        <w:t xml:space="preserve">cantidad de </w:t>
      </w:r>
      <w:r w:rsidRPr="001D62C6">
        <w:rPr>
          <w:rFonts w:ascii="Arial" w:hAnsi="Arial" w:cs="Arial"/>
          <w:color w:val="000000" w:themeColor="text1"/>
          <w:sz w:val="22"/>
          <w:szCs w:val="22"/>
        </w:rPr>
        <w:t>pasajes aéreos</w:t>
      </w:r>
      <w:r w:rsidR="007A5FDF" w:rsidRPr="001D62C6">
        <w:rPr>
          <w:rFonts w:ascii="Arial" w:hAnsi="Arial" w:cs="Arial"/>
          <w:color w:val="000000" w:themeColor="text1"/>
          <w:sz w:val="22"/>
          <w:szCs w:val="22"/>
        </w:rPr>
        <w:t xml:space="preserve"> y viáticos, así como, </w:t>
      </w:r>
      <w:r w:rsidR="005325A9" w:rsidRPr="001D62C6">
        <w:rPr>
          <w:rFonts w:ascii="Arial" w:hAnsi="Arial" w:cs="Arial"/>
          <w:color w:val="000000" w:themeColor="text1"/>
          <w:sz w:val="22"/>
          <w:szCs w:val="22"/>
        </w:rPr>
        <w:t xml:space="preserve">los valores de dichos gastos </w:t>
      </w:r>
      <w:r w:rsidR="003425E6">
        <w:rPr>
          <w:rFonts w:ascii="Arial" w:hAnsi="Arial" w:cs="Arial"/>
          <w:color w:val="000000" w:themeColor="text1"/>
          <w:sz w:val="22"/>
          <w:szCs w:val="22"/>
        </w:rPr>
        <w:t>que se presentaron, se</w:t>
      </w:r>
      <w:r w:rsidR="005325A9">
        <w:rPr>
          <w:rFonts w:ascii="Arial" w:hAnsi="Arial" w:cs="Arial"/>
          <w:color w:val="000000" w:themeColor="text1"/>
          <w:sz w:val="22"/>
          <w:szCs w:val="22"/>
        </w:rPr>
        <w:t xml:space="preserve"> observó el siguiente comportamiento: </w:t>
      </w:r>
    </w:p>
    <w:p w14:paraId="56562F3F" w14:textId="77777777" w:rsidR="005325A9" w:rsidRDefault="005325A9" w:rsidP="0011574E">
      <w:pPr>
        <w:tabs>
          <w:tab w:val="left" w:pos="567"/>
        </w:tabs>
        <w:jc w:val="both"/>
        <w:rPr>
          <w:rFonts w:ascii="Arial" w:hAnsi="Arial" w:cs="Arial"/>
          <w:color w:val="000000" w:themeColor="text1"/>
          <w:sz w:val="22"/>
          <w:szCs w:val="22"/>
        </w:rPr>
      </w:pPr>
    </w:p>
    <w:p w14:paraId="435F576F" w14:textId="77777777" w:rsidR="005325A9" w:rsidRPr="005325A9" w:rsidRDefault="005325A9" w:rsidP="0045629B">
      <w:pPr>
        <w:pStyle w:val="Prrafodelista"/>
        <w:numPr>
          <w:ilvl w:val="0"/>
          <w:numId w:val="18"/>
        </w:numPr>
        <w:tabs>
          <w:tab w:val="left" w:pos="567"/>
        </w:tabs>
        <w:rPr>
          <w:rFonts w:ascii="Arial" w:hAnsi="Arial" w:cs="Arial"/>
          <w:b/>
          <w:color w:val="000000" w:themeColor="text1"/>
          <w:sz w:val="22"/>
          <w:szCs w:val="22"/>
        </w:rPr>
      </w:pPr>
      <w:r w:rsidRPr="005325A9">
        <w:rPr>
          <w:rFonts w:ascii="Arial" w:hAnsi="Arial" w:cs="Arial"/>
          <w:b/>
          <w:color w:val="000000" w:themeColor="text1"/>
          <w:sz w:val="22"/>
          <w:szCs w:val="22"/>
        </w:rPr>
        <w:t>Julio 2019-2018</w:t>
      </w:r>
    </w:p>
    <w:p w14:paraId="3BAA051B" w14:textId="77777777" w:rsidR="005325A9" w:rsidRDefault="005325A9" w:rsidP="00353D5B">
      <w:pPr>
        <w:tabs>
          <w:tab w:val="left" w:pos="567"/>
        </w:tabs>
        <w:spacing w:line="168" w:lineRule="auto"/>
        <w:jc w:val="both"/>
        <w:rPr>
          <w:rFonts w:ascii="Arial" w:hAnsi="Arial" w:cs="Arial"/>
          <w:color w:val="000000" w:themeColor="text1"/>
          <w:sz w:val="22"/>
          <w:szCs w:val="22"/>
        </w:rPr>
      </w:pPr>
    </w:p>
    <w:p w14:paraId="0492B71A" w14:textId="77777777" w:rsidR="005325A9" w:rsidRDefault="005325A9" w:rsidP="005325A9">
      <w:pPr>
        <w:tabs>
          <w:tab w:val="left" w:pos="567"/>
        </w:tabs>
        <w:ind w:left="360"/>
        <w:jc w:val="both"/>
        <w:rPr>
          <w:rFonts w:ascii="Arial" w:hAnsi="Arial" w:cs="Arial"/>
          <w:color w:val="000000" w:themeColor="text1"/>
          <w:sz w:val="22"/>
          <w:szCs w:val="22"/>
        </w:rPr>
      </w:pPr>
      <w:r>
        <w:rPr>
          <w:rFonts w:ascii="Arial" w:hAnsi="Arial" w:cs="Arial"/>
          <w:color w:val="000000" w:themeColor="text1"/>
          <w:sz w:val="22"/>
          <w:szCs w:val="22"/>
        </w:rPr>
        <w:t xml:space="preserve">Para el concepto de pasajes aéreos se observaron </w:t>
      </w:r>
      <w:r w:rsidRPr="005325A9">
        <w:rPr>
          <w:rFonts w:ascii="Arial" w:hAnsi="Arial" w:cs="Arial"/>
          <w:b/>
          <w:color w:val="000000" w:themeColor="text1"/>
          <w:sz w:val="22"/>
          <w:szCs w:val="22"/>
        </w:rPr>
        <w:t>variaciones negativas</w:t>
      </w:r>
      <w:r>
        <w:rPr>
          <w:rFonts w:ascii="Arial" w:hAnsi="Arial" w:cs="Arial"/>
          <w:color w:val="000000" w:themeColor="text1"/>
          <w:sz w:val="22"/>
          <w:szCs w:val="22"/>
        </w:rPr>
        <w:t xml:space="preserve"> tanto en valor, como en cantidad. En lo que respecta a los viáticos</w:t>
      </w:r>
      <w:r w:rsidR="00141C2D">
        <w:rPr>
          <w:rFonts w:ascii="Arial" w:hAnsi="Arial" w:cs="Arial"/>
          <w:color w:val="000000" w:themeColor="text1"/>
          <w:sz w:val="22"/>
          <w:szCs w:val="22"/>
        </w:rPr>
        <w:t>, la cantidad de comisiones autorizadas presentó un aument</w:t>
      </w:r>
      <w:r w:rsidR="008F7180">
        <w:rPr>
          <w:rFonts w:ascii="Arial" w:hAnsi="Arial" w:cs="Arial"/>
          <w:color w:val="000000" w:themeColor="text1"/>
          <w:sz w:val="22"/>
          <w:szCs w:val="22"/>
        </w:rPr>
        <w:t xml:space="preserve">o del 9%, sin embargo, en la variable de </w:t>
      </w:r>
      <w:r w:rsidR="00141C2D">
        <w:rPr>
          <w:rFonts w:ascii="Arial" w:hAnsi="Arial" w:cs="Arial"/>
          <w:color w:val="000000" w:themeColor="text1"/>
          <w:sz w:val="22"/>
          <w:szCs w:val="22"/>
        </w:rPr>
        <w:t>valor</w:t>
      </w:r>
      <w:r w:rsidR="008F7180">
        <w:rPr>
          <w:rFonts w:ascii="Arial" w:hAnsi="Arial" w:cs="Arial"/>
          <w:color w:val="000000" w:themeColor="text1"/>
          <w:sz w:val="22"/>
          <w:szCs w:val="22"/>
        </w:rPr>
        <w:t>, se presentó</w:t>
      </w:r>
      <w:r w:rsidR="00141C2D">
        <w:rPr>
          <w:rFonts w:ascii="Arial" w:hAnsi="Arial" w:cs="Arial"/>
          <w:color w:val="000000" w:themeColor="text1"/>
          <w:sz w:val="22"/>
          <w:szCs w:val="22"/>
        </w:rPr>
        <w:t xml:space="preserve"> una disminución del 6%.</w:t>
      </w:r>
    </w:p>
    <w:p w14:paraId="0B870F34" w14:textId="77777777" w:rsidR="007932FB" w:rsidRDefault="007932FB" w:rsidP="00353D5B">
      <w:pPr>
        <w:tabs>
          <w:tab w:val="left" w:pos="567"/>
        </w:tabs>
        <w:spacing w:line="168" w:lineRule="auto"/>
        <w:jc w:val="both"/>
        <w:rPr>
          <w:rFonts w:ascii="Arial" w:hAnsi="Arial" w:cs="Arial"/>
          <w:color w:val="000000" w:themeColor="text1"/>
          <w:sz w:val="22"/>
          <w:szCs w:val="22"/>
        </w:rPr>
      </w:pPr>
    </w:p>
    <w:p w14:paraId="575EFE8D" w14:textId="77777777" w:rsidR="007932FB" w:rsidRPr="007932FB" w:rsidRDefault="007932FB" w:rsidP="0045629B">
      <w:pPr>
        <w:pStyle w:val="Prrafodelista"/>
        <w:numPr>
          <w:ilvl w:val="0"/>
          <w:numId w:val="18"/>
        </w:numPr>
        <w:tabs>
          <w:tab w:val="left" w:pos="567"/>
        </w:tabs>
        <w:rPr>
          <w:rFonts w:ascii="Arial" w:hAnsi="Arial" w:cs="Arial"/>
          <w:b/>
          <w:color w:val="000000" w:themeColor="text1"/>
          <w:sz w:val="22"/>
          <w:szCs w:val="22"/>
        </w:rPr>
      </w:pPr>
      <w:r w:rsidRPr="007932FB">
        <w:rPr>
          <w:rFonts w:ascii="Arial" w:hAnsi="Arial" w:cs="Arial"/>
          <w:b/>
          <w:color w:val="000000" w:themeColor="text1"/>
          <w:sz w:val="22"/>
          <w:szCs w:val="22"/>
        </w:rPr>
        <w:t>Agosto 2019-2018</w:t>
      </w:r>
    </w:p>
    <w:p w14:paraId="72585E0E" w14:textId="77777777" w:rsidR="005325A9" w:rsidRDefault="005325A9" w:rsidP="0011574E">
      <w:pPr>
        <w:tabs>
          <w:tab w:val="left" w:pos="567"/>
        </w:tabs>
        <w:jc w:val="both"/>
        <w:rPr>
          <w:rFonts w:ascii="Arial" w:hAnsi="Arial" w:cs="Arial"/>
          <w:color w:val="000000" w:themeColor="text1"/>
          <w:sz w:val="22"/>
          <w:szCs w:val="22"/>
        </w:rPr>
      </w:pPr>
    </w:p>
    <w:p w14:paraId="431D426F" w14:textId="77777777" w:rsidR="005B7CEF" w:rsidRDefault="00D959B3" w:rsidP="00D959B3">
      <w:pPr>
        <w:tabs>
          <w:tab w:val="left" w:pos="567"/>
        </w:tabs>
        <w:ind w:left="360"/>
        <w:jc w:val="both"/>
        <w:rPr>
          <w:rFonts w:ascii="Arial" w:hAnsi="Arial" w:cs="Arial"/>
          <w:color w:val="000000" w:themeColor="text1"/>
          <w:sz w:val="22"/>
          <w:szCs w:val="22"/>
        </w:rPr>
      </w:pPr>
      <w:r>
        <w:rPr>
          <w:rFonts w:ascii="Arial" w:hAnsi="Arial" w:cs="Arial"/>
          <w:color w:val="000000" w:themeColor="text1"/>
          <w:sz w:val="22"/>
          <w:szCs w:val="22"/>
        </w:rPr>
        <w:t>Respecto al gasto de pasajes aéreos, s</w:t>
      </w:r>
      <w:r w:rsidR="00631FFE" w:rsidRPr="001D62C6">
        <w:rPr>
          <w:rFonts w:ascii="Arial" w:hAnsi="Arial" w:cs="Arial"/>
          <w:color w:val="000000" w:themeColor="text1"/>
          <w:sz w:val="22"/>
          <w:szCs w:val="22"/>
        </w:rPr>
        <w:t>e presentó una disminuci</w:t>
      </w:r>
      <w:r w:rsidR="002B5DB4">
        <w:rPr>
          <w:rFonts w:ascii="Arial" w:hAnsi="Arial" w:cs="Arial"/>
          <w:color w:val="000000" w:themeColor="text1"/>
          <w:sz w:val="22"/>
          <w:szCs w:val="22"/>
        </w:rPr>
        <w:t>ón</w:t>
      </w:r>
      <w:r w:rsidR="001F2C4B" w:rsidRPr="001D62C6">
        <w:rPr>
          <w:rFonts w:ascii="Arial" w:hAnsi="Arial" w:cs="Arial"/>
          <w:color w:val="000000" w:themeColor="text1"/>
          <w:sz w:val="22"/>
          <w:szCs w:val="22"/>
        </w:rPr>
        <w:t xml:space="preserve"> </w:t>
      </w:r>
      <w:r>
        <w:rPr>
          <w:rFonts w:ascii="Arial" w:hAnsi="Arial" w:cs="Arial"/>
          <w:color w:val="000000" w:themeColor="text1"/>
          <w:sz w:val="22"/>
          <w:szCs w:val="22"/>
        </w:rPr>
        <w:t xml:space="preserve">en las dos variables analizadas [ valor y cantidad]. </w:t>
      </w:r>
      <w:r w:rsidR="00B64C82">
        <w:rPr>
          <w:rFonts w:ascii="Arial" w:hAnsi="Arial" w:cs="Arial"/>
          <w:color w:val="000000" w:themeColor="text1"/>
          <w:sz w:val="22"/>
          <w:szCs w:val="22"/>
        </w:rPr>
        <w:t>Caso contrario</w:t>
      </w:r>
      <w:r w:rsidR="005B7CEF">
        <w:rPr>
          <w:rFonts w:ascii="Arial" w:hAnsi="Arial" w:cs="Arial"/>
          <w:color w:val="000000" w:themeColor="text1"/>
          <w:sz w:val="22"/>
          <w:szCs w:val="22"/>
        </w:rPr>
        <w:t>,</w:t>
      </w:r>
      <w:r w:rsidR="00B64C82">
        <w:rPr>
          <w:rFonts w:ascii="Arial" w:hAnsi="Arial" w:cs="Arial"/>
          <w:color w:val="000000" w:themeColor="text1"/>
          <w:sz w:val="22"/>
          <w:szCs w:val="22"/>
        </w:rPr>
        <w:t xml:space="preserve"> se observó para el concepto de viáticos, toda vez que </w:t>
      </w:r>
      <w:r w:rsidR="005B7CEF">
        <w:rPr>
          <w:rFonts w:ascii="Arial" w:hAnsi="Arial" w:cs="Arial"/>
          <w:color w:val="000000" w:themeColor="text1"/>
          <w:sz w:val="22"/>
          <w:szCs w:val="22"/>
        </w:rPr>
        <w:t>en este periodo se incrementó</w:t>
      </w:r>
      <w:r w:rsidR="00B64C82">
        <w:rPr>
          <w:rFonts w:ascii="Arial" w:hAnsi="Arial" w:cs="Arial"/>
          <w:color w:val="000000" w:themeColor="text1"/>
          <w:sz w:val="22"/>
          <w:szCs w:val="22"/>
        </w:rPr>
        <w:t xml:space="preserve"> el 20%</w:t>
      </w:r>
      <w:r w:rsidR="005B7CEF">
        <w:rPr>
          <w:rFonts w:ascii="Arial" w:hAnsi="Arial" w:cs="Arial"/>
          <w:color w:val="000000" w:themeColor="text1"/>
          <w:sz w:val="22"/>
          <w:szCs w:val="22"/>
        </w:rPr>
        <w:t xml:space="preserve"> en cantidad </w:t>
      </w:r>
      <w:r w:rsidR="00B64C82">
        <w:rPr>
          <w:rFonts w:ascii="Arial" w:hAnsi="Arial" w:cs="Arial"/>
          <w:color w:val="000000" w:themeColor="text1"/>
          <w:sz w:val="22"/>
          <w:szCs w:val="22"/>
        </w:rPr>
        <w:t xml:space="preserve">y el 11% </w:t>
      </w:r>
      <w:r w:rsidR="005B7CEF">
        <w:rPr>
          <w:rFonts w:ascii="Arial" w:hAnsi="Arial" w:cs="Arial"/>
          <w:color w:val="000000" w:themeColor="text1"/>
          <w:sz w:val="22"/>
          <w:szCs w:val="22"/>
        </w:rPr>
        <w:t>en valor.</w:t>
      </w:r>
    </w:p>
    <w:p w14:paraId="548A8632" w14:textId="77777777" w:rsidR="005B7CEF" w:rsidRDefault="005B7CEF" w:rsidP="00353D5B">
      <w:pPr>
        <w:tabs>
          <w:tab w:val="left" w:pos="567"/>
        </w:tabs>
        <w:spacing w:line="168" w:lineRule="auto"/>
        <w:jc w:val="both"/>
        <w:rPr>
          <w:rFonts w:ascii="Arial" w:hAnsi="Arial" w:cs="Arial"/>
          <w:color w:val="000000" w:themeColor="text1"/>
          <w:sz w:val="22"/>
          <w:szCs w:val="22"/>
        </w:rPr>
      </w:pPr>
    </w:p>
    <w:p w14:paraId="614B1F41" w14:textId="77777777" w:rsidR="005B7CEF" w:rsidRPr="005B7CEF" w:rsidRDefault="005B7CEF" w:rsidP="0045629B">
      <w:pPr>
        <w:pStyle w:val="Prrafodelista"/>
        <w:numPr>
          <w:ilvl w:val="0"/>
          <w:numId w:val="18"/>
        </w:numPr>
        <w:tabs>
          <w:tab w:val="left" w:pos="567"/>
        </w:tabs>
        <w:rPr>
          <w:rFonts w:ascii="Arial" w:hAnsi="Arial" w:cs="Arial"/>
          <w:b/>
          <w:color w:val="000000" w:themeColor="text1"/>
          <w:sz w:val="22"/>
          <w:szCs w:val="22"/>
        </w:rPr>
      </w:pPr>
      <w:r w:rsidRPr="005B7CEF">
        <w:rPr>
          <w:rFonts w:ascii="Arial" w:hAnsi="Arial" w:cs="Arial"/>
          <w:b/>
          <w:color w:val="000000" w:themeColor="text1"/>
          <w:sz w:val="22"/>
          <w:szCs w:val="22"/>
        </w:rPr>
        <w:t>Septiembre 2019-2018</w:t>
      </w:r>
    </w:p>
    <w:p w14:paraId="19FADA74" w14:textId="77777777" w:rsidR="005B7CEF" w:rsidRDefault="005B7CEF" w:rsidP="00D959B3">
      <w:pPr>
        <w:tabs>
          <w:tab w:val="left" w:pos="567"/>
        </w:tabs>
        <w:ind w:left="360"/>
        <w:jc w:val="both"/>
        <w:rPr>
          <w:rFonts w:ascii="Arial" w:hAnsi="Arial" w:cs="Arial"/>
          <w:color w:val="000000" w:themeColor="text1"/>
          <w:sz w:val="22"/>
          <w:szCs w:val="22"/>
        </w:rPr>
      </w:pPr>
    </w:p>
    <w:p w14:paraId="479B65D0" w14:textId="77777777" w:rsidR="00EC4453" w:rsidRDefault="00122EC1" w:rsidP="00122EC1">
      <w:pPr>
        <w:tabs>
          <w:tab w:val="left" w:pos="567"/>
        </w:tabs>
        <w:ind w:left="360"/>
        <w:jc w:val="both"/>
        <w:rPr>
          <w:rFonts w:ascii="Arial" w:hAnsi="Arial" w:cs="Arial"/>
          <w:color w:val="000000" w:themeColor="text1"/>
          <w:sz w:val="22"/>
          <w:szCs w:val="22"/>
        </w:rPr>
      </w:pPr>
      <w:r>
        <w:rPr>
          <w:rFonts w:ascii="Arial" w:hAnsi="Arial" w:cs="Arial"/>
          <w:color w:val="000000" w:themeColor="text1"/>
          <w:sz w:val="22"/>
          <w:szCs w:val="22"/>
        </w:rPr>
        <w:t xml:space="preserve">En cuanto a la cantidad de los pasajes aéreos, se observó un incremento del 6%, no obstante, los valores de los mismos presentaron una disminución del 0,4%. Para el concepto de viáticos la variación fue negativa para las </w:t>
      </w:r>
      <w:r w:rsidR="00F92407">
        <w:rPr>
          <w:rFonts w:ascii="Arial" w:hAnsi="Arial" w:cs="Arial"/>
          <w:color w:val="000000" w:themeColor="text1"/>
          <w:sz w:val="22"/>
          <w:szCs w:val="22"/>
        </w:rPr>
        <w:t xml:space="preserve">variables analizadas. </w:t>
      </w:r>
    </w:p>
    <w:p w14:paraId="2F9DB5F4" w14:textId="77777777" w:rsidR="00C22AEF" w:rsidRDefault="00C22AEF" w:rsidP="0011574E">
      <w:pPr>
        <w:tabs>
          <w:tab w:val="left" w:pos="567"/>
        </w:tabs>
        <w:jc w:val="both"/>
        <w:rPr>
          <w:rFonts w:ascii="Arial" w:hAnsi="Arial" w:cs="Arial"/>
          <w:color w:val="000000" w:themeColor="text1"/>
          <w:sz w:val="22"/>
          <w:szCs w:val="22"/>
          <w:highlight w:val="yellow"/>
        </w:rPr>
      </w:pPr>
    </w:p>
    <w:p w14:paraId="505A1FDD" w14:textId="77777777" w:rsidR="000921B8" w:rsidRPr="00A003B6" w:rsidRDefault="000921B8" w:rsidP="0011574E">
      <w:pPr>
        <w:tabs>
          <w:tab w:val="left" w:pos="567"/>
        </w:tabs>
        <w:jc w:val="both"/>
        <w:rPr>
          <w:rFonts w:ascii="Arial" w:hAnsi="Arial" w:cs="Arial"/>
          <w:color w:val="000000" w:themeColor="text1"/>
          <w:sz w:val="22"/>
          <w:szCs w:val="22"/>
          <w:highlight w:val="yellow"/>
        </w:rPr>
      </w:pPr>
      <w:r w:rsidRPr="00261912">
        <w:rPr>
          <w:rFonts w:ascii="Arial" w:hAnsi="Arial" w:cs="Arial"/>
          <w:color w:val="000000" w:themeColor="text1"/>
          <w:sz w:val="22"/>
          <w:szCs w:val="22"/>
        </w:rPr>
        <w:t>En resumen, se presenta la</w:t>
      </w:r>
      <w:r w:rsidR="00A277E8" w:rsidRPr="00261912">
        <w:rPr>
          <w:rFonts w:ascii="Arial" w:hAnsi="Arial" w:cs="Arial"/>
          <w:color w:val="000000" w:themeColor="text1"/>
          <w:sz w:val="22"/>
          <w:szCs w:val="22"/>
        </w:rPr>
        <w:t xml:space="preserve">s variaciones obtenidas para los </w:t>
      </w:r>
      <w:r w:rsidRPr="00261912">
        <w:rPr>
          <w:rFonts w:ascii="Arial" w:hAnsi="Arial" w:cs="Arial"/>
          <w:color w:val="000000" w:themeColor="text1"/>
          <w:sz w:val="22"/>
          <w:szCs w:val="22"/>
        </w:rPr>
        <w:t>concepto</w:t>
      </w:r>
      <w:r w:rsidR="00A277E8" w:rsidRPr="00261912">
        <w:rPr>
          <w:rFonts w:ascii="Arial" w:hAnsi="Arial" w:cs="Arial"/>
          <w:color w:val="000000" w:themeColor="text1"/>
          <w:sz w:val="22"/>
          <w:szCs w:val="22"/>
        </w:rPr>
        <w:t>s</w:t>
      </w:r>
      <w:r w:rsidRPr="00261912">
        <w:rPr>
          <w:rFonts w:ascii="Arial" w:hAnsi="Arial" w:cs="Arial"/>
          <w:color w:val="000000" w:themeColor="text1"/>
          <w:sz w:val="22"/>
          <w:szCs w:val="22"/>
        </w:rPr>
        <w:t xml:space="preserve"> </w:t>
      </w:r>
      <w:r w:rsidR="00E702AC" w:rsidRPr="00261912">
        <w:rPr>
          <w:rFonts w:ascii="Arial" w:hAnsi="Arial" w:cs="Arial"/>
          <w:color w:val="000000" w:themeColor="text1"/>
          <w:sz w:val="22"/>
          <w:szCs w:val="22"/>
        </w:rPr>
        <w:t>de viáticos y pasajes</w:t>
      </w:r>
      <w:r w:rsidRPr="00261912">
        <w:rPr>
          <w:rFonts w:ascii="Arial" w:hAnsi="Arial" w:cs="Arial"/>
          <w:color w:val="000000" w:themeColor="text1"/>
          <w:sz w:val="22"/>
          <w:szCs w:val="22"/>
        </w:rPr>
        <w:t xml:space="preserve">: </w:t>
      </w:r>
    </w:p>
    <w:p w14:paraId="2C855367" w14:textId="77777777" w:rsidR="00CD1C6E" w:rsidRPr="00A003B6" w:rsidRDefault="00CD1C6E" w:rsidP="0011574E">
      <w:pPr>
        <w:tabs>
          <w:tab w:val="left" w:pos="567"/>
        </w:tabs>
        <w:jc w:val="both"/>
        <w:rPr>
          <w:rFonts w:ascii="Arial" w:hAnsi="Arial" w:cs="Arial"/>
          <w:color w:val="000000" w:themeColor="text1"/>
          <w:sz w:val="22"/>
          <w:szCs w:val="22"/>
          <w:highlight w:val="yellow"/>
        </w:rPr>
      </w:pPr>
    </w:p>
    <w:tbl>
      <w:tblPr>
        <w:tblStyle w:val="Tabladecuadrcula1clara-nfasis1"/>
        <w:tblW w:w="0" w:type="auto"/>
        <w:jc w:val="center"/>
        <w:tblLayout w:type="fixed"/>
        <w:tblLook w:val="04A0" w:firstRow="1" w:lastRow="0" w:firstColumn="1" w:lastColumn="0" w:noHBand="0" w:noVBand="1"/>
      </w:tblPr>
      <w:tblGrid>
        <w:gridCol w:w="2238"/>
        <w:gridCol w:w="1159"/>
        <w:gridCol w:w="993"/>
        <w:gridCol w:w="283"/>
        <w:gridCol w:w="2293"/>
        <w:gridCol w:w="1345"/>
        <w:gridCol w:w="1367"/>
      </w:tblGrid>
      <w:tr w:rsidR="0029474E" w:rsidRPr="00A003B6" w14:paraId="6B740760" w14:textId="77777777" w:rsidTr="00353D5B">
        <w:trPr>
          <w:cnfStyle w:val="100000000000" w:firstRow="1" w:lastRow="0" w:firstColumn="0" w:lastColumn="0" w:oddVBand="0" w:evenVBand="0" w:oddHBand="0" w:evenHBand="0" w:firstRowFirstColumn="0" w:firstRowLastColumn="0" w:lastRowFirstColumn="0" w:lastRowLastColumn="0"/>
          <w:cantSplit/>
          <w:trHeight w:val="521"/>
          <w:jc w:val="center"/>
        </w:trPr>
        <w:tc>
          <w:tcPr>
            <w:cnfStyle w:val="001000000000" w:firstRow="0" w:lastRow="0" w:firstColumn="1" w:lastColumn="0" w:oddVBand="0" w:evenVBand="0" w:oddHBand="0" w:evenHBand="0" w:firstRowFirstColumn="0" w:firstRowLastColumn="0" w:lastRowFirstColumn="0" w:lastRowLastColumn="0"/>
            <w:tcW w:w="4390" w:type="dxa"/>
            <w:gridSpan w:val="3"/>
            <w:tcBorders>
              <w:top w:val="single" w:sz="4" w:space="0" w:color="4F81BD" w:themeColor="accent1"/>
              <w:left w:val="single" w:sz="4" w:space="0" w:color="4F81BD" w:themeColor="accent1"/>
              <w:right w:val="single" w:sz="4" w:space="0" w:color="4F81BD" w:themeColor="accent1"/>
            </w:tcBorders>
            <w:shd w:val="clear" w:color="auto" w:fill="4F81BD" w:themeFill="accent1"/>
            <w:noWrap/>
            <w:vAlign w:val="center"/>
            <w:hideMark/>
          </w:tcPr>
          <w:p w14:paraId="11DD6266" w14:textId="77777777" w:rsidR="0029474E" w:rsidRPr="00E460B0" w:rsidRDefault="00C5042F" w:rsidP="00353D5B">
            <w:pPr>
              <w:spacing w:before="60" w:after="60"/>
              <w:jc w:val="center"/>
              <w:rPr>
                <w:rFonts w:ascii="Arial" w:hAnsi="Arial" w:cs="Arial"/>
                <w:color w:val="FFFFFF" w:themeColor="background1"/>
                <w:sz w:val="20"/>
                <w:szCs w:val="20"/>
              </w:rPr>
            </w:pPr>
            <w:r>
              <w:rPr>
                <w:rFonts w:ascii="Arial" w:hAnsi="Arial" w:cs="Arial"/>
                <w:color w:val="FFFFFF" w:themeColor="background1"/>
                <w:sz w:val="20"/>
                <w:szCs w:val="20"/>
              </w:rPr>
              <w:t xml:space="preserve">Variable de Cantidad Viáticos y Pasajes Aéreos  </w:t>
            </w:r>
            <w:r w:rsidR="0029474E" w:rsidRPr="00E460B0">
              <w:rPr>
                <w:rFonts w:ascii="Arial" w:hAnsi="Arial" w:cs="Arial"/>
                <w:color w:val="FFFFFF" w:themeColor="background1"/>
                <w:sz w:val="20"/>
                <w:szCs w:val="20"/>
              </w:rPr>
              <w:t>2019-2018</w:t>
            </w:r>
          </w:p>
        </w:tc>
        <w:tc>
          <w:tcPr>
            <w:tcW w:w="283" w:type="dxa"/>
            <w:tcBorders>
              <w:top w:val="nil"/>
              <w:left w:val="single" w:sz="4" w:space="0" w:color="4F81BD" w:themeColor="accent1"/>
              <w:bottom w:val="nil"/>
              <w:right w:val="single" w:sz="4" w:space="0" w:color="4F81BD" w:themeColor="accent1"/>
            </w:tcBorders>
            <w:noWrap/>
            <w:vAlign w:val="center"/>
            <w:hideMark/>
          </w:tcPr>
          <w:p w14:paraId="75149D92" w14:textId="77777777" w:rsidR="0029474E" w:rsidRPr="00E460B0" w:rsidRDefault="0029474E" w:rsidP="00353D5B">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005" w:type="dxa"/>
            <w:gridSpan w:val="3"/>
            <w:tcBorders>
              <w:top w:val="single" w:sz="4" w:space="0" w:color="4F81BD" w:themeColor="accent1"/>
              <w:left w:val="single" w:sz="4" w:space="0" w:color="4F81BD" w:themeColor="accent1"/>
              <w:right w:val="single" w:sz="4" w:space="0" w:color="4F81BD" w:themeColor="accent1"/>
            </w:tcBorders>
            <w:shd w:val="clear" w:color="auto" w:fill="4F81BD" w:themeFill="accent1"/>
            <w:noWrap/>
            <w:vAlign w:val="center"/>
            <w:hideMark/>
          </w:tcPr>
          <w:p w14:paraId="32EDE4EC" w14:textId="77777777" w:rsidR="0029474E" w:rsidRPr="00E460B0" w:rsidRDefault="00C5042F" w:rsidP="00353D5B">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 xml:space="preserve">Variable: Total de Gasto Viáticos y Pasajes Aéreos  </w:t>
            </w:r>
            <w:r w:rsidRPr="00E460B0">
              <w:rPr>
                <w:rFonts w:ascii="Arial" w:hAnsi="Arial" w:cs="Arial"/>
                <w:color w:val="FFFFFF" w:themeColor="background1"/>
                <w:sz w:val="20"/>
                <w:szCs w:val="20"/>
              </w:rPr>
              <w:t>2019-2018</w:t>
            </w:r>
          </w:p>
        </w:tc>
      </w:tr>
      <w:tr w:rsidR="00623B09" w:rsidRPr="00A003B6" w14:paraId="60BF2F5F" w14:textId="77777777" w:rsidTr="004C32C6">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tcBorders>
            <w:shd w:val="clear" w:color="auto" w:fill="4F81BD" w:themeFill="accent1"/>
            <w:noWrap/>
            <w:vAlign w:val="center"/>
            <w:hideMark/>
          </w:tcPr>
          <w:p w14:paraId="5D4BDF51" w14:textId="77777777" w:rsidR="0029474E" w:rsidRPr="00E460B0" w:rsidRDefault="0029474E" w:rsidP="00353D5B">
            <w:pPr>
              <w:spacing w:before="60" w:after="60"/>
              <w:jc w:val="center"/>
              <w:rPr>
                <w:rFonts w:ascii="Arial" w:hAnsi="Arial" w:cs="Arial"/>
                <w:color w:val="FFFFFF" w:themeColor="background1"/>
                <w:sz w:val="20"/>
                <w:szCs w:val="20"/>
              </w:rPr>
            </w:pPr>
            <w:r w:rsidRPr="00E460B0">
              <w:rPr>
                <w:rFonts w:ascii="Arial" w:hAnsi="Arial" w:cs="Arial"/>
                <w:color w:val="FFFFFF" w:themeColor="background1"/>
                <w:sz w:val="20"/>
                <w:szCs w:val="20"/>
              </w:rPr>
              <w:t>Concepto</w:t>
            </w:r>
          </w:p>
        </w:tc>
        <w:tc>
          <w:tcPr>
            <w:tcW w:w="1159" w:type="dxa"/>
            <w:shd w:val="clear" w:color="auto" w:fill="4F81BD" w:themeFill="accent1"/>
            <w:noWrap/>
            <w:vAlign w:val="center"/>
            <w:hideMark/>
          </w:tcPr>
          <w:p w14:paraId="42C30091" w14:textId="77777777" w:rsidR="0029474E" w:rsidRPr="00E460B0" w:rsidRDefault="0029474E"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460B0">
              <w:rPr>
                <w:rFonts w:ascii="Arial" w:hAnsi="Arial" w:cs="Arial"/>
                <w:b/>
                <w:bCs/>
                <w:color w:val="FFFFFF" w:themeColor="background1"/>
                <w:sz w:val="20"/>
                <w:szCs w:val="20"/>
              </w:rPr>
              <w:t>Viáticos</w:t>
            </w:r>
            <w:r w:rsidR="004C32C6">
              <w:rPr>
                <w:rFonts w:ascii="Arial" w:hAnsi="Arial" w:cs="Arial"/>
                <w:b/>
                <w:bCs/>
                <w:color w:val="FFFFFF" w:themeColor="background1"/>
                <w:sz w:val="20"/>
                <w:szCs w:val="20"/>
              </w:rPr>
              <w:t xml:space="preserve"> (#)</w:t>
            </w:r>
          </w:p>
        </w:tc>
        <w:tc>
          <w:tcPr>
            <w:tcW w:w="993" w:type="dxa"/>
            <w:tcBorders>
              <w:right w:val="single" w:sz="4" w:space="0" w:color="4F81BD" w:themeColor="accent1"/>
            </w:tcBorders>
            <w:shd w:val="clear" w:color="auto" w:fill="4F81BD" w:themeFill="accent1"/>
            <w:noWrap/>
            <w:vAlign w:val="center"/>
            <w:hideMark/>
          </w:tcPr>
          <w:p w14:paraId="4DF981DB" w14:textId="77777777" w:rsidR="0029474E" w:rsidRPr="00E460B0" w:rsidRDefault="0029474E"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460B0">
              <w:rPr>
                <w:rFonts w:ascii="Arial" w:hAnsi="Arial" w:cs="Arial"/>
                <w:b/>
                <w:bCs/>
                <w:color w:val="FFFFFF" w:themeColor="background1"/>
                <w:sz w:val="20"/>
                <w:szCs w:val="20"/>
              </w:rPr>
              <w:t>Pasajes</w:t>
            </w:r>
            <w:r w:rsidR="004C32C6">
              <w:rPr>
                <w:rFonts w:ascii="Arial" w:hAnsi="Arial" w:cs="Arial"/>
                <w:b/>
                <w:bCs/>
                <w:color w:val="FFFFFF" w:themeColor="background1"/>
                <w:sz w:val="20"/>
                <w:szCs w:val="20"/>
              </w:rPr>
              <w:t xml:space="preserve"> (#)</w:t>
            </w:r>
          </w:p>
        </w:tc>
        <w:tc>
          <w:tcPr>
            <w:tcW w:w="283" w:type="dxa"/>
            <w:tcBorders>
              <w:top w:val="nil"/>
              <w:left w:val="single" w:sz="4" w:space="0" w:color="4F81BD" w:themeColor="accent1"/>
              <w:bottom w:val="nil"/>
              <w:right w:val="single" w:sz="4" w:space="0" w:color="4F81BD" w:themeColor="accent1"/>
            </w:tcBorders>
            <w:noWrap/>
            <w:vAlign w:val="center"/>
            <w:hideMark/>
          </w:tcPr>
          <w:p w14:paraId="77F79DD3" w14:textId="77777777" w:rsidR="0029474E" w:rsidRPr="00E460B0" w:rsidRDefault="0029474E"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2293" w:type="dxa"/>
            <w:tcBorders>
              <w:left w:val="single" w:sz="4" w:space="0" w:color="4F81BD" w:themeColor="accent1"/>
            </w:tcBorders>
            <w:shd w:val="clear" w:color="auto" w:fill="4F81BD" w:themeFill="accent1"/>
            <w:noWrap/>
            <w:vAlign w:val="center"/>
            <w:hideMark/>
          </w:tcPr>
          <w:p w14:paraId="716E9DBD" w14:textId="77777777" w:rsidR="0029474E" w:rsidRPr="00E460B0" w:rsidRDefault="0029474E"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460B0">
              <w:rPr>
                <w:rFonts w:ascii="Arial" w:hAnsi="Arial" w:cs="Arial"/>
                <w:b/>
                <w:bCs/>
                <w:color w:val="FFFFFF" w:themeColor="background1"/>
                <w:sz w:val="20"/>
                <w:szCs w:val="20"/>
              </w:rPr>
              <w:t>Concepto</w:t>
            </w:r>
          </w:p>
        </w:tc>
        <w:tc>
          <w:tcPr>
            <w:tcW w:w="1345" w:type="dxa"/>
            <w:shd w:val="clear" w:color="auto" w:fill="4F81BD" w:themeFill="accent1"/>
            <w:noWrap/>
            <w:vAlign w:val="center"/>
            <w:hideMark/>
          </w:tcPr>
          <w:p w14:paraId="3BA63FB1" w14:textId="77777777" w:rsidR="0029474E" w:rsidRPr="00E460B0" w:rsidRDefault="0029474E"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460B0">
              <w:rPr>
                <w:rFonts w:ascii="Arial" w:hAnsi="Arial" w:cs="Arial"/>
                <w:b/>
                <w:bCs/>
                <w:color w:val="FFFFFF" w:themeColor="background1"/>
                <w:sz w:val="20"/>
                <w:szCs w:val="20"/>
              </w:rPr>
              <w:t>Viáticos</w:t>
            </w:r>
            <w:r w:rsidR="004C32C6">
              <w:rPr>
                <w:rFonts w:ascii="Arial" w:hAnsi="Arial" w:cs="Arial"/>
                <w:b/>
                <w:bCs/>
                <w:color w:val="FFFFFF" w:themeColor="background1"/>
                <w:sz w:val="20"/>
                <w:szCs w:val="20"/>
              </w:rPr>
              <w:t xml:space="preserve"> ($)</w:t>
            </w:r>
          </w:p>
        </w:tc>
        <w:tc>
          <w:tcPr>
            <w:tcW w:w="1367" w:type="dxa"/>
            <w:tcBorders>
              <w:right w:val="single" w:sz="4" w:space="0" w:color="4F81BD" w:themeColor="accent1"/>
            </w:tcBorders>
            <w:shd w:val="clear" w:color="auto" w:fill="4F81BD" w:themeFill="accent1"/>
            <w:noWrap/>
            <w:vAlign w:val="center"/>
            <w:hideMark/>
          </w:tcPr>
          <w:p w14:paraId="73E62FA8" w14:textId="77777777" w:rsidR="0029474E" w:rsidRPr="00E460B0" w:rsidRDefault="0029474E"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460B0">
              <w:rPr>
                <w:rFonts w:ascii="Arial" w:hAnsi="Arial" w:cs="Arial"/>
                <w:b/>
                <w:bCs/>
                <w:color w:val="FFFFFF" w:themeColor="background1"/>
                <w:sz w:val="20"/>
                <w:szCs w:val="20"/>
              </w:rPr>
              <w:t>Pasajes</w:t>
            </w:r>
            <w:r w:rsidR="004C32C6">
              <w:rPr>
                <w:rFonts w:ascii="Arial" w:hAnsi="Arial" w:cs="Arial"/>
                <w:b/>
                <w:bCs/>
                <w:color w:val="FFFFFF" w:themeColor="background1"/>
                <w:sz w:val="20"/>
                <w:szCs w:val="20"/>
              </w:rPr>
              <w:t xml:space="preserve"> ($)</w:t>
            </w:r>
          </w:p>
        </w:tc>
      </w:tr>
      <w:tr w:rsidR="00623B09" w:rsidRPr="00A003B6" w14:paraId="69DA2B7E" w14:textId="77777777" w:rsidTr="004C32C6">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tcBorders>
            <w:noWrap/>
            <w:vAlign w:val="center"/>
            <w:hideMark/>
          </w:tcPr>
          <w:p w14:paraId="21894CB8" w14:textId="77777777" w:rsidR="00E15B68" w:rsidRPr="00FB7EA4" w:rsidRDefault="00E15B68" w:rsidP="00353D5B">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III Trimestre de 2019</w:t>
            </w:r>
          </w:p>
        </w:tc>
        <w:tc>
          <w:tcPr>
            <w:tcW w:w="1159" w:type="dxa"/>
            <w:noWrap/>
            <w:vAlign w:val="center"/>
            <w:hideMark/>
          </w:tcPr>
          <w:p w14:paraId="2B50F654" w14:textId="77777777" w:rsidR="00E15B68" w:rsidRPr="00FB7EA4" w:rsidRDefault="00E15B68"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343</w:t>
            </w:r>
          </w:p>
        </w:tc>
        <w:tc>
          <w:tcPr>
            <w:tcW w:w="993" w:type="dxa"/>
            <w:tcBorders>
              <w:right w:val="single" w:sz="4" w:space="0" w:color="4F81BD" w:themeColor="accent1"/>
            </w:tcBorders>
            <w:noWrap/>
            <w:vAlign w:val="center"/>
            <w:hideMark/>
          </w:tcPr>
          <w:p w14:paraId="5C06B2EE" w14:textId="77777777" w:rsidR="00E15B68" w:rsidRPr="00FB7EA4" w:rsidRDefault="00E15B68"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255</w:t>
            </w:r>
          </w:p>
        </w:tc>
        <w:tc>
          <w:tcPr>
            <w:tcW w:w="283" w:type="dxa"/>
            <w:tcBorders>
              <w:top w:val="nil"/>
              <w:left w:val="single" w:sz="4" w:space="0" w:color="4F81BD" w:themeColor="accent1"/>
              <w:bottom w:val="nil"/>
              <w:right w:val="single" w:sz="4" w:space="0" w:color="4F81BD" w:themeColor="accent1"/>
            </w:tcBorders>
            <w:noWrap/>
            <w:vAlign w:val="center"/>
            <w:hideMark/>
          </w:tcPr>
          <w:p w14:paraId="080B3A11" w14:textId="77777777" w:rsidR="00E15B68" w:rsidRPr="00E460B0" w:rsidRDefault="00E15B68" w:rsidP="00353D5B">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93" w:type="dxa"/>
            <w:tcBorders>
              <w:left w:val="single" w:sz="4" w:space="0" w:color="4F81BD" w:themeColor="accent1"/>
            </w:tcBorders>
            <w:noWrap/>
            <w:vAlign w:val="center"/>
            <w:hideMark/>
          </w:tcPr>
          <w:p w14:paraId="31BF5D57" w14:textId="77777777" w:rsidR="00E15B68" w:rsidRPr="00FB7EA4" w:rsidRDefault="00E15B68" w:rsidP="00353D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III Trimestre de 2019</w:t>
            </w:r>
          </w:p>
        </w:tc>
        <w:tc>
          <w:tcPr>
            <w:tcW w:w="1345" w:type="dxa"/>
            <w:noWrap/>
            <w:vAlign w:val="center"/>
          </w:tcPr>
          <w:p w14:paraId="156CB12B" w14:textId="77777777" w:rsidR="00E15B68" w:rsidRPr="00FB7EA4" w:rsidRDefault="00E15B68" w:rsidP="00353D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122.362.488 </w:t>
            </w:r>
          </w:p>
        </w:tc>
        <w:tc>
          <w:tcPr>
            <w:tcW w:w="1367" w:type="dxa"/>
            <w:tcBorders>
              <w:right w:val="single" w:sz="4" w:space="0" w:color="4F81BD" w:themeColor="accent1"/>
            </w:tcBorders>
            <w:noWrap/>
            <w:vAlign w:val="center"/>
          </w:tcPr>
          <w:p w14:paraId="05D57AF1" w14:textId="77777777" w:rsidR="00E15B68" w:rsidRPr="00FB7EA4" w:rsidRDefault="00E15B68" w:rsidP="00353D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161.472.413 </w:t>
            </w:r>
          </w:p>
        </w:tc>
      </w:tr>
      <w:tr w:rsidR="00623B09" w:rsidRPr="00A003B6" w14:paraId="6FF8901B" w14:textId="77777777" w:rsidTr="004C32C6">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tcBorders>
            <w:noWrap/>
            <w:vAlign w:val="center"/>
            <w:hideMark/>
          </w:tcPr>
          <w:p w14:paraId="71C36699" w14:textId="77777777" w:rsidR="00E15B68" w:rsidRPr="00FB7EA4" w:rsidRDefault="00E15B68" w:rsidP="00353D5B">
            <w:pPr>
              <w:spacing w:before="60" w:after="60"/>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III Trimestre de 2018</w:t>
            </w:r>
          </w:p>
        </w:tc>
        <w:tc>
          <w:tcPr>
            <w:tcW w:w="1159" w:type="dxa"/>
            <w:noWrap/>
            <w:vAlign w:val="center"/>
            <w:hideMark/>
          </w:tcPr>
          <w:p w14:paraId="7043F603" w14:textId="77777777" w:rsidR="00E15B68" w:rsidRPr="00FB7EA4" w:rsidRDefault="00E15B68"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314</w:t>
            </w:r>
          </w:p>
        </w:tc>
        <w:tc>
          <w:tcPr>
            <w:tcW w:w="993" w:type="dxa"/>
            <w:tcBorders>
              <w:right w:val="single" w:sz="4" w:space="0" w:color="4F81BD" w:themeColor="accent1"/>
            </w:tcBorders>
            <w:noWrap/>
            <w:vAlign w:val="center"/>
            <w:hideMark/>
          </w:tcPr>
          <w:p w14:paraId="7A41C9CC" w14:textId="77777777" w:rsidR="00E15B68" w:rsidRPr="00FB7EA4" w:rsidRDefault="00E15B68"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272</w:t>
            </w:r>
          </w:p>
        </w:tc>
        <w:tc>
          <w:tcPr>
            <w:tcW w:w="283" w:type="dxa"/>
            <w:tcBorders>
              <w:top w:val="nil"/>
              <w:left w:val="single" w:sz="4" w:space="0" w:color="4F81BD" w:themeColor="accent1"/>
              <w:bottom w:val="nil"/>
              <w:right w:val="single" w:sz="4" w:space="0" w:color="4F81BD" w:themeColor="accent1"/>
            </w:tcBorders>
            <w:noWrap/>
            <w:vAlign w:val="center"/>
            <w:hideMark/>
          </w:tcPr>
          <w:p w14:paraId="48E788ED" w14:textId="77777777" w:rsidR="00E15B68" w:rsidRPr="00E460B0" w:rsidRDefault="00E15B68" w:rsidP="00353D5B">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93" w:type="dxa"/>
            <w:tcBorders>
              <w:left w:val="single" w:sz="4" w:space="0" w:color="4F81BD" w:themeColor="accent1"/>
            </w:tcBorders>
            <w:noWrap/>
            <w:vAlign w:val="center"/>
            <w:hideMark/>
          </w:tcPr>
          <w:p w14:paraId="757CC2A3" w14:textId="77777777" w:rsidR="00E15B68" w:rsidRPr="00FB7EA4" w:rsidRDefault="00E15B68" w:rsidP="00353D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III Trimestre de 2018</w:t>
            </w:r>
          </w:p>
        </w:tc>
        <w:tc>
          <w:tcPr>
            <w:tcW w:w="1345" w:type="dxa"/>
            <w:noWrap/>
            <w:vAlign w:val="center"/>
          </w:tcPr>
          <w:p w14:paraId="4E43DF8D" w14:textId="77777777" w:rsidR="00E15B68" w:rsidRPr="00FB7EA4" w:rsidRDefault="00E15B68" w:rsidP="00353D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123.757.209 </w:t>
            </w:r>
          </w:p>
        </w:tc>
        <w:tc>
          <w:tcPr>
            <w:tcW w:w="1367" w:type="dxa"/>
            <w:tcBorders>
              <w:right w:val="single" w:sz="4" w:space="0" w:color="4F81BD" w:themeColor="accent1"/>
            </w:tcBorders>
            <w:noWrap/>
            <w:vAlign w:val="center"/>
          </w:tcPr>
          <w:p w14:paraId="1CE3F346" w14:textId="77777777" w:rsidR="00E15B68" w:rsidRPr="00FB7EA4" w:rsidRDefault="00E15B68" w:rsidP="00353D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195.571.941 </w:t>
            </w:r>
          </w:p>
        </w:tc>
      </w:tr>
      <w:tr w:rsidR="00623B09" w:rsidRPr="00A003B6" w14:paraId="54C8517F" w14:textId="77777777" w:rsidTr="004C32C6">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tcBorders>
            <w:noWrap/>
            <w:vAlign w:val="center"/>
          </w:tcPr>
          <w:p w14:paraId="2DBD472F" w14:textId="77777777" w:rsidR="00E15B68" w:rsidRPr="00FB7EA4" w:rsidRDefault="00E15B68" w:rsidP="00353D5B">
            <w:pPr>
              <w:spacing w:before="60" w:after="60"/>
              <w:rPr>
                <w:rFonts w:ascii="Arial" w:hAnsi="Arial" w:cs="Arial"/>
                <w:color w:val="0F243E" w:themeColor="text2" w:themeShade="80"/>
                <w:sz w:val="20"/>
                <w:szCs w:val="20"/>
              </w:rPr>
            </w:pPr>
            <w:r w:rsidRPr="00FB7EA4">
              <w:rPr>
                <w:rFonts w:ascii="Arial" w:hAnsi="Arial" w:cs="Arial"/>
                <w:color w:val="0F243E" w:themeColor="text2" w:themeShade="80"/>
                <w:sz w:val="20"/>
                <w:szCs w:val="20"/>
              </w:rPr>
              <w:t>Variación Absoluta</w:t>
            </w:r>
          </w:p>
        </w:tc>
        <w:tc>
          <w:tcPr>
            <w:tcW w:w="1159" w:type="dxa"/>
            <w:noWrap/>
            <w:vAlign w:val="center"/>
          </w:tcPr>
          <w:p w14:paraId="516094CA" w14:textId="77777777" w:rsidR="00E15B68" w:rsidRPr="00FB7EA4" w:rsidRDefault="00E15B68"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29</w:t>
            </w:r>
          </w:p>
        </w:tc>
        <w:tc>
          <w:tcPr>
            <w:tcW w:w="993" w:type="dxa"/>
            <w:tcBorders>
              <w:right w:val="single" w:sz="4" w:space="0" w:color="4F81BD" w:themeColor="accent1"/>
            </w:tcBorders>
            <w:noWrap/>
            <w:vAlign w:val="center"/>
          </w:tcPr>
          <w:p w14:paraId="0138E480" w14:textId="77777777" w:rsidR="00E15B68" w:rsidRPr="00FB7EA4" w:rsidRDefault="00E15B68"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(17)</w:t>
            </w:r>
          </w:p>
        </w:tc>
        <w:tc>
          <w:tcPr>
            <w:tcW w:w="283" w:type="dxa"/>
            <w:tcBorders>
              <w:top w:val="nil"/>
              <w:left w:val="single" w:sz="4" w:space="0" w:color="4F81BD" w:themeColor="accent1"/>
              <w:bottom w:val="nil"/>
              <w:right w:val="single" w:sz="4" w:space="0" w:color="4F81BD" w:themeColor="accent1"/>
            </w:tcBorders>
            <w:noWrap/>
            <w:vAlign w:val="center"/>
          </w:tcPr>
          <w:p w14:paraId="7EA2B12D" w14:textId="77777777" w:rsidR="00E15B68" w:rsidRPr="00E460B0" w:rsidRDefault="00E15B68" w:rsidP="00353D5B">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93" w:type="dxa"/>
            <w:tcBorders>
              <w:left w:val="single" w:sz="4" w:space="0" w:color="4F81BD" w:themeColor="accent1"/>
            </w:tcBorders>
            <w:noWrap/>
            <w:vAlign w:val="center"/>
          </w:tcPr>
          <w:p w14:paraId="427411C5" w14:textId="77777777" w:rsidR="00E15B68" w:rsidRPr="00FB7EA4" w:rsidRDefault="00E15B68" w:rsidP="00353D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Variación Absoluta</w:t>
            </w:r>
          </w:p>
        </w:tc>
        <w:tc>
          <w:tcPr>
            <w:tcW w:w="1345" w:type="dxa"/>
            <w:noWrap/>
            <w:vAlign w:val="center"/>
          </w:tcPr>
          <w:p w14:paraId="79DA92B2" w14:textId="77777777" w:rsidR="00E15B68" w:rsidRPr="00FB7EA4" w:rsidRDefault="00E15B68" w:rsidP="00353D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(1.394.720 )</w:t>
            </w:r>
          </w:p>
        </w:tc>
        <w:tc>
          <w:tcPr>
            <w:tcW w:w="1367" w:type="dxa"/>
            <w:tcBorders>
              <w:right w:val="single" w:sz="4" w:space="0" w:color="4F81BD" w:themeColor="accent1"/>
            </w:tcBorders>
            <w:noWrap/>
            <w:vAlign w:val="center"/>
          </w:tcPr>
          <w:p w14:paraId="513AB897" w14:textId="77777777" w:rsidR="00E15B68" w:rsidRPr="00FB7EA4" w:rsidRDefault="00E15B68" w:rsidP="00353D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(34.099.528)</w:t>
            </w:r>
          </w:p>
        </w:tc>
      </w:tr>
      <w:tr w:rsidR="00623B09" w:rsidRPr="00A003B6" w14:paraId="0DE0999C" w14:textId="77777777" w:rsidTr="004C32C6">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bottom w:val="single" w:sz="4" w:space="0" w:color="4F81BD" w:themeColor="accent1"/>
            </w:tcBorders>
            <w:noWrap/>
            <w:vAlign w:val="center"/>
          </w:tcPr>
          <w:p w14:paraId="23EB4A68" w14:textId="77777777" w:rsidR="00E15B68" w:rsidRPr="00FB7EA4" w:rsidRDefault="00E15B68" w:rsidP="00353D5B">
            <w:pPr>
              <w:spacing w:before="60" w:after="6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Variación Relativa </w:t>
            </w:r>
          </w:p>
        </w:tc>
        <w:tc>
          <w:tcPr>
            <w:tcW w:w="1159" w:type="dxa"/>
            <w:tcBorders>
              <w:bottom w:val="single" w:sz="4" w:space="0" w:color="4F81BD" w:themeColor="accent1"/>
            </w:tcBorders>
            <w:noWrap/>
            <w:vAlign w:val="center"/>
          </w:tcPr>
          <w:p w14:paraId="14924662" w14:textId="77777777" w:rsidR="00E15B68" w:rsidRPr="00FB7EA4" w:rsidRDefault="00E15B68"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9%</w:t>
            </w:r>
          </w:p>
        </w:tc>
        <w:tc>
          <w:tcPr>
            <w:tcW w:w="993" w:type="dxa"/>
            <w:tcBorders>
              <w:bottom w:val="single" w:sz="4" w:space="0" w:color="4F81BD" w:themeColor="accent1"/>
              <w:right w:val="single" w:sz="4" w:space="0" w:color="4F81BD" w:themeColor="accent1"/>
            </w:tcBorders>
            <w:noWrap/>
            <w:vAlign w:val="center"/>
          </w:tcPr>
          <w:p w14:paraId="4AA2E5D5" w14:textId="79D9AB62" w:rsidR="00E15B68" w:rsidRPr="00FB7EA4" w:rsidRDefault="00E15B68"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(6</w:t>
            </w:r>
            <w:r w:rsidR="00DB602B" w:rsidRPr="00FB7EA4">
              <w:rPr>
                <w:rFonts w:ascii="Arial" w:hAnsi="Arial" w:cs="Arial"/>
                <w:b/>
                <w:color w:val="0F243E" w:themeColor="text2" w:themeShade="80"/>
                <w:sz w:val="20"/>
                <w:szCs w:val="20"/>
              </w:rPr>
              <w:t>%</w:t>
            </w:r>
            <w:r w:rsidRPr="00FB7EA4">
              <w:rPr>
                <w:rFonts w:ascii="Arial" w:hAnsi="Arial" w:cs="Arial"/>
                <w:b/>
                <w:color w:val="0F243E" w:themeColor="text2" w:themeShade="80"/>
                <w:sz w:val="20"/>
                <w:szCs w:val="20"/>
              </w:rPr>
              <w:t>)</w:t>
            </w:r>
          </w:p>
        </w:tc>
        <w:tc>
          <w:tcPr>
            <w:tcW w:w="283" w:type="dxa"/>
            <w:tcBorders>
              <w:top w:val="nil"/>
              <w:left w:val="single" w:sz="4" w:space="0" w:color="4F81BD" w:themeColor="accent1"/>
              <w:bottom w:val="nil"/>
              <w:right w:val="single" w:sz="4" w:space="0" w:color="4F81BD" w:themeColor="accent1"/>
            </w:tcBorders>
            <w:noWrap/>
            <w:vAlign w:val="center"/>
          </w:tcPr>
          <w:p w14:paraId="6657FA1D" w14:textId="77777777" w:rsidR="00E15B68" w:rsidRPr="00E460B0" w:rsidRDefault="00E15B68" w:rsidP="00353D5B">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93" w:type="dxa"/>
            <w:tcBorders>
              <w:left w:val="single" w:sz="4" w:space="0" w:color="4F81BD" w:themeColor="accent1"/>
              <w:bottom w:val="single" w:sz="4" w:space="0" w:color="4F81BD" w:themeColor="accent1"/>
            </w:tcBorders>
            <w:noWrap/>
            <w:vAlign w:val="center"/>
          </w:tcPr>
          <w:p w14:paraId="58230D4A" w14:textId="77777777" w:rsidR="00E15B68" w:rsidRPr="00FB7EA4" w:rsidRDefault="00E15B68" w:rsidP="00353D5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 xml:space="preserve">Variación Relativa </w:t>
            </w:r>
          </w:p>
        </w:tc>
        <w:tc>
          <w:tcPr>
            <w:tcW w:w="1345" w:type="dxa"/>
            <w:tcBorders>
              <w:bottom w:val="single" w:sz="4" w:space="0" w:color="4F81BD" w:themeColor="accent1"/>
            </w:tcBorders>
            <w:noWrap/>
            <w:vAlign w:val="center"/>
          </w:tcPr>
          <w:p w14:paraId="53C1B928" w14:textId="77777777" w:rsidR="00E15B68" w:rsidRPr="00FB7EA4" w:rsidRDefault="00E15B68"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(1%)</w:t>
            </w:r>
          </w:p>
        </w:tc>
        <w:tc>
          <w:tcPr>
            <w:tcW w:w="1367" w:type="dxa"/>
            <w:tcBorders>
              <w:bottom w:val="single" w:sz="4" w:space="0" w:color="4F81BD" w:themeColor="accent1"/>
              <w:right w:val="single" w:sz="4" w:space="0" w:color="4F81BD" w:themeColor="accent1"/>
            </w:tcBorders>
            <w:noWrap/>
            <w:vAlign w:val="center"/>
          </w:tcPr>
          <w:p w14:paraId="49E9153D" w14:textId="77777777" w:rsidR="00E15B68" w:rsidRPr="00FB7EA4" w:rsidRDefault="00E15B68" w:rsidP="00353D5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(17%)</w:t>
            </w:r>
          </w:p>
        </w:tc>
      </w:tr>
    </w:tbl>
    <w:p w14:paraId="2DC69BBF" w14:textId="56F59FEB" w:rsidR="00241001" w:rsidRDefault="00750A1D" w:rsidP="00BF5A6D">
      <w:pPr>
        <w:tabs>
          <w:tab w:val="left" w:pos="567"/>
        </w:tabs>
        <w:jc w:val="both"/>
        <w:rPr>
          <w:rFonts w:ascii="Arial" w:hAnsi="Arial" w:cs="Arial"/>
          <w:sz w:val="22"/>
          <w:szCs w:val="22"/>
        </w:rPr>
      </w:pPr>
      <w:r w:rsidRPr="00265BF5">
        <w:rPr>
          <w:rFonts w:ascii="Arial" w:hAnsi="Arial" w:cs="Arial"/>
          <w:sz w:val="22"/>
          <w:szCs w:val="22"/>
        </w:rPr>
        <w:lastRenderedPageBreak/>
        <w:t xml:space="preserve">De lo anterior, </w:t>
      </w:r>
      <w:r w:rsidR="000B4F5A" w:rsidRPr="00265BF5">
        <w:rPr>
          <w:rFonts w:ascii="Arial" w:hAnsi="Arial" w:cs="Arial"/>
          <w:sz w:val="22"/>
          <w:szCs w:val="22"/>
        </w:rPr>
        <w:t>se infiere que las medidas y controles aplicados</w:t>
      </w:r>
      <w:r w:rsidRPr="00265BF5">
        <w:rPr>
          <w:rFonts w:ascii="Arial" w:hAnsi="Arial" w:cs="Arial"/>
          <w:sz w:val="22"/>
          <w:szCs w:val="22"/>
        </w:rPr>
        <w:t xml:space="preserve"> por este Ministerio han</w:t>
      </w:r>
      <w:r w:rsidR="0021774B" w:rsidRPr="00265BF5">
        <w:rPr>
          <w:rFonts w:ascii="Arial" w:hAnsi="Arial" w:cs="Arial"/>
          <w:sz w:val="22"/>
          <w:szCs w:val="22"/>
        </w:rPr>
        <w:t xml:space="preserve"> contribuido </w:t>
      </w:r>
      <w:r w:rsidRPr="00265BF5">
        <w:rPr>
          <w:rFonts w:ascii="Arial" w:hAnsi="Arial" w:cs="Arial"/>
          <w:sz w:val="22"/>
          <w:szCs w:val="22"/>
        </w:rPr>
        <w:t>a la austeridad</w:t>
      </w:r>
      <w:r w:rsidR="0021774B" w:rsidRPr="00265BF5">
        <w:rPr>
          <w:rFonts w:ascii="Arial" w:hAnsi="Arial" w:cs="Arial"/>
          <w:sz w:val="22"/>
          <w:szCs w:val="22"/>
        </w:rPr>
        <w:t xml:space="preserve"> del gasto para el concepto d</w:t>
      </w:r>
      <w:r w:rsidR="00241001" w:rsidRPr="00265BF5">
        <w:rPr>
          <w:rFonts w:ascii="Arial" w:hAnsi="Arial" w:cs="Arial"/>
          <w:sz w:val="22"/>
          <w:szCs w:val="22"/>
        </w:rPr>
        <w:t xml:space="preserve">e gastos de viáticos y </w:t>
      </w:r>
      <w:r w:rsidR="00BF5A6D">
        <w:rPr>
          <w:rFonts w:ascii="Arial" w:hAnsi="Arial" w:cs="Arial"/>
          <w:sz w:val="22"/>
          <w:szCs w:val="22"/>
        </w:rPr>
        <w:t>pasajes disminuya</w:t>
      </w:r>
      <w:r w:rsidR="00F15AB7" w:rsidRPr="00265BF5">
        <w:rPr>
          <w:rFonts w:ascii="Arial" w:hAnsi="Arial" w:cs="Arial"/>
          <w:sz w:val="22"/>
          <w:szCs w:val="22"/>
        </w:rPr>
        <w:t>,</w:t>
      </w:r>
      <w:r w:rsidR="00BF5A6D">
        <w:rPr>
          <w:rFonts w:ascii="Arial" w:hAnsi="Arial" w:cs="Arial"/>
          <w:sz w:val="22"/>
          <w:szCs w:val="22"/>
        </w:rPr>
        <w:t xml:space="preserve"> así mismo, </w:t>
      </w:r>
      <w:r w:rsidR="00967A75">
        <w:rPr>
          <w:rFonts w:ascii="Arial" w:hAnsi="Arial" w:cs="Arial"/>
          <w:sz w:val="22"/>
          <w:szCs w:val="22"/>
        </w:rPr>
        <w:t>el</w:t>
      </w:r>
      <w:r w:rsidR="00967A75" w:rsidRPr="00265BF5">
        <w:rPr>
          <w:rFonts w:ascii="Arial" w:hAnsi="Arial" w:cs="Arial"/>
          <w:sz w:val="22"/>
          <w:szCs w:val="22"/>
        </w:rPr>
        <w:t xml:space="preserve"> resultado obtenido</w:t>
      </w:r>
      <w:r w:rsidR="00CA06D7" w:rsidRPr="00265BF5">
        <w:rPr>
          <w:rFonts w:ascii="Arial" w:hAnsi="Arial" w:cs="Arial"/>
          <w:sz w:val="22"/>
          <w:szCs w:val="22"/>
        </w:rPr>
        <w:t xml:space="preserve"> en el segundo trimestre de </w:t>
      </w:r>
      <w:r w:rsidR="00CA06D7">
        <w:rPr>
          <w:rFonts w:ascii="Arial" w:hAnsi="Arial" w:cs="Arial"/>
          <w:sz w:val="22"/>
          <w:szCs w:val="22"/>
        </w:rPr>
        <w:t xml:space="preserve">2019 frente al </w:t>
      </w:r>
      <w:r w:rsidR="00E75EC7">
        <w:rPr>
          <w:rFonts w:ascii="Arial" w:hAnsi="Arial" w:cs="Arial"/>
          <w:sz w:val="22"/>
          <w:szCs w:val="22"/>
        </w:rPr>
        <w:t xml:space="preserve">tercer </w:t>
      </w:r>
      <w:r w:rsidR="00CA06D7">
        <w:rPr>
          <w:rFonts w:ascii="Arial" w:hAnsi="Arial" w:cs="Arial"/>
          <w:sz w:val="22"/>
          <w:szCs w:val="22"/>
        </w:rPr>
        <w:t xml:space="preserve">trimestre </w:t>
      </w:r>
      <w:r w:rsidR="00E75EC7">
        <w:rPr>
          <w:rFonts w:ascii="Arial" w:hAnsi="Arial" w:cs="Arial"/>
          <w:sz w:val="22"/>
          <w:szCs w:val="22"/>
        </w:rPr>
        <w:t>de 2019</w:t>
      </w:r>
      <w:r w:rsidR="00CA06D7">
        <w:rPr>
          <w:rFonts w:ascii="Arial" w:hAnsi="Arial" w:cs="Arial"/>
          <w:sz w:val="22"/>
          <w:szCs w:val="22"/>
        </w:rPr>
        <w:t xml:space="preserve"> se </w:t>
      </w:r>
      <w:r w:rsidR="00967A75">
        <w:rPr>
          <w:rFonts w:ascii="Arial" w:hAnsi="Arial" w:cs="Arial"/>
          <w:sz w:val="22"/>
          <w:szCs w:val="22"/>
        </w:rPr>
        <w:t>observó que</w:t>
      </w:r>
      <w:r w:rsidR="00CA06D7">
        <w:rPr>
          <w:rFonts w:ascii="Arial" w:hAnsi="Arial" w:cs="Arial"/>
          <w:sz w:val="22"/>
          <w:szCs w:val="22"/>
        </w:rPr>
        <w:t xml:space="preserve"> las variaciones negativas</w:t>
      </w:r>
      <w:r w:rsidR="00DB602B">
        <w:rPr>
          <w:rFonts w:ascii="Arial" w:hAnsi="Arial" w:cs="Arial"/>
          <w:sz w:val="22"/>
          <w:szCs w:val="22"/>
        </w:rPr>
        <w:t xml:space="preserve"> (disminuciones)</w:t>
      </w:r>
      <w:r w:rsidR="00CA06D7">
        <w:rPr>
          <w:rFonts w:ascii="Arial" w:hAnsi="Arial" w:cs="Arial"/>
          <w:sz w:val="22"/>
          <w:szCs w:val="22"/>
        </w:rPr>
        <w:t xml:space="preserve"> referente al total del gasto para los viáticos y pasajes presentan una </w:t>
      </w:r>
      <w:r w:rsidR="00FD776F">
        <w:rPr>
          <w:rFonts w:ascii="Arial" w:hAnsi="Arial" w:cs="Arial"/>
          <w:sz w:val="22"/>
          <w:szCs w:val="22"/>
        </w:rPr>
        <w:t>tendencia creciente, es decir, que pasaron de un ahorro del 4%</w:t>
      </w:r>
      <w:r w:rsidR="00DB602B">
        <w:rPr>
          <w:rFonts w:ascii="Arial" w:hAnsi="Arial" w:cs="Arial"/>
          <w:sz w:val="22"/>
          <w:szCs w:val="22"/>
        </w:rPr>
        <w:t xml:space="preserve"> en el segundo trimestre a un ahorro del 1</w:t>
      </w:r>
      <w:r w:rsidR="00FD776F">
        <w:rPr>
          <w:rFonts w:ascii="Arial" w:hAnsi="Arial" w:cs="Arial"/>
          <w:sz w:val="22"/>
          <w:szCs w:val="22"/>
        </w:rPr>
        <w:t xml:space="preserve">1% en el tercer trimestre. </w:t>
      </w:r>
      <w:r w:rsidR="00CA06D7">
        <w:rPr>
          <w:rFonts w:ascii="Arial" w:hAnsi="Arial" w:cs="Arial"/>
          <w:sz w:val="22"/>
          <w:szCs w:val="22"/>
        </w:rPr>
        <w:t xml:space="preserve"> </w:t>
      </w:r>
    </w:p>
    <w:p w14:paraId="3751C814" w14:textId="77777777" w:rsidR="00BF5A6D" w:rsidRPr="00A003B6" w:rsidRDefault="00BF5A6D" w:rsidP="00BF5A6D">
      <w:pPr>
        <w:tabs>
          <w:tab w:val="left" w:pos="567"/>
        </w:tabs>
        <w:jc w:val="both"/>
        <w:rPr>
          <w:rFonts w:ascii="Arial" w:hAnsi="Arial" w:cs="Arial"/>
          <w:sz w:val="22"/>
          <w:szCs w:val="22"/>
          <w:highlight w:val="yellow"/>
        </w:rPr>
      </w:pPr>
    </w:p>
    <w:p w14:paraId="57756B00" w14:textId="77777777" w:rsidR="005E6490" w:rsidRPr="00B02147" w:rsidRDefault="005E6490" w:rsidP="00FC4906">
      <w:pPr>
        <w:jc w:val="both"/>
        <w:rPr>
          <w:rFonts w:ascii="Arial" w:hAnsi="Arial" w:cs="Arial"/>
          <w:color w:val="000000" w:themeColor="text1"/>
          <w:sz w:val="22"/>
          <w:szCs w:val="22"/>
        </w:rPr>
      </w:pPr>
      <w:r w:rsidRPr="00B02147">
        <w:rPr>
          <w:rFonts w:ascii="Arial" w:hAnsi="Arial" w:cs="Arial"/>
          <w:color w:val="000000" w:themeColor="text1"/>
          <w:sz w:val="22"/>
          <w:szCs w:val="22"/>
        </w:rPr>
        <w:t>Adicionalmente, el área informó que se están aplicando los siguientes controles en aras de contribuir a las medidas de eficiencia del gasto, así:</w:t>
      </w:r>
    </w:p>
    <w:p w14:paraId="4E96C0A2" w14:textId="77777777" w:rsidR="005E6490" w:rsidRPr="00B02147" w:rsidRDefault="005E6490" w:rsidP="00FC4906">
      <w:pPr>
        <w:jc w:val="both"/>
        <w:rPr>
          <w:rFonts w:ascii="Arial" w:hAnsi="Arial" w:cs="Arial"/>
          <w:color w:val="000000" w:themeColor="text1"/>
          <w:sz w:val="18"/>
          <w:szCs w:val="22"/>
        </w:rPr>
      </w:pPr>
    </w:p>
    <w:p w14:paraId="0868D455" w14:textId="77777777" w:rsidR="005E2DDF" w:rsidRPr="00B02147" w:rsidRDefault="005E2DDF" w:rsidP="0045629B">
      <w:pPr>
        <w:pStyle w:val="Prrafodelista"/>
        <w:numPr>
          <w:ilvl w:val="0"/>
          <w:numId w:val="5"/>
        </w:numPr>
        <w:spacing w:after="120"/>
        <w:ind w:left="357" w:hanging="357"/>
        <w:contextualSpacing w:val="0"/>
        <w:rPr>
          <w:rFonts w:ascii="Arial" w:hAnsi="Arial" w:cs="Arial"/>
          <w:color w:val="000000" w:themeColor="text1"/>
          <w:sz w:val="22"/>
          <w:szCs w:val="22"/>
        </w:rPr>
      </w:pPr>
      <w:r w:rsidRPr="00B02147">
        <w:rPr>
          <w:rFonts w:ascii="Arial" w:hAnsi="Arial" w:cs="Arial"/>
          <w:color w:val="000000" w:themeColor="text1"/>
          <w:sz w:val="22"/>
          <w:szCs w:val="22"/>
        </w:rPr>
        <w:t xml:space="preserve">Se establecieron unos topes de asignación de viáticos para cada Dirección de acuerdo con la ejecución de la vigencia anterior, con el fin de priorizar los recursos asignados, estos topes fueron informados a cada Dirección. </w:t>
      </w:r>
    </w:p>
    <w:p w14:paraId="38A66D50" w14:textId="77777777" w:rsidR="005E2DDF" w:rsidRPr="00B02147" w:rsidRDefault="005E2DDF" w:rsidP="0045629B">
      <w:pPr>
        <w:pStyle w:val="Prrafodelista"/>
        <w:numPr>
          <w:ilvl w:val="0"/>
          <w:numId w:val="5"/>
        </w:numPr>
        <w:spacing w:after="120"/>
        <w:ind w:left="357" w:hanging="357"/>
        <w:contextualSpacing w:val="0"/>
        <w:rPr>
          <w:rFonts w:ascii="Arial" w:hAnsi="Arial" w:cs="Arial"/>
          <w:color w:val="000000" w:themeColor="text1"/>
          <w:sz w:val="22"/>
          <w:szCs w:val="22"/>
        </w:rPr>
      </w:pPr>
      <w:r w:rsidRPr="00B02147">
        <w:rPr>
          <w:rFonts w:ascii="Arial" w:hAnsi="Arial" w:cs="Arial"/>
          <w:color w:val="000000" w:themeColor="text1"/>
          <w:sz w:val="22"/>
          <w:szCs w:val="22"/>
        </w:rPr>
        <w:t>Periódicamente, se le informa a la Dirección Administrativa el estado de ejecución de viáticos y pasajes esta información se realiza teniendo en cuenta la fecha de solicitud de comisión. Periódicamente se realiza una reunión de seguimiento de ejecución de viáticos.</w:t>
      </w:r>
    </w:p>
    <w:p w14:paraId="63BC64E3" w14:textId="77777777" w:rsidR="005E2DDF" w:rsidRPr="00B02147" w:rsidRDefault="005E2DDF" w:rsidP="0045629B">
      <w:pPr>
        <w:pStyle w:val="Prrafodelista"/>
        <w:numPr>
          <w:ilvl w:val="0"/>
          <w:numId w:val="5"/>
        </w:numPr>
        <w:spacing w:after="120"/>
        <w:ind w:left="357" w:hanging="357"/>
        <w:contextualSpacing w:val="0"/>
        <w:rPr>
          <w:rFonts w:ascii="Arial" w:hAnsi="Arial" w:cs="Arial"/>
          <w:b/>
        </w:rPr>
      </w:pPr>
      <w:r w:rsidRPr="00B02147">
        <w:rPr>
          <w:rFonts w:ascii="Arial" w:hAnsi="Arial" w:cs="Arial"/>
          <w:color w:val="000000" w:themeColor="text1"/>
          <w:sz w:val="22"/>
          <w:szCs w:val="22"/>
        </w:rPr>
        <w:t>Se realiza el seguimiento de la ejecución de los viáticos y pasajes y se informa por correo electrónico a las Direcciones que presentan mayor ejecución el valor ejecutado versus el asignado, así como, el saldo que tiene disponible para ejecutar. Lo anterior, para que cada área priorice las necesidades.</w:t>
      </w:r>
    </w:p>
    <w:p w14:paraId="4D77359A" w14:textId="77777777" w:rsidR="005E2DDF" w:rsidRPr="00B02147" w:rsidRDefault="005E2DDF" w:rsidP="0045629B">
      <w:pPr>
        <w:pStyle w:val="Prrafodelista"/>
        <w:numPr>
          <w:ilvl w:val="0"/>
          <w:numId w:val="5"/>
        </w:numPr>
        <w:contextualSpacing w:val="0"/>
        <w:rPr>
          <w:rFonts w:ascii="Arial" w:hAnsi="Arial" w:cs="Arial"/>
          <w:color w:val="000000" w:themeColor="text1"/>
          <w:sz w:val="22"/>
          <w:szCs w:val="22"/>
        </w:rPr>
      </w:pPr>
      <w:r w:rsidRPr="00B02147">
        <w:rPr>
          <w:rFonts w:ascii="Arial" w:hAnsi="Arial" w:cs="Arial"/>
          <w:color w:val="000000" w:themeColor="text1"/>
          <w:sz w:val="22"/>
          <w:szCs w:val="22"/>
        </w:rPr>
        <w:t>Antes de autorizar la expedición de un tiquete se verifica que el mismo se expida en tarifa económica excepto los señalados en el artículo 2.2.5.5.28 del Decreto 1083 de 2015”.</w:t>
      </w:r>
    </w:p>
    <w:p w14:paraId="71502651" w14:textId="07EA23C6" w:rsidR="005E2DDF" w:rsidRDefault="005E2DDF" w:rsidP="005E2DDF">
      <w:pPr>
        <w:rPr>
          <w:rFonts w:ascii="Arial" w:hAnsi="Arial" w:cs="Arial"/>
          <w:b/>
          <w:sz w:val="22"/>
          <w:szCs w:val="22"/>
          <w:highlight w:val="yellow"/>
        </w:rPr>
      </w:pPr>
    </w:p>
    <w:p w14:paraId="3C6B0B2B" w14:textId="77777777" w:rsidR="00823B10" w:rsidRPr="00A003B6" w:rsidRDefault="00823B10" w:rsidP="005E2DDF">
      <w:pPr>
        <w:rPr>
          <w:rFonts w:ascii="Arial" w:hAnsi="Arial" w:cs="Arial"/>
          <w:b/>
          <w:sz w:val="22"/>
          <w:szCs w:val="22"/>
          <w:highlight w:val="yellow"/>
        </w:rPr>
      </w:pPr>
    </w:p>
    <w:p w14:paraId="2835F01F" w14:textId="77777777" w:rsidR="00B83072" w:rsidRPr="006C5407" w:rsidRDefault="008001E7" w:rsidP="0045629B">
      <w:pPr>
        <w:pStyle w:val="Prrafodelista"/>
        <w:numPr>
          <w:ilvl w:val="0"/>
          <w:numId w:val="8"/>
        </w:numPr>
        <w:ind w:left="284" w:hanging="284"/>
        <w:rPr>
          <w:rFonts w:ascii="Arial" w:hAnsi="Arial" w:cs="Arial"/>
          <w:b/>
          <w:sz w:val="22"/>
          <w:szCs w:val="22"/>
        </w:rPr>
      </w:pPr>
      <w:r w:rsidRPr="006C5407">
        <w:rPr>
          <w:rFonts w:ascii="Arial" w:hAnsi="Arial" w:cs="Arial"/>
          <w:b/>
          <w:sz w:val="22"/>
          <w:szCs w:val="22"/>
        </w:rPr>
        <w:t>CAPACITACIONES</w:t>
      </w:r>
    </w:p>
    <w:p w14:paraId="3849A67C" w14:textId="77777777" w:rsidR="0075698D" w:rsidRPr="006C5407" w:rsidRDefault="0075698D" w:rsidP="00B83072">
      <w:pPr>
        <w:rPr>
          <w:rFonts w:ascii="Arial" w:hAnsi="Arial" w:cs="Arial"/>
          <w:sz w:val="22"/>
          <w:szCs w:val="22"/>
        </w:rPr>
      </w:pPr>
    </w:p>
    <w:p w14:paraId="7C84B8FC" w14:textId="533DB118" w:rsidR="00BE7120" w:rsidRDefault="00152953" w:rsidP="00733329">
      <w:pPr>
        <w:jc w:val="both"/>
        <w:rPr>
          <w:rFonts w:ascii="Arial" w:hAnsi="Arial" w:cs="Arial"/>
          <w:sz w:val="22"/>
          <w:szCs w:val="22"/>
        </w:rPr>
      </w:pPr>
      <w:r w:rsidRPr="006C5407">
        <w:rPr>
          <w:rFonts w:ascii="Arial" w:hAnsi="Arial" w:cs="Arial"/>
          <w:sz w:val="22"/>
          <w:szCs w:val="22"/>
        </w:rPr>
        <w:t xml:space="preserve">La Directiva Presidencial 09 de 2018, </w:t>
      </w:r>
      <w:r w:rsidR="00B2393A" w:rsidRPr="006C5407">
        <w:rPr>
          <w:rFonts w:ascii="Arial" w:hAnsi="Arial" w:cs="Arial"/>
          <w:sz w:val="22"/>
          <w:szCs w:val="22"/>
        </w:rPr>
        <w:t xml:space="preserve">en el numeral 3 enuncia medidas frente al concepto de gastos por capacitaciones que se </w:t>
      </w:r>
      <w:r w:rsidR="00A2689D" w:rsidRPr="006C5407">
        <w:rPr>
          <w:rFonts w:ascii="Arial" w:hAnsi="Arial" w:cs="Arial"/>
          <w:sz w:val="22"/>
          <w:szCs w:val="22"/>
        </w:rPr>
        <w:t xml:space="preserve">debe </w:t>
      </w:r>
      <w:r w:rsidR="00B2393A" w:rsidRPr="006C5407">
        <w:rPr>
          <w:rFonts w:ascii="Arial" w:hAnsi="Arial" w:cs="Arial"/>
          <w:sz w:val="22"/>
          <w:szCs w:val="22"/>
        </w:rPr>
        <w:t>observar en el marco de la austeridad.</w:t>
      </w:r>
      <w:r w:rsidR="00BE7120" w:rsidRPr="006C5407">
        <w:rPr>
          <w:rFonts w:ascii="Arial" w:hAnsi="Arial" w:cs="Arial"/>
          <w:sz w:val="22"/>
          <w:szCs w:val="22"/>
        </w:rPr>
        <w:t xml:space="preserve"> Al respecto, está Oficina efectúo un seguimiento al cumplimiento de este numeral, para lo cual la, la </w:t>
      </w:r>
      <w:r w:rsidR="00F04372" w:rsidRPr="006C5407">
        <w:rPr>
          <w:rFonts w:ascii="Arial" w:hAnsi="Arial" w:cs="Arial"/>
          <w:sz w:val="22"/>
          <w:szCs w:val="22"/>
        </w:rPr>
        <w:t xml:space="preserve">Subdirección de Gestión del Talento Humano </w:t>
      </w:r>
      <w:r w:rsidR="00BE7120" w:rsidRPr="006C5407">
        <w:rPr>
          <w:rFonts w:ascii="Arial" w:hAnsi="Arial" w:cs="Arial"/>
          <w:sz w:val="22"/>
          <w:szCs w:val="22"/>
        </w:rPr>
        <w:t>informo</w:t>
      </w:r>
      <w:r w:rsidR="002C44BC" w:rsidRPr="006C5407">
        <w:rPr>
          <w:rFonts w:ascii="Arial" w:hAnsi="Arial" w:cs="Arial"/>
          <w:sz w:val="22"/>
          <w:szCs w:val="22"/>
        </w:rPr>
        <w:t xml:space="preserve"> lo siguiente: </w:t>
      </w:r>
      <w:r w:rsidR="00BE7120" w:rsidRPr="006C5407">
        <w:rPr>
          <w:rFonts w:ascii="Arial" w:hAnsi="Arial" w:cs="Arial"/>
          <w:sz w:val="22"/>
          <w:szCs w:val="22"/>
        </w:rPr>
        <w:t xml:space="preserve"> </w:t>
      </w:r>
    </w:p>
    <w:p w14:paraId="00BFD345" w14:textId="77777777" w:rsidR="00461CB6" w:rsidRPr="006C5407" w:rsidRDefault="00461CB6" w:rsidP="00733329">
      <w:pPr>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956"/>
        <w:gridCol w:w="4219"/>
        <w:gridCol w:w="4493"/>
      </w:tblGrid>
      <w:tr w:rsidR="006C5407" w:rsidRPr="006C5407" w14:paraId="3C3DA4F5" w14:textId="77777777" w:rsidTr="00D04684">
        <w:trPr>
          <w:cantSplit/>
          <w:tblHeader/>
        </w:trPr>
        <w:tc>
          <w:tcPr>
            <w:tcW w:w="0" w:type="auto"/>
            <w:tcBorders>
              <w:top w:val="single" w:sz="8" w:space="0" w:color="B8CCE4"/>
              <w:left w:val="single" w:sz="8" w:space="0" w:color="B8CCE4"/>
              <w:bottom w:val="single" w:sz="4" w:space="0" w:color="4F81BD" w:themeColor="accent1"/>
              <w:right w:val="single" w:sz="8" w:space="0" w:color="B8CCE4"/>
            </w:tcBorders>
            <w:shd w:val="clear" w:color="000000" w:fill="4F81BD"/>
            <w:vAlign w:val="center"/>
            <w:hideMark/>
          </w:tcPr>
          <w:p w14:paraId="1163C1D3" w14:textId="77777777" w:rsidR="006C5407" w:rsidRPr="006C5407" w:rsidRDefault="006C5407" w:rsidP="00D04684">
            <w:pPr>
              <w:widowControl w:val="0"/>
              <w:jc w:val="center"/>
              <w:rPr>
                <w:rFonts w:ascii="Arial" w:hAnsi="Arial" w:cs="Arial"/>
                <w:b/>
                <w:bCs/>
                <w:color w:val="FFFFFF"/>
                <w:sz w:val="20"/>
                <w:szCs w:val="20"/>
              </w:rPr>
            </w:pPr>
            <w:r w:rsidRPr="006C5407">
              <w:rPr>
                <w:rFonts w:ascii="Arial" w:hAnsi="Arial" w:cs="Arial"/>
                <w:b/>
                <w:bCs/>
                <w:color w:val="FFFFFF"/>
                <w:sz w:val="20"/>
                <w:szCs w:val="20"/>
              </w:rPr>
              <w:t>Numeral 3</w:t>
            </w:r>
          </w:p>
        </w:tc>
        <w:tc>
          <w:tcPr>
            <w:tcW w:w="0" w:type="auto"/>
            <w:tcBorders>
              <w:top w:val="single" w:sz="8" w:space="0" w:color="B8CCE4"/>
              <w:left w:val="nil"/>
              <w:bottom w:val="single" w:sz="4" w:space="0" w:color="4F81BD" w:themeColor="accent1"/>
              <w:right w:val="single" w:sz="8" w:space="0" w:color="B8CCE4"/>
            </w:tcBorders>
            <w:shd w:val="clear" w:color="000000" w:fill="4F81BD"/>
            <w:vAlign w:val="center"/>
            <w:hideMark/>
          </w:tcPr>
          <w:p w14:paraId="3B0F71C0" w14:textId="77777777" w:rsidR="006C5407" w:rsidRPr="006C5407" w:rsidRDefault="006C5407" w:rsidP="00D04684">
            <w:pPr>
              <w:widowControl w:val="0"/>
              <w:jc w:val="center"/>
              <w:rPr>
                <w:rFonts w:ascii="Arial" w:hAnsi="Arial" w:cs="Arial"/>
                <w:b/>
                <w:bCs/>
                <w:color w:val="FFFFFF"/>
                <w:sz w:val="20"/>
                <w:szCs w:val="20"/>
              </w:rPr>
            </w:pPr>
            <w:r w:rsidRPr="006C5407">
              <w:rPr>
                <w:rFonts w:ascii="Arial" w:hAnsi="Arial" w:cs="Arial"/>
                <w:b/>
                <w:bCs/>
                <w:color w:val="FFFFFF"/>
                <w:sz w:val="20"/>
                <w:szCs w:val="20"/>
              </w:rPr>
              <w:t>Concepto</w:t>
            </w:r>
          </w:p>
        </w:tc>
        <w:tc>
          <w:tcPr>
            <w:tcW w:w="0" w:type="auto"/>
            <w:tcBorders>
              <w:top w:val="single" w:sz="8" w:space="0" w:color="B8CCE4"/>
              <w:left w:val="nil"/>
              <w:bottom w:val="single" w:sz="4" w:space="0" w:color="4F81BD" w:themeColor="accent1"/>
              <w:right w:val="single" w:sz="8" w:space="0" w:color="B8CCE4"/>
            </w:tcBorders>
            <w:shd w:val="clear" w:color="000000" w:fill="4F81BD"/>
            <w:vAlign w:val="center"/>
            <w:hideMark/>
          </w:tcPr>
          <w:p w14:paraId="5A8BB222" w14:textId="77777777" w:rsidR="006C5407" w:rsidRPr="006C5407" w:rsidRDefault="006C5407" w:rsidP="00D04684">
            <w:pPr>
              <w:widowControl w:val="0"/>
              <w:jc w:val="center"/>
              <w:rPr>
                <w:rFonts w:ascii="Arial" w:hAnsi="Arial" w:cs="Arial"/>
                <w:b/>
                <w:bCs/>
                <w:color w:val="FFFFFF"/>
                <w:sz w:val="20"/>
                <w:szCs w:val="20"/>
              </w:rPr>
            </w:pPr>
            <w:r w:rsidRPr="006C5407">
              <w:rPr>
                <w:rFonts w:ascii="Arial" w:hAnsi="Arial" w:cs="Arial"/>
                <w:b/>
                <w:bCs/>
                <w:color w:val="FFFFFF"/>
                <w:sz w:val="20"/>
                <w:szCs w:val="20"/>
              </w:rPr>
              <w:t>Seguimiento</w:t>
            </w:r>
          </w:p>
        </w:tc>
      </w:tr>
      <w:tr w:rsidR="006C5407" w:rsidRPr="006C5407" w14:paraId="569AF7E0" w14:textId="77777777" w:rsidTr="00D04684">
        <w:trPr>
          <w:cantSplit/>
        </w:trPr>
        <w:tc>
          <w:tcPr>
            <w:tcW w:w="0" w:type="auto"/>
            <w:tcBorders>
              <w:top w:val="single" w:sz="4" w:space="0" w:color="4F81BD" w:themeColor="accent1"/>
              <w:left w:val="single" w:sz="8" w:space="0" w:color="B8CCE4"/>
              <w:bottom w:val="nil"/>
              <w:right w:val="single" w:sz="8" w:space="0" w:color="B8CCE4"/>
            </w:tcBorders>
            <w:shd w:val="clear" w:color="auto" w:fill="auto"/>
            <w:vAlign w:val="center"/>
            <w:hideMark/>
          </w:tcPr>
          <w:p w14:paraId="23EE2658" w14:textId="77777777" w:rsidR="006C5407" w:rsidRPr="00FB7EA4" w:rsidRDefault="006C5407" w:rsidP="00D04684">
            <w:pPr>
              <w:widowControl w:val="0"/>
              <w:jc w:val="center"/>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3.1</w:t>
            </w:r>
          </w:p>
        </w:tc>
        <w:tc>
          <w:tcPr>
            <w:tcW w:w="0" w:type="auto"/>
            <w:tcBorders>
              <w:top w:val="single" w:sz="4" w:space="0" w:color="4F81BD" w:themeColor="accent1"/>
              <w:left w:val="nil"/>
              <w:bottom w:val="nil"/>
              <w:right w:val="single" w:sz="8" w:space="0" w:color="B8CCE4"/>
            </w:tcBorders>
            <w:shd w:val="clear" w:color="auto" w:fill="auto"/>
            <w:vAlign w:val="center"/>
            <w:hideMark/>
          </w:tcPr>
          <w:p w14:paraId="0241C18F" w14:textId="77777777" w:rsidR="006C5407" w:rsidRPr="00FB7EA4" w:rsidRDefault="006C5407" w:rsidP="00D04684">
            <w:pPr>
              <w:widowControl w:val="0"/>
              <w:jc w:val="both"/>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Realizar únicamente los eventos que sean estrictamente necesarios para la entidad y privilegiar, en su organización y desarrollo, el uso de auditorios o espacios institucionales. </w:t>
            </w:r>
          </w:p>
        </w:tc>
        <w:tc>
          <w:tcPr>
            <w:tcW w:w="0" w:type="auto"/>
            <w:tcBorders>
              <w:top w:val="single" w:sz="4" w:space="0" w:color="4F81BD" w:themeColor="accent1"/>
              <w:left w:val="nil"/>
              <w:bottom w:val="single" w:sz="8" w:space="0" w:color="B8CCE4"/>
              <w:right w:val="single" w:sz="8" w:space="0" w:color="B8CCE4"/>
            </w:tcBorders>
            <w:shd w:val="clear" w:color="auto" w:fill="auto"/>
            <w:vAlign w:val="center"/>
            <w:hideMark/>
          </w:tcPr>
          <w:p w14:paraId="258096E1" w14:textId="77777777" w:rsidR="00D04684" w:rsidRPr="00FB7EA4" w:rsidRDefault="006C5407" w:rsidP="00D04684">
            <w:pPr>
              <w:widowControl w:val="0"/>
              <w:jc w:val="both"/>
              <w:rPr>
                <w:rFonts w:ascii="Arial" w:hAnsi="Arial" w:cs="Arial"/>
                <w:color w:val="0F243E" w:themeColor="text2" w:themeShade="80"/>
                <w:sz w:val="20"/>
                <w:szCs w:val="20"/>
              </w:rPr>
            </w:pPr>
            <w:r w:rsidRPr="00FB7EA4">
              <w:rPr>
                <w:rFonts w:ascii="Arial" w:hAnsi="Arial" w:cs="Arial"/>
                <w:color w:val="0F243E" w:themeColor="text2" w:themeShade="80"/>
                <w:sz w:val="20"/>
                <w:szCs w:val="20"/>
              </w:rPr>
              <w:t>En desarrollo del Plan Institucional de Capacitación del Ministerio, durante el tercer trimestre del año se realizaron veintiséis (26) actividades de capacitación, entre las cuales se encuentran cursos, talleres, conferencias, seminarios y/o diplomados, destacándose el fortalecimiento sobre el eje de Gestión del Conocimiento.</w:t>
            </w:r>
            <w:r w:rsidRPr="00FB7EA4">
              <w:rPr>
                <w:rFonts w:ascii="Arial" w:hAnsi="Arial" w:cs="Arial"/>
                <w:color w:val="0F243E" w:themeColor="text2" w:themeShade="80"/>
                <w:sz w:val="20"/>
                <w:szCs w:val="20"/>
              </w:rPr>
              <w:br/>
            </w:r>
          </w:p>
          <w:p w14:paraId="2FAB3848" w14:textId="20DC80CB" w:rsidR="006C5407" w:rsidRPr="00FB7EA4" w:rsidRDefault="006C5407" w:rsidP="00813A10">
            <w:pPr>
              <w:widowControl w:val="0"/>
              <w:jc w:val="both"/>
              <w:rPr>
                <w:rFonts w:ascii="Arial" w:hAnsi="Arial" w:cs="Arial"/>
                <w:color w:val="0F243E" w:themeColor="text2" w:themeShade="80"/>
                <w:sz w:val="20"/>
                <w:szCs w:val="20"/>
              </w:rPr>
            </w:pPr>
            <w:r w:rsidRPr="00FB7EA4">
              <w:rPr>
                <w:rFonts w:ascii="Arial" w:hAnsi="Arial" w:cs="Arial"/>
                <w:color w:val="0F243E" w:themeColor="text2" w:themeShade="80"/>
                <w:sz w:val="20"/>
                <w:szCs w:val="20"/>
              </w:rPr>
              <w:t>Las actividades se han realizado a cero costos, debido a que estas, se han desarrollado con instructores y ponentes expertos en la materia, que se encuentran vinculados a este Ministerio, o a Entidades Públicas ante las cuales se real</w:t>
            </w:r>
            <w:r w:rsidR="00813A10" w:rsidRPr="00FB7EA4">
              <w:rPr>
                <w:rFonts w:ascii="Arial" w:hAnsi="Arial" w:cs="Arial"/>
                <w:color w:val="0F243E" w:themeColor="text2" w:themeShade="80"/>
                <w:sz w:val="20"/>
                <w:szCs w:val="20"/>
              </w:rPr>
              <w:t>izó la correspondiente gestión. El área de Talento Humano h</w:t>
            </w:r>
            <w:r w:rsidRPr="00FB7EA4">
              <w:rPr>
                <w:rFonts w:ascii="Arial" w:hAnsi="Arial" w:cs="Arial"/>
                <w:color w:val="0F243E" w:themeColor="text2" w:themeShade="80"/>
                <w:sz w:val="20"/>
                <w:szCs w:val="20"/>
              </w:rPr>
              <w:t>a calculado que el ahorro alcanzado en las capacitaciones desarrolladas en este periodo es de aproximadamente $267.825.000</w:t>
            </w:r>
            <w:r w:rsidR="00813A10" w:rsidRPr="00FB7EA4">
              <w:rPr>
                <w:rFonts w:ascii="Arial" w:hAnsi="Arial" w:cs="Arial"/>
                <w:color w:val="0F243E" w:themeColor="text2" w:themeShade="80"/>
                <w:sz w:val="20"/>
                <w:szCs w:val="20"/>
              </w:rPr>
              <w:t>.</w:t>
            </w:r>
          </w:p>
        </w:tc>
      </w:tr>
      <w:tr w:rsidR="006C5407" w:rsidRPr="006C5407" w14:paraId="1F958BD7" w14:textId="77777777" w:rsidTr="00D04684">
        <w:trPr>
          <w:cantSplit/>
        </w:trPr>
        <w:tc>
          <w:tcPr>
            <w:tcW w:w="0" w:type="auto"/>
            <w:tcBorders>
              <w:top w:val="nil"/>
              <w:left w:val="single" w:sz="8" w:space="0" w:color="B8CCE4"/>
              <w:bottom w:val="single" w:sz="8" w:space="0" w:color="B8CCE4"/>
              <w:right w:val="single" w:sz="8" w:space="0" w:color="B8CCE4"/>
            </w:tcBorders>
            <w:shd w:val="clear" w:color="auto" w:fill="auto"/>
            <w:vAlign w:val="center"/>
            <w:hideMark/>
          </w:tcPr>
          <w:p w14:paraId="1224356D" w14:textId="77777777" w:rsidR="006C5407" w:rsidRPr="00FB7EA4" w:rsidRDefault="006C5407" w:rsidP="009C2C1D">
            <w:pPr>
              <w:widowControl w:val="0"/>
              <w:spacing w:before="60" w:after="60"/>
              <w:jc w:val="center"/>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lastRenderedPageBreak/>
              <w:t>3.2</w:t>
            </w:r>
          </w:p>
        </w:tc>
        <w:tc>
          <w:tcPr>
            <w:tcW w:w="0" w:type="auto"/>
            <w:tcBorders>
              <w:top w:val="nil"/>
              <w:left w:val="nil"/>
              <w:bottom w:val="single" w:sz="8" w:space="0" w:color="B8CCE4"/>
              <w:right w:val="single" w:sz="8" w:space="0" w:color="B8CCE4"/>
            </w:tcBorders>
            <w:shd w:val="clear" w:color="auto" w:fill="auto"/>
            <w:vAlign w:val="center"/>
            <w:hideMark/>
          </w:tcPr>
          <w:p w14:paraId="12226367" w14:textId="77777777" w:rsidR="006C5407" w:rsidRPr="00FB7EA4" w:rsidRDefault="006C5407" w:rsidP="009C2C1D">
            <w:pPr>
              <w:widowControl w:val="0"/>
              <w:spacing w:before="60" w:after="60"/>
              <w:jc w:val="both"/>
              <w:rPr>
                <w:rFonts w:ascii="Arial" w:hAnsi="Arial" w:cs="Arial"/>
                <w:color w:val="0F243E" w:themeColor="text2" w:themeShade="80"/>
                <w:sz w:val="20"/>
                <w:szCs w:val="20"/>
              </w:rPr>
            </w:pPr>
            <w:r w:rsidRPr="00FB7EA4">
              <w:rPr>
                <w:rFonts w:ascii="Arial" w:hAnsi="Arial" w:cs="Arial"/>
                <w:color w:val="0F243E" w:themeColor="text2" w:themeShade="80"/>
                <w:sz w:val="20"/>
                <w:szCs w:val="20"/>
              </w:rPr>
              <w:t>En virtud de los principios de eficiencia, eficacia y economía, los eventos deberán, en lo posible, coordinarse en su realización y logística para efectuarse de manera conjunta con otras entidades del Estado que· tengan necesidades de capacitación, análogas o similares, esto con el objetivo de lograr economías de escala y disminuir costos.</w:t>
            </w:r>
          </w:p>
        </w:tc>
        <w:tc>
          <w:tcPr>
            <w:tcW w:w="0" w:type="auto"/>
            <w:tcBorders>
              <w:top w:val="nil"/>
              <w:left w:val="nil"/>
              <w:bottom w:val="single" w:sz="8" w:space="0" w:color="B8CCE4"/>
              <w:right w:val="single" w:sz="8" w:space="0" w:color="B8CCE4"/>
            </w:tcBorders>
            <w:shd w:val="clear" w:color="auto" w:fill="auto"/>
            <w:vAlign w:val="center"/>
            <w:hideMark/>
          </w:tcPr>
          <w:p w14:paraId="4C4C20DD" w14:textId="77777777" w:rsidR="006C5407" w:rsidRPr="00FB7EA4" w:rsidRDefault="006C5407" w:rsidP="009C2C1D">
            <w:pPr>
              <w:widowControl w:val="0"/>
              <w:spacing w:before="60" w:after="60"/>
              <w:jc w:val="both"/>
              <w:rPr>
                <w:rFonts w:ascii="Arial" w:hAnsi="Arial" w:cs="Arial"/>
                <w:color w:val="0F243E" w:themeColor="text2" w:themeShade="80"/>
                <w:sz w:val="20"/>
                <w:szCs w:val="20"/>
              </w:rPr>
            </w:pPr>
            <w:r w:rsidRPr="00FB7EA4">
              <w:rPr>
                <w:rFonts w:ascii="Arial" w:hAnsi="Arial" w:cs="Arial"/>
                <w:color w:val="0F243E" w:themeColor="text2" w:themeShade="80"/>
                <w:sz w:val="20"/>
                <w:szCs w:val="20"/>
              </w:rPr>
              <w:t>En el tercer trimestre de la presente vigencias, las actividades de capacitación se han llevado a cabo en las instalaciones del Ministerio y de la Escuela Superior de Administración Pública (ESAP).</w:t>
            </w:r>
          </w:p>
        </w:tc>
      </w:tr>
      <w:tr w:rsidR="006C5407" w:rsidRPr="006C5407" w14:paraId="6EA0684E" w14:textId="77777777" w:rsidTr="00D04684">
        <w:trPr>
          <w:cantSplit/>
        </w:trPr>
        <w:tc>
          <w:tcPr>
            <w:tcW w:w="0" w:type="auto"/>
            <w:tcBorders>
              <w:top w:val="nil"/>
              <w:left w:val="single" w:sz="8" w:space="0" w:color="B8CCE4"/>
              <w:bottom w:val="single" w:sz="8" w:space="0" w:color="B8CCE4"/>
              <w:right w:val="single" w:sz="8" w:space="0" w:color="B8CCE4"/>
            </w:tcBorders>
            <w:shd w:val="clear" w:color="auto" w:fill="auto"/>
            <w:vAlign w:val="center"/>
            <w:hideMark/>
          </w:tcPr>
          <w:p w14:paraId="47226A82" w14:textId="77777777" w:rsidR="006C5407" w:rsidRPr="00FB7EA4" w:rsidRDefault="006C5407" w:rsidP="009C2C1D">
            <w:pPr>
              <w:widowControl w:val="0"/>
              <w:spacing w:before="60" w:after="60"/>
              <w:jc w:val="center"/>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3.3</w:t>
            </w:r>
          </w:p>
        </w:tc>
        <w:tc>
          <w:tcPr>
            <w:tcW w:w="0" w:type="auto"/>
            <w:tcBorders>
              <w:top w:val="nil"/>
              <w:left w:val="nil"/>
              <w:bottom w:val="single" w:sz="8" w:space="0" w:color="B8CCE4"/>
              <w:right w:val="single" w:sz="8" w:space="0" w:color="B8CCE4"/>
            </w:tcBorders>
            <w:shd w:val="clear" w:color="auto" w:fill="auto"/>
            <w:vAlign w:val="center"/>
            <w:hideMark/>
          </w:tcPr>
          <w:p w14:paraId="0E5CC7EF" w14:textId="77777777" w:rsidR="006C5407" w:rsidRPr="00FB7EA4" w:rsidRDefault="006C5407" w:rsidP="009C2C1D">
            <w:pPr>
              <w:widowControl w:val="0"/>
              <w:spacing w:before="60" w:after="60"/>
              <w:jc w:val="both"/>
              <w:rPr>
                <w:rFonts w:ascii="Arial" w:hAnsi="Arial" w:cs="Arial"/>
                <w:color w:val="0F243E" w:themeColor="text2" w:themeShade="80"/>
                <w:sz w:val="20"/>
                <w:szCs w:val="20"/>
              </w:rPr>
            </w:pPr>
            <w:r w:rsidRPr="00FB7EA4">
              <w:rPr>
                <w:rFonts w:ascii="Arial" w:hAnsi="Arial" w:cs="Arial"/>
                <w:color w:val="0F243E" w:themeColor="text2" w:themeShade="80"/>
                <w:sz w:val="20"/>
                <w:szCs w:val="20"/>
              </w:rPr>
              <w:t>Limitar los costos de alimentación y solicitar las cantidades justas, procurando en todo momento racionalizar la provisión de refrigerios y almuerzos.</w:t>
            </w:r>
          </w:p>
        </w:tc>
        <w:tc>
          <w:tcPr>
            <w:tcW w:w="0" w:type="auto"/>
            <w:tcBorders>
              <w:top w:val="nil"/>
              <w:left w:val="nil"/>
              <w:bottom w:val="single" w:sz="8" w:space="0" w:color="B8CCE4"/>
              <w:right w:val="single" w:sz="8" w:space="0" w:color="B8CCE4"/>
            </w:tcBorders>
            <w:shd w:val="clear" w:color="auto" w:fill="auto"/>
            <w:vAlign w:val="center"/>
            <w:hideMark/>
          </w:tcPr>
          <w:p w14:paraId="186ED2F9" w14:textId="33636EDE" w:rsidR="006C5407" w:rsidRPr="00FB7EA4" w:rsidRDefault="006C5407" w:rsidP="009C2C1D">
            <w:pPr>
              <w:widowControl w:val="0"/>
              <w:spacing w:before="60" w:after="60"/>
              <w:jc w:val="both"/>
              <w:rPr>
                <w:rFonts w:ascii="Arial" w:hAnsi="Arial" w:cs="Arial"/>
                <w:color w:val="0F243E" w:themeColor="text2" w:themeShade="80"/>
                <w:sz w:val="20"/>
                <w:szCs w:val="20"/>
              </w:rPr>
            </w:pPr>
            <w:r w:rsidRPr="00FB7EA4">
              <w:rPr>
                <w:rFonts w:ascii="Arial" w:hAnsi="Arial" w:cs="Arial"/>
                <w:color w:val="0F243E" w:themeColor="text2" w:themeShade="80"/>
                <w:sz w:val="20"/>
                <w:szCs w:val="20"/>
              </w:rPr>
              <w:t>Las Capacitaciones que realiza el Ministerio de Hacienda y crédito público no tiene</w:t>
            </w:r>
            <w:r w:rsidR="0088429F">
              <w:rPr>
                <w:rFonts w:ascii="Arial" w:hAnsi="Arial" w:cs="Arial"/>
                <w:color w:val="0F243E" w:themeColor="text2" w:themeShade="80"/>
                <w:sz w:val="20"/>
                <w:szCs w:val="20"/>
              </w:rPr>
              <w:t>n</w:t>
            </w:r>
            <w:r w:rsidRPr="00FB7EA4">
              <w:rPr>
                <w:rFonts w:ascii="Arial" w:hAnsi="Arial" w:cs="Arial"/>
                <w:color w:val="0F243E" w:themeColor="text2" w:themeShade="80"/>
                <w:sz w:val="20"/>
                <w:szCs w:val="20"/>
              </w:rPr>
              <w:t xml:space="preserve"> presupuesto asignado para estos efectos.</w:t>
            </w:r>
          </w:p>
        </w:tc>
      </w:tr>
      <w:tr w:rsidR="006C5407" w:rsidRPr="006C5407" w14:paraId="07A40DA4" w14:textId="77777777" w:rsidTr="00D04684">
        <w:trPr>
          <w:cantSplit/>
        </w:trPr>
        <w:tc>
          <w:tcPr>
            <w:tcW w:w="0" w:type="auto"/>
            <w:tcBorders>
              <w:top w:val="nil"/>
              <w:left w:val="single" w:sz="8" w:space="0" w:color="B8CCE4"/>
              <w:bottom w:val="single" w:sz="8" w:space="0" w:color="B8CCE4"/>
              <w:right w:val="single" w:sz="8" w:space="0" w:color="B8CCE4"/>
            </w:tcBorders>
            <w:shd w:val="clear" w:color="auto" w:fill="auto"/>
            <w:vAlign w:val="center"/>
            <w:hideMark/>
          </w:tcPr>
          <w:p w14:paraId="1ACE6DFA" w14:textId="77777777" w:rsidR="006C5407" w:rsidRPr="00FB7EA4" w:rsidRDefault="006C5407" w:rsidP="009C2C1D">
            <w:pPr>
              <w:widowControl w:val="0"/>
              <w:spacing w:before="60" w:after="60"/>
              <w:jc w:val="center"/>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3.4</w:t>
            </w:r>
          </w:p>
        </w:tc>
        <w:tc>
          <w:tcPr>
            <w:tcW w:w="0" w:type="auto"/>
            <w:tcBorders>
              <w:top w:val="nil"/>
              <w:left w:val="nil"/>
              <w:bottom w:val="single" w:sz="8" w:space="0" w:color="B8CCE4"/>
              <w:right w:val="single" w:sz="8" w:space="0" w:color="B8CCE4"/>
            </w:tcBorders>
            <w:shd w:val="clear" w:color="auto" w:fill="auto"/>
            <w:vAlign w:val="center"/>
            <w:hideMark/>
          </w:tcPr>
          <w:p w14:paraId="7C5DCA30" w14:textId="77777777" w:rsidR="006C5407" w:rsidRPr="00FB7EA4" w:rsidRDefault="006C5407" w:rsidP="009C2C1D">
            <w:pPr>
              <w:widowControl w:val="0"/>
              <w:spacing w:before="60" w:after="60"/>
              <w:jc w:val="both"/>
              <w:rPr>
                <w:rFonts w:ascii="Arial" w:hAnsi="Arial" w:cs="Arial"/>
                <w:color w:val="0F243E" w:themeColor="text2" w:themeShade="80"/>
                <w:sz w:val="20"/>
                <w:szCs w:val="20"/>
              </w:rPr>
            </w:pPr>
            <w:r w:rsidRPr="00FB7EA4">
              <w:rPr>
                <w:rFonts w:ascii="Arial" w:hAnsi="Arial" w:cs="Arial"/>
                <w:color w:val="0F243E" w:themeColor="text2" w:themeShade="80"/>
                <w:sz w:val="20"/>
                <w:szCs w:val="20"/>
              </w:rPr>
              <w:t>La papelería y demás elementos de apoyo de las capacitaciones deberán ser racionalizados y apoyados en las tecnologías de información y las comunicaciones TICS.</w:t>
            </w:r>
          </w:p>
        </w:tc>
        <w:tc>
          <w:tcPr>
            <w:tcW w:w="0" w:type="auto"/>
            <w:tcBorders>
              <w:top w:val="nil"/>
              <w:left w:val="nil"/>
              <w:bottom w:val="single" w:sz="8" w:space="0" w:color="B8CCE4"/>
              <w:right w:val="single" w:sz="8" w:space="0" w:color="B8CCE4"/>
            </w:tcBorders>
            <w:shd w:val="clear" w:color="auto" w:fill="auto"/>
            <w:vAlign w:val="center"/>
            <w:hideMark/>
          </w:tcPr>
          <w:p w14:paraId="35228062" w14:textId="77777777" w:rsidR="006C5407" w:rsidRPr="00FB7EA4" w:rsidRDefault="006C5407" w:rsidP="009C2C1D">
            <w:pPr>
              <w:widowControl w:val="0"/>
              <w:spacing w:before="60" w:after="60"/>
              <w:jc w:val="both"/>
              <w:rPr>
                <w:rFonts w:ascii="Arial" w:hAnsi="Arial" w:cs="Arial"/>
                <w:color w:val="0F243E" w:themeColor="text2" w:themeShade="80"/>
                <w:sz w:val="20"/>
                <w:szCs w:val="20"/>
              </w:rPr>
            </w:pPr>
            <w:r w:rsidRPr="00FB7EA4">
              <w:rPr>
                <w:rFonts w:ascii="Arial" w:hAnsi="Arial" w:cs="Arial"/>
                <w:color w:val="0F243E" w:themeColor="text2" w:themeShade="80"/>
                <w:sz w:val="20"/>
                <w:szCs w:val="20"/>
              </w:rPr>
              <w:t>El material bibliográfico y pedagógico utilizado por los facilitadores en los distintos eventos de capacitación se ha socializado mediante plataformas electrónicas.</w:t>
            </w:r>
          </w:p>
        </w:tc>
      </w:tr>
      <w:tr w:rsidR="006C5407" w:rsidRPr="006C5407" w14:paraId="4EDB979D" w14:textId="77777777" w:rsidTr="00D04684">
        <w:trPr>
          <w:cantSplit/>
        </w:trPr>
        <w:tc>
          <w:tcPr>
            <w:tcW w:w="0" w:type="auto"/>
            <w:tcBorders>
              <w:top w:val="nil"/>
              <w:left w:val="single" w:sz="8" w:space="0" w:color="B8CCE4"/>
              <w:bottom w:val="single" w:sz="8" w:space="0" w:color="B8CCE4"/>
              <w:right w:val="single" w:sz="8" w:space="0" w:color="B8CCE4"/>
            </w:tcBorders>
            <w:shd w:val="clear" w:color="auto" w:fill="auto"/>
            <w:vAlign w:val="center"/>
            <w:hideMark/>
          </w:tcPr>
          <w:p w14:paraId="3BABFE7B" w14:textId="77777777" w:rsidR="006C5407" w:rsidRPr="00FB7EA4" w:rsidRDefault="006C5407" w:rsidP="009C2C1D">
            <w:pPr>
              <w:widowControl w:val="0"/>
              <w:spacing w:before="60" w:after="60"/>
              <w:jc w:val="center"/>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3.5</w:t>
            </w:r>
          </w:p>
        </w:tc>
        <w:tc>
          <w:tcPr>
            <w:tcW w:w="0" w:type="auto"/>
            <w:tcBorders>
              <w:top w:val="nil"/>
              <w:left w:val="nil"/>
              <w:bottom w:val="single" w:sz="8" w:space="0" w:color="B8CCE4"/>
              <w:right w:val="single" w:sz="8" w:space="0" w:color="B8CCE4"/>
            </w:tcBorders>
            <w:shd w:val="clear" w:color="auto" w:fill="auto"/>
            <w:vAlign w:val="center"/>
            <w:hideMark/>
          </w:tcPr>
          <w:p w14:paraId="504E8D79" w14:textId="77777777" w:rsidR="006C5407" w:rsidRPr="00FB7EA4" w:rsidRDefault="006C5407" w:rsidP="009C2C1D">
            <w:pPr>
              <w:widowControl w:val="0"/>
              <w:spacing w:before="60" w:after="60"/>
              <w:jc w:val="both"/>
              <w:rPr>
                <w:rFonts w:ascii="Arial" w:hAnsi="Arial" w:cs="Arial"/>
                <w:color w:val="0F243E" w:themeColor="text2" w:themeShade="80"/>
                <w:sz w:val="20"/>
                <w:szCs w:val="20"/>
              </w:rPr>
            </w:pPr>
            <w:r w:rsidRPr="00FB7EA4">
              <w:rPr>
                <w:rFonts w:ascii="Arial" w:hAnsi="Arial" w:cs="Arial"/>
                <w:color w:val="0F243E" w:themeColor="text2" w:themeShade="80"/>
                <w:sz w:val="20"/>
                <w:szCs w:val="20"/>
              </w:rPr>
              <w:t>De ser posible, se deberá utilizar la infraestructura de las entidades del Estado para llevar a cabo las actividades de capacitación.</w:t>
            </w:r>
          </w:p>
        </w:tc>
        <w:tc>
          <w:tcPr>
            <w:tcW w:w="0" w:type="auto"/>
            <w:tcBorders>
              <w:top w:val="nil"/>
              <w:left w:val="nil"/>
              <w:bottom w:val="single" w:sz="8" w:space="0" w:color="B8CCE4"/>
              <w:right w:val="single" w:sz="8" w:space="0" w:color="B8CCE4"/>
            </w:tcBorders>
            <w:shd w:val="clear" w:color="auto" w:fill="auto"/>
            <w:vAlign w:val="center"/>
            <w:hideMark/>
          </w:tcPr>
          <w:p w14:paraId="70963E29" w14:textId="77777777" w:rsidR="006C5407" w:rsidRPr="00FB7EA4" w:rsidRDefault="006C5407" w:rsidP="009C2C1D">
            <w:pPr>
              <w:widowControl w:val="0"/>
              <w:spacing w:before="60" w:after="60"/>
              <w:jc w:val="both"/>
              <w:rPr>
                <w:rFonts w:ascii="Arial" w:hAnsi="Arial" w:cs="Arial"/>
                <w:color w:val="0F243E" w:themeColor="text2" w:themeShade="80"/>
                <w:sz w:val="20"/>
                <w:szCs w:val="20"/>
              </w:rPr>
            </w:pPr>
            <w:r w:rsidRPr="00FB7EA4">
              <w:rPr>
                <w:rFonts w:ascii="Arial" w:hAnsi="Arial" w:cs="Arial"/>
                <w:color w:val="0F243E" w:themeColor="text2" w:themeShade="80"/>
                <w:sz w:val="20"/>
                <w:szCs w:val="20"/>
              </w:rPr>
              <w:t>Los eventos de capacitación se han desarrollado en los espacios y auditorios de este Ministerio y en las instalaciones de la ESAP.</w:t>
            </w:r>
          </w:p>
        </w:tc>
      </w:tr>
    </w:tbl>
    <w:p w14:paraId="4BCFCD85" w14:textId="77777777" w:rsidR="002C44BC" w:rsidRPr="00A003B6" w:rsidRDefault="002C44BC" w:rsidP="00B83072">
      <w:pPr>
        <w:rPr>
          <w:rFonts w:ascii="Arial" w:hAnsi="Arial" w:cs="Arial"/>
          <w:sz w:val="22"/>
          <w:szCs w:val="22"/>
          <w:highlight w:val="yellow"/>
        </w:rPr>
      </w:pPr>
    </w:p>
    <w:p w14:paraId="7E0C3D7B" w14:textId="77777777" w:rsidR="002C44BC" w:rsidRPr="00461CB6" w:rsidRDefault="002C44BC" w:rsidP="00DF67DD">
      <w:pPr>
        <w:jc w:val="both"/>
        <w:rPr>
          <w:rFonts w:ascii="Arial" w:hAnsi="Arial" w:cs="Arial"/>
          <w:color w:val="000000"/>
          <w:sz w:val="22"/>
          <w:szCs w:val="22"/>
        </w:rPr>
      </w:pPr>
      <w:r w:rsidRPr="00461CB6">
        <w:rPr>
          <w:rFonts w:ascii="Arial" w:hAnsi="Arial" w:cs="Arial"/>
          <w:color w:val="000000"/>
          <w:sz w:val="22"/>
          <w:szCs w:val="22"/>
        </w:rPr>
        <w:t xml:space="preserve">De lo anterior, se concluye que este Ministerio ha venido cumplido con las directrices dadas por la Presidencia de la República en lo referente a las medidas de austeridad frente </w:t>
      </w:r>
      <w:r w:rsidR="005C4B66" w:rsidRPr="00461CB6">
        <w:rPr>
          <w:rFonts w:ascii="Arial" w:hAnsi="Arial" w:cs="Arial"/>
          <w:color w:val="000000"/>
          <w:sz w:val="22"/>
          <w:szCs w:val="22"/>
        </w:rPr>
        <w:t xml:space="preserve">al gasto </w:t>
      </w:r>
      <w:r w:rsidR="00A81783" w:rsidRPr="00461CB6">
        <w:rPr>
          <w:rFonts w:ascii="Arial" w:hAnsi="Arial" w:cs="Arial"/>
          <w:color w:val="000000"/>
          <w:sz w:val="22"/>
          <w:szCs w:val="22"/>
        </w:rPr>
        <w:t>de capacitaciones</w:t>
      </w:r>
      <w:r w:rsidRPr="00461CB6">
        <w:rPr>
          <w:rFonts w:ascii="Arial" w:hAnsi="Arial" w:cs="Arial"/>
          <w:color w:val="000000"/>
          <w:sz w:val="22"/>
          <w:szCs w:val="22"/>
        </w:rPr>
        <w:t xml:space="preserve">. </w:t>
      </w:r>
    </w:p>
    <w:p w14:paraId="369F938A" w14:textId="6BA54486" w:rsidR="00DF67DD" w:rsidRDefault="00DF67DD" w:rsidP="00714FD3">
      <w:pPr>
        <w:spacing w:line="168" w:lineRule="auto"/>
        <w:jc w:val="both"/>
        <w:rPr>
          <w:rFonts w:ascii="Arial" w:hAnsi="Arial" w:cs="Arial"/>
          <w:color w:val="000000"/>
          <w:sz w:val="22"/>
          <w:szCs w:val="22"/>
        </w:rPr>
      </w:pPr>
    </w:p>
    <w:p w14:paraId="3E42AAC3" w14:textId="77777777" w:rsidR="002B6793" w:rsidRDefault="002B6793" w:rsidP="00714FD3">
      <w:pPr>
        <w:spacing w:line="168" w:lineRule="auto"/>
        <w:jc w:val="both"/>
        <w:rPr>
          <w:rFonts w:ascii="Arial" w:hAnsi="Arial" w:cs="Arial"/>
          <w:color w:val="000000"/>
          <w:sz w:val="22"/>
          <w:szCs w:val="22"/>
        </w:rPr>
      </w:pPr>
    </w:p>
    <w:p w14:paraId="22EBF8B7" w14:textId="77777777" w:rsidR="00E9165D" w:rsidRPr="009450BB" w:rsidRDefault="00E9165D" w:rsidP="00714FD3">
      <w:pPr>
        <w:spacing w:line="168" w:lineRule="auto"/>
        <w:jc w:val="both"/>
        <w:rPr>
          <w:rFonts w:ascii="Arial" w:hAnsi="Arial" w:cs="Arial"/>
          <w:sz w:val="22"/>
          <w:szCs w:val="22"/>
        </w:rPr>
      </w:pPr>
    </w:p>
    <w:p w14:paraId="51B14751" w14:textId="77777777" w:rsidR="00DF6E6A" w:rsidRPr="009450BB" w:rsidRDefault="00155715" w:rsidP="0045629B">
      <w:pPr>
        <w:pStyle w:val="Prrafodelista"/>
        <w:numPr>
          <w:ilvl w:val="0"/>
          <w:numId w:val="8"/>
        </w:numPr>
        <w:ind w:left="284" w:hanging="284"/>
        <w:rPr>
          <w:rFonts w:ascii="Arial" w:hAnsi="Arial" w:cs="Arial"/>
          <w:b/>
          <w:sz w:val="22"/>
          <w:szCs w:val="22"/>
        </w:rPr>
      </w:pPr>
      <w:r w:rsidRPr="009450BB">
        <w:rPr>
          <w:rFonts w:ascii="Arial" w:hAnsi="Arial" w:cs="Arial"/>
          <w:b/>
          <w:color w:val="000000"/>
          <w:sz w:val="22"/>
          <w:szCs w:val="22"/>
        </w:rPr>
        <w:t xml:space="preserve">ESQUEMA DE SEGURIDAD Y </w:t>
      </w:r>
      <w:r w:rsidR="00DF6E6A" w:rsidRPr="009450BB">
        <w:rPr>
          <w:rFonts w:ascii="Arial" w:hAnsi="Arial" w:cs="Arial"/>
          <w:b/>
          <w:color w:val="000000"/>
          <w:sz w:val="22"/>
          <w:szCs w:val="22"/>
        </w:rPr>
        <w:t>VEHÍCULOS OFICIALES</w:t>
      </w:r>
    </w:p>
    <w:p w14:paraId="1909C92B" w14:textId="77777777" w:rsidR="00155715" w:rsidRPr="009450BB" w:rsidRDefault="00155715" w:rsidP="00155715">
      <w:pPr>
        <w:rPr>
          <w:rFonts w:ascii="Arial" w:hAnsi="Arial" w:cs="Arial"/>
          <w:b/>
          <w:sz w:val="22"/>
          <w:szCs w:val="22"/>
        </w:rPr>
      </w:pPr>
    </w:p>
    <w:p w14:paraId="277728D3" w14:textId="77777777" w:rsidR="00DE0205" w:rsidRPr="00F77A63" w:rsidRDefault="00DE0205" w:rsidP="009C2C1D">
      <w:pPr>
        <w:jc w:val="both"/>
        <w:rPr>
          <w:rFonts w:ascii="Arial" w:hAnsi="Arial" w:cs="Arial"/>
          <w:i/>
          <w:sz w:val="22"/>
          <w:szCs w:val="22"/>
        </w:rPr>
      </w:pPr>
      <w:r w:rsidRPr="00F77A63">
        <w:rPr>
          <w:rFonts w:ascii="Arial" w:hAnsi="Arial" w:cs="Arial"/>
          <w:sz w:val="22"/>
          <w:szCs w:val="22"/>
        </w:rPr>
        <w:t xml:space="preserve">La Directiva Presidencial 09 de 2018, estableció como medida de austeridad del gasto que </w:t>
      </w:r>
      <w:r w:rsidR="00874E3F" w:rsidRPr="00F77A63">
        <w:rPr>
          <w:rFonts w:ascii="Agency FB" w:hAnsi="Agency FB" w:cs="Arial"/>
          <w:sz w:val="22"/>
          <w:szCs w:val="22"/>
        </w:rPr>
        <w:t>«</w:t>
      </w:r>
      <w:r w:rsidRPr="00F77A63">
        <w:rPr>
          <w:rFonts w:ascii="Arial" w:hAnsi="Arial" w:cs="Arial"/>
          <w:sz w:val="22"/>
          <w:szCs w:val="22"/>
        </w:rPr>
        <w:t>la Unidad Nacional de Protección y la Dirección de Protección de la Policía Nacional deberán en lo posible efectuar una revisión a los esquemas de seguridad de los funcionarios de las entidades de la rama ejecutiva del orden nacional y de ser posible, reducir su conformación</w:t>
      </w:r>
      <w:r w:rsidR="00874E3F" w:rsidRPr="00F77A63">
        <w:rPr>
          <w:rFonts w:ascii="Agency FB" w:hAnsi="Agency FB" w:cs="Arial"/>
          <w:i/>
          <w:sz w:val="22"/>
          <w:szCs w:val="22"/>
        </w:rPr>
        <w:t>»</w:t>
      </w:r>
      <w:r w:rsidRPr="00F77A63">
        <w:rPr>
          <w:rFonts w:ascii="Arial" w:hAnsi="Arial" w:cs="Arial"/>
          <w:i/>
          <w:sz w:val="22"/>
          <w:szCs w:val="22"/>
        </w:rPr>
        <w:t xml:space="preserve">. </w:t>
      </w:r>
    </w:p>
    <w:p w14:paraId="2165F4F4" w14:textId="77777777" w:rsidR="00DE0205" w:rsidRPr="00A003B6" w:rsidRDefault="00DE0205" w:rsidP="009C2C1D">
      <w:pPr>
        <w:jc w:val="both"/>
        <w:rPr>
          <w:rFonts w:ascii="Arial" w:hAnsi="Arial" w:cs="Arial"/>
          <w:sz w:val="22"/>
          <w:szCs w:val="22"/>
          <w:highlight w:val="yellow"/>
        </w:rPr>
      </w:pPr>
    </w:p>
    <w:p w14:paraId="5F73075C" w14:textId="19D8A852" w:rsidR="00E77FDB" w:rsidRPr="00A43445" w:rsidRDefault="00DE0205" w:rsidP="009C2C1D">
      <w:pPr>
        <w:jc w:val="both"/>
        <w:rPr>
          <w:rFonts w:ascii="Arial" w:hAnsi="Arial" w:cs="Arial"/>
          <w:iCs/>
          <w:sz w:val="22"/>
          <w:szCs w:val="22"/>
        </w:rPr>
      </w:pPr>
      <w:r w:rsidRPr="00F77A63">
        <w:rPr>
          <w:rFonts w:ascii="Arial" w:hAnsi="Arial" w:cs="Arial"/>
          <w:sz w:val="22"/>
          <w:szCs w:val="22"/>
        </w:rPr>
        <w:t xml:space="preserve">Para el caso del Ministerio de Hacienda y Crédito Público, actualmente el esquema de seguridad está respaldado en los siguientes convenios suscritos con la Unidad Nacional de Protección </w:t>
      </w:r>
      <w:r w:rsidR="00E77FDB" w:rsidRPr="00F77A63">
        <w:rPr>
          <w:rFonts w:ascii="Arial" w:hAnsi="Arial" w:cs="Arial"/>
          <w:sz w:val="22"/>
          <w:szCs w:val="22"/>
        </w:rPr>
        <w:t>–</w:t>
      </w:r>
      <w:r w:rsidRPr="00F77A63">
        <w:rPr>
          <w:rFonts w:ascii="Arial" w:hAnsi="Arial" w:cs="Arial"/>
          <w:sz w:val="22"/>
          <w:szCs w:val="22"/>
        </w:rPr>
        <w:t xml:space="preserve"> UNP</w:t>
      </w:r>
      <w:r w:rsidR="00696CC1" w:rsidRPr="00F77A63">
        <w:rPr>
          <w:rFonts w:ascii="Arial" w:hAnsi="Arial" w:cs="Arial"/>
          <w:sz w:val="22"/>
          <w:szCs w:val="22"/>
        </w:rPr>
        <w:t xml:space="preserve"> los cuales tienen por objetivo </w:t>
      </w:r>
      <w:r w:rsidR="00A43445" w:rsidRPr="00A43445">
        <w:rPr>
          <w:rFonts w:ascii="Arial" w:hAnsi="Arial" w:cs="Arial"/>
          <w:iCs/>
          <w:sz w:val="22"/>
          <w:szCs w:val="22"/>
        </w:rPr>
        <w:t>a</w:t>
      </w:r>
      <w:r w:rsidR="00E77FDB" w:rsidRPr="00A43445">
        <w:rPr>
          <w:rFonts w:ascii="Arial" w:hAnsi="Arial" w:cs="Arial"/>
          <w:iCs/>
          <w:sz w:val="22"/>
          <w:szCs w:val="22"/>
        </w:rPr>
        <w:t>unar los esfuerzos, recursos, tecnologías, capacidades y métodos entre la UNP y el MHCP, que permitan ejercer la adecuada protección de los funcionarios</w:t>
      </w:r>
      <w:r w:rsidR="00BA2F2D">
        <w:rPr>
          <w:rFonts w:ascii="Arial" w:hAnsi="Arial" w:cs="Arial"/>
          <w:iCs/>
          <w:sz w:val="22"/>
          <w:szCs w:val="22"/>
        </w:rPr>
        <w:t xml:space="preserve"> del MHCP, para el caso del </w:t>
      </w:r>
      <w:r w:rsidR="00A94B05">
        <w:rPr>
          <w:rFonts w:ascii="Arial" w:hAnsi="Arial" w:cs="Arial"/>
          <w:iCs/>
          <w:sz w:val="22"/>
          <w:szCs w:val="22"/>
        </w:rPr>
        <w:t>Ministro</w:t>
      </w:r>
      <w:r w:rsidR="00BA2F2D">
        <w:rPr>
          <w:rFonts w:ascii="Arial" w:hAnsi="Arial" w:cs="Arial"/>
          <w:iCs/>
          <w:sz w:val="22"/>
          <w:szCs w:val="22"/>
        </w:rPr>
        <w:t>,</w:t>
      </w:r>
      <w:r w:rsidR="00A94B05">
        <w:rPr>
          <w:rFonts w:ascii="Arial" w:hAnsi="Arial" w:cs="Arial"/>
          <w:iCs/>
          <w:sz w:val="22"/>
          <w:szCs w:val="22"/>
        </w:rPr>
        <w:t xml:space="preserve"> en razón al cargo y </w:t>
      </w:r>
      <w:r w:rsidR="00BA2F2D">
        <w:rPr>
          <w:rFonts w:ascii="Arial" w:hAnsi="Arial" w:cs="Arial"/>
          <w:iCs/>
          <w:sz w:val="22"/>
          <w:szCs w:val="22"/>
        </w:rPr>
        <w:t xml:space="preserve">para los </w:t>
      </w:r>
      <w:r w:rsidR="00A94B05">
        <w:rPr>
          <w:rFonts w:ascii="Arial" w:hAnsi="Arial" w:cs="Arial"/>
          <w:iCs/>
          <w:sz w:val="22"/>
          <w:szCs w:val="22"/>
        </w:rPr>
        <w:t>Viceministros en razón al riesgo en ejercicio de sus funciones</w:t>
      </w:r>
      <w:r w:rsidR="00BA2F2D">
        <w:rPr>
          <w:rFonts w:ascii="Arial" w:hAnsi="Arial" w:cs="Arial"/>
          <w:iCs/>
          <w:sz w:val="22"/>
          <w:szCs w:val="22"/>
        </w:rPr>
        <w:t xml:space="preserve">.  </w:t>
      </w:r>
    </w:p>
    <w:p w14:paraId="5AEE42A4" w14:textId="77777777" w:rsidR="00696CC1" w:rsidRPr="00A43445" w:rsidRDefault="00696CC1" w:rsidP="00DE0205">
      <w:pPr>
        <w:rPr>
          <w:rFonts w:ascii="Arial" w:hAnsi="Arial" w:cs="Arial"/>
          <w:iCs/>
          <w:sz w:val="20"/>
          <w:szCs w:val="20"/>
          <w:highlight w:val="yellow"/>
        </w:rPr>
      </w:pPr>
    </w:p>
    <w:tbl>
      <w:tblPr>
        <w:tblStyle w:val="Tabladecuadrcula1clara-nfasis1"/>
        <w:tblW w:w="0" w:type="auto"/>
        <w:jc w:val="center"/>
        <w:tblLook w:val="04A0" w:firstRow="1" w:lastRow="0" w:firstColumn="1" w:lastColumn="0" w:noHBand="0" w:noVBand="1"/>
      </w:tblPr>
      <w:tblGrid>
        <w:gridCol w:w="2122"/>
        <w:gridCol w:w="1559"/>
        <w:gridCol w:w="1843"/>
        <w:gridCol w:w="2693"/>
      </w:tblGrid>
      <w:tr w:rsidR="00696CC1" w:rsidRPr="00A003B6" w14:paraId="58C04FD8" w14:textId="77777777" w:rsidTr="00CF27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4F81BD" w:themeFill="accent1"/>
            <w:vAlign w:val="center"/>
            <w:hideMark/>
          </w:tcPr>
          <w:p w14:paraId="017F6ED7" w14:textId="77777777" w:rsidR="00696CC1" w:rsidRPr="00C019E6" w:rsidRDefault="00696CC1" w:rsidP="00E9165D">
            <w:pPr>
              <w:spacing w:before="120" w:after="120"/>
              <w:jc w:val="center"/>
              <w:rPr>
                <w:rFonts w:ascii="Arial" w:hAnsi="Arial" w:cs="Arial"/>
                <w:color w:val="FFFFFF" w:themeColor="background1"/>
                <w:sz w:val="20"/>
                <w:szCs w:val="20"/>
              </w:rPr>
            </w:pPr>
            <w:r w:rsidRPr="00C019E6">
              <w:rPr>
                <w:rFonts w:ascii="Arial" w:hAnsi="Arial" w:cs="Arial"/>
                <w:color w:val="FFFFFF" w:themeColor="background1"/>
                <w:sz w:val="20"/>
                <w:szCs w:val="20"/>
              </w:rPr>
              <w:t xml:space="preserve">Funcionario </w:t>
            </w:r>
          </w:p>
        </w:tc>
        <w:tc>
          <w:tcPr>
            <w:tcW w:w="1559" w:type="dxa"/>
            <w:shd w:val="clear" w:color="auto" w:fill="4F81BD" w:themeFill="accent1"/>
            <w:vAlign w:val="center"/>
            <w:hideMark/>
          </w:tcPr>
          <w:p w14:paraId="10CBD8BE" w14:textId="77777777" w:rsidR="00696CC1" w:rsidRPr="00C019E6" w:rsidRDefault="00696CC1" w:rsidP="00E9165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019E6">
              <w:rPr>
                <w:rFonts w:ascii="Arial" w:hAnsi="Arial" w:cs="Arial"/>
                <w:color w:val="FFFFFF" w:themeColor="background1"/>
                <w:sz w:val="20"/>
                <w:szCs w:val="20"/>
              </w:rPr>
              <w:t xml:space="preserve">Convenio </w:t>
            </w:r>
          </w:p>
        </w:tc>
        <w:tc>
          <w:tcPr>
            <w:tcW w:w="1843" w:type="dxa"/>
            <w:shd w:val="clear" w:color="auto" w:fill="4F81BD" w:themeFill="accent1"/>
            <w:vAlign w:val="center"/>
            <w:hideMark/>
          </w:tcPr>
          <w:p w14:paraId="7746B20F" w14:textId="77777777" w:rsidR="00696CC1" w:rsidRPr="00C019E6" w:rsidRDefault="00696CC1" w:rsidP="00E9165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019E6">
              <w:rPr>
                <w:rFonts w:ascii="Arial" w:hAnsi="Arial" w:cs="Arial"/>
                <w:color w:val="FFFFFF" w:themeColor="background1"/>
                <w:sz w:val="20"/>
                <w:szCs w:val="20"/>
              </w:rPr>
              <w:t xml:space="preserve">Valor </w:t>
            </w:r>
            <w:r w:rsidR="00257449" w:rsidRPr="00C019E6">
              <w:rPr>
                <w:rFonts w:ascii="Arial" w:hAnsi="Arial" w:cs="Arial"/>
                <w:color w:val="FFFFFF" w:themeColor="background1"/>
                <w:sz w:val="20"/>
                <w:szCs w:val="20"/>
              </w:rPr>
              <w:t>($)</w:t>
            </w:r>
          </w:p>
        </w:tc>
        <w:tc>
          <w:tcPr>
            <w:tcW w:w="2693" w:type="dxa"/>
            <w:shd w:val="clear" w:color="auto" w:fill="4F81BD" w:themeFill="accent1"/>
            <w:vAlign w:val="center"/>
            <w:hideMark/>
          </w:tcPr>
          <w:p w14:paraId="6E29E843" w14:textId="77777777" w:rsidR="00696CC1" w:rsidRPr="00C019E6" w:rsidRDefault="00696CC1" w:rsidP="00E9165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019E6">
              <w:rPr>
                <w:rFonts w:ascii="Arial" w:hAnsi="Arial" w:cs="Arial"/>
                <w:color w:val="FFFFFF" w:themeColor="background1"/>
                <w:sz w:val="20"/>
                <w:szCs w:val="20"/>
              </w:rPr>
              <w:t xml:space="preserve">Plazo </w:t>
            </w:r>
          </w:p>
        </w:tc>
      </w:tr>
      <w:tr w:rsidR="00696CC1" w:rsidRPr="00A003B6" w14:paraId="01BFE26E" w14:textId="77777777" w:rsidTr="009C2C1D">
        <w:trPr>
          <w:trHeight w:val="758"/>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64C3F4E6" w14:textId="77777777" w:rsidR="00696CC1" w:rsidRPr="00C019E6" w:rsidRDefault="00696CC1" w:rsidP="00E9165D">
            <w:pPr>
              <w:spacing w:before="120" w:after="120"/>
              <w:jc w:val="center"/>
              <w:rPr>
                <w:rFonts w:ascii="Arial" w:hAnsi="Arial" w:cs="Arial"/>
                <w:b w:val="0"/>
                <w:color w:val="0F243E" w:themeColor="text2" w:themeShade="80"/>
                <w:sz w:val="20"/>
                <w:szCs w:val="20"/>
              </w:rPr>
            </w:pPr>
            <w:r w:rsidRPr="00C019E6">
              <w:rPr>
                <w:rFonts w:ascii="Arial" w:hAnsi="Arial" w:cs="Arial"/>
                <w:b w:val="0"/>
                <w:color w:val="0F243E" w:themeColor="text2" w:themeShade="80"/>
                <w:sz w:val="20"/>
                <w:szCs w:val="20"/>
              </w:rPr>
              <w:t xml:space="preserve">Ministro </w:t>
            </w:r>
          </w:p>
        </w:tc>
        <w:tc>
          <w:tcPr>
            <w:tcW w:w="1559" w:type="dxa"/>
            <w:vAlign w:val="center"/>
            <w:hideMark/>
          </w:tcPr>
          <w:p w14:paraId="4C96F6D1" w14:textId="77777777" w:rsidR="00696CC1" w:rsidRPr="00FB7EA4" w:rsidRDefault="00696CC1" w:rsidP="00E9165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7.021-2018</w:t>
            </w:r>
          </w:p>
        </w:tc>
        <w:tc>
          <w:tcPr>
            <w:tcW w:w="1843" w:type="dxa"/>
            <w:vAlign w:val="center"/>
            <w:hideMark/>
          </w:tcPr>
          <w:p w14:paraId="568792E8" w14:textId="447D9113" w:rsidR="00696CC1" w:rsidRPr="00FB7EA4" w:rsidRDefault="004E5C5E" w:rsidP="00E9165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370.348.511</w:t>
            </w:r>
            <w:r w:rsidR="00696CC1" w:rsidRPr="00FB7EA4">
              <w:rPr>
                <w:rFonts w:ascii="Arial" w:hAnsi="Arial" w:cs="Arial"/>
                <w:color w:val="0F243E" w:themeColor="text2" w:themeShade="80"/>
                <w:sz w:val="20"/>
                <w:szCs w:val="20"/>
              </w:rPr>
              <w:t xml:space="preserve"> </w:t>
            </w:r>
          </w:p>
        </w:tc>
        <w:tc>
          <w:tcPr>
            <w:tcW w:w="2693" w:type="dxa"/>
            <w:vAlign w:val="center"/>
            <w:hideMark/>
          </w:tcPr>
          <w:p w14:paraId="2A1BA619" w14:textId="77777777" w:rsidR="00696CC1" w:rsidRPr="00FB7EA4" w:rsidRDefault="00696CC1" w:rsidP="00E9165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1/12/2018 al 31/12/2019</w:t>
            </w:r>
          </w:p>
        </w:tc>
      </w:tr>
      <w:tr w:rsidR="00696CC1" w:rsidRPr="00A003B6" w14:paraId="107E3B69" w14:textId="77777777" w:rsidTr="00CF276D">
        <w:trPr>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395E452B" w14:textId="77777777" w:rsidR="00696CC1" w:rsidRPr="00C019E6" w:rsidRDefault="00696CC1" w:rsidP="00E9165D">
            <w:pPr>
              <w:spacing w:before="120" w:after="120"/>
              <w:jc w:val="center"/>
              <w:rPr>
                <w:rFonts w:ascii="Arial" w:hAnsi="Arial" w:cs="Arial"/>
                <w:b w:val="0"/>
                <w:color w:val="0F243E" w:themeColor="text2" w:themeShade="80"/>
                <w:sz w:val="20"/>
                <w:szCs w:val="20"/>
              </w:rPr>
            </w:pPr>
            <w:r w:rsidRPr="00C019E6">
              <w:rPr>
                <w:rFonts w:ascii="Arial" w:hAnsi="Arial" w:cs="Arial"/>
                <w:b w:val="0"/>
                <w:color w:val="0F243E" w:themeColor="text2" w:themeShade="80"/>
                <w:sz w:val="20"/>
                <w:szCs w:val="20"/>
              </w:rPr>
              <w:t>Viceministro Técnico</w:t>
            </w:r>
          </w:p>
        </w:tc>
        <w:tc>
          <w:tcPr>
            <w:tcW w:w="1559" w:type="dxa"/>
            <w:vMerge w:val="restart"/>
            <w:vAlign w:val="center"/>
            <w:hideMark/>
          </w:tcPr>
          <w:p w14:paraId="709046BB" w14:textId="77777777" w:rsidR="00696CC1" w:rsidRPr="00FB7EA4" w:rsidRDefault="00696CC1" w:rsidP="00E9165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7.001-2019</w:t>
            </w:r>
          </w:p>
        </w:tc>
        <w:tc>
          <w:tcPr>
            <w:tcW w:w="1843" w:type="dxa"/>
            <w:vMerge w:val="restart"/>
            <w:vAlign w:val="center"/>
            <w:hideMark/>
          </w:tcPr>
          <w:p w14:paraId="69F6690B" w14:textId="77777777" w:rsidR="00696CC1" w:rsidRPr="00FB7EA4" w:rsidRDefault="00696CC1" w:rsidP="00E9165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345.857.270 </w:t>
            </w:r>
          </w:p>
        </w:tc>
        <w:tc>
          <w:tcPr>
            <w:tcW w:w="2693" w:type="dxa"/>
            <w:vMerge w:val="restart"/>
            <w:vAlign w:val="center"/>
            <w:hideMark/>
          </w:tcPr>
          <w:p w14:paraId="2D28C79A" w14:textId="76C52CAE" w:rsidR="00696CC1" w:rsidRPr="00FB7EA4" w:rsidRDefault="00717290" w:rsidP="00E9165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Hasta el </w:t>
            </w:r>
            <w:r w:rsidR="0082042D" w:rsidRPr="00FB7EA4">
              <w:rPr>
                <w:rFonts w:ascii="Arial" w:hAnsi="Arial" w:cs="Arial"/>
                <w:color w:val="0F243E" w:themeColor="text2" w:themeShade="80"/>
                <w:sz w:val="20"/>
                <w:szCs w:val="20"/>
              </w:rPr>
              <w:t>17 octubre de 2019</w:t>
            </w:r>
          </w:p>
        </w:tc>
      </w:tr>
      <w:tr w:rsidR="00696CC1" w:rsidRPr="00A003B6" w14:paraId="5B8348F6" w14:textId="77777777" w:rsidTr="00CF276D">
        <w:trPr>
          <w:jc w:val="center"/>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55B9E42A" w14:textId="77777777" w:rsidR="00696CC1" w:rsidRPr="00C019E6" w:rsidRDefault="00696CC1" w:rsidP="00E9165D">
            <w:pPr>
              <w:spacing w:before="120" w:after="120"/>
              <w:jc w:val="center"/>
              <w:rPr>
                <w:rFonts w:ascii="Arial" w:hAnsi="Arial" w:cs="Arial"/>
                <w:b w:val="0"/>
                <w:color w:val="0F243E" w:themeColor="text2" w:themeShade="80"/>
                <w:sz w:val="20"/>
                <w:szCs w:val="20"/>
              </w:rPr>
            </w:pPr>
            <w:r w:rsidRPr="00C019E6">
              <w:rPr>
                <w:rFonts w:ascii="Arial" w:hAnsi="Arial" w:cs="Arial"/>
                <w:b w:val="0"/>
                <w:color w:val="0F243E" w:themeColor="text2" w:themeShade="80"/>
                <w:sz w:val="20"/>
                <w:szCs w:val="20"/>
              </w:rPr>
              <w:t>Viceministro General</w:t>
            </w:r>
          </w:p>
        </w:tc>
        <w:tc>
          <w:tcPr>
            <w:tcW w:w="1559" w:type="dxa"/>
            <w:vMerge/>
            <w:vAlign w:val="center"/>
            <w:hideMark/>
          </w:tcPr>
          <w:p w14:paraId="577301DD" w14:textId="77777777" w:rsidR="00696CC1" w:rsidRPr="00C019E6" w:rsidRDefault="00696CC1" w:rsidP="00E9165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843" w:type="dxa"/>
            <w:vMerge/>
            <w:vAlign w:val="center"/>
            <w:hideMark/>
          </w:tcPr>
          <w:p w14:paraId="721B569F" w14:textId="77777777" w:rsidR="00696CC1" w:rsidRPr="00C019E6" w:rsidRDefault="00696CC1" w:rsidP="00E9165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693" w:type="dxa"/>
            <w:vMerge/>
            <w:vAlign w:val="center"/>
            <w:hideMark/>
          </w:tcPr>
          <w:p w14:paraId="1DD6FBB6" w14:textId="77777777" w:rsidR="00696CC1" w:rsidRPr="00C019E6" w:rsidRDefault="00696CC1" w:rsidP="00E9165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14:paraId="613C3E42" w14:textId="77777777" w:rsidR="00672AC2" w:rsidRDefault="00672AC2" w:rsidP="00874E3F">
      <w:pPr>
        <w:jc w:val="both"/>
        <w:rPr>
          <w:rFonts w:ascii="Arial" w:hAnsi="Arial" w:cs="Arial"/>
          <w:sz w:val="22"/>
          <w:szCs w:val="22"/>
        </w:rPr>
      </w:pPr>
    </w:p>
    <w:p w14:paraId="5692E905" w14:textId="172E2B35" w:rsidR="004663C9" w:rsidRPr="00AF4C15" w:rsidRDefault="00257449" w:rsidP="00874E3F">
      <w:pPr>
        <w:jc w:val="both"/>
        <w:rPr>
          <w:rFonts w:ascii="Arial" w:hAnsi="Arial" w:cs="Arial"/>
          <w:sz w:val="22"/>
          <w:szCs w:val="22"/>
        </w:rPr>
      </w:pPr>
      <w:r w:rsidRPr="00AF4C15">
        <w:rPr>
          <w:rFonts w:ascii="Arial" w:hAnsi="Arial" w:cs="Arial"/>
          <w:sz w:val="22"/>
          <w:szCs w:val="22"/>
        </w:rPr>
        <w:lastRenderedPageBreak/>
        <w:t xml:space="preserve">En este punto es importante precisar, que según la normatividad vigente está contemplado que </w:t>
      </w:r>
      <w:r w:rsidR="004A0E5D" w:rsidRPr="00AF4C15">
        <w:rPr>
          <w:rFonts w:ascii="Arial" w:hAnsi="Arial" w:cs="Arial"/>
          <w:sz w:val="22"/>
          <w:szCs w:val="22"/>
        </w:rPr>
        <w:t xml:space="preserve">la persona </w:t>
      </w:r>
      <w:r w:rsidR="004663C9" w:rsidRPr="00AF4C15">
        <w:rPr>
          <w:rFonts w:ascii="Arial" w:hAnsi="Arial" w:cs="Arial"/>
          <w:sz w:val="22"/>
          <w:szCs w:val="22"/>
        </w:rPr>
        <w:t>que ejerza como Ministro</w:t>
      </w:r>
      <w:r w:rsidRPr="00AF4C15">
        <w:rPr>
          <w:rFonts w:ascii="Arial" w:hAnsi="Arial" w:cs="Arial"/>
          <w:sz w:val="22"/>
          <w:szCs w:val="22"/>
        </w:rPr>
        <w:t xml:space="preserve"> de Hacienda </w:t>
      </w:r>
      <w:r w:rsidR="004663C9" w:rsidRPr="00AF4C15">
        <w:rPr>
          <w:rFonts w:ascii="Arial" w:hAnsi="Arial" w:cs="Arial"/>
          <w:sz w:val="22"/>
          <w:szCs w:val="22"/>
        </w:rPr>
        <w:t xml:space="preserve">y Crédito Público contará con un esquema de seguridad. Sin embargo, la UNP efectúo un análisis de riesgo a las personas que </w:t>
      </w:r>
      <w:r w:rsidR="00272C39">
        <w:rPr>
          <w:rFonts w:ascii="Arial" w:hAnsi="Arial" w:cs="Arial"/>
          <w:sz w:val="22"/>
          <w:szCs w:val="22"/>
        </w:rPr>
        <w:t xml:space="preserve">en su momento ejercían </w:t>
      </w:r>
      <w:r w:rsidR="004663C9" w:rsidRPr="00AF4C15">
        <w:rPr>
          <w:rFonts w:ascii="Arial" w:hAnsi="Arial" w:cs="Arial"/>
          <w:sz w:val="22"/>
          <w:szCs w:val="22"/>
        </w:rPr>
        <w:t xml:space="preserve">las funciones de Viceministro Técnico y General, como resultado la UNP </w:t>
      </w:r>
      <w:r w:rsidR="004A0E5D" w:rsidRPr="00AF4C15">
        <w:rPr>
          <w:rFonts w:ascii="Arial" w:hAnsi="Arial" w:cs="Arial"/>
          <w:sz w:val="22"/>
          <w:szCs w:val="22"/>
        </w:rPr>
        <w:t>determinó una situación</w:t>
      </w:r>
      <w:r w:rsidR="004663C9" w:rsidRPr="00AF4C15">
        <w:rPr>
          <w:rFonts w:ascii="Arial" w:hAnsi="Arial" w:cs="Arial"/>
          <w:sz w:val="22"/>
          <w:szCs w:val="22"/>
        </w:rPr>
        <w:t xml:space="preserve"> de emergencia y la activación de la presunción constitucional de riesgo para los funcionarios que </w:t>
      </w:r>
      <w:r w:rsidR="00272C39">
        <w:rPr>
          <w:rFonts w:ascii="Arial" w:hAnsi="Arial" w:cs="Arial"/>
          <w:sz w:val="22"/>
          <w:szCs w:val="22"/>
        </w:rPr>
        <w:t xml:space="preserve">desempeñaban </w:t>
      </w:r>
      <w:r w:rsidR="007D00C7" w:rsidRPr="00AF4C15">
        <w:rPr>
          <w:rFonts w:ascii="Arial" w:hAnsi="Arial" w:cs="Arial"/>
          <w:sz w:val="22"/>
          <w:szCs w:val="22"/>
        </w:rPr>
        <w:t>dichos cargos.</w:t>
      </w:r>
      <w:r w:rsidR="004663C9" w:rsidRPr="00AF4C15">
        <w:rPr>
          <w:rFonts w:ascii="Arial" w:hAnsi="Arial" w:cs="Arial"/>
          <w:sz w:val="22"/>
          <w:szCs w:val="22"/>
        </w:rPr>
        <w:t xml:space="preserve"> Por lo tanto, este Ministerio </w:t>
      </w:r>
      <w:r w:rsidR="007D00C7" w:rsidRPr="00AF4C15">
        <w:rPr>
          <w:rFonts w:ascii="Arial" w:hAnsi="Arial" w:cs="Arial"/>
          <w:sz w:val="22"/>
          <w:szCs w:val="22"/>
        </w:rPr>
        <w:t xml:space="preserve">en atención </w:t>
      </w:r>
      <w:r w:rsidR="002708E3" w:rsidRPr="00AF4C15">
        <w:rPr>
          <w:rFonts w:ascii="Arial" w:hAnsi="Arial" w:cs="Arial"/>
          <w:sz w:val="22"/>
          <w:szCs w:val="22"/>
        </w:rPr>
        <w:t xml:space="preserve">a </w:t>
      </w:r>
      <w:r w:rsidR="007D00C7" w:rsidRPr="00AF4C15">
        <w:rPr>
          <w:rFonts w:ascii="Arial" w:hAnsi="Arial" w:cs="Arial"/>
          <w:sz w:val="22"/>
          <w:szCs w:val="22"/>
        </w:rPr>
        <w:t xml:space="preserve">lo definido por </w:t>
      </w:r>
      <w:r w:rsidR="004663C9" w:rsidRPr="00AF4C15">
        <w:rPr>
          <w:rFonts w:ascii="Arial" w:hAnsi="Arial" w:cs="Arial"/>
          <w:sz w:val="22"/>
          <w:szCs w:val="22"/>
        </w:rPr>
        <w:t xml:space="preserve">la UNP suscribió el convenio de esquema de seguridad con el fin de mitigar el riesgo de las personas que están en los cargos de </w:t>
      </w:r>
      <w:r w:rsidR="007D00C7" w:rsidRPr="00AF4C15">
        <w:rPr>
          <w:rFonts w:ascii="Arial" w:hAnsi="Arial" w:cs="Arial"/>
          <w:sz w:val="22"/>
          <w:szCs w:val="22"/>
        </w:rPr>
        <w:t>Viceministros</w:t>
      </w:r>
      <w:r w:rsidR="004663C9" w:rsidRPr="00AF4C15">
        <w:rPr>
          <w:rFonts w:ascii="Arial" w:hAnsi="Arial" w:cs="Arial"/>
          <w:sz w:val="22"/>
          <w:szCs w:val="22"/>
        </w:rPr>
        <w:t xml:space="preserve">, el cual está asociado a las </w:t>
      </w:r>
      <w:r w:rsidR="004663C9" w:rsidRPr="00AF4C15">
        <w:rPr>
          <w:rFonts w:ascii="Arial" w:hAnsi="Arial" w:cs="Arial"/>
          <w:color w:val="000000"/>
          <w:sz w:val="22"/>
          <w:szCs w:val="22"/>
        </w:rPr>
        <w:t>funciones que desempeñan</w:t>
      </w:r>
      <w:r w:rsidR="004663C9" w:rsidRPr="00AF4C15">
        <w:rPr>
          <w:rFonts w:ascii="Arial" w:hAnsi="Arial" w:cs="Arial"/>
          <w:sz w:val="22"/>
          <w:szCs w:val="22"/>
        </w:rPr>
        <w:t xml:space="preserve">. </w:t>
      </w:r>
    </w:p>
    <w:p w14:paraId="5D0254FC" w14:textId="77777777" w:rsidR="004663C9" w:rsidRPr="00A003B6" w:rsidRDefault="004663C9" w:rsidP="004351F3">
      <w:pPr>
        <w:spacing w:line="168" w:lineRule="auto"/>
        <w:jc w:val="both"/>
        <w:rPr>
          <w:rFonts w:ascii="Arial" w:hAnsi="Arial" w:cs="Arial"/>
          <w:sz w:val="22"/>
          <w:szCs w:val="22"/>
          <w:highlight w:val="yellow"/>
        </w:rPr>
      </w:pPr>
    </w:p>
    <w:p w14:paraId="3D831E2A" w14:textId="77777777" w:rsidR="004663C9" w:rsidRPr="004325FF" w:rsidRDefault="00874E3F" w:rsidP="00874E3F">
      <w:pPr>
        <w:jc w:val="both"/>
        <w:rPr>
          <w:rFonts w:ascii="Arial" w:hAnsi="Arial" w:cs="Arial"/>
          <w:sz w:val="22"/>
          <w:szCs w:val="22"/>
        </w:rPr>
      </w:pPr>
      <w:r w:rsidRPr="004325FF">
        <w:rPr>
          <w:rFonts w:ascii="Arial" w:hAnsi="Arial" w:cs="Arial"/>
          <w:sz w:val="22"/>
          <w:szCs w:val="22"/>
        </w:rPr>
        <w:t>Es de aclarar, que es</w:t>
      </w:r>
      <w:r w:rsidR="004A0E5D" w:rsidRPr="004325FF">
        <w:rPr>
          <w:rFonts w:ascii="Arial" w:hAnsi="Arial" w:cs="Arial"/>
          <w:sz w:val="22"/>
          <w:szCs w:val="22"/>
        </w:rPr>
        <w:t>ta medida adoptada no está asociada a los cargos, es decir, que de acuerdo con el análisis que realiza la UNP determinará el tiempo prudente que se debe mantener el esquema de seguridad, dicho</w:t>
      </w:r>
      <w:r w:rsidR="00B736DD" w:rsidRPr="004325FF">
        <w:rPr>
          <w:rFonts w:ascii="Arial" w:hAnsi="Arial" w:cs="Arial"/>
          <w:sz w:val="22"/>
          <w:szCs w:val="22"/>
        </w:rPr>
        <w:t xml:space="preserve"> de</w:t>
      </w:r>
      <w:r w:rsidR="004A0E5D" w:rsidRPr="004325FF">
        <w:rPr>
          <w:rFonts w:ascii="Arial" w:hAnsi="Arial" w:cs="Arial"/>
          <w:sz w:val="22"/>
          <w:szCs w:val="22"/>
        </w:rPr>
        <w:t xml:space="preserve"> otra forma, esta medida es temporal. Caso diferente ocurre con el señor </w:t>
      </w:r>
      <w:r w:rsidR="007D00C7" w:rsidRPr="004325FF">
        <w:rPr>
          <w:rFonts w:ascii="Arial" w:hAnsi="Arial" w:cs="Arial"/>
          <w:sz w:val="22"/>
          <w:szCs w:val="22"/>
        </w:rPr>
        <w:t>Ministro</w:t>
      </w:r>
      <w:r w:rsidR="004A0E5D" w:rsidRPr="004325FF">
        <w:rPr>
          <w:rFonts w:ascii="Arial" w:hAnsi="Arial" w:cs="Arial"/>
          <w:sz w:val="22"/>
          <w:szCs w:val="22"/>
        </w:rPr>
        <w:t>, el cual por el cargo que ejerce tiene por derecho</w:t>
      </w:r>
      <w:r w:rsidR="007D00C7" w:rsidRPr="004325FF">
        <w:rPr>
          <w:rFonts w:ascii="Arial" w:hAnsi="Arial" w:cs="Arial"/>
          <w:sz w:val="22"/>
          <w:szCs w:val="22"/>
        </w:rPr>
        <w:t>,</w:t>
      </w:r>
      <w:r w:rsidR="004A0E5D" w:rsidRPr="004325FF">
        <w:rPr>
          <w:rFonts w:ascii="Arial" w:hAnsi="Arial" w:cs="Arial"/>
          <w:sz w:val="22"/>
          <w:szCs w:val="22"/>
        </w:rPr>
        <w:t xml:space="preserve"> </w:t>
      </w:r>
      <w:r w:rsidR="007D00C7" w:rsidRPr="004325FF">
        <w:rPr>
          <w:rFonts w:ascii="Arial" w:hAnsi="Arial" w:cs="Arial"/>
          <w:sz w:val="22"/>
          <w:szCs w:val="22"/>
        </w:rPr>
        <w:t xml:space="preserve">un </w:t>
      </w:r>
      <w:r w:rsidR="004A0E5D" w:rsidRPr="004325FF">
        <w:rPr>
          <w:rFonts w:ascii="Arial" w:hAnsi="Arial" w:cs="Arial"/>
          <w:sz w:val="22"/>
          <w:szCs w:val="22"/>
        </w:rPr>
        <w:t xml:space="preserve">esquema </w:t>
      </w:r>
      <w:r w:rsidR="007D00C7" w:rsidRPr="004325FF">
        <w:rPr>
          <w:rFonts w:ascii="Arial" w:hAnsi="Arial" w:cs="Arial"/>
          <w:sz w:val="22"/>
          <w:szCs w:val="22"/>
        </w:rPr>
        <w:t xml:space="preserve">de seguridad </w:t>
      </w:r>
      <w:r w:rsidR="004A0E5D" w:rsidRPr="004325FF">
        <w:rPr>
          <w:rFonts w:ascii="Arial" w:hAnsi="Arial" w:cs="Arial"/>
          <w:sz w:val="22"/>
          <w:szCs w:val="22"/>
        </w:rPr>
        <w:t xml:space="preserve">de forma permanente. </w:t>
      </w:r>
    </w:p>
    <w:p w14:paraId="6A290A32" w14:textId="77777777" w:rsidR="004325FF" w:rsidRDefault="004325FF" w:rsidP="004351F3">
      <w:pPr>
        <w:spacing w:line="168" w:lineRule="auto"/>
        <w:rPr>
          <w:rFonts w:ascii="Arial" w:hAnsi="Arial" w:cs="Arial"/>
          <w:sz w:val="22"/>
          <w:szCs w:val="22"/>
          <w:highlight w:val="yellow"/>
        </w:rPr>
      </w:pPr>
    </w:p>
    <w:p w14:paraId="4379114E" w14:textId="2B25F24C" w:rsidR="004325FF" w:rsidRDefault="004325FF" w:rsidP="004325FF">
      <w:pPr>
        <w:jc w:val="both"/>
        <w:rPr>
          <w:rFonts w:ascii="Arial" w:hAnsi="Arial" w:cs="Arial"/>
          <w:sz w:val="22"/>
          <w:szCs w:val="22"/>
        </w:rPr>
      </w:pPr>
      <w:r w:rsidRPr="004325FF">
        <w:rPr>
          <w:rFonts w:ascii="Arial" w:hAnsi="Arial" w:cs="Arial"/>
          <w:sz w:val="22"/>
          <w:szCs w:val="22"/>
        </w:rPr>
        <w:t xml:space="preserve">Considerando lo anterior, es de mencionar que hasta el pasado 15 de septiembre de 2019, </w:t>
      </w:r>
      <w:r w:rsidR="008826D9">
        <w:rPr>
          <w:rFonts w:ascii="Arial" w:hAnsi="Arial" w:cs="Arial"/>
          <w:sz w:val="22"/>
          <w:szCs w:val="22"/>
        </w:rPr>
        <w:t xml:space="preserve">la persona </w:t>
      </w:r>
      <w:r w:rsidRPr="004325FF">
        <w:rPr>
          <w:rFonts w:ascii="Arial" w:hAnsi="Arial" w:cs="Arial"/>
          <w:sz w:val="22"/>
          <w:szCs w:val="22"/>
        </w:rPr>
        <w:t xml:space="preserve">que se desempeñaba </w:t>
      </w:r>
      <w:r w:rsidR="008826D9">
        <w:rPr>
          <w:rFonts w:ascii="Arial" w:hAnsi="Arial" w:cs="Arial"/>
          <w:sz w:val="22"/>
          <w:szCs w:val="22"/>
        </w:rPr>
        <w:t xml:space="preserve">en </w:t>
      </w:r>
      <w:r w:rsidRPr="004325FF">
        <w:rPr>
          <w:rFonts w:ascii="Arial" w:hAnsi="Arial" w:cs="Arial"/>
          <w:sz w:val="22"/>
          <w:szCs w:val="22"/>
        </w:rPr>
        <w:t>el cargo de Viceminist</w:t>
      </w:r>
      <w:r w:rsidR="00B84D25">
        <w:rPr>
          <w:rFonts w:ascii="Arial" w:hAnsi="Arial" w:cs="Arial"/>
          <w:sz w:val="22"/>
          <w:szCs w:val="22"/>
        </w:rPr>
        <w:t>ro</w:t>
      </w:r>
      <w:r w:rsidRPr="004325FF">
        <w:rPr>
          <w:rFonts w:ascii="Arial" w:hAnsi="Arial" w:cs="Arial"/>
          <w:sz w:val="22"/>
          <w:szCs w:val="22"/>
        </w:rPr>
        <w:t xml:space="preserve"> Técnico laboró para este Ministerio. </w:t>
      </w:r>
      <w:r w:rsidR="002B09CB">
        <w:rPr>
          <w:rFonts w:ascii="Arial" w:hAnsi="Arial" w:cs="Arial"/>
          <w:sz w:val="22"/>
          <w:szCs w:val="22"/>
        </w:rPr>
        <w:t xml:space="preserve"> </w:t>
      </w:r>
      <w:r w:rsidR="00837AAC">
        <w:rPr>
          <w:rFonts w:ascii="Arial" w:hAnsi="Arial" w:cs="Arial"/>
          <w:sz w:val="22"/>
          <w:szCs w:val="22"/>
        </w:rPr>
        <w:t xml:space="preserve">Motivo por el cual, </w:t>
      </w:r>
      <w:r w:rsidR="002B09CB">
        <w:rPr>
          <w:rFonts w:ascii="Arial" w:hAnsi="Arial" w:cs="Arial"/>
          <w:sz w:val="22"/>
          <w:szCs w:val="22"/>
        </w:rPr>
        <w:t xml:space="preserve">mediante </w:t>
      </w:r>
      <w:r w:rsidR="00717290">
        <w:rPr>
          <w:rFonts w:ascii="Arial" w:hAnsi="Arial" w:cs="Arial"/>
          <w:sz w:val="22"/>
          <w:szCs w:val="22"/>
        </w:rPr>
        <w:t xml:space="preserve">el </w:t>
      </w:r>
      <w:r w:rsidR="002B09CB">
        <w:rPr>
          <w:rFonts w:ascii="Arial" w:hAnsi="Arial" w:cs="Arial"/>
          <w:sz w:val="22"/>
          <w:szCs w:val="22"/>
        </w:rPr>
        <w:t xml:space="preserve">Otrosí # 2 </w:t>
      </w:r>
      <w:r w:rsidR="00923F1E">
        <w:rPr>
          <w:rFonts w:ascii="Arial" w:hAnsi="Arial" w:cs="Arial"/>
          <w:sz w:val="22"/>
          <w:szCs w:val="22"/>
        </w:rPr>
        <w:t xml:space="preserve">suscrito </w:t>
      </w:r>
      <w:r w:rsidR="00FE4FA2">
        <w:rPr>
          <w:rFonts w:ascii="Arial" w:hAnsi="Arial" w:cs="Arial"/>
          <w:sz w:val="22"/>
          <w:szCs w:val="22"/>
        </w:rPr>
        <w:t xml:space="preserve">el 17 de octubre de 2019 </w:t>
      </w:r>
      <w:r w:rsidR="00923F1E">
        <w:rPr>
          <w:rFonts w:ascii="Arial" w:hAnsi="Arial" w:cs="Arial"/>
          <w:sz w:val="22"/>
          <w:szCs w:val="22"/>
        </w:rPr>
        <w:t>fue modificado e</w:t>
      </w:r>
      <w:r w:rsidR="008826D9">
        <w:rPr>
          <w:rFonts w:ascii="Arial" w:hAnsi="Arial" w:cs="Arial"/>
          <w:sz w:val="22"/>
          <w:szCs w:val="22"/>
        </w:rPr>
        <w:t>l Convenio 7.001.2019</w:t>
      </w:r>
      <w:r w:rsidR="00717290">
        <w:rPr>
          <w:rFonts w:ascii="Arial" w:hAnsi="Arial" w:cs="Arial"/>
          <w:sz w:val="22"/>
          <w:szCs w:val="22"/>
        </w:rPr>
        <w:t xml:space="preserve">, </w:t>
      </w:r>
      <w:r w:rsidR="002B09CB">
        <w:rPr>
          <w:rFonts w:ascii="Arial" w:hAnsi="Arial" w:cs="Arial"/>
          <w:sz w:val="22"/>
          <w:szCs w:val="22"/>
        </w:rPr>
        <w:t xml:space="preserve">entre otras, la </w:t>
      </w:r>
      <w:r w:rsidR="008826D9">
        <w:rPr>
          <w:rFonts w:ascii="Arial" w:hAnsi="Arial" w:cs="Arial"/>
          <w:sz w:val="22"/>
          <w:szCs w:val="22"/>
        </w:rPr>
        <w:t>cláusula</w:t>
      </w:r>
      <w:r w:rsidR="00717290">
        <w:rPr>
          <w:rFonts w:ascii="Arial" w:hAnsi="Arial" w:cs="Arial"/>
          <w:sz w:val="22"/>
          <w:szCs w:val="22"/>
        </w:rPr>
        <w:t xml:space="preserve">: </w:t>
      </w:r>
      <w:r w:rsidR="008826D9" w:rsidRPr="00717290">
        <w:rPr>
          <w:rFonts w:ascii="Arial" w:hAnsi="Arial" w:cs="Arial"/>
          <w:i/>
          <w:sz w:val="22"/>
          <w:szCs w:val="22"/>
        </w:rPr>
        <w:t xml:space="preserve">duración </w:t>
      </w:r>
      <w:r w:rsidR="00717290" w:rsidRPr="00717290">
        <w:rPr>
          <w:rFonts w:ascii="Arial" w:hAnsi="Arial" w:cs="Arial"/>
          <w:i/>
          <w:sz w:val="22"/>
          <w:szCs w:val="22"/>
        </w:rPr>
        <w:t>del contrato</w:t>
      </w:r>
      <w:r w:rsidR="002C0001">
        <w:rPr>
          <w:rFonts w:ascii="Arial" w:hAnsi="Arial" w:cs="Arial"/>
          <w:i/>
          <w:sz w:val="22"/>
          <w:szCs w:val="22"/>
        </w:rPr>
        <w:t>,</w:t>
      </w:r>
      <w:r w:rsidR="00717290">
        <w:rPr>
          <w:rFonts w:ascii="Arial" w:hAnsi="Arial" w:cs="Arial"/>
          <w:i/>
          <w:sz w:val="22"/>
          <w:szCs w:val="22"/>
        </w:rPr>
        <w:t xml:space="preserve"> </w:t>
      </w:r>
      <w:r w:rsidR="008826D9">
        <w:rPr>
          <w:rFonts w:ascii="Arial" w:hAnsi="Arial" w:cs="Arial"/>
          <w:sz w:val="22"/>
          <w:szCs w:val="22"/>
        </w:rPr>
        <w:t xml:space="preserve">quedando vigente </w:t>
      </w:r>
      <w:r w:rsidR="00717290">
        <w:rPr>
          <w:rFonts w:ascii="Arial" w:hAnsi="Arial" w:cs="Arial"/>
          <w:sz w:val="22"/>
          <w:szCs w:val="22"/>
        </w:rPr>
        <w:t>h</w:t>
      </w:r>
      <w:r w:rsidR="00BE5061">
        <w:rPr>
          <w:rFonts w:ascii="Arial" w:hAnsi="Arial" w:cs="Arial"/>
          <w:sz w:val="22"/>
          <w:szCs w:val="22"/>
        </w:rPr>
        <w:t>asta el 31 de diciembre de 2019</w:t>
      </w:r>
      <w:r w:rsidR="002C0001">
        <w:rPr>
          <w:rFonts w:ascii="Arial" w:hAnsi="Arial" w:cs="Arial"/>
          <w:sz w:val="22"/>
          <w:szCs w:val="22"/>
        </w:rPr>
        <w:t xml:space="preserve">. </w:t>
      </w:r>
      <w:r w:rsidR="00993405">
        <w:rPr>
          <w:rFonts w:ascii="Arial" w:hAnsi="Arial" w:cs="Arial"/>
          <w:sz w:val="22"/>
          <w:szCs w:val="22"/>
        </w:rPr>
        <w:t xml:space="preserve">Referente a </w:t>
      </w:r>
      <w:r w:rsidR="00BE5061">
        <w:rPr>
          <w:rFonts w:ascii="Arial" w:hAnsi="Arial" w:cs="Arial"/>
          <w:sz w:val="22"/>
          <w:szCs w:val="22"/>
        </w:rPr>
        <w:t xml:space="preserve">la cláusula </w:t>
      </w:r>
      <w:r w:rsidR="002C0001">
        <w:rPr>
          <w:rFonts w:ascii="Arial" w:hAnsi="Arial" w:cs="Arial"/>
          <w:sz w:val="22"/>
          <w:szCs w:val="22"/>
        </w:rPr>
        <w:t xml:space="preserve">de </w:t>
      </w:r>
      <w:r w:rsidR="00BE5061" w:rsidRPr="00BE5061">
        <w:rPr>
          <w:rFonts w:ascii="Arial" w:hAnsi="Arial" w:cs="Arial"/>
          <w:i/>
          <w:sz w:val="22"/>
          <w:szCs w:val="22"/>
        </w:rPr>
        <w:t>valor del Contrato</w:t>
      </w:r>
      <w:r w:rsidR="00BE5061">
        <w:rPr>
          <w:rFonts w:ascii="Arial" w:hAnsi="Arial" w:cs="Arial"/>
          <w:sz w:val="22"/>
          <w:szCs w:val="22"/>
        </w:rPr>
        <w:t xml:space="preserve">, </w:t>
      </w:r>
      <w:r w:rsidR="00717290">
        <w:rPr>
          <w:rFonts w:ascii="Arial" w:hAnsi="Arial" w:cs="Arial"/>
          <w:sz w:val="22"/>
          <w:szCs w:val="22"/>
        </w:rPr>
        <w:t>se mantuvo e</w:t>
      </w:r>
      <w:r w:rsidR="00BE5061">
        <w:rPr>
          <w:rFonts w:ascii="Arial" w:hAnsi="Arial" w:cs="Arial"/>
          <w:sz w:val="22"/>
          <w:szCs w:val="22"/>
        </w:rPr>
        <w:t xml:space="preserve">l </w:t>
      </w:r>
      <w:r w:rsidR="00B84D25">
        <w:rPr>
          <w:rFonts w:ascii="Arial" w:hAnsi="Arial" w:cs="Arial"/>
          <w:sz w:val="22"/>
          <w:szCs w:val="22"/>
        </w:rPr>
        <w:t xml:space="preserve">pactado </w:t>
      </w:r>
      <w:r w:rsidR="00BE5061">
        <w:rPr>
          <w:rFonts w:ascii="Arial" w:hAnsi="Arial" w:cs="Arial"/>
          <w:sz w:val="22"/>
          <w:szCs w:val="22"/>
        </w:rPr>
        <w:t xml:space="preserve">inicialmente </w:t>
      </w:r>
      <w:r w:rsidR="002C0001">
        <w:rPr>
          <w:rFonts w:ascii="Arial" w:hAnsi="Arial" w:cs="Arial"/>
          <w:sz w:val="22"/>
          <w:szCs w:val="22"/>
        </w:rPr>
        <w:t>[$ 345.857.270]</w:t>
      </w:r>
      <w:r w:rsidR="00BE5061">
        <w:rPr>
          <w:rFonts w:ascii="Arial" w:hAnsi="Arial" w:cs="Arial"/>
          <w:sz w:val="22"/>
          <w:szCs w:val="22"/>
        </w:rPr>
        <w:t xml:space="preserve">, </w:t>
      </w:r>
      <w:r w:rsidR="00717290">
        <w:rPr>
          <w:rFonts w:ascii="Arial" w:hAnsi="Arial" w:cs="Arial"/>
          <w:sz w:val="22"/>
          <w:szCs w:val="22"/>
        </w:rPr>
        <w:t>sin embargo,</w:t>
      </w:r>
      <w:r w:rsidR="00973469">
        <w:rPr>
          <w:rFonts w:ascii="Arial" w:hAnsi="Arial" w:cs="Arial"/>
          <w:sz w:val="22"/>
          <w:szCs w:val="22"/>
        </w:rPr>
        <w:t xml:space="preserve"> </w:t>
      </w:r>
      <w:r w:rsidR="00717290">
        <w:rPr>
          <w:rFonts w:ascii="Arial" w:hAnsi="Arial" w:cs="Arial"/>
          <w:sz w:val="22"/>
          <w:szCs w:val="22"/>
        </w:rPr>
        <w:t xml:space="preserve">los recursos </w:t>
      </w:r>
      <w:r w:rsidR="002C0001">
        <w:rPr>
          <w:rFonts w:ascii="Arial" w:hAnsi="Arial" w:cs="Arial"/>
          <w:sz w:val="22"/>
          <w:szCs w:val="22"/>
        </w:rPr>
        <w:t xml:space="preserve">que se habían </w:t>
      </w:r>
      <w:r w:rsidR="00717290">
        <w:rPr>
          <w:rFonts w:ascii="Arial" w:hAnsi="Arial" w:cs="Arial"/>
          <w:sz w:val="22"/>
          <w:szCs w:val="22"/>
        </w:rPr>
        <w:t>proye</w:t>
      </w:r>
      <w:r w:rsidR="002C0001">
        <w:rPr>
          <w:rFonts w:ascii="Arial" w:hAnsi="Arial" w:cs="Arial"/>
          <w:sz w:val="22"/>
          <w:szCs w:val="22"/>
        </w:rPr>
        <w:t>ctado</w:t>
      </w:r>
      <w:r w:rsidR="00717290">
        <w:rPr>
          <w:rFonts w:ascii="Arial" w:hAnsi="Arial" w:cs="Arial"/>
          <w:sz w:val="22"/>
          <w:szCs w:val="22"/>
        </w:rPr>
        <w:t xml:space="preserve"> para </w:t>
      </w:r>
      <w:r w:rsidR="00973469">
        <w:rPr>
          <w:rFonts w:ascii="Arial" w:hAnsi="Arial" w:cs="Arial"/>
          <w:sz w:val="22"/>
          <w:szCs w:val="22"/>
        </w:rPr>
        <w:t>e</w:t>
      </w:r>
      <w:r w:rsidR="00717290">
        <w:rPr>
          <w:rFonts w:ascii="Arial" w:hAnsi="Arial" w:cs="Arial"/>
          <w:sz w:val="22"/>
          <w:szCs w:val="22"/>
        </w:rPr>
        <w:t xml:space="preserve">l </w:t>
      </w:r>
      <w:r w:rsidR="00F158BC">
        <w:rPr>
          <w:rFonts w:ascii="Arial" w:hAnsi="Arial" w:cs="Arial"/>
          <w:sz w:val="22"/>
          <w:szCs w:val="22"/>
        </w:rPr>
        <w:t>esquema de seguridad del Viceministro Técnico saliente</w:t>
      </w:r>
      <w:r w:rsidR="00717290">
        <w:rPr>
          <w:rFonts w:ascii="Arial" w:hAnsi="Arial" w:cs="Arial"/>
          <w:sz w:val="22"/>
          <w:szCs w:val="22"/>
        </w:rPr>
        <w:t xml:space="preserve"> </w:t>
      </w:r>
      <w:r w:rsidR="00973469">
        <w:rPr>
          <w:rFonts w:ascii="Arial" w:hAnsi="Arial" w:cs="Arial"/>
          <w:sz w:val="22"/>
          <w:szCs w:val="22"/>
        </w:rPr>
        <w:t xml:space="preserve">fueron destinados </w:t>
      </w:r>
      <w:r w:rsidR="00717290">
        <w:rPr>
          <w:rFonts w:ascii="Arial" w:hAnsi="Arial" w:cs="Arial"/>
          <w:sz w:val="22"/>
          <w:szCs w:val="22"/>
        </w:rPr>
        <w:t xml:space="preserve">para cubrir </w:t>
      </w:r>
      <w:r w:rsidR="00F158BC">
        <w:rPr>
          <w:rFonts w:ascii="Arial" w:hAnsi="Arial" w:cs="Arial"/>
          <w:sz w:val="22"/>
          <w:szCs w:val="22"/>
        </w:rPr>
        <w:t xml:space="preserve">la prorroga en </w:t>
      </w:r>
      <w:r w:rsidR="00717290">
        <w:rPr>
          <w:rFonts w:ascii="Arial" w:hAnsi="Arial" w:cs="Arial"/>
          <w:sz w:val="22"/>
          <w:szCs w:val="22"/>
        </w:rPr>
        <w:t>tiempo</w:t>
      </w:r>
      <w:r w:rsidR="002C0001">
        <w:rPr>
          <w:rFonts w:ascii="Arial" w:hAnsi="Arial" w:cs="Arial"/>
          <w:sz w:val="22"/>
          <w:szCs w:val="22"/>
        </w:rPr>
        <w:t>, direccionados a</w:t>
      </w:r>
      <w:r w:rsidR="00BE5061">
        <w:rPr>
          <w:rFonts w:ascii="Arial" w:hAnsi="Arial" w:cs="Arial"/>
          <w:sz w:val="22"/>
          <w:szCs w:val="22"/>
        </w:rPr>
        <w:t xml:space="preserve">l esquema de seguridad del Viceministro General. </w:t>
      </w:r>
    </w:p>
    <w:p w14:paraId="1699C1D1" w14:textId="77777777" w:rsidR="004325FF" w:rsidRPr="00A003B6" w:rsidRDefault="004325FF" w:rsidP="00DE0205">
      <w:pPr>
        <w:rPr>
          <w:rFonts w:ascii="Arial" w:hAnsi="Arial" w:cs="Arial"/>
          <w:sz w:val="22"/>
          <w:szCs w:val="22"/>
          <w:highlight w:val="yellow"/>
        </w:rPr>
      </w:pPr>
    </w:p>
    <w:p w14:paraId="615551D3" w14:textId="60BBB75E" w:rsidR="007629FC" w:rsidRDefault="007629FC" w:rsidP="007629FC">
      <w:pPr>
        <w:jc w:val="both"/>
        <w:rPr>
          <w:rFonts w:ascii="Arial" w:hAnsi="Arial" w:cs="Arial"/>
          <w:color w:val="000000" w:themeColor="text1"/>
          <w:sz w:val="22"/>
          <w:szCs w:val="22"/>
        </w:rPr>
      </w:pPr>
      <w:r>
        <w:rPr>
          <w:rFonts w:ascii="Arial" w:hAnsi="Arial" w:cs="Arial"/>
          <w:color w:val="000000" w:themeColor="text1"/>
          <w:sz w:val="22"/>
          <w:szCs w:val="22"/>
        </w:rPr>
        <w:t>En lo que respecta al esquema de seguridad del Minis</w:t>
      </w:r>
      <w:r w:rsidR="00FE4FA2">
        <w:rPr>
          <w:rFonts w:ascii="Arial" w:hAnsi="Arial" w:cs="Arial"/>
          <w:color w:val="000000" w:themeColor="text1"/>
          <w:sz w:val="22"/>
          <w:szCs w:val="22"/>
        </w:rPr>
        <w:t>tro</w:t>
      </w:r>
      <w:r>
        <w:rPr>
          <w:rFonts w:ascii="Arial" w:hAnsi="Arial" w:cs="Arial"/>
          <w:color w:val="000000" w:themeColor="text1"/>
          <w:sz w:val="22"/>
          <w:szCs w:val="22"/>
        </w:rPr>
        <w:t xml:space="preserve"> de Hacienda y Crédito Público, durante el tercer trimestre de 2019 comparado con el mismo periodo de 2018, se presentó una variación negativa de $ 27.337.310, representando un 32% de disminución del gasto. </w:t>
      </w:r>
    </w:p>
    <w:p w14:paraId="2130E3FF" w14:textId="77777777" w:rsidR="007629FC" w:rsidRDefault="007629FC" w:rsidP="007629FC">
      <w:pPr>
        <w:rPr>
          <w:rFonts w:ascii="Arial" w:hAnsi="Arial" w:cs="Arial"/>
          <w:sz w:val="22"/>
          <w:szCs w:val="22"/>
        </w:rPr>
      </w:pPr>
    </w:p>
    <w:tbl>
      <w:tblPr>
        <w:tblW w:w="8396" w:type="dxa"/>
        <w:jc w:val="center"/>
        <w:tblCellMar>
          <w:left w:w="70" w:type="dxa"/>
          <w:right w:w="70" w:type="dxa"/>
        </w:tblCellMar>
        <w:tblLook w:val="04A0" w:firstRow="1" w:lastRow="0" w:firstColumn="1" w:lastColumn="0" w:noHBand="0" w:noVBand="1"/>
      </w:tblPr>
      <w:tblGrid>
        <w:gridCol w:w="4268"/>
        <w:gridCol w:w="2064"/>
        <w:gridCol w:w="2064"/>
      </w:tblGrid>
      <w:tr w:rsidR="007629FC" w:rsidRPr="00966705" w14:paraId="441637F4" w14:textId="77777777" w:rsidTr="004351F3">
        <w:trPr>
          <w:cantSplit/>
          <w:trHeight w:val="609"/>
          <w:jc w:val="center"/>
        </w:trPr>
        <w:tc>
          <w:tcPr>
            <w:tcW w:w="4268" w:type="dxa"/>
            <w:tcBorders>
              <w:top w:val="single" w:sz="8" w:space="0" w:color="B8CCE4"/>
              <w:left w:val="single" w:sz="8" w:space="0" w:color="B8CCE4"/>
              <w:bottom w:val="nil"/>
              <w:right w:val="single" w:sz="8" w:space="0" w:color="B8CCE4"/>
            </w:tcBorders>
            <w:shd w:val="clear" w:color="000000" w:fill="4F81BD"/>
            <w:vAlign w:val="center"/>
            <w:hideMark/>
          </w:tcPr>
          <w:p w14:paraId="73F250B5" w14:textId="77777777" w:rsidR="007629FC" w:rsidRPr="00966705" w:rsidRDefault="007629FC" w:rsidP="00B84D25">
            <w:pPr>
              <w:spacing w:before="100" w:after="60"/>
              <w:jc w:val="center"/>
              <w:rPr>
                <w:rFonts w:ascii="Arial" w:hAnsi="Arial" w:cs="Arial"/>
                <w:b/>
                <w:bCs/>
                <w:color w:val="FFFFFF"/>
                <w:sz w:val="20"/>
                <w:szCs w:val="20"/>
              </w:rPr>
            </w:pPr>
            <w:r w:rsidRPr="00966705">
              <w:rPr>
                <w:rFonts w:ascii="Arial" w:hAnsi="Arial" w:cs="Arial"/>
                <w:b/>
                <w:bCs/>
                <w:color w:val="FFFFFF" w:themeColor="background1"/>
                <w:sz w:val="20"/>
                <w:szCs w:val="20"/>
              </w:rPr>
              <w:t>Concepto</w:t>
            </w:r>
          </w:p>
        </w:tc>
        <w:tc>
          <w:tcPr>
            <w:tcW w:w="0" w:type="auto"/>
            <w:tcBorders>
              <w:top w:val="single" w:sz="8" w:space="0" w:color="B8CCE4"/>
              <w:left w:val="nil"/>
              <w:bottom w:val="nil"/>
              <w:right w:val="single" w:sz="8" w:space="0" w:color="B8CCE4"/>
            </w:tcBorders>
            <w:shd w:val="clear" w:color="000000" w:fill="4F81BD"/>
            <w:noWrap/>
            <w:vAlign w:val="center"/>
            <w:hideMark/>
          </w:tcPr>
          <w:p w14:paraId="320F1C1A" w14:textId="77777777" w:rsidR="007629FC" w:rsidRPr="00966705" w:rsidRDefault="007629FC" w:rsidP="00B84D25">
            <w:pPr>
              <w:spacing w:before="100" w:after="60"/>
              <w:rPr>
                <w:rFonts w:ascii="Arial" w:hAnsi="Arial" w:cs="Arial"/>
                <w:b/>
                <w:bCs/>
                <w:color w:val="FFFFFF"/>
                <w:sz w:val="20"/>
                <w:szCs w:val="20"/>
              </w:rPr>
            </w:pPr>
            <w:r w:rsidRPr="00966705">
              <w:rPr>
                <w:rFonts w:ascii="Arial" w:hAnsi="Arial" w:cs="Arial"/>
                <w:b/>
                <w:bCs/>
                <w:color w:val="FFFFFF" w:themeColor="background1"/>
                <w:sz w:val="20"/>
                <w:szCs w:val="20"/>
              </w:rPr>
              <w:t>III Trimestre de 2019</w:t>
            </w:r>
          </w:p>
        </w:tc>
        <w:tc>
          <w:tcPr>
            <w:tcW w:w="0" w:type="auto"/>
            <w:tcBorders>
              <w:top w:val="single" w:sz="8" w:space="0" w:color="B8CCE4"/>
              <w:left w:val="nil"/>
              <w:bottom w:val="nil"/>
              <w:right w:val="single" w:sz="8" w:space="0" w:color="B8CCE4"/>
            </w:tcBorders>
            <w:shd w:val="clear" w:color="000000" w:fill="4F81BD"/>
            <w:noWrap/>
            <w:vAlign w:val="center"/>
            <w:hideMark/>
          </w:tcPr>
          <w:p w14:paraId="08B5DE1A" w14:textId="77777777" w:rsidR="007629FC" w:rsidRPr="00966705" w:rsidRDefault="007629FC" w:rsidP="00B84D25">
            <w:pPr>
              <w:spacing w:before="100" w:after="60"/>
              <w:rPr>
                <w:rFonts w:ascii="Arial" w:hAnsi="Arial" w:cs="Arial"/>
                <w:b/>
                <w:bCs/>
                <w:color w:val="FFFFFF"/>
                <w:sz w:val="20"/>
                <w:szCs w:val="20"/>
              </w:rPr>
            </w:pPr>
            <w:r w:rsidRPr="00966705">
              <w:rPr>
                <w:rFonts w:ascii="Arial" w:hAnsi="Arial" w:cs="Arial"/>
                <w:b/>
                <w:bCs/>
                <w:color w:val="FFFFFF" w:themeColor="background1"/>
                <w:sz w:val="20"/>
                <w:szCs w:val="20"/>
              </w:rPr>
              <w:t>III Trimestre de 2018</w:t>
            </w:r>
          </w:p>
        </w:tc>
      </w:tr>
      <w:tr w:rsidR="007629FC" w:rsidRPr="00966705" w14:paraId="34E0640E" w14:textId="77777777" w:rsidTr="004351F3">
        <w:trPr>
          <w:cantSplit/>
          <w:trHeight w:val="932"/>
          <w:jc w:val="center"/>
        </w:trPr>
        <w:tc>
          <w:tcPr>
            <w:tcW w:w="4268" w:type="dxa"/>
            <w:tcBorders>
              <w:top w:val="nil"/>
              <w:left w:val="nil"/>
              <w:bottom w:val="double" w:sz="6" w:space="0" w:color="4F81BD"/>
              <w:right w:val="nil"/>
            </w:tcBorders>
            <w:shd w:val="clear" w:color="auto" w:fill="auto"/>
            <w:vAlign w:val="center"/>
            <w:hideMark/>
          </w:tcPr>
          <w:p w14:paraId="236D6170" w14:textId="77777777" w:rsidR="007629FC" w:rsidRPr="00966705" w:rsidRDefault="007629FC" w:rsidP="00B84D25">
            <w:pPr>
              <w:spacing w:before="100" w:after="60"/>
              <w:jc w:val="center"/>
              <w:rPr>
                <w:rFonts w:ascii="Arial" w:hAnsi="Arial" w:cs="Arial"/>
                <w:color w:val="0F243E"/>
                <w:sz w:val="20"/>
                <w:szCs w:val="20"/>
              </w:rPr>
            </w:pPr>
            <w:r w:rsidRPr="00966705">
              <w:rPr>
                <w:rFonts w:ascii="Arial" w:hAnsi="Arial" w:cs="Arial"/>
                <w:color w:val="0F243E"/>
                <w:sz w:val="20"/>
                <w:szCs w:val="20"/>
              </w:rPr>
              <w:t>Esquema de Seguridad del Ministro de Hacienda y Crédito Público</w:t>
            </w:r>
          </w:p>
        </w:tc>
        <w:tc>
          <w:tcPr>
            <w:tcW w:w="0" w:type="auto"/>
            <w:tcBorders>
              <w:top w:val="nil"/>
              <w:left w:val="nil"/>
              <w:bottom w:val="double" w:sz="6" w:space="0" w:color="4F81BD"/>
              <w:right w:val="nil"/>
            </w:tcBorders>
            <w:shd w:val="clear" w:color="auto" w:fill="auto"/>
            <w:noWrap/>
            <w:vAlign w:val="center"/>
            <w:hideMark/>
          </w:tcPr>
          <w:p w14:paraId="363FB857" w14:textId="2B3D13CF" w:rsidR="007629FC" w:rsidRPr="00FB7EA4" w:rsidRDefault="007629FC" w:rsidP="00B84D25">
            <w:pPr>
              <w:spacing w:before="100" w:after="6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58.99</w:t>
            </w:r>
            <w:r w:rsidR="00A91AA7" w:rsidRPr="00FB7EA4">
              <w:rPr>
                <w:rFonts w:ascii="Arial" w:hAnsi="Arial" w:cs="Arial"/>
                <w:color w:val="0F243E" w:themeColor="text2" w:themeShade="80"/>
                <w:sz w:val="20"/>
                <w:szCs w:val="20"/>
              </w:rPr>
              <w:t>5</w:t>
            </w:r>
            <w:r w:rsidRPr="00FB7EA4">
              <w:rPr>
                <w:rFonts w:ascii="Arial" w:hAnsi="Arial" w:cs="Arial"/>
                <w:color w:val="0F243E" w:themeColor="text2" w:themeShade="80"/>
                <w:sz w:val="20"/>
                <w:szCs w:val="20"/>
              </w:rPr>
              <w:t>.</w:t>
            </w:r>
            <w:r w:rsidR="00A91AA7" w:rsidRPr="00FB7EA4">
              <w:rPr>
                <w:rFonts w:ascii="Arial" w:hAnsi="Arial" w:cs="Arial"/>
                <w:color w:val="0F243E" w:themeColor="text2" w:themeShade="80"/>
                <w:sz w:val="20"/>
                <w:szCs w:val="20"/>
              </w:rPr>
              <w:t>673</w:t>
            </w:r>
          </w:p>
        </w:tc>
        <w:tc>
          <w:tcPr>
            <w:tcW w:w="0" w:type="auto"/>
            <w:tcBorders>
              <w:top w:val="nil"/>
              <w:left w:val="nil"/>
              <w:bottom w:val="double" w:sz="6" w:space="0" w:color="4F81BD"/>
              <w:right w:val="nil"/>
            </w:tcBorders>
            <w:shd w:val="clear" w:color="auto" w:fill="auto"/>
            <w:noWrap/>
            <w:vAlign w:val="center"/>
            <w:hideMark/>
          </w:tcPr>
          <w:p w14:paraId="458FB35A" w14:textId="77777777" w:rsidR="007629FC" w:rsidRPr="00FB7EA4" w:rsidRDefault="007629FC" w:rsidP="00B84D25">
            <w:pPr>
              <w:spacing w:before="100" w:after="6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86.335.002</w:t>
            </w:r>
          </w:p>
        </w:tc>
      </w:tr>
      <w:tr w:rsidR="007629FC" w:rsidRPr="00966705" w14:paraId="4A7C58EB" w14:textId="77777777" w:rsidTr="004351F3">
        <w:trPr>
          <w:cantSplit/>
          <w:jc w:val="center"/>
        </w:trPr>
        <w:tc>
          <w:tcPr>
            <w:tcW w:w="4268" w:type="dxa"/>
            <w:tcBorders>
              <w:top w:val="nil"/>
              <w:left w:val="nil"/>
              <w:bottom w:val="nil"/>
              <w:right w:val="nil"/>
            </w:tcBorders>
            <w:shd w:val="clear" w:color="auto" w:fill="auto"/>
            <w:vAlign w:val="center"/>
            <w:hideMark/>
          </w:tcPr>
          <w:p w14:paraId="1F6B3731" w14:textId="77777777" w:rsidR="007629FC" w:rsidRPr="00966705" w:rsidRDefault="007629FC" w:rsidP="00B84D25">
            <w:pPr>
              <w:spacing w:before="100" w:after="60"/>
              <w:jc w:val="center"/>
              <w:rPr>
                <w:rFonts w:ascii="Arial" w:hAnsi="Arial" w:cs="Arial"/>
                <w:b/>
                <w:bCs/>
                <w:color w:val="0F243E"/>
                <w:sz w:val="20"/>
                <w:szCs w:val="20"/>
              </w:rPr>
            </w:pPr>
            <w:r w:rsidRPr="00966705">
              <w:rPr>
                <w:rFonts w:ascii="Arial" w:hAnsi="Arial" w:cs="Arial"/>
                <w:b/>
                <w:bCs/>
                <w:color w:val="0F243E"/>
                <w:sz w:val="20"/>
                <w:szCs w:val="20"/>
              </w:rPr>
              <w:t>Variación Absoluta $</w:t>
            </w:r>
          </w:p>
        </w:tc>
        <w:tc>
          <w:tcPr>
            <w:tcW w:w="0" w:type="auto"/>
            <w:gridSpan w:val="2"/>
            <w:tcBorders>
              <w:top w:val="double" w:sz="6" w:space="0" w:color="4F81BD"/>
              <w:left w:val="nil"/>
              <w:bottom w:val="nil"/>
              <w:right w:val="nil"/>
            </w:tcBorders>
            <w:shd w:val="clear" w:color="auto" w:fill="auto"/>
            <w:noWrap/>
            <w:vAlign w:val="center"/>
            <w:hideMark/>
          </w:tcPr>
          <w:p w14:paraId="6F311EED" w14:textId="1B6FED56" w:rsidR="007629FC" w:rsidRPr="00FB7EA4" w:rsidRDefault="007629FC" w:rsidP="00B84D25">
            <w:pPr>
              <w:spacing w:before="100" w:after="60"/>
              <w:jc w:val="center"/>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(27.33</w:t>
            </w:r>
            <w:r w:rsidR="00A91AA7" w:rsidRPr="00FB7EA4">
              <w:rPr>
                <w:rFonts w:ascii="Arial" w:hAnsi="Arial" w:cs="Arial"/>
                <w:b/>
                <w:bCs/>
                <w:color w:val="0F243E" w:themeColor="text2" w:themeShade="80"/>
                <w:sz w:val="20"/>
                <w:szCs w:val="20"/>
              </w:rPr>
              <w:t>9</w:t>
            </w:r>
            <w:r w:rsidRPr="00FB7EA4">
              <w:rPr>
                <w:rFonts w:ascii="Arial" w:hAnsi="Arial" w:cs="Arial"/>
                <w:b/>
                <w:bCs/>
                <w:color w:val="0F243E" w:themeColor="text2" w:themeShade="80"/>
                <w:sz w:val="20"/>
                <w:szCs w:val="20"/>
              </w:rPr>
              <w:t>.3</w:t>
            </w:r>
            <w:r w:rsidR="00A91AA7" w:rsidRPr="00FB7EA4">
              <w:rPr>
                <w:rFonts w:ascii="Arial" w:hAnsi="Arial" w:cs="Arial"/>
                <w:b/>
                <w:bCs/>
                <w:color w:val="0F243E" w:themeColor="text2" w:themeShade="80"/>
                <w:sz w:val="20"/>
                <w:szCs w:val="20"/>
              </w:rPr>
              <w:t>29</w:t>
            </w:r>
            <w:r w:rsidRPr="00FB7EA4">
              <w:rPr>
                <w:rFonts w:ascii="Arial" w:hAnsi="Arial" w:cs="Arial"/>
                <w:b/>
                <w:bCs/>
                <w:color w:val="0F243E" w:themeColor="text2" w:themeShade="80"/>
                <w:sz w:val="20"/>
                <w:szCs w:val="20"/>
              </w:rPr>
              <w:t>)</w:t>
            </w:r>
          </w:p>
        </w:tc>
      </w:tr>
      <w:tr w:rsidR="007629FC" w:rsidRPr="00966705" w14:paraId="283C31F4" w14:textId="77777777" w:rsidTr="004351F3">
        <w:trPr>
          <w:cantSplit/>
          <w:jc w:val="center"/>
        </w:trPr>
        <w:tc>
          <w:tcPr>
            <w:tcW w:w="4268" w:type="dxa"/>
            <w:tcBorders>
              <w:top w:val="nil"/>
              <w:left w:val="nil"/>
              <w:bottom w:val="double" w:sz="6" w:space="0" w:color="4F81BD"/>
              <w:right w:val="nil"/>
            </w:tcBorders>
            <w:shd w:val="clear" w:color="auto" w:fill="auto"/>
            <w:vAlign w:val="center"/>
            <w:hideMark/>
          </w:tcPr>
          <w:p w14:paraId="1F6BFBBA" w14:textId="77777777" w:rsidR="007629FC" w:rsidRPr="00966705" w:rsidRDefault="007629FC" w:rsidP="00B84D25">
            <w:pPr>
              <w:spacing w:before="100" w:after="60"/>
              <w:jc w:val="center"/>
              <w:rPr>
                <w:rFonts w:ascii="Arial" w:hAnsi="Arial" w:cs="Arial"/>
                <w:b/>
                <w:bCs/>
                <w:color w:val="0F243E"/>
                <w:sz w:val="20"/>
                <w:szCs w:val="20"/>
              </w:rPr>
            </w:pPr>
            <w:r w:rsidRPr="00966705">
              <w:rPr>
                <w:rFonts w:ascii="Arial" w:hAnsi="Arial" w:cs="Arial"/>
                <w:b/>
                <w:bCs/>
                <w:color w:val="0F243E"/>
                <w:sz w:val="20"/>
                <w:szCs w:val="20"/>
              </w:rPr>
              <w:t>Variación Relativa %</w:t>
            </w:r>
          </w:p>
        </w:tc>
        <w:tc>
          <w:tcPr>
            <w:tcW w:w="0" w:type="auto"/>
            <w:gridSpan w:val="2"/>
            <w:tcBorders>
              <w:top w:val="nil"/>
              <w:left w:val="nil"/>
              <w:bottom w:val="double" w:sz="6" w:space="0" w:color="4F81BD"/>
              <w:right w:val="nil"/>
            </w:tcBorders>
            <w:shd w:val="clear" w:color="auto" w:fill="auto"/>
            <w:noWrap/>
            <w:vAlign w:val="center"/>
            <w:hideMark/>
          </w:tcPr>
          <w:p w14:paraId="0CA4C592" w14:textId="77777777" w:rsidR="007629FC" w:rsidRPr="00FB7EA4" w:rsidRDefault="007629FC" w:rsidP="00B84D25">
            <w:pPr>
              <w:spacing w:before="100" w:after="60"/>
              <w:jc w:val="center"/>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(32%)</w:t>
            </w:r>
          </w:p>
        </w:tc>
      </w:tr>
    </w:tbl>
    <w:p w14:paraId="69D8BFDE" w14:textId="77777777" w:rsidR="00D11E7A" w:rsidRPr="00D11E7A" w:rsidRDefault="00D11E7A" w:rsidP="00874E3F">
      <w:pPr>
        <w:jc w:val="both"/>
        <w:rPr>
          <w:rFonts w:ascii="Arial" w:hAnsi="Arial" w:cs="Arial"/>
          <w:sz w:val="22"/>
          <w:szCs w:val="22"/>
        </w:rPr>
      </w:pPr>
    </w:p>
    <w:p w14:paraId="41CBCBC7" w14:textId="77777777" w:rsidR="009646F9" w:rsidRDefault="007629FC" w:rsidP="00874E3F">
      <w:pPr>
        <w:jc w:val="both"/>
        <w:rPr>
          <w:rFonts w:ascii="Arial" w:hAnsi="Arial" w:cs="Arial"/>
          <w:sz w:val="22"/>
          <w:szCs w:val="22"/>
        </w:rPr>
      </w:pPr>
      <w:r>
        <w:rPr>
          <w:rFonts w:ascii="Arial" w:hAnsi="Arial" w:cs="Arial"/>
          <w:sz w:val="22"/>
          <w:szCs w:val="22"/>
        </w:rPr>
        <w:t xml:space="preserve">Es importante aclarar que, para el valor del gasto reportado para el tercer trimestre de 2019, se incluyó </w:t>
      </w:r>
      <w:r w:rsidR="00246C64">
        <w:rPr>
          <w:rFonts w:ascii="Arial" w:hAnsi="Arial" w:cs="Arial"/>
          <w:sz w:val="22"/>
          <w:szCs w:val="22"/>
        </w:rPr>
        <w:t xml:space="preserve">lo </w:t>
      </w:r>
      <w:r>
        <w:rPr>
          <w:rFonts w:ascii="Arial" w:hAnsi="Arial" w:cs="Arial"/>
          <w:sz w:val="22"/>
          <w:szCs w:val="22"/>
        </w:rPr>
        <w:t>correspondiente al periodo de julio y agosto de 2019, de acuerdo con las obligaciones registradas en el SIIF Naci</w:t>
      </w:r>
      <w:r w:rsidR="00246C64">
        <w:rPr>
          <w:rFonts w:ascii="Arial" w:hAnsi="Arial" w:cs="Arial"/>
          <w:sz w:val="22"/>
          <w:szCs w:val="22"/>
        </w:rPr>
        <w:t>ón al 19 de noviembre de 2019,</w:t>
      </w:r>
      <w:r w:rsidR="00B815C8">
        <w:rPr>
          <w:rFonts w:ascii="Arial" w:hAnsi="Arial" w:cs="Arial"/>
          <w:sz w:val="22"/>
          <w:szCs w:val="22"/>
        </w:rPr>
        <w:t xml:space="preserve"> es decir, quedando pendiente el valor del servicio de septiembre de 2019. </w:t>
      </w:r>
      <w:r w:rsidR="00B84D25">
        <w:rPr>
          <w:rFonts w:ascii="Arial" w:hAnsi="Arial" w:cs="Arial"/>
          <w:sz w:val="22"/>
          <w:szCs w:val="22"/>
        </w:rPr>
        <w:t xml:space="preserve">A su </w:t>
      </w:r>
      <w:r w:rsidR="00980313">
        <w:rPr>
          <w:rFonts w:ascii="Arial" w:hAnsi="Arial" w:cs="Arial"/>
          <w:sz w:val="22"/>
          <w:szCs w:val="22"/>
        </w:rPr>
        <w:t>vez, se</w:t>
      </w:r>
      <w:r>
        <w:rPr>
          <w:rFonts w:ascii="Arial" w:hAnsi="Arial" w:cs="Arial"/>
          <w:sz w:val="22"/>
          <w:szCs w:val="22"/>
        </w:rPr>
        <w:t xml:space="preserve"> observó que </w:t>
      </w:r>
      <w:r w:rsidR="00B815C8">
        <w:rPr>
          <w:rFonts w:ascii="Arial" w:hAnsi="Arial" w:cs="Arial"/>
          <w:sz w:val="22"/>
          <w:szCs w:val="22"/>
        </w:rPr>
        <w:t xml:space="preserve">las obligaciones de pago del servicio de esquema de seguridad para los meses </w:t>
      </w:r>
      <w:r w:rsidR="00980313">
        <w:rPr>
          <w:rFonts w:ascii="Arial" w:hAnsi="Arial" w:cs="Arial"/>
          <w:sz w:val="22"/>
          <w:szCs w:val="22"/>
        </w:rPr>
        <w:t xml:space="preserve">de </w:t>
      </w:r>
      <w:r w:rsidR="00B815C8">
        <w:rPr>
          <w:rFonts w:ascii="Arial" w:hAnsi="Arial" w:cs="Arial"/>
          <w:sz w:val="22"/>
          <w:szCs w:val="22"/>
        </w:rPr>
        <w:t xml:space="preserve">julio y agosto, </w:t>
      </w:r>
      <w:r>
        <w:rPr>
          <w:rFonts w:ascii="Arial" w:hAnsi="Arial" w:cs="Arial"/>
          <w:sz w:val="22"/>
          <w:szCs w:val="22"/>
        </w:rPr>
        <w:t>se registr</w:t>
      </w:r>
      <w:r w:rsidR="008A1814">
        <w:rPr>
          <w:rFonts w:ascii="Arial" w:hAnsi="Arial" w:cs="Arial"/>
          <w:sz w:val="22"/>
          <w:szCs w:val="22"/>
        </w:rPr>
        <w:t xml:space="preserve">aron </w:t>
      </w:r>
      <w:r>
        <w:rPr>
          <w:rFonts w:ascii="Arial" w:hAnsi="Arial" w:cs="Arial"/>
          <w:sz w:val="22"/>
          <w:szCs w:val="22"/>
        </w:rPr>
        <w:t>aproximadamente tres meses posteriores a la prestación del se</w:t>
      </w:r>
      <w:r w:rsidR="008A1814">
        <w:rPr>
          <w:rFonts w:ascii="Arial" w:hAnsi="Arial" w:cs="Arial"/>
          <w:sz w:val="22"/>
          <w:szCs w:val="22"/>
        </w:rPr>
        <w:t>rvicio</w:t>
      </w:r>
      <w:r w:rsidR="00980313">
        <w:rPr>
          <w:rFonts w:ascii="Arial" w:hAnsi="Arial" w:cs="Arial"/>
          <w:sz w:val="22"/>
          <w:szCs w:val="22"/>
        </w:rPr>
        <w:t xml:space="preserve">. </w:t>
      </w:r>
    </w:p>
    <w:p w14:paraId="620188C3" w14:textId="77777777" w:rsidR="009646F9" w:rsidRDefault="009646F9" w:rsidP="004351F3">
      <w:pPr>
        <w:spacing w:line="168" w:lineRule="auto"/>
        <w:jc w:val="both"/>
        <w:rPr>
          <w:rFonts w:ascii="Arial" w:hAnsi="Arial" w:cs="Arial"/>
          <w:sz w:val="22"/>
          <w:szCs w:val="22"/>
        </w:rPr>
      </w:pPr>
    </w:p>
    <w:p w14:paraId="427EB261" w14:textId="74F94C74" w:rsidR="00B26AAF" w:rsidRPr="009646F9" w:rsidRDefault="004478FC" w:rsidP="00874E3F">
      <w:pPr>
        <w:jc w:val="both"/>
        <w:rPr>
          <w:rFonts w:ascii="Arial" w:hAnsi="Arial" w:cs="Arial"/>
          <w:color w:val="000000" w:themeColor="text1"/>
          <w:sz w:val="22"/>
          <w:szCs w:val="22"/>
        </w:rPr>
      </w:pPr>
      <w:r w:rsidRPr="009646F9">
        <w:rPr>
          <w:rFonts w:ascii="Arial" w:hAnsi="Arial" w:cs="Arial"/>
          <w:color w:val="000000" w:themeColor="text1"/>
          <w:sz w:val="22"/>
          <w:szCs w:val="22"/>
        </w:rPr>
        <w:t>S</w:t>
      </w:r>
      <w:r w:rsidR="00B26AAF" w:rsidRPr="009646F9">
        <w:rPr>
          <w:rFonts w:ascii="Arial" w:hAnsi="Arial" w:cs="Arial"/>
          <w:color w:val="000000" w:themeColor="text1"/>
          <w:sz w:val="22"/>
          <w:szCs w:val="22"/>
        </w:rPr>
        <w:t xml:space="preserve">obre el particular, la Subdirección de Servicios informó que </w:t>
      </w:r>
      <w:r w:rsidR="009646F9" w:rsidRPr="009646F9">
        <w:rPr>
          <w:rFonts w:ascii="Arial" w:hAnsi="Arial" w:cs="Arial"/>
          <w:color w:val="000000" w:themeColor="text1"/>
          <w:sz w:val="22"/>
          <w:szCs w:val="22"/>
        </w:rPr>
        <w:t xml:space="preserve">se presentaron varias situaciones administrativas </w:t>
      </w:r>
      <w:r w:rsidR="009646F9">
        <w:rPr>
          <w:rFonts w:ascii="Arial" w:hAnsi="Arial" w:cs="Arial"/>
          <w:color w:val="000000" w:themeColor="text1"/>
          <w:sz w:val="22"/>
          <w:szCs w:val="22"/>
        </w:rPr>
        <w:t xml:space="preserve">por parte de la </w:t>
      </w:r>
      <w:r w:rsidR="009646F9" w:rsidRPr="009646F9">
        <w:rPr>
          <w:rFonts w:ascii="Arial" w:hAnsi="Arial" w:cs="Arial"/>
          <w:color w:val="000000" w:themeColor="text1"/>
          <w:sz w:val="22"/>
          <w:szCs w:val="22"/>
        </w:rPr>
        <w:t>Unidad Nacional de Protección que ocasionaron el retraso en el trámite de las facturas de dichos periodos, entre ellas</w:t>
      </w:r>
      <w:r w:rsidR="00AF50F8">
        <w:rPr>
          <w:rFonts w:ascii="Arial" w:hAnsi="Arial" w:cs="Arial"/>
          <w:color w:val="000000" w:themeColor="text1"/>
          <w:sz w:val="22"/>
          <w:szCs w:val="22"/>
        </w:rPr>
        <w:t>,</w:t>
      </w:r>
      <w:r w:rsidR="009646F9" w:rsidRPr="009646F9">
        <w:rPr>
          <w:rFonts w:ascii="Arial" w:hAnsi="Arial" w:cs="Arial"/>
          <w:color w:val="000000" w:themeColor="text1"/>
          <w:sz w:val="22"/>
          <w:szCs w:val="22"/>
        </w:rPr>
        <w:t xml:space="preserve"> el cambio de la calidad de contribuyente de la Unidad Nacional de Protección ante la Dirección de Impuestos y Aduanas Nacionales </w:t>
      </w:r>
      <w:r w:rsidR="00AF50F8">
        <w:rPr>
          <w:rFonts w:ascii="Arial" w:hAnsi="Arial" w:cs="Arial"/>
          <w:color w:val="000000" w:themeColor="text1"/>
          <w:sz w:val="22"/>
          <w:szCs w:val="22"/>
        </w:rPr>
        <w:t>(</w:t>
      </w:r>
      <w:r w:rsidR="009646F9" w:rsidRPr="009646F9">
        <w:rPr>
          <w:rFonts w:ascii="Arial" w:hAnsi="Arial" w:cs="Arial"/>
          <w:color w:val="000000" w:themeColor="text1"/>
          <w:sz w:val="22"/>
          <w:szCs w:val="22"/>
        </w:rPr>
        <w:t>DIAN</w:t>
      </w:r>
      <w:r w:rsidR="00AF50F8">
        <w:rPr>
          <w:rFonts w:ascii="Arial" w:hAnsi="Arial" w:cs="Arial"/>
          <w:color w:val="000000" w:themeColor="text1"/>
          <w:sz w:val="22"/>
          <w:szCs w:val="22"/>
        </w:rPr>
        <w:t>)</w:t>
      </w:r>
      <w:r w:rsidR="009646F9" w:rsidRPr="009646F9">
        <w:rPr>
          <w:rFonts w:ascii="Arial" w:hAnsi="Arial" w:cs="Arial"/>
          <w:color w:val="000000" w:themeColor="text1"/>
          <w:sz w:val="22"/>
          <w:szCs w:val="22"/>
        </w:rPr>
        <w:t>, por cuanto la UNP pasó a ser responsable del IVA, lo que generó la necesidad de suscribir un otrosí al contrato para modificar la forma de pago y el reproceso de la información desde el mes de mayo de 2019</w:t>
      </w:r>
      <w:r w:rsidR="009646F9">
        <w:rPr>
          <w:rFonts w:ascii="Arial" w:hAnsi="Arial" w:cs="Arial"/>
          <w:color w:val="000000" w:themeColor="text1"/>
          <w:sz w:val="22"/>
          <w:szCs w:val="22"/>
        </w:rPr>
        <w:t xml:space="preserve">. </w:t>
      </w:r>
    </w:p>
    <w:p w14:paraId="1245022E" w14:textId="38BD644E" w:rsidR="00B736DD" w:rsidRDefault="00B26AAF" w:rsidP="00874E3F">
      <w:pPr>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En lo que respecta </w:t>
      </w:r>
      <w:r w:rsidR="000525A1">
        <w:rPr>
          <w:rFonts w:ascii="Arial" w:hAnsi="Arial" w:cs="Arial"/>
          <w:color w:val="000000" w:themeColor="text1"/>
          <w:sz w:val="22"/>
          <w:szCs w:val="22"/>
        </w:rPr>
        <w:t xml:space="preserve">al convenio </w:t>
      </w:r>
      <w:r w:rsidR="00E3696B" w:rsidRPr="00275EF1">
        <w:rPr>
          <w:rFonts w:ascii="Arial" w:hAnsi="Arial" w:cs="Arial"/>
          <w:color w:val="000000" w:themeColor="text1"/>
          <w:sz w:val="22"/>
          <w:szCs w:val="22"/>
        </w:rPr>
        <w:t>7.001-2019</w:t>
      </w:r>
      <w:r w:rsidR="000525A1">
        <w:rPr>
          <w:rFonts w:ascii="Arial" w:hAnsi="Arial" w:cs="Arial"/>
          <w:color w:val="000000" w:themeColor="text1"/>
          <w:sz w:val="22"/>
          <w:szCs w:val="22"/>
        </w:rPr>
        <w:t xml:space="preserve"> </w:t>
      </w:r>
      <w:r w:rsidR="00941174" w:rsidRPr="00275EF1">
        <w:rPr>
          <w:rFonts w:ascii="Arial" w:hAnsi="Arial" w:cs="Arial"/>
          <w:color w:val="000000" w:themeColor="text1"/>
          <w:sz w:val="22"/>
          <w:szCs w:val="22"/>
        </w:rPr>
        <w:t xml:space="preserve">para la vigencia 2018 </w:t>
      </w:r>
      <w:r w:rsidR="00FE4259" w:rsidRPr="00275EF1">
        <w:rPr>
          <w:rFonts w:ascii="Arial" w:hAnsi="Arial" w:cs="Arial"/>
          <w:color w:val="000000" w:themeColor="text1"/>
          <w:sz w:val="22"/>
          <w:szCs w:val="22"/>
        </w:rPr>
        <w:t xml:space="preserve">este Ministerio no había suscrito </w:t>
      </w:r>
      <w:r w:rsidR="00941174" w:rsidRPr="00275EF1">
        <w:rPr>
          <w:rFonts w:ascii="Arial" w:hAnsi="Arial" w:cs="Arial"/>
          <w:color w:val="000000" w:themeColor="text1"/>
          <w:sz w:val="22"/>
          <w:szCs w:val="22"/>
        </w:rPr>
        <w:t xml:space="preserve">contrato </w:t>
      </w:r>
      <w:r w:rsidR="00FE4259" w:rsidRPr="00275EF1">
        <w:rPr>
          <w:rFonts w:ascii="Arial" w:hAnsi="Arial" w:cs="Arial"/>
          <w:color w:val="000000" w:themeColor="text1"/>
          <w:sz w:val="22"/>
          <w:szCs w:val="22"/>
        </w:rPr>
        <w:t>para el</w:t>
      </w:r>
      <w:r w:rsidR="000525A1">
        <w:rPr>
          <w:rFonts w:ascii="Arial" w:hAnsi="Arial" w:cs="Arial"/>
          <w:color w:val="000000" w:themeColor="text1"/>
          <w:sz w:val="22"/>
          <w:szCs w:val="22"/>
        </w:rPr>
        <w:t xml:space="preserve"> esquema de seguridad para </w:t>
      </w:r>
      <w:r w:rsidR="00941174" w:rsidRPr="00275EF1">
        <w:rPr>
          <w:rFonts w:ascii="Arial" w:hAnsi="Arial" w:cs="Arial"/>
          <w:color w:val="000000" w:themeColor="text1"/>
          <w:sz w:val="22"/>
          <w:szCs w:val="22"/>
        </w:rPr>
        <w:t>los viceministros</w:t>
      </w:r>
      <w:r w:rsidR="000525A1">
        <w:rPr>
          <w:rFonts w:ascii="Arial" w:hAnsi="Arial" w:cs="Arial"/>
          <w:color w:val="000000" w:themeColor="text1"/>
          <w:sz w:val="22"/>
          <w:szCs w:val="22"/>
        </w:rPr>
        <w:t xml:space="preserve">. </w:t>
      </w:r>
      <w:r w:rsidR="004526DD">
        <w:rPr>
          <w:rFonts w:ascii="Arial" w:hAnsi="Arial" w:cs="Arial"/>
          <w:color w:val="000000" w:themeColor="text1"/>
          <w:sz w:val="22"/>
          <w:szCs w:val="22"/>
        </w:rPr>
        <w:t xml:space="preserve">Por ello, </w:t>
      </w:r>
      <w:r w:rsidR="004526DD" w:rsidRPr="00275EF1">
        <w:rPr>
          <w:rFonts w:ascii="Arial" w:hAnsi="Arial" w:cs="Arial"/>
          <w:color w:val="000000" w:themeColor="text1"/>
          <w:sz w:val="22"/>
          <w:szCs w:val="22"/>
        </w:rPr>
        <w:t>no</w:t>
      </w:r>
      <w:r w:rsidR="00941174" w:rsidRPr="00275EF1">
        <w:rPr>
          <w:rFonts w:ascii="Arial" w:hAnsi="Arial" w:cs="Arial"/>
          <w:color w:val="000000" w:themeColor="text1"/>
          <w:sz w:val="22"/>
          <w:szCs w:val="22"/>
        </w:rPr>
        <w:t xml:space="preserve"> se cuenta con información de la vigencia anterior que permita hacer un análisis de variaciones. </w:t>
      </w:r>
    </w:p>
    <w:p w14:paraId="54BDDDCD" w14:textId="4E8E436E" w:rsidR="00AC5725" w:rsidRDefault="00AC5725" w:rsidP="00874E3F">
      <w:pPr>
        <w:jc w:val="both"/>
        <w:rPr>
          <w:rFonts w:ascii="Arial" w:hAnsi="Arial" w:cs="Arial"/>
          <w:color w:val="000000" w:themeColor="text1"/>
          <w:sz w:val="22"/>
          <w:szCs w:val="22"/>
        </w:rPr>
      </w:pPr>
    </w:p>
    <w:p w14:paraId="42BDC381" w14:textId="77777777" w:rsidR="00AC5725" w:rsidRPr="000525A1" w:rsidRDefault="00AC5725" w:rsidP="00874E3F">
      <w:pPr>
        <w:jc w:val="both"/>
        <w:rPr>
          <w:rFonts w:ascii="Arial" w:hAnsi="Arial" w:cs="Arial"/>
          <w:sz w:val="22"/>
          <w:szCs w:val="22"/>
        </w:rPr>
      </w:pPr>
    </w:p>
    <w:p w14:paraId="36C2822B" w14:textId="27CD2D2F" w:rsidR="00DE0205" w:rsidRPr="00F67C66" w:rsidRDefault="00EF01BC" w:rsidP="00A2202D">
      <w:pPr>
        <w:jc w:val="both"/>
        <w:rPr>
          <w:rFonts w:ascii="Arial" w:hAnsi="Arial" w:cs="Arial"/>
          <w:color w:val="000000"/>
          <w:sz w:val="20"/>
          <w:szCs w:val="20"/>
        </w:rPr>
      </w:pPr>
      <w:r w:rsidRPr="00F67C66">
        <w:rPr>
          <w:rFonts w:ascii="Arial" w:hAnsi="Arial" w:cs="Arial"/>
          <w:color w:val="000000"/>
          <w:sz w:val="22"/>
          <w:szCs w:val="22"/>
        </w:rPr>
        <w:t>Por otra parte, en el mismo numeral de la Directiva</w:t>
      </w:r>
      <w:r w:rsidR="00DE1655" w:rsidRPr="00F67C66">
        <w:rPr>
          <w:rFonts w:ascii="Arial" w:hAnsi="Arial" w:cs="Arial"/>
          <w:color w:val="000000"/>
          <w:sz w:val="22"/>
          <w:szCs w:val="22"/>
        </w:rPr>
        <w:t xml:space="preserve"> 09 de 2018</w:t>
      </w:r>
      <w:r w:rsidRPr="00F67C66">
        <w:rPr>
          <w:rFonts w:ascii="Arial" w:hAnsi="Arial" w:cs="Arial"/>
          <w:color w:val="000000"/>
          <w:sz w:val="22"/>
          <w:szCs w:val="22"/>
        </w:rPr>
        <w:t xml:space="preserve"> [Esquema de Seguridad y Vehículos Oficiales] se estableció lo siguiente</w:t>
      </w:r>
      <w:r w:rsidRPr="00F67C66">
        <w:rPr>
          <w:rFonts w:ascii="Arial" w:hAnsi="Arial" w:cs="Arial"/>
          <w:color w:val="000000"/>
          <w:sz w:val="20"/>
          <w:szCs w:val="20"/>
        </w:rPr>
        <w:t xml:space="preserve">: </w:t>
      </w:r>
      <w:r w:rsidR="00DE0205" w:rsidRPr="00F67C66">
        <w:rPr>
          <w:rFonts w:ascii="Arial" w:hAnsi="Arial" w:cs="Arial"/>
          <w:i/>
          <w:color w:val="000000"/>
          <w:sz w:val="20"/>
          <w:szCs w:val="20"/>
        </w:rPr>
        <w:t>Los funcionarios que tienen asignado el uso de vehículo</w:t>
      </w:r>
      <w:r w:rsidRPr="00F67C66">
        <w:rPr>
          <w:rFonts w:ascii="Arial" w:hAnsi="Arial" w:cs="Arial"/>
          <w:i/>
          <w:color w:val="000000"/>
          <w:sz w:val="20"/>
          <w:szCs w:val="20"/>
        </w:rPr>
        <w:t xml:space="preserve">s oficiales propenderán por que </w:t>
      </w:r>
      <w:r w:rsidR="00DE0205" w:rsidRPr="00F67C66">
        <w:rPr>
          <w:rFonts w:ascii="Arial" w:hAnsi="Arial" w:cs="Arial"/>
          <w:i/>
          <w:color w:val="000000"/>
          <w:sz w:val="20"/>
          <w:szCs w:val="20"/>
        </w:rPr>
        <w:t>los conductores respeten en todo momento las disposiciones de tránsito. Así mismo, los</w:t>
      </w:r>
      <w:r w:rsidR="00DE0205" w:rsidRPr="00F67C66">
        <w:rPr>
          <w:rFonts w:ascii="Arial" w:hAnsi="Arial" w:cs="Arial"/>
          <w:i/>
          <w:color w:val="000000"/>
          <w:sz w:val="20"/>
          <w:szCs w:val="20"/>
        </w:rPr>
        <w:br/>
        <w:t>vehículos oficiales asignados a los funcionarios no podrán estacionarse en sitios prohibidos</w:t>
      </w:r>
      <w:r w:rsidR="00DE0205" w:rsidRPr="00F67C66">
        <w:rPr>
          <w:rFonts w:ascii="Arial" w:hAnsi="Arial" w:cs="Arial"/>
          <w:i/>
          <w:color w:val="000000"/>
          <w:sz w:val="20"/>
          <w:szCs w:val="20"/>
        </w:rPr>
        <w:br/>
        <w:t>en la vía pública.</w:t>
      </w:r>
    </w:p>
    <w:p w14:paraId="5F086EE8" w14:textId="77777777" w:rsidR="00DE0205" w:rsidRPr="00A003B6" w:rsidRDefault="00DE0205" w:rsidP="00DE0205">
      <w:pPr>
        <w:rPr>
          <w:rFonts w:ascii="Arial" w:hAnsi="Arial" w:cs="Arial"/>
          <w:sz w:val="22"/>
          <w:szCs w:val="22"/>
          <w:highlight w:val="yellow"/>
        </w:rPr>
      </w:pPr>
    </w:p>
    <w:p w14:paraId="61939877" w14:textId="77777777" w:rsidR="00DE0205" w:rsidRPr="00E07B7D" w:rsidRDefault="00DE0205" w:rsidP="00E07B7D">
      <w:pPr>
        <w:spacing w:before="40" w:after="40"/>
        <w:jc w:val="both"/>
        <w:rPr>
          <w:rFonts w:ascii="Arial" w:hAnsi="Arial" w:cs="Arial"/>
          <w:b/>
          <w:color w:val="333333"/>
          <w:sz w:val="20"/>
          <w:szCs w:val="20"/>
        </w:rPr>
      </w:pPr>
      <w:r w:rsidRPr="00E07B7D">
        <w:rPr>
          <w:rFonts w:ascii="Arial" w:hAnsi="Arial" w:cs="Arial"/>
          <w:sz w:val="22"/>
          <w:szCs w:val="22"/>
        </w:rPr>
        <w:t xml:space="preserve">De acuerdo con lo anterior, se efectúo la consulta en el </w:t>
      </w:r>
      <w:r w:rsidRPr="00E07B7D">
        <w:rPr>
          <w:rFonts w:ascii="Arial" w:hAnsi="Arial" w:cs="Arial"/>
          <w:i/>
          <w:sz w:val="22"/>
          <w:szCs w:val="22"/>
        </w:rPr>
        <w:t>Sistema Integrado de Información sobre Multas y Sanciones por Infracciones de Tránsito</w:t>
      </w:r>
      <w:r w:rsidR="00AD1947" w:rsidRPr="00E07B7D">
        <w:rPr>
          <w:rFonts w:ascii="Arial" w:hAnsi="Arial" w:cs="Arial"/>
          <w:i/>
          <w:sz w:val="22"/>
          <w:szCs w:val="22"/>
        </w:rPr>
        <w:t xml:space="preserve"> -SIMIT</w:t>
      </w:r>
      <w:r w:rsidRPr="00E07B7D">
        <w:rPr>
          <w:rFonts w:ascii="Arial" w:hAnsi="Arial" w:cs="Arial"/>
          <w:i/>
          <w:sz w:val="22"/>
          <w:szCs w:val="22"/>
        </w:rPr>
        <w:t xml:space="preserve"> </w:t>
      </w:r>
      <w:r w:rsidRPr="00E07B7D">
        <w:rPr>
          <w:rFonts w:ascii="Arial" w:hAnsi="Arial" w:cs="Arial"/>
          <w:sz w:val="22"/>
          <w:szCs w:val="22"/>
        </w:rPr>
        <w:t>con el Nit 899999090 correspondiente al Ministerio de Hacienda y Crédito Público. Como result</w:t>
      </w:r>
      <w:r w:rsidR="00F07695" w:rsidRPr="00E07B7D">
        <w:rPr>
          <w:rFonts w:ascii="Arial" w:hAnsi="Arial" w:cs="Arial"/>
          <w:sz w:val="22"/>
          <w:szCs w:val="22"/>
        </w:rPr>
        <w:t>ado de la consulta [fecha:</w:t>
      </w:r>
      <w:r w:rsidR="00E07B7D">
        <w:rPr>
          <w:rFonts w:ascii="Arial" w:hAnsi="Arial" w:cs="Arial"/>
          <w:sz w:val="22"/>
          <w:szCs w:val="22"/>
        </w:rPr>
        <w:t xml:space="preserve"> 19</w:t>
      </w:r>
      <w:r w:rsidR="00F07695" w:rsidRPr="00E07B7D">
        <w:rPr>
          <w:rFonts w:ascii="Arial" w:hAnsi="Arial" w:cs="Arial"/>
          <w:sz w:val="22"/>
          <w:szCs w:val="22"/>
        </w:rPr>
        <w:t>/</w:t>
      </w:r>
      <w:r w:rsidR="00E07B7D">
        <w:rPr>
          <w:rFonts w:ascii="Arial" w:hAnsi="Arial" w:cs="Arial"/>
          <w:sz w:val="22"/>
          <w:szCs w:val="22"/>
        </w:rPr>
        <w:t>11</w:t>
      </w:r>
      <w:r w:rsidR="00F07695" w:rsidRPr="00E07B7D">
        <w:rPr>
          <w:rFonts w:ascii="Arial" w:hAnsi="Arial" w:cs="Arial"/>
          <w:sz w:val="22"/>
          <w:szCs w:val="22"/>
        </w:rPr>
        <w:t>/2019]</w:t>
      </w:r>
      <w:r w:rsidR="00E07B7D">
        <w:rPr>
          <w:rFonts w:ascii="Arial" w:hAnsi="Arial" w:cs="Arial"/>
          <w:sz w:val="22"/>
          <w:szCs w:val="22"/>
        </w:rPr>
        <w:t xml:space="preserve"> se evidenció que esta Entidad no posee registros en dicho Sistema por concepto de multas y sanciones por infracciones de tránsito. </w:t>
      </w:r>
    </w:p>
    <w:p w14:paraId="764CF36E" w14:textId="5BD78CB9" w:rsidR="00206CEE" w:rsidRDefault="00206CEE" w:rsidP="00206CEE">
      <w:pPr>
        <w:rPr>
          <w:rFonts w:ascii="Arial" w:hAnsi="Arial" w:cs="Arial"/>
          <w:sz w:val="22"/>
          <w:szCs w:val="22"/>
          <w:highlight w:val="yellow"/>
        </w:rPr>
      </w:pPr>
    </w:p>
    <w:p w14:paraId="0123B9E0" w14:textId="77777777" w:rsidR="00AD3215" w:rsidRPr="00A003B6" w:rsidRDefault="00AD3215" w:rsidP="00206CEE">
      <w:pPr>
        <w:rPr>
          <w:rFonts w:ascii="Arial" w:hAnsi="Arial" w:cs="Arial"/>
          <w:sz w:val="22"/>
          <w:szCs w:val="22"/>
          <w:highlight w:val="yellow"/>
        </w:rPr>
      </w:pPr>
    </w:p>
    <w:p w14:paraId="529E840A" w14:textId="77777777" w:rsidR="00D907D8" w:rsidRPr="00344495" w:rsidRDefault="00CA0518" w:rsidP="00206CEE">
      <w:pPr>
        <w:rPr>
          <w:rFonts w:ascii="Arial" w:hAnsi="Arial" w:cs="Arial"/>
          <w:b/>
          <w:sz w:val="22"/>
          <w:szCs w:val="22"/>
        </w:rPr>
      </w:pPr>
      <w:r w:rsidRPr="00344495">
        <w:rPr>
          <w:rFonts w:ascii="Arial" w:hAnsi="Arial" w:cs="Arial"/>
          <w:b/>
          <w:sz w:val="22"/>
          <w:szCs w:val="22"/>
        </w:rPr>
        <w:t xml:space="preserve">5.1 </w:t>
      </w:r>
      <w:r w:rsidR="00B95188" w:rsidRPr="00344495">
        <w:rPr>
          <w:rFonts w:ascii="Arial" w:hAnsi="Arial" w:cs="Arial"/>
          <w:b/>
          <w:sz w:val="22"/>
          <w:szCs w:val="22"/>
        </w:rPr>
        <w:t>MANTENIMIENTO PARQUE AUTOMOTOR</w:t>
      </w:r>
    </w:p>
    <w:p w14:paraId="263C6048" w14:textId="77777777" w:rsidR="00E85E89" w:rsidRPr="00344495" w:rsidRDefault="00E85E89" w:rsidP="00206CEE">
      <w:pPr>
        <w:rPr>
          <w:rFonts w:ascii="Arial" w:hAnsi="Arial" w:cs="Arial"/>
          <w:b/>
          <w:sz w:val="22"/>
          <w:szCs w:val="22"/>
        </w:rPr>
      </w:pPr>
    </w:p>
    <w:p w14:paraId="754677A1" w14:textId="77777777" w:rsidR="00C648A3" w:rsidRPr="00344495" w:rsidRDefault="00D907D8" w:rsidP="00C648A3">
      <w:pPr>
        <w:jc w:val="both"/>
        <w:rPr>
          <w:rFonts w:ascii="Arial" w:hAnsi="Arial" w:cs="Arial"/>
          <w:sz w:val="22"/>
          <w:szCs w:val="22"/>
        </w:rPr>
      </w:pPr>
      <w:r w:rsidRPr="00344495">
        <w:rPr>
          <w:rFonts w:ascii="Arial" w:hAnsi="Arial" w:cs="Arial"/>
          <w:sz w:val="22"/>
          <w:szCs w:val="22"/>
        </w:rPr>
        <w:t>El Ministerio de Hacienda y Crédito Público a 3</w:t>
      </w:r>
      <w:r w:rsidR="00AD3215" w:rsidRPr="00344495">
        <w:rPr>
          <w:rFonts w:ascii="Arial" w:hAnsi="Arial" w:cs="Arial"/>
          <w:sz w:val="22"/>
          <w:szCs w:val="22"/>
        </w:rPr>
        <w:t>0</w:t>
      </w:r>
      <w:r w:rsidRPr="00344495">
        <w:rPr>
          <w:rFonts w:ascii="Arial" w:hAnsi="Arial" w:cs="Arial"/>
          <w:sz w:val="22"/>
          <w:szCs w:val="22"/>
        </w:rPr>
        <w:t xml:space="preserve"> de </w:t>
      </w:r>
      <w:r w:rsidR="00E86A59">
        <w:rPr>
          <w:rFonts w:ascii="Arial" w:hAnsi="Arial" w:cs="Arial"/>
          <w:sz w:val="22"/>
          <w:szCs w:val="22"/>
        </w:rPr>
        <w:t xml:space="preserve">septiembre </w:t>
      </w:r>
      <w:r w:rsidRPr="00344495">
        <w:rPr>
          <w:rFonts w:ascii="Arial" w:hAnsi="Arial" w:cs="Arial"/>
          <w:sz w:val="22"/>
          <w:szCs w:val="22"/>
        </w:rPr>
        <w:t>de 201</w:t>
      </w:r>
      <w:r w:rsidR="00B44404" w:rsidRPr="00344495">
        <w:rPr>
          <w:rFonts w:ascii="Arial" w:hAnsi="Arial" w:cs="Arial"/>
          <w:sz w:val="22"/>
          <w:szCs w:val="22"/>
        </w:rPr>
        <w:t>9</w:t>
      </w:r>
      <w:r w:rsidRPr="00344495">
        <w:rPr>
          <w:rFonts w:ascii="Arial" w:hAnsi="Arial" w:cs="Arial"/>
          <w:sz w:val="22"/>
          <w:szCs w:val="22"/>
        </w:rPr>
        <w:t xml:space="preserve">, </w:t>
      </w:r>
      <w:r w:rsidR="00C648A3" w:rsidRPr="00344495">
        <w:rPr>
          <w:rFonts w:ascii="Arial" w:hAnsi="Arial" w:cs="Arial"/>
          <w:sz w:val="22"/>
          <w:szCs w:val="22"/>
        </w:rPr>
        <w:t xml:space="preserve">contaba con </w:t>
      </w:r>
      <w:r w:rsidR="00AA08FD">
        <w:rPr>
          <w:rFonts w:ascii="Arial" w:hAnsi="Arial" w:cs="Arial"/>
          <w:sz w:val="22"/>
          <w:szCs w:val="22"/>
        </w:rPr>
        <w:t xml:space="preserve">24 vehículos para cumplir con las funciones de traslado de funcionarios directivos, designados para operativos y esquema de seguridad. Es de precisar, de los 24 vehículos, 4 de ellos, pertenecen a la Unidad Nacional de Protección, los cuales son utilizados para el esquema de seguridad del señor Ministro y Viceministro General. </w:t>
      </w:r>
      <w:r w:rsidR="00B94346">
        <w:rPr>
          <w:rFonts w:ascii="Arial" w:hAnsi="Arial" w:cs="Arial"/>
          <w:sz w:val="22"/>
          <w:szCs w:val="22"/>
        </w:rPr>
        <w:t xml:space="preserve"> </w:t>
      </w:r>
    </w:p>
    <w:p w14:paraId="2B6854A6" w14:textId="77777777" w:rsidR="00D907D8" w:rsidRPr="00E50A9D" w:rsidRDefault="00D907D8" w:rsidP="00C648A3">
      <w:pPr>
        <w:jc w:val="both"/>
        <w:rPr>
          <w:rFonts w:ascii="Arial" w:hAnsi="Arial" w:cs="Arial"/>
          <w:sz w:val="22"/>
          <w:szCs w:val="22"/>
        </w:rPr>
      </w:pPr>
      <w:r w:rsidRPr="00E50A9D">
        <w:rPr>
          <w:noProof/>
        </w:rPr>
        <w:t xml:space="preserve"> </w:t>
      </w:r>
      <w:r w:rsidR="00B44404" w:rsidRPr="00E50A9D">
        <w:rPr>
          <w:noProof/>
        </w:rPr>
        <w:drawing>
          <wp:inline distT="0" distB="0" distL="0" distR="0" wp14:anchorId="0B6F675C" wp14:editId="4BDCF216">
            <wp:extent cx="5838825" cy="3686175"/>
            <wp:effectExtent l="0" t="57150" r="0" b="85725"/>
            <wp:docPr id="85" name="Diagrama 8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9FAD0C8-C23C-48F3-AC19-6575CD3A18C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C843334" w14:textId="77777777" w:rsidR="00C648A3" w:rsidRPr="00E50A9D" w:rsidRDefault="00C648A3" w:rsidP="00C648A3">
      <w:pPr>
        <w:jc w:val="both"/>
        <w:rPr>
          <w:rFonts w:ascii="Arial" w:hAnsi="Arial" w:cs="Arial"/>
          <w:sz w:val="22"/>
          <w:szCs w:val="22"/>
        </w:rPr>
      </w:pPr>
    </w:p>
    <w:p w14:paraId="56AD35FE" w14:textId="77777777" w:rsidR="00D907D8" w:rsidRPr="00D13186" w:rsidRDefault="00D907D8" w:rsidP="00C648A3">
      <w:pPr>
        <w:jc w:val="both"/>
        <w:rPr>
          <w:rFonts w:ascii="Arial" w:hAnsi="Arial" w:cs="Arial"/>
          <w:sz w:val="22"/>
          <w:szCs w:val="22"/>
        </w:rPr>
      </w:pPr>
      <w:r w:rsidRPr="00D13186">
        <w:rPr>
          <w:rFonts w:ascii="Arial" w:hAnsi="Arial" w:cs="Arial"/>
          <w:sz w:val="22"/>
          <w:szCs w:val="22"/>
        </w:rPr>
        <w:t>Para el mantenimiento del parque automotor antes indicado</w:t>
      </w:r>
      <w:r w:rsidR="00DC59F9" w:rsidRPr="00D13186">
        <w:rPr>
          <w:rFonts w:ascii="Arial" w:hAnsi="Arial" w:cs="Arial"/>
          <w:sz w:val="22"/>
          <w:szCs w:val="22"/>
        </w:rPr>
        <w:t>,</w:t>
      </w:r>
      <w:r w:rsidRPr="00D13186">
        <w:rPr>
          <w:rFonts w:ascii="Arial" w:hAnsi="Arial" w:cs="Arial"/>
          <w:sz w:val="22"/>
          <w:szCs w:val="22"/>
        </w:rPr>
        <w:t xml:space="preserve"> </w:t>
      </w:r>
      <w:r w:rsidR="00C648A3" w:rsidRPr="00D13186">
        <w:rPr>
          <w:rFonts w:ascii="Arial" w:hAnsi="Arial" w:cs="Arial"/>
          <w:sz w:val="22"/>
          <w:szCs w:val="22"/>
        </w:rPr>
        <w:t xml:space="preserve">el Ministerio de Hacienda y Crédito público </w:t>
      </w:r>
      <w:r w:rsidRPr="00D13186">
        <w:rPr>
          <w:rFonts w:ascii="Arial" w:hAnsi="Arial" w:cs="Arial"/>
          <w:sz w:val="22"/>
          <w:szCs w:val="22"/>
        </w:rPr>
        <w:t>tienen suscritos</w:t>
      </w:r>
      <w:r w:rsidR="00DC59F9" w:rsidRPr="00D13186">
        <w:rPr>
          <w:rFonts w:ascii="Arial" w:hAnsi="Arial" w:cs="Arial"/>
          <w:sz w:val="22"/>
          <w:szCs w:val="22"/>
        </w:rPr>
        <w:t xml:space="preserve"> los siguientes contratos:</w:t>
      </w:r>
    </w:p>
    <w:p w14:paraId="4DFD44E3" w14:textId="77777777" w:rsidR="00232170" w:rsidRPr="00D13186" w:rsidRDefault="00232170" w:rsidP="00C648A3">
      <w:pPr>
        <w:jc w:val="both"/>
        <w:rPr>
          <w:rFonts w:ascii="Arial" w:hAnsi="Arial" w:cs="Arial"/>
          <w:sz w:val="22"/>
          <w:szCs w:val="22"/>
        </w:rPr>
      </w:pPr>
    </w:p>
    <w:p w14:paraId="08489CB9" w14:textId="77777777" w:rsidR="00F327AE" w:rsidRPr="00D13186" w:rsidRDefault="00F327AE" w:rsidP="0045629B">
      <w:pPr>
        <w:pStyle w:val="Prrafodelista"/>
        <w:numPr>
          <w:ilvl w:val="0"/>
          <w:numId w:val="10"/>
        </w:numPr>
        <w:spacing w:after="120"/>
        <w:ind w:left="357" w:hanging="357"/>
        <w:contextualSpacing w:val="0"/>
        <w:rPr>
          <w:rFonts w:ascii="Arial" w:hAnsi="Arial" w:cs="Arial"/>
          <w:sz w:val="22"/>
          <w:szCs w:val="22"/>
        </w:rPr>
      </w:pPr>
      <w:r w:rsidRPr="00D13186">
        <w:rPr>
          <w:rFonts w:ascii="Arial" w:hAnsi="Arial" w:cs="Arial"/>
          <w:sz w:val="22"/>
          <w:szCs w:val="22"/>
        </w:rPr>
        <w:lastRenderedPageBreak/>
        <w:t>Contrato No. 3.343 – 2018 Macro Inversiones JD: Mantenimiento Preventivo y Correctivo para las Motocicletas de propiedad del Ministerio de Hacienda y Crédito Público</w:t>
      </w:r>
      <w:r w:rsidR="00DC59F9" w:rsidRPr="00D13186">
        <w:rPr>
          <w:rFonts w:ascii="Arial" w:hAnsi="Arial" w:cs="Arial"/>
          <w:sz w:val="22"/>
          <w:szCs w:val="22"/>
        </w:rPr>
        <w:t>.</w:t>
      </w:r>
    </w:p>
    <w:p w14:paraId="64B11A08" w14:textId="77777777" w:rsidR="00F327AE" w:rsidRPr="00D13186" w:rsidRDefault="00F327AE" w:rsidP="0045629B">
      <w:pPr>
        <w:pStyle w:val="Prrafodelista"/>
        <w:numPr>
          <w:ilvl w:val="0"/>
          <w:numId w:val="10"/>
        </w:numPr>
        <w:spacing w:after="120"/>
        <w:ind w:left="357" w:hanging="357"/>
        <w:contextualSpacing w:val="0"/>
        <w:rPr>
          <w:rFonts w:ascii="Arial" w:hAnsi="Arial" w:cs="Arial"/>
          <w:sz w:val="22"/>
          <w:szCs w:val="22"/>
        </w:rPr>
      </w:pPr>
      <w:r w:rsidRPr="00D13186">
        <w:rPr>
          <w:rFonts w:ascii="Arial" w:hAnsi="Arial" w:cs="Arial"/>
          <w:sz w:val="22"/>
          <w:szCs w:val="22"/>
        </w:rPr>
        <w:t>Contrato No. 3.187 – 2019 Casa Toro Automotriz S.A:  Mantenimiento preventivo y correctivo a los vehículos de propiedad del Ministerio de Hacienda y Crédito Público</w:t>
      </w:r>
      <w:r w:rsidR="00EC3BCE" w:rsidRPr="00D13186">
        <w:rPr>
          <w:rFonts w:ascii="Arial" w:hAnsi="Arial" w:cs="Arial"/>
          <w:sz w:val="22"/>
          <w:szCs w:val="22"/>
        </w:rPr>
        <w:t>.</w:t>
      </w:r>
    </w:p>
    <w:p w14:paraId="794080EA" w14:textId="25AEC476" w:rsidR="00F327AE" w:rsidRDefault="00F327AE" w:rsidP="0045629B">
      <w:pPr>
        <w:pStyle w:val="Prrafodelista"/>
        <w:numPr>
          <w:ilvl w:val="0"/>
          <w:numId w:val="10"/>
        </w:numPr>
        <w:spacing w:after="120"/>
        <w:ind w:left="357" w:hanging="357"/>
        <w:contextualSpacing w:val="0"/>
        <w:rPr>
          <w:rFonts w:ascii="Arial" w:hAnsi="Arial" w:cs="Arial"/>
          <w:sz w:val="22"/>
          <w:szCs w:val="22"/>
        </w:rPr>
      </w:pPr>
      <w:r w:rsidRPr="00D13186">
        <w:rPr>
          <w:rFonts w:ascii="Arial" w:hAnsi="Arial" w:cs="Arial"/>
          <w:sz w:val="22"/>
          <w:szCs w:val="22"/>
        </w:rPr>
        <w:t>Contrato No. 2.008 – 2016 Servicentro ESSO Av</w:t>
      </w:r>
      <w:r w:rsidR="00DC59F9" w:rsidRPr="00D13186">
        <w:rPr>
          <w:rFonts w:ascii="Arial" w:hAnsi="Arial" w:cs="Arial"/>
          <w:sz w:val="22"/>
          <w:szCs w:val="22"/>
        </w:rPr>
        <w:t>. Tercera: Mantenimiento básico.</w:t>
      </w:r>
    </w:p>
    <w:p w14:paraId="693B8500" w14:textId="4401B63F" w:rsidR="001339D2" w:rsidRPr="00523AC7" w:rsidRDefault="001339D2" w:rsidP="001339D2">
      <w:pPr>
        <w:pStyle w:val="Prrafodelista"/>
        <w:numPr>
          <w:ilvl w:val="0"/>
          <w:numId w:val="10"/>
        </w:numPr>
        <w:rPr>
          <w:rFonts w:ascii="Arial" w:hAnsi="Arial" w:cs="Arial"/>
          <w:sz w:val="22"/>
          <w:szCs w:val="22"/>
        </w:rPr>
      </w:pPr>
      <w:r w:rsidRPr="00523AC7">
        <w:rPr>
          <w:rFonts w:ascii="Arial" w:hAnsi="Arial" w:cs="Arial"/>
          <w:sz w:val="22"/>
          <w:szCs w:val="22"/>
        </w:rPr>
        <w:t>Contrato No. 3.284 – 2019 Centro CAR 19 Limitada: Prestar los servicios de mantenimiento básico al parque automotor del Ministerio de hacienda y Crédito Público que corresponde entre otros, a los lavados de motor, exterior y general con chorro de agua a presión, polichados, limpieza de tapicería y cojinería, grafitados y servicio de montallantas.</w:t>
      </w:r>
    </w:p>
    <w:p w14:paraId="10B970D2" w14:textId="77777777" w:rsidR="001339D2" w:rsidRPr="001339D2" w:rsidRDefault="001339D2" w:rsidP="001339D2">
      <w:pPr>
        <w:pStyle w:val="Prrafodelista"/>
        <w:ind w:left="360"/>
        <w:rPr>
          <w:rFonts w:ascii="Arial" w:hAnsi="Arial" w:cs="Arial"/>
          <w:sz w:val="22"/>
          <w:szCs w:val="22"/>
        </w:rPr>
      </w:pPr>
    </w:p>
    <w:p w14:paraId="3A9E934F" w14:textId="77777777" w:rsidR="00F327AE" w:rsidRPr="00D13186" w:rsidRDefault="00F327AE" w:rsidP="0045629B">
      <w:pPr>
        <w:pStyle w:val="Prrafodelista"/>
        <w:numPr>
          <w:ilvl w:val="0"/>
          <w:numId w:val="10"/>
        </w:numPr>
        <w:contextualSpacing w:val="0"/>
        <w:rPr>
          <w:rFonts w:ascii="Arial" w:hAnsi="Arial" w:cs="Arial"/>
          <w:sz w:val="22"/>
          <w:szCs w:val="22"/>
        </w:rPr>
      </w:pPr>
      <w:r w:rsidRPr="00D13186">
        <w:rPr>
          <w:rFonts w:ascii="Arial" w:hAnsi="Arial" w:cs="Arial"/>
          <w:sz w:val="22"/>
          <w:szCs w:val="22"/>
        </w:rPr>
        <w:t>Contrato No. 11.008 – 2018 Organización Terpel S.A: Suministro de Biocombustible a los vehículos del Ministerio de Hacienda y Crédito Público</w:t>
      </w:r>
      <w:r w:rsidR="00DC59F9" w:rsidRPr="00D13186">
        <w:rPr>
          <w:rFonts w:ascii="Arial" w:hAnsi="Arial" w:cs="Arial"/>
          <w:sz w:val="22"/>
          <w:szCs w:val="22"/>
        </w:rPr>
        <w:t>.</w:t>
      </w:r>
    </w:p>
    <w:p w14:paraId="708612BD" w14:textId="77777777" w:rsidR="00232170" w:rsidRPr="00A003B6" w:rsidRDefault="00232170" w:rsidP="00C648A3">
      <w:pPr>
        <w:jc w:val="both"/>
        <w:rPr>
          <w:rFonts w:ascii="Arial" w:hAnsi="Arial" w:cs="Arial"/>
          <w:sz w:val="22"/>
          <w:szCs w:val="22"/>
          <w:highlight w:val="yellow"/>
        </w:rPr>
      </w:pPr>
    </w:p>
    <w:p w14:paraId="6289E314" w14:textId="7DB423C0" w:rsidR="00232170" w:rsidRPr="005A091D" w:rsidRDefault="00D907D8" w:rsidP="00C648A3">
      <w:pPr>
        <w:jc w:val="both"/>
        <w:rPr>
          <w:rFonts w:ascii="Arial" w:hAnsi="Arial" w:cs="Arial"/>
          <w:sz w:val="22"/>
          <w:szCs w:val="22"/>
        </w:rPr>
      </w:pPr>
      <w:r w:rsidRPr="005A091D">
        <w:rPr>
          <w:rFonts w:ascii="Arial" w:hAnsi="Arial" w:cs="Arial"/>
          <w:sz w:val="22"/>
          <w:szCs w:val="22"/>
        </w:rPr>
        <w:t>Tomando como referencia la información suministrada po</w:t>
      </w:r>
      <w:r w:rsidR="007804A9" w:rsidRPr="005A091D">
        <w:rPr>
          <w:rFonts w:ascii="Arial" w:hAnsi="Arial" w:cs="Arial"/>
          <w:sz w:val="22"/>
          <w:szCs w:val="22"/>
        </w:rPr>
        <w:t xml:space="preserve">r la Subdirección de Servicios, </w:t>
      </w:r>
      <w:r w:rsidRPr="005A091D">
        <w:rPr>
          <w:rFonts w:ascii="Arial" w:hAnsi="Arial" w:cs="Arial"/>
          <w:sz w:val="22"/>
          <w:szCs w:val="22"/>
        </w:rPr>
        <w:t xml:space="preserve">a continuación, se </w:t>
      </w:r>
      <w:r w:rsidR="00DC59F9" w:rsidRPr="005A091D">
        <w:rPr>
          <w:rFonts w:ascii="Arial" w:hAnsi="Arial" w:cs="Arial"/>
          <w:sz w:val="22"/>
          <w:szCs w:val="22"/>
        </w:rPr>
        <w:t xml:space="preserve">presenta el </w:t>
      </w:r>
      <w:r w:rsidRPr="005A091D">
        <w:rPr>
          <w:rFonts w:ascii="Arial" w:hAnsi="Arial" w:cs="Arial"/>
          <w:sz w:val="22"/>
          <w:szCs w:val="22"/>
        </w:rPr>
        <w:t xml:space="preserve">comparativo </w:t>
      </w:r>
      <w:r w:rsidR="008B6C6D" w:rsidRPr="005A091D">
        <w:rPr>
          <w:rFonts w:ascii="Arial" w:hAnsi="Arial" w:cs="Arial"/>
          <w:sz w:val="22"/>
          <w:szCs w:val="22"/>
        </w:rPr>
        <w:t xml:space="preserve">correspondiente al </w:t>
      </w:r>
      <w:r w:rsidR="005A091D" w:rsidRPr="005A091D">
        <w:rPr>
          <w:rFonts w:ascii="Arial" w:hAnsi="Arial" w:cs="Arial"/>
          <w:sz w:val="22"/>
          <w:szCs w:val="22"/>
        </w:rPr>
        <w:t xml:space="preserve">tercer </w:t>
      </w:r>
      <w:r w:rsidR="008B6C6D" w:rsidRPr="005A091D">
        <w:rPr>
          <w:rFonts w:ascii="Arial" w:hAnsi="Arial" w:cs="Arial"/>
          <w:sz w:val="22"/>
          <w:szCs w:val="22"/>
        </w:rPr>
        <w:t xml:space="preserve">trimestre de 2019 – 2018 </w:t>
      </w:r>
      <w:r w:rsidR="00891FC0">
        <w:rPr>
          <w:rFonts w:ascii="Arial" w:hAnsi="Arial" w:cs="Arial"/>
          <w:sz w:val="22"/>
          <w:szCs w:val="22"/>
        </w:rPr>
        <w:t xml:space="preserve">concerniente al </w:t>
      </w:r>
      <w:r w:rsidRPr="005A091D">
        <w:rPr>
          <w:rFonts w:ascii="Arial" w:hAnsi="Arial" w:cs="Arial"/>
          <w:sz w:val="22"/>
          <w:szCs w:val="22"/>
        </w:rPr>
        <w:t>valor facturado</w:t>
      </w:r>
      <w:r w:rsidR="008B6C6D" w:rsidRPr="005A091D">
        <w:rPr>
          <w:rFonts w:ascii="Arial" w:hAnsi="Arial" w:cs="Arial"/>
          <w:sz w:val="22"/>
          <w:szCs w:val="22"/>
        </w:rPr>
        <w:t xml:space="preserve"> para los servicios de mantenimiento de vehículos de este Ministerio: </w:t>
      </w:r>
    </w:p>
    <w:p w14:paraId="5ED9715F" w14:textId="77777777" w:rsidR="00D907D8" w:rsidRPr="00A47F6A" w:rsidRDefault="00D907D8" w:rsidP="00FB4B9D">
      <w:pPr>
        <w:spacing w:before="100" w:beforeAutospacing="1" w:after="100" w:afterAutospacing="1"/>
        <w:rPr>
          <w:rFonts w:ascii="Arial" w:hAnsi="Arial" w:cs="Arial"/>
          <w:b/>
          <w:sz w:val="22"/>
          <w:szCs w:val="22"/>
        </w:rPr>
      </w:pPr>
      <w:r w:rsidRPr="00A47F6A">
        <w:rPr>
          <w:rFonts w:ascii="Arial" w:hAnsi="Arial" w:cs="Arial"/>
          <w:b/>
          <w:sz w:val="22"/>
          <w:szCs w:val="22"/>
        </w:rPr>
        <w:t xml:space="preserve">Mantenimiento Básico </w:t>
      </w:r>
    </w:p>
    <w:p w14:paraId="56DF340F" w14:textId="77777777" w:rsidR="00D907D8" w:rsidRDefault="00A91436" w:rsidP="008978C9">
      <w:pPr>
        <w:spacing w:before="100" w:beforeAutospacing="1" w:after="100" w:afterAutospacing="1"/>
        <w:jc w:val="both"/>
        <w:rPr>
          <w:rFonts w:ascii="Arial" w:hAnsi="Arial" w:cs="Arial"/>
          <w:sz w:val="22"/>
          <w:szCs w:val="22"/>
        </w:rPr>
      </w:pPr>
      <w:r w:rsidRPr="00A47F6A">
        <w:rPr>
          <w:rFonts w:ascii="Arial" w:hAnsi="Arial" w:cs="Arial"/>
          <w:sz w:val="22"/>
          <w:szCs w:val="22"/>
        </w:rPr>
        <w:t>S</w:t>
      </w:r>
      <w:r w:rsidR="00D907D8" w:rsidRPr="00A47F6A">
        <w:rPr>
          <w:rFonts w:ascii="Arial" w:hAnsi="Arial" w:cs="Arial"/>
          <w:sz w:val="22"/>
          <w:szCs w:val="22"/>
        </w:rPr>
        <w:t>obre este punto, cabe mencionar que el mantenimiento básico consiste entre otros en el lavado de motor, exterior y general con chorro de agua a presión, polichados, limpieza de tapicería y cojinería, grafitados y servicio de montallantas. Por tanto, dicho mantenimiento se realiza de acuerdo a las necesidades del servicio.</w:t>
      </w:r>
    </w:p>
    <w:tbl>
      <w:tblPr>
        <w:tblStyle w:val="Tabladecuadrcula1clara-nfasis1"/>
        <w:tblW w:w="0" w:type="auto"/>
        <w:tblLook w:val="04A0" w:firstRow="1" w:lastRow="0" w:firstColumn="1" w:lastColumn="0" w:noHBand="0" w:noVBand="1"/>
      </w:tblPr>
      <w:tblGrid>
        <w:gridCol w:w="2339"/>
        <w:gridCol w:w="2195"/>
        <w:gridCol w:w="2195"/>
        <w:gridCol w:w="1628"/>
        <w:gridCol w:w="861"/>
      </w:tblGrid>
      <w:tr w:rsidR="00FE1A98" w:rsidRPr="00A003B6" w14:paraId="1A28EF56" w14:textId="77777777" w:rsidTr="0045415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4BDD0887" w14:textId="77777777" w:rsidR="00FE1A98" w:rsidRPr="00A47F6A" w:rsidRDefault="00FE1A98" w:rsidP="00454154">
            <w:pPr>
              <w:spacing w:before="60" w:after="60"/>
              <w:jc w:val="center"/>
              <w:rPr>
                <w:rFonts w:ascii="Arial" w:hAnsi="Arial" w:cs="Arial"/>
                <w:color w:val="FFFFFF" w:themeColor="background1"/>
                <w:sz w:val="20"/>
                <w:szCs w:val="20"/>
              </w:rPr>
            </w:pPr>
            <w:r w:rsidRPr="00A47F6A">
              <w:rPr>
                <w:rFonts w:ascii="Arial" w:hAnsi="Arial" w:cs="Arial"/>
                <w:color w:val="FFFFFF" w:themeColor="background1"/>
                <w:sz w:val="20"/>
                <w:szCs w:val="20"/>
              </w:rPr>
              <w:t>Mantenimiento Básico</w:t>
            </w:r>
          </w:p>
        </w:tc>
        <w:tc>
          <w:tcPr>
            <w:tcW w:w="0" w:type="auto"/>
            <w:vMerge w:val="restart"/>
            <w:shd w:val="clear" w:color="auto" w:fill="4F81BD" w:themeFill="accent1"/>
            <w:vAlign w:val="center"/>
            <w:hideMark/>
          </w:tcPr>
          <w:p w14:paraId="799CFE27" w14:textId="77777777" w:rsidR="00FE1A98" w:rsidRPr="00A47F6A" w:rsidRDefault="00FE1A98" w:rsidP="0045415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47F6A">
              <w:rPr>
                <w:rFonts w:ascii="Arial" w:hAnsi="Arial" w:cs="Arial"/>
                <w:color w:val="FFFFFF" w:themeColor="background1"/>
                <w:sz w:val="20"/>
                <w:szCs w:val="20"/>
              </w:rPr>
              <w:t xml:space="preserve"> </w:t>
            </w:r>
            <w:r w:rsidR="00454154">
              <w:rPr>
                <w:rFonts w:ascii="Arial" w:hAnsi="Arial" w:cs="Arial"/>
                <w:color w:val="FFFFFF" w:themeColor="background1"/>
                <w:sz w:val="20"/>
                <w:szCs w:val="20"/>
              </w:rPr>
              <w:t>I</w:t>
            </w:r>
            <w:r w:rsidRPr="00A47F6A">
              <w:rPr>
                <w:rFonts w:ascii="Arial" w:hAnsi="Arial" w:cs="Arial"/>
                <w:color w:val="FFFFFF" w:themeColor="background1"/>
                <w:sz w:val="20"/>
                <w:szCs w:val="20"/>
              </w:rPr>
              <w:t xml:space="preserve">II Trimestre de 2019 </w:t>
            </w:r>
          </w:p>
        </w:tc>
        <w:tc>
          <w:tcPr>
            <w:tcW w:w="0" w:type="auto"/>
            <w:vMerge w:val="restart"/>
            <w:shd w:val="clear" w:color="auto" w:fill="4F81BD" w:themeFill="accent1"/>
            <w:vAlign w:val="center"/>
            <w:hideMark/>
          </w:tcPr>
          <w:p w14:paraId="16CF1994" w14:textId="77777777" w:rsidR="00FE1A98" w:rsidRPr="00A47F6A" w:rsidRDefault="00FE1A98" w:rsidP="0045415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47F6A">
              <w:rPr>
                <w:rFonts w:ascii="Arial" w:hAnsi="Arial" w:cs="Arial"/>
                <w:color w:val="FFFFFF" w:themeColor="background1"/>
                <w:sz w:val="20"/>
                <w:szCs w:val="20"/>
              </w:rPr>
              <w:t xml:space="preserve"> </w:t>
            </w:r>
            <w:r w:rsidR="00454154">
              <w:rPr>
                <w:rFonts w:ascii="Arial" w:hAnsi="Arial" w:cs="Arial"/>
                <w:color w:val="FFFFFF" w:themeColor="background1"/>
                <w:sz w:val="20"/>
                <w:szCs w:val="20"/>
              </w:rPr>
              <w:t>I</w:t>
            </w:r>
            <w:r w:rsidRPr="00A47F6A">
              <w:rPr>
                <w:rFonts w:ascii="Arial" w:hAnsi="Arial" w:cs="Arial"/>
                <w:color w:val="FFFFFF" w:themeColor="background1"/>
                <w:sz w:val="20"/>
                <w:szCs w:val="20"/>
              </w:rPr>
              <w:t xml:space="preserve">II Trimestre de 2018 </w:t>
            </w:r>
          </w:p>
        </w:tc>
        <w:tc>
          <w:tcPr>
            <w:tcW w:w="0" w:type="auto"/>
            <w:gridSpan w:val="2"/>
            <w:shd w:val="clear" w:color="auto" w:fill="4F81BD" w:themeFill="accent1"/>
            <w:noWrap/>
            <w:vAlign w:val="center"/>
            <w:hideMark/>
          </w:tcPr>
          <w:p w14:paraId="2214FC8A" w14:textId="77777777" w:rsidR="00FE1A98" w:rsidRPr="00A47F6A" w:rsidRDefault="00FE1A98" w:rsidP="0045415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47F6A">
              <w:rPr>
                <w:rFonts w:ascii="Arial" w:hAnsi="Arial" w:cs="Arial"/>
                <w:color w:val="FFFFFF" w:themeColor="background1"/>
                <w:sz w:val="20"/>
                <w:szCs w:val="20"/>
              </w:rPr>
              <w:t>Variaciones</w:t>
            </w:r>
          </w:p>
        </w:tc>
      </w:tr>
      <w:tr w:rsidR="000B312C" w:rsidRPr="00A003B6" w14:paraId="4BCA4008" w14:textId="77777777" w:rsidTr="00454154">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noWrap/>
            <w:vAlign w:val="center"/>
            <w:hideMark/>
          </w:tcPr>
          <w:p w14:paraId="2F72685F" w14:textId="77777777" w:rsidR="00FE1A98" w:rsidRPr="00A47F6A" w:rsidRDefault="000B312C" w:rsidP="00454154">
            <w:pPr>
              <w:spacing w:before="60" w:after="60"/>
              <w:rPr>
                <w:rFonts w:ascii="Arial" w:hAnsi="Arial" w:cs="Arial"/>
                <w:color w:val="FFFFFF" w:themeColor="background1"/>
                <w:sz w:val="20"/>
                <w:szCs w:val="20"/>
              </w:rPr>
            </w:pPr>
            <w:r w:rsidRPr="00A47F6A">
              <w:rPr>
                <w:rFonts w:ascii="Arial" w:hAnsi="Arial" w:cs="Arial"/>
                <w:color w:val="FFFFFF" w:themeColor="background1"/>
                <w:sz w:val="20"/>
                <w:szCs w:val="20"/>
              </w:rPr>
              <w:t>V</w:t>
            </w:r>
            <w:r w:rsidR="00FE1A98" w:rsidRPr="00A47F6A">
              <w:rPr>
                <w:rFonts w:ascii="Arial" w:hAnsi="Arial" w:cs="Arial"/>
                <w:color w:val="FFFFFF" w:themeColor="background1"/>
                <w:sz w:val="20"/>
                <w:szCs w:val="20"/>
              </w:rPr>
              <w:t>alor del consumo</w:t>
            </w:r>
          </w:p>
        </w:tc>
        <w:tc>
          <w:tcPr>
            <w:tcW w:w="0" w:type="auto"/>
            <w:vMerge/>
            <w:tcBorders>
              <w:bottom w:val="nil"/>
            </w:tcBorders>
            <w:shd w:val="clear" w:color="auto" w:fill="4F81BD" w:themeFill="accent1"/>
            <w:vAlign w:val="center"/>
            <w:hideMark/>
          </w:tcPr>
          <w:p w14:paraId="531ACBD8" w14:textId="77777777" w:rsidR="00FE1A98" w:rsidRPr="00A47F6A" w:rsidRDefault="00FE1A98" w:rsidP="0045415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vMerge/>
            <w:tcBorders>
              <w:bottom w:val="nil"/>
            </w:tcBorders>
            <w:shd w:val="clear" w:color="auto" w:fill="4F81BD" w:themeFill="accent1"/>
            <w:vAlign w:val="center"/>
            <w:hideMark/>
          </w:tcPr>
          <w:p w14:paraId="460AF450" w14:textId="77777777" w:rsidR="00FE1A98" w:rsidRPr="00A47F6A" w:rsidRDefault="00FE1A98" w:rsidP="0045415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tcBorders>
              <w:bottom w:val="nil"/>
            </w:tcBorders>
            <w:shd w:val="clear" w:color="auto" w:fill="4F81BD" w:themeFill="accent1"/>
            <w:noWrap/>
            <w:vAlign w:val="center"/>
            <w:hideMark/>
          </w:tcPr>
          <w:p w14:paraId="2D4B688C" w14:textId="77777777" w:rsidR="00FE1A98" w:rsidRPr="00A47F6A" w:rsidRDefault="00FE1A98" w:rsidP="0045415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47F6A">
              <w:rPr>
                <w:rFonts w:ascii="Arial" w:hAnsi="Arial" w:cs="Arial"/>
                <w:b/>
                <w:bCs/>
                <w:color w:val="FFFFFF" w:themeColor="background1"/>
                <w:sz w:val="20"/>
                <w:szCs w:val="20"/>
              </w:rPr>
              <w:t>($)</w:t>
            </w:r>
          </w:p>
        </w:tc>
        <w:tc>
          <w:tcPr>
            <w:tcW w:w="0" w:type="auto"/>
            <w:tcBorders>
              <w:bottom w:val="nil"/>
            </w:tcBorders>
            <w:shd w:val="clear" w:color="auto" w:fill="4F81BD" w:themeFill="accent1"/>
            <w:noWrap/>
            <w:vAlign w:val="center"/>
            <w:hideMark/>
          </w:tcPr>
          <w:p w14:paraId="40F68146" w14:textId="77777777" w:rsidR="00FE1A98" w:rsidRPr="00A47F6A" w:rsidRDefault="00FE1A98" w:rsidP="0045415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47F6A">
              <w:rPr>
                <w:rFonts w:ascii="Arial" w:hAnsi="Arial" w:cs="Arial"/>
                <w:b/>
                <w:bCs/>
                <w:color w:val="FFFFFF" w:themeColor="background1"/>
                <w:sz w:val="20"/>
                <w:szCs w:val="20"/>
              </w:rPr>
              <w:t>%</w:t>
            </w:r>
          </w:p>
        </w:tc>
      </w:tr>
      <w:tr w:rsidR="00454154" w:rsidRPr="00A003B6" w14:paraId="7C9D0B3B" w14:textId="77777777" w:rsidTr="00454154">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29075870" w14:textId="77777777" w:rsidR="00454154" w:rsidRPr="00DB1268" w:rsidRDefault="00454154" w:rsidP="00DB1268">
            <w:pPr>
              <w:spacing w:before="120" w:after="120"/>
              <w:jc w:val="center"/>
              <w:rPr>
                <w:rFonts w:ascii="Arial" w:hAnsi="Arial" w:cs="Arial"/>
                <w:color w:val="0F243E" w:themeColor="text2" w:themeShade="80"/>
                <w:sz w:val="20"/>
                <w:szCs w:val="20"/>
              </w:rPr>
            </w:pPr>
            <w:r w:rsidRPr="00DB1268">
              <w:rPr>
                <w:rFonts w:ascii="Arial" w:hAnsi="Arial" w:cs="Arial"/>
                <w:color w:val="0F243E" w:themeColor="text2" w:themeShade="80"/>
                <w:sz w:val="20"/>
                <w:szCs w:val="20"/>
              </w:rPr>
              <w:t xml:space="preserve">Julio </w:t>
            </w:r>
          </w:p>
        </w:tc>
        <w:tc>
          <w:tcPr>
            <w:tcW w:w="0" w:type="auto"/>
            <w:tcBorders>
              <w:top w:val="nil"/>
              <w:left w:val="nil"/>
              <w:bottom w:val="nil"/>
              <w:right w:val="nil"/>
            </w:tcBorders>
            <w:noWrap/>
            <w:vAlign w:val="center"/>
            <w:hideMark/>
          </w:tcPr>
          <w:p w14:paraId="19D878E3"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1.483.184</w:t>
            </w:r>
          </w:p>
        </w:tc>
        <w:tc>
          <w:tcPr>
            <w:tcW w:w="0" w:type="auto"/>
            <w:tcBorders>
              <w:top w:val="nil"/>
              <w:left w:val="nil"/>
              <w:bottom w:val="nil"/>
              <w:right w:val="nil"/>
            </w:tcBorders>
            <w:noWrap/>
            <w:vAlign w:val="center"/>
            <w:hideMark/>
          </w:tcPr>
          <w:p w14:paraId="20A258C9" w14:textId="77777777" w:rsidR="00454154" w:rsidRPr="00FB7EA4" w:rsidRDefault="00454154" w:rsidP="00454154">
            <w:pPr>
              <w:spacing w:before="60" w:after="60"/>
              <w:ind w:firstLineChars="100" w:firstLine="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520.048</w:t>
            </w:r>
          </w:p>
        </w:tc>
        <w:tc>
          <w:tcPr>
            <w:tcW w:w="0" w:type="auto"/>
            <w:tcBorders>
              <w:top w:val="nil"/>
              <w:left w:val="nil"/>
              <w:bottom w:val="nil"/>
              <w:right w:val="nil"/>
            </w:tcBorders>
            <w:noWrap/>
            <w:vAlign w:val="center"/>
            <w:hideMark/>
          </w:tcPr>
          <w:p w14:paraId="0F34D2F7"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963.136</w:t>
            </w:r>
          </w:p>
        </w:tc>
        <w:tc>
          <w:tcPr>
            <w:tcW w:w="0" w:type="auto"/>
            <w:tcBorders>
              <w:top w:val="nil"/>
              <w:left w:val="nil"/>
              <w:bottom w:val="nil"/>
              <w:right w:val="nil"/>
            </w:tcBorders>
            <w:noWrap/>
            <w:vAlign w:val="center"/>
            <w:hideMark/>
          </w:tcPr>
          <w:p w14:paraId="788E0D31"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185%</w:t>
            </w:r>
          </w:p>
        </w:tc>
      </w:tr>
      <w:tr w:rsidR="00454154" w:rsidRPr="002F4EC4" w14:paraId="28AF12A2" w14:textId="77777777" w:rsidTr="00454154">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2FC4CF25" w14:textId="77777777" w:rsidR="00454154" w:rsidRPr="00DB1268" w:rsidRDefault="00454154" w:rsidP="00DB1268">
            <w:pPr>
              <w:spacing w:before="120" w:after="120"/>
              <w:jc w:val="center"/>
              <w:rPr>
                <w:rFonts w:ascii="Arial" w:hAnsi="Arial" w:cs="Arial"/>
                <w:color w:val="0F243E" w:themeColor="text2" w:themeShade="80"/>
                <w:sz w:val="20"/>
                <w:szCs w:val="20"/>
              </w:rPr>
            </w:pPr>
            <w:r w:rsidRPr="00DB1268">
              <w:rPr>
                <w:rFonts w:ascii="Arial" w:hAnsi="Arial" w:cs="Arial"/>
                <w:color w:val="0F243E" w:themeColor="text2" w:themeShade="80"/>
                <w:sz w:val="20"/>
                <w:szCs w:val="20"/>
              </w:rPr>
              <w:t>Agosto</w:t>
            </w:r>
          </w:p>
        </w:tc>
        <w:tc>
          <w:tcPr>
            <w:tcW w:w="0" w:type="auto"/>
            <w:tcBorders>
              <w:top w:val="nil"/>
              <w:left w:val="nil"/>
              <w:bottom w:val="nil"/>
              <w:right w:val="nil"/>
            </w:tcBorders>
            <w:noWrap/>
            <w:vAlign w:val="center"/>
            <w:hideMark/>
          </w:tcPr>
          <w:p w14:paraId="2C4B89E5"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639.499</w:t>
            </w:r>
          </w:p>
        </w:tc>
        <w:tc>
          <w:tcPr>
            <w:tcW w:w="0" w:type="auto"/>
            <w:tcBorders>
              <w:top w:val="nil"/>
              <w:left w:val="nil"/>
              <w:bottom w:val="nil"/>
              <w:right w:val="nil"/>
            </w:tcBorders>
            <w:noWrap/>
            <w:vAlign w:val="center"/>
            <w:hideMark/>
          </w:tcPr>
          <w:p w14:paraId="68F5ECA8"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1.343.200</w:t>
            </w:r>
          </w:p>
        </w:tc>
        <w:tc>
          <w:tcPr>
            <w:tcW w:w="0" w:type="auto"/>
            <w:tcBorders>
              <w:top w:val="nil"/>
              <w:left w:val="nil"/>
              <w:bottom w:val="nil"/>
              <w:right w:val="nil"/>
            </w:tcBorders>
            <w:noWrap/>
            <w:vAlign w:val="center"/>
            <w:hideMark/>
          </w:tcPr>
          <w:p w14:paraId="3D84DA66"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(703.701)</w:t>
            </w:r>
          </w:p>
        </w:tc>
        <w:tc>
          <w:tcPr>
            <w:tcW w:w="0" w:type="auto"/>
            <w:tcBorders>
              <w:top w:val="nil"/>
              <w:left w:val="nil"/>
              <w:bottom w:val="nil"/>
              <w:right w:val="nil"/>
            </w:tcBorders>
            <w:noWrap/>
            <w:vAlign w:val="center"/>
            <w:hideMark/>
          </w:tcPr>
          <w:p w14:paraId="2CBB4E14"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FB7EA4">
              <w:rPr>
                <w:rFonts w:ascii="Arial" w:hAnsi="Arial" w:cs="Arial"/>
                <w:color w:val="0F243E" w:themeColor="text2" w:themeShade="80"/>
                <w:sz w:val="20"/>
                <w:szCs w:val="20"/>
              </w:rPr>
              <w:t>(52%)</w:t>
            </w:r>
          </w:p>
        </w:tc>
      </w:tr>
      <w:tr w:rsidR="00454154" w:rsidRPr="00A003B6" w14:paraId="456E5757" w14:textId="77777777" w:rsidTr="00454154">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5F6AA19F" w14:textId="77777777" w:rsidR="00454154" w:rsidRPr="00DB1268" w:rsidRDefault="00454154" w:rsidP="00DB1268">
            <w:pPr>
              <w:spacing w:before="120" w:after="120"/>
              <w:jc w:val="center"/>
              <w:rPr>
                <w:rFonts w:ascii="Arial" w:hAnsi="Arial" w:cs="Arial"/>
                <w:color w:val="0F243E" w:themeColor="text2" w:themeShade="80"/>
                <w:sz w:val="20"/>
                <w:szCs w:val="20"/>
              </w:rPr>
            </w:pPr>
            <w:r w:rsidRPr="00DB1268">
              <w:rPr>
                <w:rFonts w:ascii="Arial" w:hAnsi="Arial" w:cs="Arial"/>
                <w:color w:val="0F243E" w:themeColor="text2" w:themeShade="80"/>
                <w:sz w:val="20"/>
                <w:szCs w:val="20"/>
              </w:rPr>
              <w:t xml:space="preserve">Septiembre </w:t>
            </w:r>
          </w:p>
        </w:tc>
        <w:tc>
          <w:tcPr>
            <w:tcW w:w="0" w:type="auto"/>
            <w:tcBorders>
              <w:top w:val="nil"/>
              <w:left w:val="nil"/>
              <w:bottom w:val="double" w:sz="4" w:space="0" w:color="4F81BD" w:themeColor="accent1"/>
              <w:right w:val="nil"/>
            </w:tcBorders>
            <w:noWrap/>
            <w:vAlign w:val="center"/>
            <w:hideMark/>
          </w:tcPr>
          <w:p w14:paraId="18C749A0"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0</w:t>
            </w:r>
          </w:p>
        </w:tc>
        <w:tc>
          <w:tcPr>
            <w:tcW w:w="0" w:type="auto"/>
            <w:tcBorders>
              <w:top w:val="nil"/>
              <w:left w:val="nil"/>
              <w:bottom w:val="double" w:sz="4" w:space="0" w:color="4F81BD" w:themeColor="accent1"/>
              <w:right w:val="nil"/>
            </w:tcBorders>
            <w:noWrap/>
            <w:vAlign w:val="center"/>
            <w:hideMark/>
          </w:tcPr>
          <w:p w14:paraId="30603214"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781.788</w:t>
            </w:r>
          </w:p>
        </w:tc>
        <w:tc>
          <w:tcPr>
            <w:tcW w:w="0" w:type="auto"/>
            <w:tcBorders>
              <w:top w:val="nil"/>
              <w:left w:val="nil"/>
              <w:bottom w:val="double" w:sz="4" w:space="0" w:color="4F81BD" w:themeColor="accent1"/>
              <w:right w:val="nil"/>
            </w:tcBorders>
            <w:noWrap/>
            <w:vAlign w:val="center"/>
            <w:hideMark/>
          </w:tcPr>
          <w:p w14:paraId="756DF085"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( 781.788)</w:t>
            </w:r>
          </w:p>
        </w:tc>
        <w:tc>
          <w:tcPr>
            <w:tcW w:w="0" w:type="auto"/>
            <w:tcBorders>
              <w:top w:val="nil"/>
              <w:left w:val="nil"/>
              <w:bottom w:val="double" w:sz="4" w:space="0" w:color="4F81BD" w:themeColor="accent1"/>
              <w:right w:val="nil"/>
            </w:tcBorders>
            <w:noWrap/>
            <w:vAlign w:val="center"/>
            <w:hideMark/>
          </w:tcPr>
          <w:p w14:paraId="15B1148E"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(100%)</w:t>
            </w:r>
          </w:p>
        </w:tc>
      </w:tr>
      <w:tr w:rsidR="00454154" w:rsidRPr="00A003B6" w14:paraId="50676300" w14:textId="77777777" w:rsidTr="00454154">
        <w:trPr>
          <w:cantSplit/>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double" w:sz="4" w:space="0" w:color="4F81BD" w:themeColor="accent1"/>
              <w:right w:val="nil"/>
            </w:tcBorders>
            <w:noWrap/>
            <w:vAlign w:val="center"/>
            <w:hideMark/>
          </w:tcPr>
          <w:p w14:paraId="35197095" w14:textId="77777777" w:rsidR="00454154" w:rsidRPr="00454154" w:rsidRDefault="00454154" w:rsidP="00454154">
            <w:pPr>
              <w:spacing w:before="60" w:after="60"/>
              <w:jc w:val="center"/>
              <w:rPr>
                <w:rFonts w:ascii="Arial" w:hAnsi="Arial" w:cs="Arial"/>
                <w:color w:val="0F243E" w:themeColor="text2" w:themeShade="80"/>
                <w:sz w:val="20"/>
                <w:szCs w:val="20"/>
              </w:rPr>
            </w:pPr>
            <w:r w:rsidRPr="00454154">
              <w:rPr>
                <w:rFonts w:ascii="Arial" w:hAnsi="Arial" w:cs="Arial"/>
                <w:color w:val="0F243E" w:themeColor="text2" w:themeShade="80"/>
                <w:sz w:val="20"/>
                <w:szCs w:val="20"/>
              </w:rPr>
              <w:t>Total</w:t>
            </w:r>
          </w:p>
        </w:tc>
        <w:tc>
          <w:tcPr>
            <w:tcW w:w="0" w:type="auto"/>
            <w:tcBorders>
              <w:top w:val="double" w:sz="4" w:space="0" w:color="4F81BD" w:themeColor="accent1"/>
              <w:left w:val="nil"/>
              <w:bottom w:val="double" w:sz="4" w:space="0" w:color="4F81BD" w:themeColor="accent1"/>
              <w:right w:val="nil"/>
            </w:tcBorders>
            <w:noWrap/>
            <w:vAlign w:val="center"/>
            <w:hideMark/>
          </w:tcPr>
          <w:p w14:paraId="2C00E503"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2.122.683</w:t>
            </w:r>
          </w:p>
        </w:tc>
        <w:tc>
          <w:tcPr>
            <w:tcW w:w="0" w:type="auto"/>
            <w:tcBorders>
              <w:top w:val="double" w:sz="4" w:space="0" w:color="4F81BD" w:themeColor="accent1"/>
              <w:left w:val="nil"/>
              <w:bottom w:val="double" w:sz="4" w:space="0" w:color="4F81BD" w:themeColor="accent1"/>
              <w:right w:val="nil"/>
            </w:tcBorders>
            <w:noWrap/>
            <w:vAlign w:val="center"/>
            <w:hideMark/>
          </w:tcPr>
          <w:p w14:paraId="395E789C"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2.645.036</w:t>
            </w:r>
          </w:p>
        </w:tc>
        <w:tc>
          <w:tcPr>
            <w:tcW w:w="0" w:type="auto"/>
            <w:tcBorders>
              <w:top w:val="double" w:sz="4" w:space="0" w:color="4F81BD" w:themeColor="accent1"/>
              <w:left w:val="nil"/>
              <w:bottom w:val="double" w:sz="4" w:space="0" w:color="4F81BD" w:themeColor="accent1"/>
              <w:right w:val="nil"/>
            </w:tcBorders>
            <w:noWrap/>
            <w:vAlign w:val="center"/>
            <w:hideMark/>
          </w:tcPr>
          <w:p w14:paraId="7845CE50"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(522.353)</w:t>
            </w:r>
          </w:p>
        </w:tc>
        <w:tc>
          <w:tcPr>
            <w:tcW w:w="0" w:type="auto"/>
            <w:tcBorders>
              <w:top w:val="double" w:sz="4" w:space="0" w:color="4F81BD" w:themeColor="accent1"/>
              <w:left w:val="nil"/>
              <w:bottom w:val="double" w:sz="4" w:space="0" w:color="4F81BD" w:themeColor="accent1"/>
              <w:right w:val="nil"/>
            </w:tcBorders>
            <w:noWrap/>
            <w:vAlign w:val="center"/>
            <w:hideMark/>
          </w:tcPr>
          <w:p w14:paraId="2908C481" w14:textId="77777777" w:rsidR="00454154" w:rsidRPr="00FB7EA4" w:rsidRDefault="00454154" w:rsidP="00454154">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(20%)</w:t>
            </w:r>
          </w:p>
        </w:tc>
      </w:tr>
    </w:tbl>
    <w:p w14:paraId="294DE48C" w14:textId="77777777" w:rsidR="00454154" w:rsidRDefault="00454154" w:rsidP="00D63504">
      <w:pPr>
        <w:rPr>
          <w:rFonts w:ascii="Arial" w:hAnsi="Arial" w:cs="Arial"/>
          <w:sz w:val="22"/>
          <w:szCs w:val="22"/>
          <w:highlight w:val="yellow"/>
        </w:rPr>
      </w:pPr>
    </w:p>
    <w:p w14:paraId="2C4597C4" w14:textId="5302B52A" w:rsidR="0026757D" w:rsidRDefault="007804A9" w:rsidP="004D3B79">
      <w:pPr>
        <w:jc w:val="both"/>
        <w:rPr>
          <w:rFonts w:ascii="Arial" w:hAnsi="Arial" w:cs="Arial"/>
          <w:sz w:val="22"/>
          <w:szCs w:val="22"/>
        </w:rPr>
      </w:pPr>
      <w:r w:rsidRPr="00D16854">
        <w:rPr>
          <w:rFonts w:ascii="Arial" w:hAnsi="Arial" w:cs="Arial"/>
          <w:sz w:val="22"/>
          <w:szCs w:val="22"/>
        </w:rPr>
        <w:t xml:space="preserve">Como resultado de la comparación </w:t>
      </w:r>
      <w:r w:rsidR="00891FC0">
        <w:rPr>
          <w:rFonts w:ascii="Arial" w:hAnsi="Arial" w:cs="Arial"/>
          <w:sz w:val="22"/>
          <w:szCs w:val="22"/>
        </w:rPr>
        <w:t xml:space="preserve">para el </w:t>
      </w:r>
      <w:r w:rsidR="00D16854">
        <w:rPr>
          <w:rFonts w:ascii="Arial" w:hAnsi="Arial" w:cs="Arial"/>
          <w:sz w:val="22"/>
          <w:szCs w:val="22"/>
        </w:rPr>
        <w:t xml:space="preserve">tercer </w:t>
      </w:r>
      <w:r w:rsidRPr="00D16854">
        <w:rPr>
          <w:rFonts w:ascii="Arial" w:hAnsi="Arial" w:cs="Arial"/>
          <w:sz w:val="22"/>
          <w:szCs w:val="22"/>
        </w:rPr>
        <w:t xml:space="preserve">trimestre de 2019 -2018, </w:t>
      </w:r>
      <w:r w:rsidR="0056162A" w:rsidRPr="00D16854">
        <w:rPr>
          <w:rFonts w:ascii="Arial" w:hAnsi="Arial" w:cs="Arial"/>
          <w:sz w:val="22"/>
          <w:szCs w:val="22"/>
        </w:rPr>
        <w:t>se</w:t>
      </w:r>
      <w:r w:rsidR="00D907D8" w:rsidRPr="00D16854">
        <w:rPr>
          <w:rFonts w:ascii="Arial" w:hAnsi="Arial" w:cs="Arial"/>
          <w:sz w:val="22"/>
          <w:szCs w:val="22"/>
        </w:rPr>
        <w:t xml:space="preserve"> registró un</w:t>
      </w:r>
      <w:r w:rsidR="00D16854">
        <w:rPr>
          <w:rFonts w:ascii="Arial" w:hAnsi="Arial" w:cs="Arial"/>
          <w:sz w:val="22"/>
          <w:szCs w:val="22"/>
        </w:rPr>
        <w:t xml:space="preserve">a </w:t>
      </w:r>
      <w:r w:rsidR="00D16854" w:rsidRPr="00D16854">
        <w:rPr>
          <w:rFonts w:ascii="Arial" w:hAnsi="Arial" w:cs="Arial"/>
          <w:b/>
          <w:sz w:val="22"/>
          <w:szCs w:val="22"/>
        </w:rPr>
        <w:t>disminución</w:t>
      </w:r>
      <w:r w:rsidR="00D16854">
        <w:rPr>
          <w:rFonts w:ascii="Arial" w:hAnsi="Arial" w:cs="Arial"/>
          <w:sz w:val="22"/>
          <w:szCs w:val="22"/>
        </w:rPr>
        <w:t xml:space="preserve"> correspondiente al </w:t>
      </w:r>
      <w:r w:rsidR="00D907D8" w:rsidRPr="00D16854">
        <w:rPr>
          <w:rFonts w:ascii="Arial" w:hAnsi="Arial" w:cs="Arial"/>
          <w:sz w:val="22"/>
          <w:szCs w:val="22"/>
        </w:rPr>
        <w:t xml:space="preserve">de </w:t>
      </w:r>
      <w:r w:rsidR="00D16854">
        <w:rPr>
          <w:rFonts w:ascii="Arial" w:hAnsi="Arial" w:cs="Arial"/>
          <w:sz w:val="22"/>
          <w:szCs w:val="22"/>
        </w:rPr>
        <w:t>20%. Frente a las variaciones por cada periodo, se observó que en julio se presentó un increment</w:t>
      </w:r>
      <w:r w:rsidR="004D3B79">
        <w:rPr>
          <w:rFonts w:ascii="Arial" w:hAnsi="Arial" w:cs="Arial"/>
          <w:sz w:val="22"/>
          <w:szCs w:val="22"/>
        </w:rPr>
        <w:t xml:space="preserve">ó de 185%. </w:t>
      </w:r>
      <w:r w:rsidR="004C764D">
        <w:rPr>
          <w:rFonts w:ascii="Arial" w:hAnsi="Arial" w:cs="Arial"/>
          <w:sz w:val="22"/>
          <w:szCs w:val="22"/>
        </w:rPr>
        <w:t>En relación al mes de septiembre, el Grupo de Logística y Suministros informó que la facturación del servicio de mantenimiento se encuentra en revisión por parte de dicha área</w:t>
      </w:r>
      <w:r w:rsidR="006254DC">
        <w:rPr>
          <w:rFonts w:ascii="Arial" w:hAnsi="Arial" w:cs="Arial"/>
          <w:sz w:val="22"/>
          <w:szCs w:val="22"/>
        </w:rPr>
        <w:t>, por tal motivo, la variación para este periodo analizado es negativa (</w:t>
      </w:r>
      <w:r w:rsidR="00891FC0">
        <w:rPr>
          <w:rFonts w:ascii="Arial" w:hAnsi="Arial" w:cs="Arial"/>
          <w:sz w:val="22"/>
          <w:szCs w:val="22"/>
        </w:rPr>
        <w:t>-</w:t>
      </w:r>
      <w:r w:rsidR="006254DC">
        <w:rPr>
          <w:rFonts w:ascii="Arial" w:hAnsi="Arial" w:cs="Arial"/>
          <w:sz w:val="22"/>
          <w:szCs w:val="22"/>
        </w:rPr>
        <w:t xml:space="preserve">100%). </w:t>
      </w:r>
    </w:p>
    <w:p w14:paraId="6E56A0DD" w14:textId="1E106A46" w:rsidR="00FF33AA" w:rsidRDefault="00FF33AA" w:rsidP="00D63504">
      <w:pPr>
        <w:rPr>
          <w:rFonts w:ascii="Arial" w:hAnsi="Arial" w:cs="Arial"/>
          <w:sz w:val="22"/>
          <w:szCs w:val="22"/>
        </w:rPr>
      </w:pPr>
    </w:p>
    <w:p w14:paraId="76C9CD80" w14:textId="77777777" w:rsidR="00502E81" w:rsidRDefault="00502E81" w:rsidP="00D63504">
      <w:pPr>
        <w:rPr>
          <w:rFonts w:ascii="Arial" w:hAnsi="Arial" w:cs="Arial"/>
          <w:sz w:val="22"/>
          <w:szCs w:val="22"/>
        </w:rPr>
      </w:pPr>
    </w:p>
    <w:p w14:paraId="0875AD21" w14:textId="77777777" w:rsidR="00D668E0" w:rsidRPr="00DB1268" w:rsidRDefault="00D668E0" w:rsidP="00901EBF">
      <w:pPr>
        <w:rPr>
          <w:rFonts w:ascii="Arial" w:hAnsi="Arial" w:cs="Arial"/>
          <w:b/>
          <w:sz w:val="22"/>
          <w:szCs w:val="22"/>
        </w:rPr>
      </w:pPr>
      <w:r w:rsidRPr="00DB1268">
        <w:rPr>
          <w:rFonts w:ascii="Arial" w:hAnsi="Arial" w:cs="Arial"/>
          <w:b/>
          <w:sz w:val="22"/>
          <w:szCs w:val="22"/>
        </w:rPr>
        <w:t>Mantenimiento Preventivo y Correctivo</w:t>
      </w:r>
    </w:p>
    <w:p w14:paraId="257F9146" w14:textId="77777777" w:rsidR="009F0695" w:rsidRPr="00DB1268" w:rsidRDefault="009F0695" w:rsidP="00901EBF">
      <w:pPr>
        <w:rPr>
          <w:rFonts w:ascii="Arial" w:hAnsi="Arial" w:cs="Arial"/>
          <w:b/>
          <w:sz w:val="22"/>
          <w:szCs w:val="22"/>
        </w:rPr>
      </w:pPr>
    </w:p>
    <w:p w14:paraId="29F4EC71" w14:textId="77777777" w:rsidR="009F0695" w:rsidRPr="00DB1268" w:rsidRDefault="004E18D0" w:rsidP="004E18D0">
      <w:pPr>
        <w:jc w:val="both"/>
        <w:rPr>
          <w:rFonts w:ascii="Arial" w:hAnsi="Arial" w:cs="Arial"/>
          <w:sz w:val="22"/>
          <w:szCs w:val="22"/>
        </w:rPr>
      </w:pPr>
      <w:r w:rsidRPr="004E18D0">
        <w:rPr>
          <w:rFonts w:ascii="Arial" w:hAnsi="Arial" w:cs="Arial"/>
          <w:sz w:val="22"/>
          <w:szCs w:val="22"/>
        </w:rPr>
        <w:t xml:space="preserve">Según lo informado por el Grupo de Logística y Suministro, los vehículos demandan mantenimiento preventivos y correctivos, tales como revisión preventiva rutinaria cada 10.000 kilómetros, cambios de llantas, baterías, pastillas, disco de frenos, suspensión, entre otros, con ocasión al desgaste que se va presentando por el uso permanente de los mismos. </w:t>
      </w:r>
      <w:r w:rsidR="009F0695" w:rsidRPr="00DB1268">
        <w:rPr>
          <w:rFonts w:ascii="Arial" w:hAnsi="Arial" w:cs="Arial"/>
          <w:sz w:val="22"/>
          <w:szCs w:val="22"/>
        </w:rPr>
        <w:t xml:space="preserve">Para los gastos generados por </w:t>
      </w:r>
      <w:r>
        <w:rPr>
          <w:rFonts w:ascii="Arial" w:hAnsi="Arial" w:cs="Arial"/>
          <w:sz w:val="22"/>
          <w:szCs w:val="22"/>
        </w:rPr>
        <w:t xml:space="preserve">dichos conceptos </w:t>
      </w:r>
      <w:r w:rsidR="009F0695" w:rsidRPr="00DB1268">
        <w:rPr>
          <w:rFonts w:ascii="Arial" w:hAnsi="Arial" w:cs="Arial"/>
          <w:sz w:val="22"/>
          <w:szCs w:val="22"/>
        </w:rPr>
        <w:t xml:space="preserve">durante el </w:t>
      </w:r>
      <w:r>
        <w:rPr>
          <w:rFonts w:ascii="Arial" w:hAnsi="Arial" w:cs="Arial"/>
          <w:sz w:val="22"/>
          <w:szCs w:val="22"/>
        </w:rPr>
        <w:t xml:space="preserve">tercer </w:t>
      </w:r>
      <w:r w:rsidR="009F0695" w:rsidRPr="00DB1268">
        <w:rPr>
          <w:rFonts w:ascii="Arial" w:hAnsi="Arial" w:cs="Arial"/>
          <w:sz w:val="22"/>
          <w:szCs w:val="22"/>
        </w:rPr>
        <w:t>trimestre de 2019 comparado con el mismo periodo de l</w:t>
      </w:r>
      <w:r w:rsidR="007E4A44">
        <w:rPr>
          <w:rFonts w:ascii="Arial" w:hAnsi="Arial" w:cs="Arial"/>
          <w:sz w:val="22"/>
          <w:szCs w:val="22"/>
        </w:rPr>
        <w:t xml:space="preserve">a vigencia 2018, se presentó una </w:t>
      </w:r>
      <w:r w:rsidR="007E4A44" w:rsidRPr="007E4A44">
        <w:rPr>
          <w:rFonts w:ascii="Arial" w:hAnsi="Arial" w:cs="Arial"/>
          <w:b/>
          <w:sz w:val="22"/>
          <w:szCs w:val="22"/>
        </w:rPr>
        <w:t>disminución</w:t>
      </w:r>
      <w:r w:rsidR="007E4A44">
        <w:rPr>
          <w:rFonts w:ascii="Arial" w:hAnsi="Arial" w:cs="Arial"/>
          <w:sz w:val="22"/>
          <w:szCs w:val="22"/>
        </w:rPr>
        <w:t xml:space="preserve"> de 81</w:t>
      </w:r>
      <w:r w:rsidR="009F0695" w:rsidRPr="00DB1268">
        <w:rPr>
          <w:rFonts w:ascii="Arial" w:hAnsi="Arial" w:cs="Arial"/>
          <w:sz w:val="22"/>
          <w:szCs w:val="22"/>
        </w:rPr>
        <w:t>%.</w:t>
      </w:r>
    </w:p>
    <w:tbl>
      <w:tblPr>
        <w:tblStyle w:val="Tabladecuadrcula1clara-nfasis1"/>
        <w:tblW w:w="0" w:type="auto"/>
        <w:tblLayout w:type="fixed"/>
        <w:tblLook w:val="04A0" w:firstRow="1" w:lastRow="0" w:firstColumn="1" w:lastColumn="0" w:noHBand="0" w:noVBand="1"/>
      </w:tblPr>
      <w:tblGrid>
        <w:gridCol w:w="2405"/>
        <w:gridCol w:w="1843"/>
        <w:gridCol w:w="1843"/>
        <w:gridCol w:w="1701"/>
        <w:gridCol w:w="1851"/>
      </w:tblGrid>
      <w:tr w:rsidR="000E0700" w:rsidRPr="00DB1268" w14:paraId="284AD1DE" w14:textId="77777777" w:rsidTr="0013695A">
        <w:trPr>
          <w:cnfStyle w:val="100000000000" w:firstRow="1" w:lastRow="0" w:firstColumn="0" w:lastColumn="0" w:oddVBand="0" w:evenVBand="0" w:oddHBand="0" w:evenHBand="0" w:firstRowFirstColumn="0" w:firstRowLastColumn="0" w:lastRowFirstColumn="0" w:lastRowLastColumn="0"/>
          <w:cantSplit/>
          <w:trHeight w:val="549"/>
        </w:trPr>
        <w:tc>
          <w:tcPr>
            <w:cnfStyle w:val="001000000000" w:firstRow="0" w:lastRow="0" w:firstColumn="1" w:lastColumn="0" w:oddVBand="0" w:evenVBand="0" w:oddHBand="0" w:evenHBand="0" w:firstRowFirstColumn="0" w:firstRowLastColumn="0" w:lastRowFirstColumn="0" w:lastRowLastColumn="0"/>
            <w:tcW w:w="2405" w:type="dxa"/>
            <w:shd w:val="clear" w:color="auto" w:fill="4F81BD" w:themeFill="accent1"/>
            <w:vAlign w:val="center"/>
            <w:hideMark/>
          </w:tcPr>
          <w:p w14:paraId="385F4ED2" w14:textId="77777777" w:rsidR="00901EBF" w:rsidRPr="00DB1268" w:rsidRDefault="00901EBF" w:rsidP="00E36C9A">
            <w:pPr>
              <w:spacing w:before="100" w:after="100"/>
              <w:jc w:val="center"/>
              <w:rPr>
                <w:rFonts w:ascii="Arial" w:hAnsi="Arial" w:cs="Arial"/>
                <w:color w:val="FFFFFF" w:themeColor="background1"/>
                <w:sz w:val="20"/>
                <w:szCs w:val="20"/>
              </w:rPr>
            </w:pPr>
            <w:r w:rsidRPr="00DB1268">
              <w:rPr>
                <w:rFonts w:ascii="Arial" w:hAnsi="Arial" w:cs="Arial"/>
                <w:color w:val="FFFFFF" w:themeColor="background1"/>
                <w:sz w:val="20"/>
                <w:szCs w:val="20"/>
              </w:rPr>
              <w:lastRenderedPageBreak/>
              <w:t xml:space="preserve">Mantenimiento Preventivo </w:t>
            </w:r>
          </w:p>
        </w:tc>
        <w:tc>
          <w:tcPr>
            <w:tcW w:w="1843" w:type="dxa"/>
            <w:vMerge w:val="restart"/>
            <w:shd w:val="clear" w:color="auto" w:fill="4F81BD" w:themeFill="accent1"/>
            <w:vAlign w:val="center"/>
            <w:hideMark/>
          </w:tcPr>
          <w:p w14:paraId="3B5F9878" w14:textId="77777777" w:rsidR="00901EBF" w:rsidRPr="00DB1268" w:rsidRDefault="00901EBF" w:rsidP="00E36C9A">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B1268">
              <w:rPr>
                <w:rFonts w:ascii="Arial" w:hAnsi="Arial" w:cs="Arial"/>
                <w:color w:val="FFFFFF" w:themeColor="background1"/>
                <w:sz w:val="20"/>
                <w:szCs w:val="20"/>
              </w:rPr>
              <w:t xml:space="preserve"> </w:t>
            </w:r>
            <w:r w:rsidR="00DB1268">
              <w:rPr>
                <w:rFonts w:ascii="Arial" w:hAnsi="Arial" w:cs="Arial"/>
                <w:color w:val="FFFFFF" w:themeColor="background1"/>
                <w:sz w:val="20"/>
                <w:szCs w:val="20"/>
              </w:rPr>
              <w:t>I</w:t>
            </w:r>
            <w:r w:rsidRPr="00DB1268">
              <w:rPr>
                <w:rFonts w:ascii="Arial" w:hAnsi="Arial" w:cs="Arial"/>
                <w:color w:val="FFFFFF" w:themeColor="background1"/>
                <w:sz w:val="20"/>
                <w:szCs w:val="20"/>
              </w:rPr>
              <w:t xml:space="preserve">II Trimestre de 2019 </w:t>
            </w:r>
          </w:p>
        </w:tc>
        <w:tc>
          <w:tcPr>
            <w:tcW w:w="1843" w:type="dxa"/>
            <w:vMerge w:val="restart"/>
            <w:shd w:val="clear" w:color="auto" w:fill="4F81BD" w:themeFill="accent1"/>
            <w:vAlign w:val="center"/>
            <w:hideMark/>
          </w:tcPr>
          <w:p w14:paraId="5D6906B0" w14:textId="77777777" w:rsidR="00901EBF" w:rsidRPr="00DB1268" w:rsidRDefault="00901EBF" w:rsidP="00E36C9A">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B1268">
              <w:rPr>
                <w:rFonts w:ascii="Arial" w:hAnsi="Arial" w:cs="Arial"/>
                <w:color w:val="FFFFFF" w:themeColor="background1"/>
                <w:sz w:val="20"/>
                <w:szCs w:val="20"/>
              </w:rPr>
              <w:t xml:space="preserve"> </w:t>
            </w:r>
            <w:r w:rsidR="00DB1268">
              <w:rPr>
                <w:rFonts w:ascii="Arial" w:hAnsi="Arial" w:cs="Arial"/>
                <w:color w:val="FFFFFF" w:themeColor="background1"/>
                <w:sz w:val="20"/>
                <w:szCs w:val="20"/>
              </w:rPr>
              <w:t>I</w:t>
            </w:r>
            <w:r w:rsidRPr="00DB1268">
              <w:rPr>
                <w:rFonts w:ascii="Arial" w:hAnsi="Arial" w:cs="Arial"/>
                <w:color w:val="FFFFFF" w:themeColor="background1"/>
                <w:sz w:val="20"/>
                <w:szCs w:val="20"/>
              </w:rPr>
              <w:t xml:space="preserve">II Trimestre de 2018 </w:t>
            </w:r>
          </w:p>
        </w:tc>
        <w:tc>
          <w:tcPr>
            <w:tcW w:w="3552" w:type="dxa"/>
            <w:gridSpan w:val="2"/>
            <w:shd w:val="clear" w:color="auto" w:fill="4F81BD" w:themeFill="accent1"/>
            <w:noWrap/>
            <w:vAlign w:val="center"/>
            <w:hideMark/>
          </w:tcPr>
          <w:p w14:paraId="213278A3" w14:textId="77777777" w:rsidR="00901EBF" w:rsidRPr="00DB1268" w:rsidRDefault="00901EBF" w:rsidP="00E36C9A">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B1268">
              <w:rPr>
                <w:rFonts w:ascii="Arial" w:hAnsi="Arial" w:cs="Arial"/>
                <w:color w:val="FFFFFF" w:themeColor="background1"/>
                <w:sz w:val="20"/>
                <w:szCs w:val="20"/>
              </w:rPr>
              <w:t>Variaciones</w:t>
            </w:r>
          </w:p>
        </w:tc>
      </w:tr>
      <w:tr w:rsidR="0003164F" w:rsidRPr="00DB1268" w14:paraId="5C60156D" w14:textId="77777777" w:rsidTr="00AA5C78">
        <w:trPr>
          <w:cantSplit/>
        </w:trPr>
        <w:tc>
          <w:tcPr>
            <w:cnfStyle w:val="001000000000" w:firstRow="0" w:lastRow="0" w:firstColumn="1" w:lastColumn="0" w:oddVBand="0" w:evenVBand="0" w:oddHBand="0" w:evenHBand="0" w:firstRowFirstColumn="0" w:firstRowLastColumn="0" w:lastRowFirstColumn="0" w:lastRowLastColumn="0"/>
            <w:tcW w:w="2405" w:type="dxa"/>
            <w:tcBorders>
              <w:bottom w:val="nil"/>
            </w:tcBorders>
            <w:shd w:val="clear" w:color="auto" w:fill="4F81BD" w:themeFill="accent1"/>
            <w:noWrap/>
            <w:vAlign w:val="center"/>
            <w:hideMark/>
          </w:tcPr>
          <w:p w14:paraId="59620485" w14:textId="77777777" w:rsidR="00901EBF" w:rsidRPr="00DB1268" w:rsidRDefault="00901EBF" w:rsidP="00E36C9A">
            <w:pPr>
              <w:spacing w:before="100" w:after="100"/>
              <w:jc w:val="center"/>
              <w:rPr>
                <w:rFonts w:ascii="Arial" w:hAnsi="Arial" w:cs="Arial"/>
                <w:color w:val="FFFFFF" w:themeColor="background1"/>
                <w:sz w:val="20"/>
                <w:szCs w:val="20"/>
              </w:rPr>
            </w:pPr>
            <w:r w:rsidRPr="00DB1268">
              <w:rPr>
                <w:rFonts w:ascii="Arial" w:hAnsi="Arial" w:cs="Arial"/>
                <w:color w:val="FFFFFF" w:themeColor="background1"/>
                <w:sz w:val="20"/>
                <w:szCs w:val="20"/>
              </w:rPr>
              <w:t>valor del consumo</w:t>
            </w:r>
          </w:p>
        </w:tc>
        <w:tc>
          <w:tcPr>
            <w:tcW w:w="1843" w:type="dxa"/>
            <w:vMerge/>
            <w:tcBorders>
              <w:bottom w:val="nil"/>
            </w:tcBorders>
            <w:shd w:val="clear" w:color="auto" w:fill="4F81BD" w:themeFill="accent1"/>
            <w:vAlign w:val="center"/>
            <w:hideMark/>
          </w:tcPr>
          <w:p w14:paraId="2054381D" w14:textId="77777777" w:rsidR="00901EBF" w:rsidRPr="00DB1268" w:rsidRDefault="00901EBF" w:rsidP="00E36C9A">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843" w:type="dxa"/>
            <w:vMerge/>
            <w:tcBorders>
              <w:bottom w:val="nil"/>
            </w:tcBorders>
            <w:shd w:val="clear" w:color="auto" w:fill="4F81BD" w:themeFill="accent1"/>
            <w:vAlign w:val="center"/>
            <w:hideMark/>
          </w:tcPr>
          <w:p w14:paraId="59F9632F" w14:textId="77777777" w:rsidR="00901EBF" w:rsidRPr="00DB1268" w:rsidRDefault="00901EBF" w:rsidP="00E36C9A">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701" w:type="dxa"/>
            <w:tcBorders>
              <w:bottom w:val="nil"/>
            </w:tcBorders>
            <w:shd w:val="clear" w:color="auto" w:fill="4F81BD" w:themeFill="accent1"/>
            <w:noWrap/>
            <w:vAlign w:val="center"/>
            <w:hideMark/>
          </w:tcPr>
          <w:p w14:paraId="4F5EFA2F" w14:textId="77777777" w:rsidR="00901EBF" w:rsidRPr="00DB1268" w:rsidRDefault="00901EBF" w:rsidP="00E36C9A">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B1268">
              <w:rPr>
                <w:rFonts w:ascii="Arial" w:hAnsi="Arial" w:cs="Arial"/>
                <w:b/>
                <w:bCs/>
                <w:color w:val="FFFFFF" w:themeColor="background1"/>
                <w:sz w:val="20"/>
                <w:szCs w:val="20"/>
              </w:rPr>
              <w:t>($)</w:t>
            </w:r>
          </w:p>
        </w:tc>
        <w:tc>
          <w:tcPr>
            <w:tcW w:w="1851" w:type="dxa"/>
            <w:tcBorders>
              <w:bottom w:val="nil"/>
            </w:tcBorders>
            <w:shd w:val="clear" w:color="auto" w:fill="4F81BD" w:themeFill="accent1"/>
            <w:noWrap/>
            <w:vAlign w:val="center"/>
            <w:hideMark/>
          </w:tcPr>
          <w:p w14:paraId="09B0BD70" w14:textId="77777777" w:rsidR="00901EBF" w:rsidRPr="00DB1268" w:rsidRDefault="00901EBF" w:rsidP="00E36C9A">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B1268">
              <w:rPr>
                <w:rFonts w:ascii="Arial" w:hAnsi="Arial" w:cs="Arial"/>
                <w:b/>
                <w:bCs/>
                <w:color w:val="FFFFFF" w:themeColor="background1"/>
                <w:sz w:val="20"/>
                <w:szCs w:val="20"/>
              </w:rPr>
              <w:t>%</w:t>
            </w:r>
          </w:p>
        </w:tc>
      </w:tr>
      <w:tr w:rsidR="00AA5C78" w:rsidRPr="00DB1268" w14:paraId="10C7E328" w14:textId="77777777" w:rsidTr="00AA5C78">
        <w:trPr>
          <w:cantSplit/>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nil"/>
              <w:right w:val="nil"/>
            </w:tcBorders>
            <w:vAlign w:val="center"/>
            <w:hideMark/>
          </w:tcPr>
          <w:p w14:paraId="6D22E916" w14:textId="77777777" w:rsidR="00DB1268" w:rsidRPr="00DB1268" w:rsidRDefault="00DB1268" w:rsidP="00E36C9A">
            <w:pPr>
              <w:spacing w:before="100" w:after="100"/>
              <w:jc w:val="center"/>
              <w:rPr>
                <w:rFonts w:ascii="Arial" w:hAnsi="Arial" w:cs="Arial"/>
                <w:color w:val="0F243E" w:themeColor="text2" w:themeShade="80"/>
                <w:sz w:val="20"/>
                <w:szCs w:val="20"/>
              </w:rPr>
            </w:pPr>
            <w:r w:rsidRPr="00DB1268">
              <w:rPr>
                <w:rFonts w:ascii="Arial" w:hAnsi="Arial" w:cs="Arial"/>
                <w:color w:val="0F243E" w:themeColor="text2" w:themeShade="80"/>
                <w:sz w:val="20"/>
                <w:szCs w:val="20"/>
              </w:rPr>
              <w:t xml:space="preserve">Julio </w:t>
            </w:r>
          </w:p>
        </w:tc>
        <w:tc>
          <w:tcPr>
            <w:tcW w:w="1843" w:type="dxa"/>
            <w:tcBorders>
              <w:top w:val="nil"/>
              <w:left w:val="nil"/>
              <w:bottom w:val="nil"/>
              <w:right w:val="nil"/>
            </w:tcBorders>
            <w:noWrap/>
            <w:vAlign w:val="center"/>
            <w:hideMark/>
          </w:tcPr>
          <w:p w14:paraId="6F54DFCF" w14:textId="77777777" w:rsidR="00DB1268" w:rsidRPr="00FB7EA4" w:rsidRDefault="00DB1268" w:rsidP="00E36C9A">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1.994.251 </w:t>
            </w:r>
          </w:p>
        </w:tc>
        <w:tc>
          <w:tcPr>
            <w:tcW w:w="1843" w:type="dxa"/>
            <w:tcBorders>
              <w:top w:val="nil"/>
              <w:left w:val="nil"/>
              <w:bottom w:val="nil"/>
              <w:right w:val="nil"/>
            </w:tcBorders>
            <w:noWrap/>
            <w:vAlign w:val="center"/>
            <w:hideMark/>
          </w:tcPr>
          <w:p w14:paraId="261AFAEB" w14:textId="77777777" w:rsidR="00DB1268" w:rsidRPr="00FB7EA4" w:rsidRDefault="00DB1268" w:rsidP="00E36C9A">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8.827.912 </w:t>
            </w:r>
          </w:p>
        </w:tc>
        <w:tc>
          <w:tcPr>
            <w:tcW w:w="1701" w:type="dxa"/>
            <w:tcBorders>
              <w:top w:val="nil"/>
              <w:left w:val="nil"/>
              <w:bottom w:val="nil"/>
              <w:right w:val="nil"/>
            </w:tcBorders>
            <w:noWrap/>
            <w:vAlign w:val="center"/>
            <w:hideMark/>
          </w:tcPr>
          <w:p w14:paraId="7418C071" w14:textId="77777777" w:rsidR="00DB1268" w:rsidRPr="00FB7EA4" w:rsidRDefault="00353CBF" w:rsidP="00E36C9A">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w:t>
            </w:r>
            <w:r w:rsidR="00A261F8" w:rsidRPr="00FB7EA4">
              <w:rPr>
                <w:rFonts w:ascii="Arial" w:hAnsi="Arial" w:cs="Arial"/>
                <w:color w:val="0F243E" w:themeColor="text2" w:themeShade="80"/>
                <w:sz w:val="20"/>
                <w:szCs w:val="20"/>
              </w:rPr>
              <w:t>6.833.661</w:t>
            </w:r>
            <w:r w:rsidRPr="00FB7EA4">
              <w:rPr>
                <w:rFonts w:ascii="Arial" w:hAnsi="Arial" w:cs="Arial"/>
                <w:color w:val="0F243E" w:themeColor="text2" w:themeShade="80"/>
                <w:sz w:val="20"/>
                <w:szCs w:val="20"/>
              </w:rPr>
              <w:t>)</w:t>
            </w:r>
          </w:p>
        </w:tc>
        <w:tc>
          <w:tcPr>
            <w:tcW w:w="1851" w:type="dxa"/>
            <w:tcBorders>
              <w:top w:val="nil"/>
              <w:left w:val="nil"/>
              <w:bottom w:val="nil"/>
              <w:right w:val="nil"/>
            </w:tcBorders>
            <w:noWrap/>
            <w:vAlign w:val="center"/>
            <w:hideMark/>
          </w:tcPr>
          <w:p w14:paraId="749B9C4B" w14:textId="77777777" w:rsidR="00DB1268" w:rsidRPr="00FB7EA4" w:rsidRDefault="002C3105" w:rsidP="00E36C9A">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DB1268" w:rsidRPr="00FB7EA4">
              <w:rPr>
                <w:rFonts w:ascii="Arial" w:hAnsi="Arial" w:cs="Arial"/>
                <w:color w:val="0F243E" w:themeColor="text2" w:themeShade="80"/>
                <w:sz w:val="20"/>
                <w:szCs w:val="20"/>
              </w:rPr>
              <w:t>77%</w:t>
            </w:r>
            <w:r w:rsidRPr="00FB7EA4">
              <w:rPr>
                <w:rFonts w:ascii="Arial" w:hAnsi="Arial" w:cs="Arial"/>
                <w:color w:val="0F243E" w:themeColor="text2" w:themeShade="80"/>
                <w:sz w:val="20"/>
                <w:szCs w:val="20"/>
              </w:rPr>
              <w:t>)</w:t>
            </w:r>
          </w:p>
        </w:tc>
      </w:tr>
      <w:tr w:rsidR="00AA5C78" w:rsidRPr="00DB1268" w14:paraId="0F5C7A69" w14:textId="77777777" w:rsidTr="00AA5C78">
        <w:trPr>
          <w:cantSplit/>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nil"/>
              <w:right w:val="nil"/>
            </w:tcBorders>
            <w:vAlign w:val="center"/>
            <w:hideMark/>
          </w:tcPr>
          <w:p w14:paraId="5F623D63" w14:textId="77777777" w:rsidR="00DB1268" w:rsidRPr="00DB1268" w:rsidRDefault="00DB1268" w:rsidP="00E36C9A">
            <w:pPr>
              <w:spacing w:before="100" w:after="100"/>
              <w:jc w:val="center"/>
              <w:rPr>
                <w:rFonts w:ascii="Arial" w:hAnsi="Arial" w:cs="Arial"/>
                <w:color w:val="0F243E" w:themeColor="text2" w:themeShade="80"/>
                <w:sz w:val="20"/>
                <w:szCs w:val="20"/>
              </w:rPr>
            </w:pPr>
            <w:r w:rsidRPr="00DB1268">
              <w:rPr>
                <w:rFonts w:ascii="Arial" w:hAnsi="Arial" w:cs="Arial"/>
                <w:color w:val="0F243E" w:themeColor="text2" w:themeShade="80"/>
                <w:sz w:val="20"/>
                <w:szCs w:val="20"/>
              </w:rPr>
              <w:t>Agosto</w:t>
            </w:r>
          </w:p>
        </w:tc>
        <w:tc>
          <w:tcPr>
            <w:tcW w:w="1843" w:type="dxa"/>
            <w:tcBorders>
              <w:top w:val="nil"/>
              <w:left w:val="nil"/>
              <w:bottom w:val="nil"/>
              <w:right w:val="nil"/>
            </w:tcBorders>
            <w:noWrap/>
            <w:vAlign w:val="center"/>
            <w:hideMark/>
          </w:tcPr>
          <w:p w14:paraId="56D9E038" w14:textId="77777777" w:rsidR="00DB1268" w:rsidRPr="00FB7EA4" w:rsidRDefault="00DB1268" w:rsidP="00E36C9A">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2.218.036 </w:t>
            </w:r>
          </w:p>
        </w:tc>
        <w:tc>
          <w:tcPr>
            <w:tcW w:w="1843" w:type="dxa"/>
            <w:tcBorders>
              <w:top w:val="nil"/>
              <w:left w:val="nil"/>
              <w:bottom w:val="nil"/>
              <w:right w:val="nil"/>
            </w:tcBorders>
            <w:noWrap/>
            <w:vAlign w:val="center"/>
            <w:hideMark/>
          </w:tcPr>
          <w:p w14:paraId="7F7BBBB3" w14:textId="77777777" w:rsidR="00DB1268" w:rsidRPr="00FB7EA4" w:rsidRDefault="00DB1268" w:rsidP="00E36C9A">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2.599.535 </w:t>
            </w:r>
          </w:p>
        </w:tc>
        <w:tc>
          <w:tcPr>
            <w:tcW w:w="1701" w:type="dxa"/>
            <w:tcBorders>
              <w:top w:val="nil"/>
              <w:left w:val="nil"/>
              <w:bottom w:val="nil"/>
              <w:right w:val="nil"/>
            </w:tcBorders>
            <w:noWrap/>
            <w:vAlign w:val="center"/>
            <w:hideMark/>
          </w:tcPr>
          <w:p w14:paraId="48DCCFCB" w14:textId="77777777" w:rsidR="00DB1268" w:rsidRPr="00FB7EA4" w:rsidRDefault="00353CBF" w:rsidP="00E36C9A">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DB1268" w:rsidRPr="00FB7EA4">
              <w:rPr>
                <w:rFonts w:ascii="Arial" w:hAnsi="Arial" w:cs="Arial"/>
                <w:color w:val="0F243E" w:themeColor="text2" w:themeShade="80"/>
                <w:sz w:val="20"/>
                <w:szCs w:val="20"/>
              </w:rPr>
              <w:t>381.499</w:t>
            </w:r>
            <w:r w:rsidRPr="00FB7EA4">
              <w:rPr>
                <w:rFonts w:ascii="Arial" w:hAnsi="Arial" w:cs="Arial"/>
                <w:color w:val="0F243E" w:themeColor="text2" w:themeShade="80"/>
                <w:sz w:val="20"/>
                <w:szCs w:val="20"/>
              </w:rPr>
              <w:t>)</w:t>
            </w:r>
            <w:r w:rsidR="00DB1268" w:rsidRPr="00FB7EA4">
              <w:rPr>
                <w:rFonts w:ascii="Arial" w:hAnsi="Arial" w:cs="Arial"/>
                <w:color w:val="0F243E" w:themeColor="text2" w:themeShade="80"/>
                <w:sz w:val="20"/>
                <w:szCs w:val="20"/>
              </w:rPr>
              <w:t xml:space="preserve"> </w:t>
            </w:r>
          </w:p>
        </w:tc>
        <w:tc>
          <w:tcPr>
            <w:tcW w:w="1851" w:type="dxa"/>
            <w:tcBorders>
              <w:top w:val="nil"/>
              <w:left w:val="nil"/>
              <w:bottom w:val="nil"/>
              <w:right w:val="nil"/>
            </w:tcBorders>
            <w:noWrap/>
            <w:vAlign w:val="center"/>
            <w:hideMark/>
          </w:tcPr>
          <w:p w14:paraId="5A1C6BB2" w14:textId="77777777" w:rsidR="00DB1268" w:rsidRPr="00FB7EA4" w:rsidRDefault="002C3105" w:rsidP="00E36C9A">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DB1268" w:rsidRPr="00FB7EA4">
              <w:rPr>
                <w:rFonts w:ascii="Arial" w:hAnsi="Arial" w:cs="Arial"/>
                <w:color w:val="0F243E" w:themeColor="text2" w:themeShade="80"/>
                <w:sz w:val="20"/>
                <w:szCs w:val="20"/>
              </w:rPr>
              <w:t>15%</w:t>
            </w:r>
            <w:r w:rsidRPr="00FB7EA4">
              <w:rPr>
                <w:rFonts w:ascii="Arial" w:hAnsi="Arial" w:cs="Arial"/>
                <w:color w:val="0F243E" w:themeColor="text2" w:themeShade="80"/>
                <w:sz w:val="20"/>
                <w:szCs w:val="20"/>
              </w:rPr>
              <w:t>)</w:t>
            </w:r>
          </w:p>
        </w:tc>
      </w:tr>
      <w:tr w:rsidR="00AA5C78" w:rsidRPr="00DB1268" w14:paraId="69F42CEF" w14:textId="77777777" w:rsidTr="00AA5C78">
        <w:trPr>
          <w:cantSplit/>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double" w:sz="4" w:space="0" w:color="4F81BD" w:themeColor="accent1"/>
              <w:right w:val="nil"/>
            </w:tcBorders>
            <w:vAlign w:val="center"/>
            <w:hideMark/>
          </w:tcPr>
          <w:p w14:paraId="69D0D373" w14:textId="77777777" w:rsidR="00DB1268" w:rsidRPr="00DB1268" w:rsidRDefault="00DB1268" w:rsidP="00E36C9A">
            <w:pPr>
              <w:spacing w:before="100" w:after="100"/>
              <w:jc w:val="center"/>
              <w:rPr>
                <w:rFonts w:ascii="Arial" w:hAnsi="Arial" w:cs="Arial"/>
                <w:color w:val="0F243E" w:themeColor="text2" w:themeShade="80"/>
                <w:sz w:val="20"/>
                <w:szCs w:val="20"/>
              </w:rPr>
            </w:pPr>
            <w:r w:rsidRPr="00DB1268">
              <w:rPr>
                <w:rFonts w:ascii="Arial" w:hAnsi="Arial" w:cs="Arial"/>
                <w:color w:val="0F243E" w:themeColor="text2" w:themeShade="80"/>
                <w:sz w:val="20"/>
                <w:szCs w:val="20"/>
              </w:rPr>
              <w:t xml:space="preserve">Septiembre </w:t>
            </w:r>
          </w:p>
        </w:tc>
        <w:tc>
          <w:tcPr>
            <w:tcW w:w="1843" w:type="dxa"/>
            <w:tcBorders>
              <w:top w:val="nil"/>
              <w:left w:val="nil"/>
              <w:bottom w:val="double" w:sz="4" w:space="0" w:color="4F81BD" w:themeColor="accent1"/>
              <w:right w:val="nil"/>
            </w:tcBorders>
            <w:noWrap/>
            <w:vAlign w:val="center"/>
            <w:hideMark/>
          </w:tcPr>
          <w:p w14:paraId="0B4CE3A8" w14:textId="77777777" w:rsidR="00DB1268" w:rsidRPr="00FB7EA4" w:rsidRDefault="00A261F8" w:rsidP="00E36C9A">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0</w:t>
            </w:r>
          </w:p>
        </w:tc>
        <w:tc>
          <w:tcPr>
            <w:tcW w:w="1843" w:type="dxa"/>
            <w:tcBorders>
              <w:top w:val="nil"/>
              <w:left w:val="nil"/>
              <w:bottom w:val="double" w:sz="4" w:space="0" w:color="4F81BD" w:themeColor="accent1"/>
              <w:right w:val="nil"/>
            </w:tcBorders>
            <w:noWrap/>
            <w:vAlign w:val="center"/>
            <w:hideMark/>
          </w:tcPr>
          <w:p w14:paraId="1FC667B2" w14:textId="77777777" w:rsidR="00DB1268" w:rsidRPr="00FB7EA4" w:rsidRDefault="00DB1268" w:rsidP="00E36C9A">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10.716.334 </w:t>
            </w:r>
          </w:p>
        </w:tc>
        <w:tc>
          <w:tcPr>
            <w:tcW w:w="1701" w:type="dxa"/>
            <w:tcBorders>
              <w:top w:val="nil"/>
              <w:left w:val="nil"/>
              <w:bottom w:val="double" w:sz="4" w:space="0" w:color="4F81BD" w:themeColor="accent1"/>
              <w:right w:val="nil"/>
            </w:tcBorders>
            <w:noWrap/>
            <w:vAlign w:val="center"/>
            <w:hideMark/>
          </w:tcPr>
          <w:p w14:paraId="1984CBF7" w14:textId="77777777" w:rsidR="00DB1268" w:rsidRPr="00FB7EA4" w:rsidRDefault="00353CBF" w:rsidP="00E36C9A">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DB1268" w:rsidRPr="00FB7EA4">
              <w:rPr>
                <w:rFonts w:ascii="Arial" w:hAnsi="Arial" w:cs="Arial"/>
                <w:color w:val="0F243E" w:themeColor="text2" w:themeShade="80"/>
                <w:sz w:val="20"/>
                <w:szCs w:val="20"/>
              </w:rPr>
              <w:t>10.716.334</w:t>
            </w:r>
            <w:r w:rsidRPr="00FB7EA4">
              <w:rPr>
                <w:rFonts w:ascii="Arial" w:hAnsi="Arial" w:cs="Arial"/>
                <w:color w:val="0F243E" w:themeColor="text2" w:themeShade="80"/>
                <w:sz w:val="20"/>
                <w:szCs w:val="20"/>
              </w:rPr>
              <w:t>)</w:t>
            </w:r>
            <w:r w:rsidR="00DB1268" w:rsidRPr="00FB7EA4">
              <w:rPr>
                <w:rFonts w:ascii="Arial" w:hAnsi="Arial" w:cs="Arial"/>
                <w:color w:val="0F243E" w:themeColor="text2" w:themeShade="80"/>
                <w:sz w:val="20"/>
                <w:szCs w:val="20"/>
              </w:rPr>
              <w:t xml:space="preserve"> </w:t>
            </w:r>
          </w:p>
        </w:tc>
        <w:tc>
          <w:tcPr>
            <w:tcW w:w="1851" w:type="dxa"/>
            <w:tcBorders>
              <w:top w:val="nil"/>
              <w:left w:val="nil"/>
              <w:bottom w:val="double" w:sz="4" w:space="0" w:color="4F81BD" w:themeColor="accent1"/>
              <w:right w:val="nil"/>
            </w:tcBorders>
            <w:noWrap/>
            <w:vAlign w:val="center"/>
            <w:hideMark/>
          </w:tcPr>
          <w:p w14:paraId="16919455" w14:textId="77777777" w:rsidR="00DB1268" w:rsidRPr="00FB7EA4" w:rsidRDefault="002C3105" w:rsidP="00E36C9A">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DB1268" w:rsidRPr="00FB7EA4">
              <w:rPr>
                <w:rFonts w:ascii="Arial" w:hAnsi="Arial" w:cs="Arial"/>
                <w:color w:val="0F243E" w:themeColor="text2" w:themeShade="80"/>
                <w:sz w:val="20"/>
                <w:szCs w:val="20"/>
              </w:rPr>
              <w:t>100%</w:t>
            </w:r>
            <w:r w:rsidRPr="00FB7EA4">
              <w:rPr>
                <w:rFonts w:ascii="Arial" w:hAnsi="Arial" w:cs="Arial"/>
                <w:color w:val="0F243E" w:themeColor="text2" w:themeShade="80"/>
                <w:sz w:val="20"/>
                <w:szCs w:val="20"/>
              </w:rPr>
              <w:t>)</w:t>
            </w:r>
          </w:p>
        </w:tc>
      </w:tr>
      <w:tr w:rsidR="00DB1268" w:rsidRPr="00A003B6" w14:paraId="10E93E24" w14:textId="77777777" w:rsidTr="00AA5C78">
        <w:trPr>
          <w:cantSplit/>
        </w:trPr>
        <w:tc>
          <w:tcPr>
            <w:cnfStyle w:val="001000000000" w:firstRow="0" w:lastRow="0" w:firstColumn="1" w:lastColumn="0" w:oddVBand="0" w:evenVBand="0" w:oddHBand="0" w:evenHBand="0" w:firstRowFirstColumn="0" w:firstRowLastColumn="0" w:lastRowFirstColumn="0" w:lastRowLastColumn="0"/>
            <w:tcW w:w="2405" w:type="dxa"/>
            <w:tcBorders>
              <w:top w:val="double" w:sz="4" w:space="0" w:color="4F81BD" w:themeColor="accent1"/>
              <w:left w:val="nil"/>
              <w:bottom w:val="double" w:sz="4" w:space="0" w:color="4F81BD" w:themeColor="accent1"/>
              <w:right w:val="nil"/>
            </w:tcBorders>
            <w:noWrap/>
            <w:vAlign w:val="center"/>
            <w:hideMark/>
          </w:tcPr>
          <w:p w14:paraId="576CC588" w14:textId="77777777" w:rsidR="00DB1268" w:rsidRPr="00DB1268" w:rsidRDefault="00DB1268" w:rsidP="00E36C9A">
            <w:pPr>
              <w:spacing w:before="100" w:after="100"/>
              <w:jc w:val="center"/>
              <w:rPr>
                <w:rFonts w:ascii="Arial" w:hAnsi="Arial" w:cs="Arial"/>
                <w:color w:val="0F243E" w:themeColor="text2" w:themeShade="80"/>
                <w:sz w:val="20"/>
                <w:szCs w:val="20"/>
              </w:rPr>
            </w:pPr>
            <w:r w:rsidRPr="00DB1268">
              <w:rPr>
                <w:rFonts w:ascii="Arial" w:hAnsi="Arial" w:cs="Arial"/>
                <w:color w:val="0F243E" w:themeColor="text2" w:themeShade="80"/>
                <w:sz w:val="20"/>
                <w:szCs w:val="20"/>
              </w:rPr>
              <w:t>Total</w:t>
            </w:r>
          </w:p>
        </w:tc>
        <w:tc>
          <w:tcPr>
            <w:tcW w:w="1843" w:type="dxa"/>
            <w:tcBorders>
              <w:top w:val="double" w:sz="4" w:space="0" w:color="4F81BD" w:themeColor="accent1"/>
              <w:left w:val="nil"/>
              <w:bottom w:val="double" w:sz="4" w:space="0" w:color="4F81BD" w:themeColor="accent1"/>
              <w:right w:val="nil"/>
            </w:tcBorders>
            <w:noWrap/>
            <w:vAlign w:val="center"/>
            <w:hideMark/>
          </w:tcPr>
          <w:p w14:paraId="02E2E427" w14:textId="77777777" w:rsidR="00DB1268" w:rsidRPr="00FB7EA4" w:rsidRDefault="00DB1268" w:rsidP="00E36C9A">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4.212.287 </w:t>
            </w:r>
          </w:p>
        </w:tc>
        <w:tc>
          <w:tcPr>
            <w:tcW w:w="1843" w:type="dxa"/>
            <w:tcBorders>
              <w:top w:val="double" w:sz="4" w:space="0" w:color="4F81BD" w:themeColor="accent1"/>
              <w:left w:val="nil"/>
              <w:bottom w:val="double" w:sz="4" w:space="0" w:color="4F81BD" w:themeColor="accent1"/>
              <w:right w:val="nil"/>
            </w:tcBorders>
            <w:noWrap/>
            <w:vAlign w:val="center"/>
            <w:hideMark/>
          </w:tcPr>
          <w:p w14:paraId="5557554D" w14:textId="77777777" w:rsidR="00DB1268" w:rsidRPr="00FB7EA4" w:rsidRDefault="00DB1268" w:rsidP="00E36C9A">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22.143.781 </w:t>
            </w:r>
          </w:p>
        </w:tc>
        <w:tc>
          <w:tcPr>
            <w:tcW w:w="1701" w:type="dxa"/>
            <w:tcBorders>
              <w:top w:val="double" w:sz="4" w:space="0" w:color="4F81BD" w:themeColor="accent1"/>
              <w:left w:val="nil"/>
              <w:bottom w:val="double" w:sz="4" w:space="0" w:color="4F81BD" w:themeColor="accent1"/>
              <w:right w:val="nil"/>
            </w:tcBorders>
            <w:noWrap/>
            <w:vAlign w:val="center"/>
            <w:hideMark/>
          </w:tcPr>
          <w:p w14:paraId="12706077" w14:textId="77777777" w:rsidR="00DB1268" w:rsidRPr="00FB7EA4" w:rsidRDefault="00353CBF" w:rsidP="00E36C9A">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w:t>
            </w:r>
            <w:r w:rsidR="00DB1268" w:rsidRPr="00FB7EA4">
              <w:rPr>
                <w:rFonts w:ascii="Arial" w:hAnsi="Arial" w:cs="Arial"/>
                <w:b/>
                <w:bCs/>
                <w:color w:val="0F243E" w:themeColor="text2" w:themeShade="80"/>
                <w:sz w:val="20"/>
                <w:szCs w:val="20"/>
              </w:rPr>
              <w:t>17.931.494</w:t>
            </w:r>
            <w:r w:rsidRPr="00FB7EA4">
              <w:rPr>
                <w:rFonts w:ascii="Arial" w:hAnsi="Arial" w:cs="Arial"/>
                <w:b/>
                <w:bCs/>
                <w:color w:val="0F243E" w:themeColor="text2" w:themeShade="80"/>
                <w:sz w:val="20"/>
                <w:szCs w:val="20"/>
              </w:rPr>
              <w:t>)</w:t>
            </w:r>
            <w:r w:rsidR="00DB1268" w:rsidRPr="00FB7EA4">
              <w:rPr>
                <w:rFonts w:ascii="Arial" w:hAnsi="Arial" w:cs="Arial"/>
                <w:b/>
                <w:bCs/>
                <w:color w:val="0F243E" w:themeColor="text2" w:themeShade="80"/>
                <w:sz w:val="20"/>
                <w:szCs w:val="20"/>
              </w:rPr>
              <w:t xml:space="preserve"> </w:t>
            </w:r>
          </w:p>
        </w:tc>
        <w:tc>
          <w:tcPr>
            <w:tcW w:w="1851" w:type="dxa"/>
            <w:tcBorders>
              <w:top w:val="double" w:sz="4" w:space="0" w:color="4F81BD" w:themeColor="accent1"/>
              <w:left w:val="nil"/>
              <w:bottom w:val="double" w:sz="4" w:space="0" w:color="4F81BD" w:themeColor="accent1"/>
              <w:right w:val="nil"/>
            </w:tcBorders>
            <w:noWrap/>
            <w:vAlign w:val="center"/>
            <w:hideMark/>
          </w:tcPr>
          <w:p w14:paraId="7C317883" w14:textId="77777777" w:rsidR="00DB1268" w:rsidRPr="00FB7EA4" w:rsidRDefault="002C3105" w:rsidP="00E36C9A">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w:t>
            </w:r>
            <w:r w:rsidR="00DB1268" w:rsidRPr="00FB7EA4">
              <w:rPr>
                <w:rFonts w:ascii="Arial" w:hAnsi="Arial" w:cs="Arial"/>
                <w:b/>
                <w:bCs/>
                <w:color w:val="0F243E" w:themeColor="text2" w:themeShade="80"/>
                <w:sz w:val="20"/>
                <w:szCs w:val="20"/>
              </w:rPr>
              <w:t>81%</w:t>
            </w:r>
            <w:r w:rsidRPr="00FB7EA4">
              <w:rPr>
                <w:rFonts w:ascii="Arial" w:hAnsi="Arial" w:cs="Arial"/>
                <w:b/>
                <w:bCs/>
                <w:color w:val="0F243E" w:themeColor="text2" w:themeShade="80"/>
                <w:sz w:val="20"/>
                <w:szCs w:val="20"/>
              </w:rPr>
              <w:t>)</w:t>
            </w:r>
          </w:p>
        </w:tc>
      </w:tr>
    </w:tbl>
    <w:p w14:paraId="5F01AAFE" w14:textId="77777777" w:rsidR="002637EA" w:rsidRPr="00A003B6" w:rsidRDefault="002637EA" w:rsidP="00D63504">
      <w:pPr>
        <w:rPr>
          <w:rFonts w:ascii="Arial" w:hAnsi="Arial" w:cs="Arial"/>
          <w:sz w:val="22"/>
          <w:szCs w:val="22"/>
          <w:highlight w:val="yellow"/>
        </w:rPr>
      </w:pPr>
    </w:p>
    <w:p w14:paraId="5E09A9CA" w14:textId="13BD872D" w:rsidR="004E18D0" w:rsidRDefault="007563C6" w:rsidP="00935228">
      <w:pPr>
        <w:jc w:val="both"/>
        <w:rPr>
          <w:rFonts w:ascii="Arial" w:hAnsi="Arial" w:cs="Arial"/>
          <w:sz w:val="22"/>
          <w:szCs w:val="22"/>
        </w:rPr>
      </w:pPr>
      <w:r>
        <w:rPr>
          <w:rFonts w:ascii="Arial" w:hAnsi="Arial" w:cs="Arial"/>
          <w:sz w:val="22"/>
          <w:szCs w:val="22"/>
        </w:rPr>
        <w:t xml:space="preserve">Con respecto al periodo de septiembre de 2019, el </w:t>
      </w:r>
      <w:r w:rsidRPr="004E18D0">
        <w:rPr>
          <w:rFonts w:ascii="Arial" w:hAnsi="Arial" w:cs="Arial"/>
          <w:sz w:val="22"/>
          <w:szCs w:val="22"/>
        </w:rPr>
        <w:t>Grupo de Logística y Suministro</w:t>
      </w:r>
      <w:r>
        <w:rPr>
          <w:rFonts w:ascii="Arial" w:hAnsi="Arial" w:cs="Arial"/>
          <w:sz w:val="22"/>
          <w:szCs w:val="22"/>
        </w:rPr>
        <w:t xml:space="preserve"> informó que </w:t>
      </w:r>
      <w:r w:rsidR="00C53C20">
        <w:rPr>
          <w:rFonts w:ascii="Arial" w:hAnsi="Arial" w:cs="Arial"/>
          <w:sz w:val="22"/>
          <w:szCs w:val="22"/>
        </w:rPr>
        <w:t xml:space="preserve">no se realizaron mantenimientos preventivos y correctivos. </w:t>
      </w:r>
    </w:p>
    <w:p w14:paraId="6B6D754A" w14:textId="78CC49A0" w:rsidR="0035681E" w:rsidRDefault="0035681E" w:rsidP="00D63504">
      <w:pPr>
        <w:rPr>
          <w:rFonts w:ascii="Arial" w:hAnsi="Arial" w:cs="Arial"/>
          <w:b/>
          <w:sz w:val="22"/>
          <w:szCs w:val="22"/>
        </w:rPr>
      </w:pPr>
    </w:p>
    <w:p w14:paraId="50317F54" w14:textId="77777777" w:rsidR="00FA331C" w:rsidRDefault="00FA331C" w:rsidP="00D63504">
      <w:pPr>
        <w:rPr>
          <w:rFonts w:ascii="Arial" w:hAnsi="Arial" w:cs="Arial"/>
          <w:b/>
          <w:sz w:val="22"/>
          <w:szCs w:val="22"/>
        </w:rPr>
      </w:pPr>
    </w:p>
    <w:p w14:paraId="1B0C5DA0" w14:textId="09E9DA6E" w:rsidR="00D668E0" w:rsidRPr="00002EFA" w:rsidRDefault="00054367" w:rsidP="00D63504">
      <w:pPr>
        <w:rPr>
          <w:rFonts w:ascii="Arial" w:hAnsi="Arial" w:cs="Arial"/>
          <w:b/>
          <w:sz w:val="22"/>
          <w:szCs w:val="22"/>
        </w:rPr>
      </w:pPr>
      <w:r w:rsidRPr="00002EFA">
        <w:rPr>
          <w:rFonts w:ascii="Arial" w:hAnsi="Arial" w:cs="Arial"/>
          <w:b/>
          <w:sz w:val="22"/>
          <w:szCs w:val="22"/>
        </w:rPr>
        <w:t>Mantenimiento de Moto</w:t>
      </w:r>
      <w:r w:rsidR="00D9703E">
        <w:rPr>
          <w:rFonts w:ascii="Arial" w:hAnsi="Arial" w:cs="Arial"/>
          <w:b/>
          <w:sz w:val="22"/>
          <w:szCs w:val="22"/>
        </w:rPr>
        <w:t>cicletas</w:t>
      </w:r>
    </w:p>
    <w:p w14:paraId="44708C2E" w14:textId="77777777" w:rsidR="008244B1" w:rsidRPr="00002EFA" w:rsidRDefault="008244B1" w:rsidP="008244B1">
      <w:pPr>
        <w:rPr>
          <w:rFonts w:ascii="Arial" w:hAnsi="Arial" w:cs="Arial"/>
          <w:sz w:val="22"/>
          <w:szCs w:val="22"/>
        </w:rPr>
      </w:pPr>
    </w:p>
    <w:p w14:paraId="2CBE9E5F" w14:textId="3B574529" w:rsidR="005D1A3D" w:rsidRDefault="00054367" w:rsidP="00E36C9A">
      <w:pPr>
        <w:jc w:val="both"/>
        <w:rPr>
          <w:rFonts w:ascii="Arial" w:hAnsi="Arial" w:cs="Arial"/>
          <w:sz w:val="22"/>
          <w:szCs w:val="22"/>
        </w:rPr>
      </w:pPr>
      <w:r w:rsidRPr="00002EFA">
        <w:rPr>
          <w:rFonts w:ascii="Arial" w:hAnsi="Arial" w:cs="Arial"/>
          <w:sz w:val="22"/>
          <w:szCs w:val="22"/>
        </w:rPr>
        <w:t>E</w:t>
      </w:r>
      <w:r w:rsidR="005D1A3D" w:rsidRPr="00002EFA">
        <w:rPr>
          <w:rFonts w:ascii="Arial" w:hAnsi="Arial" w:cs="Arial"/>
          <w:sz w:val="22"/>
          <w:szCs w:val="22"/>
        </w:rPr>
        <w:t xml:space="preserve">l Ministerio de Hacienda y Crédito </w:t>
      </w:r>
      <w:r w:rsidR="00FA0C91" w:rsidRPr="00002EFA">
        <w:rPr>
          <w:rFonts w:ascii="Arial" w:hAnsi="Arial" w:cs="Arial"/>
          <w:sz w:val="22"/>
          <w:szCs w:val="22"/>
        </w:rPr>
        <w:t xml:space="preserve">Público </w:t>
      </w:r>
      <w:r w:rsidR="005D1A3D" w:rsidRPr="00002EFA">
        <w:rPr>
          <w:rFonts w:ascii="Arial" w:hAnsi="Arial" w:cs="Arial"/>
          <w:sz w:val="22"/>
          <w:szCs w:val="22"/>
        </w:rPr>
        <w:t xml:space="preserve">suscribió </w:t>
      </w:r>
      <w:r w:rsidR="008244B1" w:rsidRPr="00002EFA">
        <w:rPr>
          <w:rFonts w:ascii="Arial" w:hAnsi="Arial" w:cs="Arial"/>
          <w:sz w:val="22"/>
          <w:szCs w:val="22"/>
        </w:rPr>
        <w:t>el 15 de noviembre de 2018</w:t>
      </w:r>
      <w:r w:rsidR="005D1A3D" w:rsidRPr="00002EFA">
        <w:rPr>
          <w:rFonts w:ascii="Arial" w:hAnsi="Arial" w:cs="Arial"/>
          <w:sz w:val="22"/>
          <w:szCs w:val="22"/>
        </w:rPr>
        <w:t xml:space="preserve"> el contrato 3.343-2018 con el contratista </w:t>
      </w:r>
      <w:r w:rsidR="008244B1" w:rsidRPr="00002EFA">
        <w:rPr>
          <w:rFonts w:ascii="Arial" w:hAnsi="Arial" w:cs="Arial"/>
          <w:sz w:val="22"/>
          <w:szCs w:val="22"/>
        </w:rPr>
        <w:t>Macro Inversiones JD,</w:t>
      </w:r>
      <w:r w:rsidR="005D3ECF" w:rsidRPr="00002EFA">
        <w:rPr>
          <w:rFonts w:ascii="Arial" w:hAnsi="Arial" w:cs="Arial"/>
          <w:sz w:val="22"/>
          <w:szCs w:val="22"/>
        </w:rPr>
        <w:t xml:space="preserve"> vigente hasta el 31 de diciembre de 2019</w:t>
      </w:r>
      <w:r w:rsidR="008244B1" w:rsidRPr="00002EFA">
        <w:rPr>
          <w:rFonts w:ascii="Arial" w:hAnsi="Arial" w:cs="Arial"/>
          <w:sz w:val="22"/>
          <w:szCs w:val="22"/>
        </w:rPr>
        <w:t xml:space="preserve"> </w:t>
      </w:r>
      <w:r w:rsidR="005D1A3D" w:rsidRPr="00002EFA">
        <w:rPr>
          <w:rFonts w:ascii="Arial" w:hAnsi="Arial" w:cs="Arial"/>
          <w:sz w:val="22"/>
          <w:szCs w:val="22"/>
        </w:rPr>
        <w:t xml:space="preserve">el cual tiene como objeto prestar el servicio de mantenimiento preventivo y correctivo, que incluye la mano de </w:t>
      </w:r>
      <w:r w:rsidR="00FA0C91" w:rsidRPr="00002EFA">
        <w:rPr>
          <w:rFonts w:ascii="Arial" w:hAnsi="Arial" w:cs="Arial"/>
          <w:sz w:val="22"/>
          <w:szCs w:val="22"/>
        </w:rPr>
        <w:t>obra</w:t>
      </w:r>
      <w:r w:rsidR="005D1A3D" w:rsidRPr="00002EFA">
        <w:rPr>
          <w:rFonts w:ascii="Arial" w:hAnsi="Arial" w:cs="Arial"/>
          <w:sz w:val="22"/>
          <w:szCs w:val="22"/>
        </w:rPr>
        <w:t xml:space="preserve"> y </w:t>
      </w:r>
      <w:r w:rsidR="00FA0C91" w:rsidRPr="00002EFA">
        <w:rPr>
          <w:rFonts w:ascii="Arial" w:hAnsi="Arial" w:cs="Arial"/>
          <w:sz w:val="22"/>
          <w:szCs w:val="22"/>
        </w:rPr>
        <w:t>el</w:t>
      </w:r>
      <w:r w:rsidR="005D1A3D" w:rsidRPr="00002EFA">
        <w:rPr>
          <w:rFonts w:ascii="Arial" w:hAnsi="Arial" w:cs="Arial"/>
          <w:sz w:val="22"/>
          <w:szCs w:val="22"/>
        </w:rPr>
        <w:t xml:space="preserve"> suministro de materiales, insumos y repuestos nuevos y originales a las </w:t>
      </w:r>
      <w:r w:rsidR="00FF0C9E" w:rsidRPr="00002EFA">
        <w:rPr>
          <w:rFonts w:ascii="Arial" w:hAnsi="Arial" w:cs="Arial"/>
          <w:sz w:val="22"/>
          <w:szCs w:val="22"/>
        </w:rPr>
        <w:t>moto</w:t>
      </w:r>
      <w:r w:rsidR="00FF0C9E">
        <w:rPr>
          <w:rFonts w:ascii="Arial" w:hAnsi="Arial" w:cs="Arial"/>
          <w:sz w:val="22"/>
          <w:szCs w:val="22"/>
        </w:rPr>
        <w:t>cicletas d</w:t>
      </w:r>
      <w:r w:rsidR="005D1A3D" w:rsidRPr="00002EFA">
        <w:rPr>
          <w:rFonts w:ascii="Arial" w:hAnsi="Arial" w:cs="Arial"/>
          <w:sz w:val="22"/>
          <w:szCs w:val="22"/>
        </w:rPr>
        <w:t xml:space="preserve">e propiedad de este Ministerio. </w:t>
      </w:r>
    </w:p>
    <w:p w14:paraId="27CE7E4D" w14:textId="77777777" w:rsidR="006D6DDA" w:rsidRDefault="006D6DDA" w:rsidP="00E36C9A">
      <w:pPr>
        <w:jc w:val="both"/>
        <w:rPr>
          <w:rFonts w:ascii="Arial" w:hAnsi="Arial" w:cs="Arial"/>
          <w:sz w:val="22"/>
          <w:szCs w:val="22"/>
        </w:rPr>
      </w:pPr>
    </w:p>
    <w:p w14:paraId="25927F3E" w14:textId="77777777" w:rsidR="00FF0C9E" w:rsidRDefault="006D6DDA" w:rsidP="00E36C9A">
      <w:pPr>
        <w:jc w:val="both"/>
        <w:rPr>
          <w:rFonts w:ascii="Arial" w:hAnsi="Arial" w:cs="Arial"/>
          <w:sz w:val="22"/>
          <w:szCs w:val="22"/>
        </w:rPr>
      </w:pPr>
      <w:r>
        <w:rPr>
          <w:rFonts w:ascii="Arial" w:hAnsi="Arial" w:cs="Arial"/>
          <w:sz w:val="22"/>
          <w:szCs w:val="22"/>
        </w:rPr>
        <w:t xml:space="preserve">Con corte al </w:t>
      </w:r>
      <w:r w:rsidR="00FF33AA">
        <w:rPr>
          <w:rFonts w:ascii="Arial" w:hAnsi="Arial" w:cs="Arial"/>
          <w:sz w:val="22"/>
          <w:szCs w:val="22"/>
        </w:rPr>
        <w:t xml:space="preserve">anterior trimestre analizado [30/06/2019], </w:t>
      </w:r>
      <w:r w:rsidR="00FA294E">
        <w:rPr>
          <w:rFonts w:ascii="Arial" w:hAnsi="Arial" w:cs="Arial"/>
          <w:sz w:val="22"/>
          <w:szCs w:val="22"/>
        </w:rPr>
        <w:t xml:space="preserve">esta Oficina </w:t>
      </w:r>
      <w:r>
        <w:rPr>
          <w:rFonts w:ascii="Arial" w:hAnsi="Arial" w:cs="Arial"/>
          <w:sz w:val="22"/>
          <w:szCs w:val="22"/>
        </w:rPr>
        <w:t xml:space="preserve">evidenció </w:t>
      </w:r>
      <w:r w:rsidR="00FF33AA">
        <w:rPr>
          <w:rFonts w:ascii="Arial" w:hAnsi="Arial" w:cs="Arial"/>
          <w:sz w:val="22"/>
          <w:szCs w:val="22"/>
        </w:rPr>
        <w:t>que el</w:t>
      </w:r>
      <w:r>
        <w:rPr>
          <w:rFonts w:ascii="Arial" w:hAnsi="Arial" w:cs="Arial"/>
          <w:sz w:val="22"/>
          <w:szCs w:val="22"/>
        </w:rPr>
        <w:t xml:space="preserve"> </w:t>
      </w:r>
      <w:r w:rsidR="00FF33AA">
        <w:rPr>
          <w:rFonts w:ascii="Arial" w:hAnsi="Arial" w:cs="Arial"/>
          <w:sz w:val="22"/>
          <w:szCs w:val="22"/>
        </w:rPr>
        <w:t xml:space="preserve">contratista </w:t>
      </w:r>
      <w:r w:rsidR="00E959CF">
        <w:rPr>
          <w:rFonts w:ascii="Arial" w:hAnsi="Arial" w:cs="Arial"/>
          <w:sz w:val="22"/>
          <w:szCs w:val="22"/>
        </w:rPr>
        <w:t>no había presentado a este Ministerio las facturas concernientes al servicio de mantenimiento</w:t>
      </w:r>
      <w:r>
        <w:rPr>
          <w:rFonts w:ascii="Arial" w:hAnsi="Arial" w:cs="Arial"/>
          <w:sz w:val="22"/>
          <w:szCs w:val="22"/>
        </w:rPr>
        <w:t xml:space="preserve"> realizados </w:t>
      </w:r>
      <w:r w:rsidR="00867406">
        <w:rPr>
          <w:rFonts w:ascii="Arial" w:hAnsi="Arial" w:cs="Arial"/>
          <w:sz w:val="22"/>
          <w:szCs w:val="22"/>
        </w:rPr>
        <w:t>durante el primer semestre de 2019</w:t>
      </w:r>
      <w:r w:rsidR="00E959CF">
        <w:rPr>
          <w:rFonts w:ascii="Arial" w:hAnsi="Arial" w:cs="Arial"/>
          <w:sz w:val="22"/>
          <w:szCs w:val="22"/>
        </w:rPr>
        <w:t xml:space="preserve">. </w:t>
      </w:r>
      <w:r w:rsidR="00D979A8">
        <w:rPr>
          <w:rFonts w:ascii="Arial" w:hAnsi="Arial" w:cs="Arial"/>
          <w:sz w:val="22"/>
          <w:szCs w:val="22"/>
        </w:rPr>
        <w:t>De acuerdo con la consulta efectuada en el SIIF al 25 de noviembre de 2019</w:t>
      </w:r>
      <w:r w:rsidR="00FA294E">
        <w:rPr>
          <w:rFonts w:ascii="Arial" w:hAnsi="Arial" w:cs="Arial"/>
          <w:sz w:val="22"/>
          <w:szCs w:val="22"/>
        </w:rPr>
        <w:t xml:space="preserve">, persiste la situación antes descrita. Es decir, </w:t>
      </w:r>
      <w:r w:rsidR="00E009BE">
        <w:rPr>
          <w:rFonts w:ascii="Arial" w:hAnsi="Arial" w:cs="Arial"/>
          <w:sz w:val="22"/>
          <w:szCs w:val="22"/>
        </w:rPr>
        <w:t xml:space="preserve">este Ministerio </w:t>
      </w:r>
      <w:r w:rsidR="00FA294E">
        <w:rPr>
          <w:rFonts w:ascii="Arial" w:hAnsi="Arial" w:cs="Arial"/>
          <w:sz w:val="22"/>
          <w:szCs w:val="22"/>
        </w:rPr>
        <w:t>n</w:t>
      </w:r>
      <w:r w:rsidR="00D979A8">
        <w:rPr>
          <w:rFonts w:ascii="Arial" w:hAnsi="Arial" w:cs="Arial"/>
          <w:sz w:val="22"/>
          <w:szCs w:val="22"/>
        </w:rPr>
        <w:t xml:space="preserve">o </w:t>
      </w:r>
      <w:r w:rsidR="00FA294E">
        <w:rPr>
          <w:rFonts w:ascii="Arial" w:hAnsi="Arial" w:cs="Arial"/>
          <w:sz w:val="22"/>
          <w:szCs w:val="22"/>
        </w:rPr>
        <w:t xml:space="preserve">ha </w:t>
      </w:r>
      <w:r w:rsidR="00D979A8">
        <w:rPr>
          <w:rFonts w:ascii="Arial" w:hAnsi="Arial" w:cs="Arial"/>
          <w:sz w:val="22"/>
          <w:szCs w:val="22"/>
        </w:rPr>
        <w:t xml:space="preserve">registrado obligaciones de pago a nombre del contratista Macro Inversiones JD. </w:t>
      </w:r>
    </w:p>
    <w:p w14:paraId="4CD998BA" w14:textId="77777777" w:rsidR="00FF0C9E" w:rsidRDefault="00FF0C9E" w:rsidP="00E36C9A">
      <w:pPr>
        <w:jc w:val="both"/>
        <w:rPr>
          <w:rFonts w:ascii="Arial" w:hAnsi="Arial" w:cs="Arial"/>
          <w:sz w:val="22"/>
          <w:szCs w:val="22"/>
        </w:rPr>
      </w:pPr>
    </w:p>
    <w:p w14:paraId="7A4A1EA0" w14:textId="0CC3C141" w:rsidR="00D3560C" w:rsidRDefault="00D3560C" w:rsidP="00E36C9A">
      <w:pPr>
        <w:jc w:val="both"/>
        <w:rPr>
          <w:rFonts w:ascii="Arial" w:hAnsi="Arial" w:cs="Arial"/>
          <w:sz w:val="22"/>
          <w:szCs w:val="22"/>
        </w:rPr>
      </w:pPr>
      <w:r w:rsidRPr="00D3560C">
        <w:rPr>
          <w:rFonts w:ascii="Arial" w:hAnsi="Arial" w:cs="Arial"/>
          <w:sz w:val="22"/>
          <w:szCs w:val="22"/>
        </w:rPr>
        <w:t xml:space="preserve">Es de precisar que la situación antes mencionada, fue manifestada por esta Oficina en el Informe ARL-65 del 5 de septiembre de 2019, correspondiente al </w:t>
      </w:r>
      <w:r w:rsidR="00476F64">
        <w:rPr>
          <w:rFonts w:ascii="Arial" w:hAnsi="Arial" w:cs="Arial"/>
          <w:sz w:val="22"/>
          <w:szCs w:val="22"/>
        </w:rPr>
        <w:t>A</w:t>
      </w:r>
      <w:r w:rsidRPr="00476F64">
        <w:rPr>
          <w:rFonts w:ascii="Arial" w:hAnsi="Arial" w:cs="Arial"/>
          <w:i/>
          <w:iCs/>
          <w:sz w:val="22"/>
          <w:szCs w:val="22"/>
        </w:rPr>
        <w:t>nálisis de las medidas de austeridad del gasto del segundo trimestre de 2019</w:t>
      </w:r>
      <w:r w:rsidRPr="00D3560C">
        <w:rPr>
          <w:rFonts w:ascii="Arial" w:hAnsi="Arial" w:cs="Arial"/>
          <w:sz w:val="22"/>
          <w:szCs w:val="22"/>
        </w:rPr>
        <w:t xml:space="preserve">, </w:t>
      </w:r>
      <w:r w:rsidR="00476F64">
        <w:rPr>
          <w:rFonts w:ascii="Arial" w:hAnsi="Arial" w:cs="Arial"/>
          <w:sz w:val="22"/>
          <w:szCs w:val="22"/>
        </w:rPr>
        <w:t xml:space="preserve">en el cual se </w:t>
      </w:r>
      <w:r w:rsidRPr="00D3560C">
        <w:rPr>
          <w:rFonts w:ascii="Arial" w:hAnsi="Arial" w:cs="Arial"/>
          <w:sz w:val="22"/>
          <w:szCs w:val="22"/>
        </w:rPr>
        <w:t>recomen</w:t>
      </w:r>
      <w:r w:rsidR="00476F64">
        <w:rPr>
          <w:rFonts w:ascii="Arial" w:hAnsi="Arial" w:cs="Arial"/>
          <w:sz w:val="22"/>
          <w:szCs w:val="22"/>
        </w:rPr>
        <w:t xml:space="preserve">dó </w:t>
      </w:r>
      <w:r w:rsidRPr="00D3560C">
        <w:rPr>
          <w:rFonts w:ascii="Arial" w:hAnsi="Arial" w:cs="Arial"/>
          <w:sz w:val="22"/>
          <w:szCs w:val="22"/>
        </w:rPr>
        <w:t xml:space="preserve">al competente contractual analizar el estado actual del contrato y tomar las medidas pertinentes frente al particular. </w:t>
      </w:r>
    </w:p>
    <w:p w14:paraId="0885E9C6" w14:textId="77777777" w:rsidR="00D3560C" w:rsidRDefault="00D3560C" w:rsidP="00E36C9A">
      <w:pPr>
        <w:jc w:val="both"/>
        <w:rPr>
          <w:rFonts w:ascii="Arial" w:hAnsi="Arial" w:cs="Arial"/>
          <w:sz w:val="22"/>
          <w:szCs w:val="22"/>
        </w:rPr>
      </w:pPr>
    </w:p>
    <w:p w14:paraId="6E8F7D1C" w14:textId="2A4102DB" w:rsidR="00BE70C9" w:rsidRDefault="0035681E" w:rsidP="00E36C9A">
      <w:pPr>
        <w:jc w:val="both"/>
        <w:rPr>
          <w:rFonts w:ascii="Arial" w:hAnsi="Arial" w:cs="Arial"/>
          <w:sz w:val="22"/>
          <w:szCs w:val="22"/>
        </w:rPr>
      </w:pPr>
      <w:r w:rsidRPr="0035681E">
        <w:rPr>
          <w:rFonts w:ascii="Arial" w:hAnsi="Arial" w:cs="Arial"/>
          <w:sz w:val="22"/>
          <w:szCs w:val="22"/>
        </w:rPr>
        <w:t xml:space="preserve">Al respecto, el Coordinadora del Grupo de Logística y Suministros informó que se tomaron en cuenta las recomendaciones efectuadas por la Oficina de Control Interno, por lo que continuó requiriendo al proveedor para que presentara la documentación necesaria para tramitar los pagos pendientes por los servicios prestados.  Se efectuaron </w:t>
      </w:r>
      <w:r w:rsidR="00FF0C9E">
        <w:rPr>
          <w:rFonts w:ascii="Arial" w:hAnsi="Arial" w:cs="Arial"/>
          <w:sz w:val="22"/>
          <w:szCs w:val="22"/>
        </w:rPr>
        <w:t>las gestiones pertinentes (comunicación telefónica</w:t>
      </w:r>
      <w:r w:rsidRPr="0035681E">
        <w:rPr>
          <w:rFonts w:ascii="Arial" w:hAnsi="Arial" w:cs="Arial"/>
          <w:sz w:val="22"/>
          <w:szCs w:val="22"/>
        </w:rPr>
        <w:t xml:space="preserve"> y se enviaron varios correos electrónicos</w:t>
      </w:r>
      <w:r w:rsidR="00FF0C9E">
        <w:rPr>
          <w:rFonts w:ascii="Arial" w:hAnsi="Arial" w:cs="Arial"/>
          <w:sz w:val="22"/>
          <w:szCs w:val="22"/>
        </w:rPr>
        <w:t>)</w:t>
      </w:r>
      <w:r w:rsidRPr="0035681E">
        <w:rPr>
          <w:rFonts w:ascii="Arial" w:hAnsi="Arial" w:cs="Arial"/>
          <w:sz w:val="22"/>
          <w:szCs w:val="22"/>
        </w:rPr>
        <w:t>, obteniendo como respuesta él envió de las facturas</w:t>
      </w:r>
      <w:r w:rsidR="00966AE7">
        <w:rPr>
          <w:rFonts w:ascii="Arial" w:hAnsi="Arial" w:cs="Arial"/>
          <w:sz w:val="22"/>
          <w:szCs w:val="22"/>
        </w:rPr>
        <w:t xml:space="preserve">, las cuales </w:t>
      </w:r>
      <w:r w:rsidRPr="0035681E">
        <w:rPr>
          <w:rFonts w:ascii="Arial" w:hAnsi="Arial" w:cs="Arial"/>
          <w:sz w:val="22"/>
          <w:szCs w:val="22"/>
        </w:rPr>
        <w:t xml:space="preserve">fueron </w:t>
      </w:r>
      <w:r w:rsidR="00FF0C9E" w:rsidRPr="0035681E">
        <w:rPr>
          <w:rFonts w:ascii="Arial" w:hAnsi="Arial" w:cs="Arial"/>
          <w:sz w:val="22"/>
          <w:szCs w:val="22"/>
        </w:rPr>
        <w:t>devueltas</w:t>
      </w:r>
      <w:r w:rsidR="00FF0C9E">
        <w:rPr>
          <w:rFonts w:ascii="Arial" w:hAnsi="Arial" w:cs="Arial"/>
          <w:sz w:val="22"/>
          <w:szCs w:val="22"/>
        </w:rPr>
        <w:t xml:space="preserve"> al contratista, después de</w:t>
      </w:r>
      <w:r w:rsidR="00966AE7">
        <w:rPr>
          <w:rFonts w:ascii="Arial" w:hAnsi="Arial" w:cs="Arial"/>
          <w:sz w:val="22"/>
          <w:szCs w:val="22"/>
        </w:rPr>
        <w:t xml:space="preserve"> haber efectuado la verificación por este Minsiterio a dichas facturas, identificando que </w:t>
      </w:r>
      <w:r w:rsidRPr="0035681E">
        <w:rPr>
          <w:rFonts w:ascii="Arial" w:hAnsi="Arial" w:cs="Arial"/>
          <w:sz w:val="22"/>
          <w:szCs w:val="22"/>
        </w:rPr>
        <w:t>el proveedor continuaba con inconv</w:t>
      </w:r>
      <w:r w:rsidR="00FF0C9E">
        <w:rPr>
          <w:rFonts w:ascii="Arial" w:hAnsi="Arial" w:cs="Arial"/>
          <w:sz w:val="22"/>
          <w:szCs w:val="22"/>
        </w:rPr>
        <w:t xml:space="preserve">enientes de tipo administrativo que no permitieron emitir las facturas de forma correcta. </w:t>
      </w:r>
    </w:p>
    <w:p w14:paraId="217C876A" w14:textId="77777777" w:rsidR="00746223" w:rsidRDefault="00746223" w:rsidP="00E36C9A">
      <w:pPr>
        <w:jc w:val="both"/>
        <w:rPr>
          <w:rFonts w:ascii="Arial" w:hAnsi="Arial" w:cs="Arial"/>
          <w:b/>
          <w:sz w:val="22"/>
          <w:szCs w:val="22"/>
          <w:highlight w:val="yellow"/>
        </w:rPr>
      </w:pPr>
    </w:p>
    <w:p w14:paraId="11BF7D55" w14:textId="7F172904" w:rsidR="005E363E" w:rsidRPr="00C73641" w:rsidRDefault="00746223" w:rsidP="00E36C9A">
      <w:pPr>
        <w:jc w:val="both"/>
        <w:rPr>
          <w:rFonts w:ascii="Arial" w:hAnsi="Arial" w:cs="Arial"/>
          <w:sz w:val="22"/>
          <w:szCs w:val="22"/>
        </w:rPr>
      </w:pPr>
      <w:r>
        <w:rPr>
          <w:rFonts w:ascii="Arial" w:hAnsi="Arial" w:cs="Arial"/>
          <w:sz w:val="22"/>
          <w:szCs w:val="22"/>
        </w:rPr>
        <w:t xml:space="preserve">Considerando lo anterior, </w:t>
      </w:r>
      <w:r w:rsidR="005E363E" w:rsidRPr="00C73641">
        <w:rPr>
          <w:rFonts w:ascii="Arial" w:hAnsi="Arial" w:cs="Arial"/>
          <w:sz w:val="22"/>
          <w:szCs w:val="22"/>
        </w:rPr>
        <w:t xml:space="preserve">el </w:t>
      </w:r>
      <w:r w:rsidR="001850ED">
        <w:rPr>
          <w:rFonts w:ascii="Arial" w:hAnsi="Arial" w:cs="Arial"/>
          <w:sz w:val="22"/>
          <w:szCs w:val="22"/>
        </w:rPr>
        <w:t>tercer trimestre</w:t>
      </w:r>
      <w:r w:rsidR="005E363E" w:rsidRPr="00C73641">
        <w:rPr>
          <w:rFonts w:ascii="Arial" w:hAnsi="Arial" w:cs="Arial"/>
          <w:sz w:val="22"/>
          <w:szCs w:val="22"/>
        </w:rPr>
        <w:t xml:space="preserve"> de 2019</w:t>
      </w:r>
      <w:r>
        <w:rPr>
          <w:rFonts w:ascii="Arial" w:hAnsi="Arial" w:cs="Arial"/>
          <w:sz w:val="22"/>
          <w:szCs w:val="22"/>
        </w:rPr>
        <w:t xml:space="preserve">, </w:t>
      </w:r>
      <w:r w:rsidR="005E363E" w:rsidRPr="00C73641">
        <w:rPr>
          <w:rFonts w:ascii="Arial" w:hAnsi="Arial" w:cs="Arial"/>
          <w:sz w:val="22"/>
          <w:szCs w:val="22"/>
        </w:rPr>
        <w:t>no fue posible establecer las variaciones del gasto correspondiente al mantenimiento preventivo y correctivo de las moto</w:t>
      </w:r>
      <w:r w:rsidR="00AA21E1">
        <w:rPr>
          <w:rFonts w:ascii="Arial" w:hAnsi="Arial" w:cs="Arial"/>
          <w:sz w:val="22"/>
          <w:szCs w:val="22"/>
        </w:rPr>
        <w:t>cicletas,</w:t>
      </w:r>
      <w:r w:rsidR="005E363E" w:rsidRPr="00C73641">
        <w:rPr>
          <w:rFonts w:ascii="Arial" w:hAnsi="Arial" w:cs="Arial"/>
          <w:sz w:val="22"/>
          <w:szCs w:val="22"/>
        </w:rPr>
        <w:t xml:space="preserve"> en comparación con la vigencia anterior</w:t>
      </w:r>
      <w:r>
        <w:rPr>
          <w:rFonts w:ascii="Arial" w:hAnsi="Arial" w:cs="Arial"/>
          <w:sz w:val="22"/>
          <w:szCs w:val="22"/>
        </w:rPr>
        <w:t xml:space="preserve"> debido a la situación expuesta. Motivo el cual, </w:t>
      </w:r>
      <w:r w:rsidRPr="00746223">
        <w:rPr>
          <w:rFonts w:ascii="Arial" w:hAnsi="Arial" w:cs="Arial"/>
          <w:sz w:val="22"/>
          <w:szCs w:val="22"/>
        </w:rPr>
        <w:t>esta Oficina en el próximo seguimiento realizado a las medidas de austeridad,</w:t>
      </w:r>
      <w:r>
        <w:rPr>
          <w:rFonts w:ascii="Arial" w:hAnsi="Arial" w:cs="Arial"/>
          <w:sz w:val="22"/>
          <w:szCs w:val="22"/>
        </w:rPr>
        <w:t xml:space="preserve"> el concepto en cuestión </w:t>
      </w:r>
      <w:r w:rsidR="00E36C9A">
        <w:rPr>
          <w:rFonts w:ascii="Arial" w:hAnsi="Arial" w:cs="Arial"/>
          <w:sz w:val="22"/>
          <w:szCs w:val="22"/>
        </w:rPr>
        <w:t xml:space="preserve">será </w:t>
      </w:r>
      <w:r w:rsidR="00E36C9A" w:rsidRPr="00746223">
        <w:rPr>
          <w:rFonts w:ascii="Arial" w:hAnsi="Arial" w:cs="Arial"/>
          <w:sz w:val="22"/>
          <w:szCs w:val="22"/>
        </w:rPr>
        <w:t>objeto</w:t>
      </w:r>
      <w:r w:rsidRPr="00746223">
        <w:rPr>
          <w:rFonts w:ascii="Arial" w:hAnsi="Arial" w:cs="Arial"/>
          <w:sz w:val="22"/>
          <w:szCs w:val="22"/>
        </w:rPr>
        <w:t xml:space="preserve"> de verificaci</w:t>
      </w:r>
      <w:r>
        <w:rPr>
          <w:rFonts w:ascii="Arial" w:hAnsi="Arial" w:cs="Arial"/>
          <w:sz w:val="22"/>
          <w:szCs w:val="22"/>
        </w:rPr>
        <w:t xml:space="preserve">ón. </w:t>
      </w:r>
    </w:p>
    <w:p w14:paraId="54C4898D" w14:textId="1AF6EB6E" w:rsidR="004C03ED" w:rsidRDefault="004C03ED" w:rsidP="00E36C9A">
      <w:pPr>
        <w:rPr>
          <w:rFonts w:ascii="Arial" w:hAnsi="Arial" w:cs="Arial"/>
          <w:b/>
          <w:sz w:val="22"/>
          <w:szCs w:val="22"/>
          <w:highlight w:val="yellow"/>
        </w:rPr>
      </w:pPr>
    </w:p>
    <w:p w14:paraId="0DB2A79E" w14:textId="729BE341" w:rsidR="00E36C9A" w:rsidRDefault="00E36C9A" w:rsidP="00D63504">
      <w:pPr>
        <w:rPr>
          <w:rFonts w:ascii="Arial" w:hAnsi="Arial" w:cs="Arial"/>
          <w:b/>
          <w:sz w:val="22"/>
          <w:szCs w:val="22"/>
          <w:highlight w:val="yellow"/>
        </w:rPr>
      </w:pPr>
    </w:p>
    <w:p w14:paraId="616A2514" w14:textId="4259D907" w:rsidR="00E36C9A" w:rsidRDefault="00E36C9A" w:rsidP="00D63504">
      <w:pPr>
        <w:rPr>
          <w:rFonts w:ascii="Arial" w:hAnsi="Arial" w:cs="Arial"/>
          <w:b/>
          <w:sz w:val="22"/>
          <w:szCs w:val="22"/>
          <w:highlight w:val="yellow"/>
        </w:rPr>
      </w:pPr>
    </w:p>
    <w:p w14:paraId="4B554CD5" w14:textId="77777777" w:rsidR="00BB72E3" w:rsidRPr="00C14567" w:rsidRDefault="00E234F0" w:rsidP="00D63504">
      <w:pPr>
        <w:rPr>
          <w:rFonts w:ascii="Arial" w:hAnsi="Arial" w:cs="Arial"/>
          <w:b/>
          <w:sz w:val="22"/>
          <w:szCs w:val="22"/>
        </w:rPr>
      </w:pPr>
      <w:r w:rsidRPr="00C14567">
        <w:rPr>
          <w:rFonts w:ascii="Arial" w:hAnsi="Arial" w:cs="Arial"/>
          <w:b/>
          <w:sz w:val="22"/>
          <w:szCs w:val="22"/>
        </w:rPr>
        <w:lastRenderedPageBreak/>
        <w:t xml:space="preserve">5.2 </w:t>
      </w:r>
      <w:r w:rsidR="00BB72E3" w:rsidRPr="00C14567">
        <w:rPr>
          <w:rFonts w:ascii="Arial" w:hAnsi="Arial" w:cs="Arial"/>
          <w:b/>
          <w:sz w:val="22"/>
          <w:szCs w:val="22"/>
        </w:rPr>
        <w:t>COMBUSTIBLES</w:t>
      </w:r>
    </w:p>
    <w:p w14:paraId="22717719" w14:textId="77777777" w:rsidR="00B91AE6" w:rsidRPr="00C14567" w:rsidRDefault="00BB72E3" w:rsidP="00925BDC">
      <w:pPr>
        <w:spacing w:before="100" w:beforeAutospacing="1" w:after="100" w:afterAutospacing="1"/>
        <w:jc w:val="both"/>
        <w:rPr>
          <w:rFonts w:ascii="Arial" w:hAnsi="Arial" w:cs="Arial"/>
          <w:sz w:val="22"/>
          <w:szCs w:val="22"/>
        </w:rPr>
      </w:pPr>
      <w:r w:rsidRPr="00C14567">
        <w:rPr>
          <w:rFonts w:ascii="Arial" w:hAnsi="Arial" w:cs="Arial"/>
          <w:sz w:val="22"/>
          <w:szCs w:val="22"/>
        </w:rPr>
        <w:t>En la siguiente tabla se detallan los valores facturados por el consumo de gasolina y ACPM, para los vehículos que conforman el parque automotor</w:t>
      </w:r>
      <w:r w:rsidR="000E1D33" w:rsidRPr="00C14567">
        <w:rPr>
          <w:rFonts w:ascii="Arial" w:hAnsi="Arial" w:cs="Arial"/>
          <w:sz w:val="22"/>
          <w:szCs w:val="22"/>
        </w:rPr>
        <w:t>,</w:t>
      </w:r>
      <w:r w:rsidRPr="00C14567">
        <w:rPr>
          <w:rFonts w:ascii="Arial" w:hAnsi="Arial" w:cs="Arial"/>
          <w:sz w:val="22"/>
          <w:szCs w:val="22"/>
        </w:rPr>
        <w:t xml:space="preserve"> correspondiente al </w:t>
      </w:r>
      <w:r w:rsidR="00925BDC">
        <w:rPr>
          <w:rFonts w:ascii="Arial" w:hAnsi="Arial" w:cs="Arial"/>
          <w:sz w:val="22"/>
          <w:szCs w:val="22"/>
        </w:rPr>
        <w:t xml:space="preserve">tercer </w:t>
      </w:r>
      <w:r w:rsidR="00925BDC" w:rsidRPr="00C14567">
        <w:rPr>
          <w:rFonts w:ascii="Arial" w:hAnsi="Arial" w:cs="Arial"/>
          <w:sz w:val="22"/>
          <w:szCs w:val="22"/>
        </w:rPr>
        <w:t>trimestre</w:t>
      </w:r>
      <w:r w:rsidR="00D45352" w:rsidRPr="00C14567">
        <w:rPr>
          <w:rFonts w:ascii="Arial" w:hAnsi="Arial" w:cs="Arial"/>
          <w:sz w:val="22"/>
          <w:szCs w:val="22"/>
        </w:rPr>
        <w:t xml:space="preserve"> de 2019</w:t>
      </w:r>
      <w:r w:rsidRPr="00C14567">
        <w:rPr>
          <w:rFonts w:ascii="Arial" w:hAnsi="Arial" w:cs="Arial"/>
          <w:sz w:val="22"/>
          <w:szCs w:val="22"/>
        </w:rPr>
        <w:t xml:space="preserve"> comparado con el mismo trimestre de 201</w:t>
      </w:r>
      <w:r w:rsidR="00D45352" w:rsidRPr="00C14567">
        <w:rPr>
          <w:rFonts w:ascii="Arial" w:hAnsi="Arial" w:cs="Arial"/>
          <w:sz w:val="22"/>
          <w:szCs w:val="22"/>
        </w:rPr>
        <w:t>8</w:t>
      </w:r>
      <w:r w:rsidRPr="00C14567">
        <w:rPr>
          <w:rFonts w:ascii="Arial" w:hAnsi="Arial" w:cs="Arial"/>
          <w:sz w:val="22"/>
          <w:szCs w:val="22"/>
        </w:rPr>
        <w:t xml:space="preserve">:  </w:t>
      </w:r>
    </w:p>
    <w:tbl>
      <w:tblPr>
        <w:tblStyle w:val="Tabladecuadrcula1clara-nfasis1"/>
        <w:tblW w:w="0" w:type="auto"/>
        <w:jc w:val="center"/>
        <w:tblLook w:val="04A0" w:firstRow="1" w:lastRow="0" w:firstColumn="1" w:lastColumn="0" w:noHBand="0" w:noVBand="1"/>
      </w:tblPr>
      <w:tblGrid>
        <w:gridCol w:w="1528"/>
        <w:gridCol w:w="2195"/>
        <w:gridCol w:w="2195"/>
        <w:gridCol w:w="1773"/>
        <w:gridCol w:w="617"/>
      </w:tblGrid>
      <w:tr w:rsidR="00B91AE6" w:rsidRPr="00A003B6" w14:paraId="7EB901EA" w14:textId="77777777" w:rsidTr="003B077C">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308" w:type="dxa"/>
            <w:gridSpan w:val="5"/>
            <w:shd w:val="clear" w:color="auto" w:fill="4F81BD" w:themeFill="accent1"/>
            <w:vAlign w:val="center"/>
            <w:hideMark/>
          </w:tcPr>
          <w:p w14:paraId="75F2CD40" w14:textId="77777777" w:rsidR="00B91AE6" w:rsidRPr="00925BDC" w:rsidRDefault="00B91AE6" w:rsidP="00B91AE6">
            <w:pPr>
              <w:spacing w:before="100" w:after="100"/>
              <w:jc w:val="center"/>
              <w:rPr>
                <w:rFonts w:ascii="Arial" w:hAnsi="Arial" w:cs="Arial"/>
                <w:color w:val="000000"/>
                <w:sz w:val="20"/>
                <w:szCs w:val="20"/>
              </w:rPr>
            </w:pPr>
            <w:r w:rsidRPr="00925BDC">
              <w:rPr>
                <w:rFonts w:ascii="Arial" w:hAnsi="Arial" w:cs="Arial"/>
                <w:color w:val="FFFFFF" w:themeColor="background1"/>
                <w:sz w:val="20"/>
                <w:szCs w:val="20"/>
              </w:rPr>
              <w:t xml:space="preserve">Gasto de </w:t>
            </w:r>
            <w:r w:rsidR="00564F41" w:rsidRPr="00925BDC">
              <w:rPr>
                <w:rFonts w:ascii="Arial" w:hAnsi="Arial" w:cs="Arial"/>
                <w:color w:val="FFFFFF" w:themeColor="background1"/>
                <w:sz w:val="20"/>
                <w:szCs w:val="20"/>
              </w:rPr>
              <w:t>Combustible</w:t>
            </w:r>
            <w:r w:rsidRPr="00925BDC">
              <w:rPr>
                <w:rFonts w:ascii="Arial" w:hAnsi="Arial" w:cs="Arial"/>
                <w:color w:val="FFFFFF" w:themeColor="background1"/>
                <w:sz w:val="20"/>
                <w:szCs w:val="20"/>
              </w:rPr>
              <w:t xml:space="preserve"> Comparativo por Trimestre ($)</w:t>
            </w:r>
          </w:p>
        </w:tc>
      </w:tr>
      <w:tr w:rsidR="00B91AE6" w:rsidRPr="00A003B6" w14:paraId="660BD41E" w14:textId="77777777" w:rsidTr="003B077C">
        <w:trPr>
          <w:cantSplit/>
          <w:jc w:val="center"/>
        </w:trPr>
        <w:tc>
          <w:tcPr>
            <w:cnfStyle w:val="001000000000" w:firstRow="0" w:lastRow="0" w:firstColumn="1" w:lastColumn="0" w:oddVBand="0" w:evenVBand="0" w:oddHBand="0" w:evenHBand="0" w:firstRowFirstColumn="0" w:firstRowLastColumn="0" w:lastRowFirstColumn="0" w:lastRowLastColumn="0"/>
            <w:tcW w:w="1528" w:type="dxa"/>
            <w:vMerge w:val="restart"/>
            <w:shd w:val="clear" w:color="auto" w:fill="4F81BD" w:themeFill="accent1"/>
            <w:vAlign w:val="center"/>
            <w:hideMark/>
          </w:tcPr>
          <w:p w14:paraId="1A8B5CFB" w14:textId="77777777" w:rsidR="00B91AE6" w:rsidRPr="00925BDC" w:rsidRDefault="00B91AE6" w:rsidP="00B91AE6">
            <w:pPr>
              <w:spacing w:before="100" w:after="100"/>
              <w:jc w:val="center"/>
              <w:rPr>
                <w:rFonts w:ascii="Arial" w:hAnsi="Arial" w:cs="Arial"/>
                <w:color w:val="FFFFFF" w:themeColor="background1"/>
                <w:sz w:val="20"/>
                <w:szCs w:val="20"/>
              </w:rPr>
            </w:pPr>
            <w:r w:rsidRPr="00925BDC">
              <w:rPr>
                <w:rFonts w:ascii="Arial" w:hAnsi="Arial" w:cs="Arial"/>
                <w:color w:val="FFFFFF" w:themeColor="background1"/>
                <w:sz w:val="20"/>
                <w:szCs w:val="20"/>
              </w:rPr>
              <w:t>Periodo</w:t>
            </w:r>
          </w:p>
        </w:tc>
        <w:tc>
          <w:tcPr>
            <w:tcW w:w="0" w:type="auto"/>
            <w:vMerge w:val="restart"/>
            <w:shd w:val="clear" w:color="auto" w:fill="4F81BD" w:themeFill="accent1"/>
            <w:vAlign w:val="center"/>
            <w:hideMark/>
          </w:tcPr>
          <w:p w14:paraId="6F7ABD1B" w14:textId="77777777" w:rsidR="00B91AE6" w:rsidRPr="00925BDC"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25BDC">
              <w:rPr>
                <w:rFonts w:ascii="Arial" w:hAnsi="Arial" w:cs="Arial"/>
                <w:b/>
                <w:bCs/>
                <w:color w:val="FFFFFF" w:themeColor="background1"/>
                <w:sz w:val="20"/>
                <w:szCs w:val="20"/>
              </w:rPr>
              <w:t xml:space="preserve"> </w:t>
            </w:r>
            <w:r w:rsidR="00925BDC">
              <w:rPr>
                <w:rFonts w:ascii="Arial" w:hAnsi="Arial" w:cs="Arial"/>
                <w:b/>
                <w:bCs/>
                <w:color w:val="FFFFFF" w:themeColor="background1"/>
                <w:sz w:val="20"/>
                <w:szCs w:val="20"/>
              </w:rPr>
              <w:t>I</w:t>
            </w:r>
            <w:r w:rsidRPr="00925BDC">
              <w:rPr>
                <w:rFonts w:ascii="Arial" w:hAnsi="Arial" w:cs="Arial"/>
                <w:b/>
                <w:bCs/>
                <w:color w:val="FFFFFF" w:themeColor="background1"/>
                <w:sz w:val="20"/>
                <w:szCs w:val="20"/>
              </w:rPr>
              <w:t xml:space="preserve">II Trimestre de 2019 </w:t>
            </w:r>
          </w:p>
        </w:tc>
        <w:tc>
          <w:tcPr>
            <w:tcW w:w="0" w:type="auto"/>
            <w:vMerge w:val="restart"/>
            <w:shd w:val="clear" w:color="auto" w:fill="4F81BD" w:themeFill="accent1"/>
            <w:vAlign w:val="center"/>
            <w:hideMark/>
          </w:tcPr>
          <w:p w14:paraId="52B5B04A" w14:textId="77777777" w:rsidR="00B91AE6" w:rsidRPr="00925BDC"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25BDC">
              <w:rPr>
                <w:rFonts w:ascii="Arial" w:hAnsi="Arial" w:cs="Arial"/>
                <w:b/>
                <w:bCs/>
                <w:color w:val="FFFFFF" w:themeColor="background1"/>
                <w:sz w:val="20"/>
                <w:szCs w:val="20"/>
              </w:rPr>
              <w:t xml:space="preserve"> </w:t>
            </w:r>
            <w:r w:rsidR="00925BDC">
              <w:rPr>
                <w:rFonts w:ascii="Arial" w:hAnsi="Arial" w:cs="Arial"/>
                <w:b/>
                <w:bCs/>
                <w:color w:val="FFFFFF" w:themeColor="background1"/>
                <w:sz w:val="20"/>
                <w:szCs w:val="20"/>
              </w:rPr>
              <w:t>I</w:t>
            </w:r>
            <w:r w:rsidRPr="00925BDC">
              <w:rPr>
                <w:rFonts w:ascii="Arial" w:hAnsi="Arial" w:cs="Arial"/>
                <w:b/>
                <w:bCs/>
                <w:color w:val="FFFFFF" w:themeColor="background1"/>
                <w:sz w:val="20"/>
                <w:szCs w:val="20"/>
              </w:rPr>
              <w:t xml:space="preserve">II Trimestre de 2018 </w:t>
            </w:r>
          </w:p>
        </w:tc>
        <w:tc>
          <w:tcPr>
            <w:tcW w:w="0" w:type="auto"/>
            <w:gridSpan w:val="2"/>
            <w:shd w:val="clear" w:color="auto" w:fill="4F81BD" w:themeFill="accent1"/>
            <w:vAlign w:val="center"/>
            <w:hideMark/>
          </w:tcPr>
          <w:p w14:paraId="1F38EDE9" w14:textId="77777777" w:rsidR="00B91AE6" w:rsidRPr="00925BDC"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25BDC">
              <w:rPr>
                <w:rFonts w:ascii="Arial" w:hAnsi="Arial" w:cs="Arial"/>
                <w:b/>
                <w:bCs/>
                <w:color w:val="FFFFFF" w:themeColor="background1"/>
                <w:sz w:val="20"/>
                <w:szCs w:val="20"/>
              </w:rPr>
              <w:t>Variaciones</w:t>
            </w:r>
          </w:p>
        </w:tc>
      </w:tr>
      <w:tr w:rsidR="00B91AE6" w:rsidRPr="00A003B6" w14:paraId="0F3A960D" w14:textId="77777777" w:rsidTr="003B077C">
        <w:trPr>
          <w:cantSplit/>
          <w:trHeight w:val="206"/>
          <w:jc w:val="center"/>
        </w:trPr>
        <w:tc>
          <w:tcPr>
            <w:cnfStyle w:val="001000000000" w:firstRow="0" w:lastRow="0" w:firstColumn="1" w:lastColumn="0" w:oddVBand="0" w:evenVBand="0" w:oddHBand="0" w:evenHBand="0" w:firstRowFirstColumn="0" w:firstRowLastColumn="0" w:lastRowFirstColumn="0" w:lastRowLastColumn="0"/>
            <w:tcW w:w="1528" w:type="dxa"/>
            <w:vMerge/>
            <w:tcBorders>
              <w:bottom w:val="nil"/>
            </w:tcBorders>
            <w:shd w:val="clear" w:color="auto" w:fill="4F81BD" w:themeFill="accent1"/>
            <w:vAlign w:val="center"/>
            <w:hideMark/>
          </w:tcPr>
          <w:p w14:paraId="6ED55FE2" w14:textId="77777777" w:rsidR="00B91AE6" w:rsidRPr="00925BDC" w:rsidRDefault="00B91AE6" w:rsidP="00B91AE6">
            <w:pPr>
              <w:spacing w:before="100" w:after="100"/>
              <w:rPr>
                <w:rFonts w:ascii="Arial" w:hAnsi="Arial" w:cs="Arial"/>
                <w:color w:val="FFFFFF" w:themeColor="background1"/>
                <w:sz w:val="20"/>
                <w:szCs w:val="20"/>
              </w:rPr>
            </w:pPr>
          </w:p>
        </w:tc>
        <w:tc>
          <w:tcPr>
            <w:tcW w:w="0" w:type="auto"/>
            <w:vMerge/>
            <w:tcBorders>
              <w:bottom w:val="nil"/>
            </w:tcBorders>
            <w:shd w:val="clear" w:color="auto" w:fill="4F81BD" w:themeFill="accent1"/>
            <w:vAlign w:val="center"/>
            <w:hideMark/>
          </w:tcPr>
          <w:p w14:paraId="0ACC4AE7" w14:textId="77777777" w:rsidR="00B91AE6" w:rsidRPr="00925BDC"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vMerge/>
            <w:tcBorders>
              <w:bottom w:val="nil"/>
            </w:tcBorders>
            <w:shd w:val="clear" w:color="auto" w:fill="4F81BD" w:themeFill="accent1"/>
            <w:vAlign w:val="center"/>
            <w:hideMark/>
          </w:tcPr>
          <w:p w14:paraId="5A6245AD" w14:textId="77777777" w:rsidR="00B91AE6" w:rsidRPr="00925BDC" w:rsidRDefault="00B91AE6" w:rsidP="00B91AE6">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0" w:type="auto"/>
            <w:tcBorders>
              <w:bottom w:val="nil"/>
            </w:tcBorders>
            <w:shd w:val="clear" w:color="auto" w:fill="4F81BD" w:themeFill="accent1"/>
            <w:vAlign w:val="center"/>
            <w:hideMark/>
          </w:tcPr>
          <w:p w14:paraId="0717DBD0" w14:textId="77777777" w:rsidR="00B91AE6" w:rsidRPr="00925BDC"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25BDC">
              <w:rPr>
                <w:rFonts w:ascii="Arial" w:hAnsi="Arial" w:cs="Arial"/>
                <w:b/>
                <w:bCs/>
                <w:color w:val="FFFFFF" w:themeColor="background1"/>
                <w:sz w:val="20"/>
                <w:szCs w:val="20"/>
              </w:rPr>
              <w:t>($)</w:t>
            </w:r>
          </w:p>
        </w:tc>
        <w:tc>
          <w:tcPr>
            <w:tcW w:w="0" w:type="auto"/>
            <w:tcBorders>
              <w:bottom w:val="nil"/>
            </w:tcBorders>
            <w:shd w:val="clear" w:color="auto" w:fill="4F81BD" w:themeFill="accent1"/>
            <w:vAlign w:val="center"/>
            <w:hideMark/>
          </w:tcPr>
          <w:p w14:paraId="3958657F" w14:textId="77777777" w:rsidR="00B91AE6" w:rsidRPr="00925BDC" w:rsidRDefault="00B91AE6" w:rsidP="00B91AE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925BDC">
              <w:rPr>
                <w:rFonts w:ascii="Arial" w:hAnsi="Arial" w:cs="Arial"/>
                <w:b/>
                <w:bCs/>
                <w:color w:val="FFFFFF" w:themeColor="background1"/>
                <w:sz w:val="20"/>
                <w:szCs w:val="20"/>
              </w:rPr>
              <w:t>%</w:t>
            </w:r>
          </w:p>
        </w:tc>
      </w:tr>
      <w:tr w:rsidR="00273BC5" w:rsidRPr="00A003B6" w14:paraId="0A2B4912" w14:textId="77777777" w:rsidTr="003B077C">
        <w:trPr>
          <w:cantSplit/>
          <w:jc w:val="center"/>
        </w:trPr>
        <w:tc>
          <w:tcPr>
            <w:cnfStyle w:val="001000000000" w:firstRow="0" w:lastRow="0" w:firstColumn="1" w:lastColumn="0" w:oddVBand="0" w:evenVBand="0" w:oddHBand="0" w:evenHBand="0" w:firstRowFirstColumn="0" w:firstRowLastColumn="0" w:lastRowFirstColumn="0" w:lastRowLastColumn="0"/>
            <w:tcW w:w="1528" w:type="dxa"/>
            <w:tcBorders>
              <w:top w:val="nil"/>
              <w:left w:val="nil"/>
              <w:bottom w:val="nil"/>
              <w:right w:val="nil"/>
            </w:tcBorders>
            <w:noWrap/>
            <w:vAlign w:val="center"/>
            <w:hideMark/>
          </w:tcPr>
          <w:p w14:paraId="559B2D30" w14:textId="77777777" w:rsidR="00273BC5" w:rsidRPr="003D2343" w:rsidRDefault="00273BC5" w:rsidP="00273BC5">
            <w:pPr>
              <w:spacing w:before="100" w:after="100"/>
              <w:jc w:val="center"/>
              <w:rPr>
                <w:rFonts w:ascii="Arial" w:hAnsi="Arial" w:cs="Arial"/>
                <w:b w:val="0"/>
                <w:color w:val="0F243E" w:themeColor="text2" w:themeShade="80"/>
                <w:sz w:val="20"/>
                <w:szCs w:val="20"/>
              </w:rPr>
            </w:pPr>
            <w:r w:rsidRPr="003D2343">
              <w:rPr>
                <w:rFonts w:ascii="Arial" w:hAnsi="Arial" w:cs="Arial"/>
                <w:b w:val="0"/>
                <w:color w:val="0F243E" w:themeColor="text2" w:themeShade="80"/>
                <w:sz w:val="20"/>
                <w:szCs w:val="20"/>
              </w:rPr>
              <w:t xml:space="preserve">Julio </w:t>
            </w:r>
          </w:p>
        </w:tc>
        <w:tc>
          <w:tcPr>
            <w:tcW w:w="0" w:type="auto"/>
            <w:tcBorders>
              <w:top w:val="nil"/>
              <w:left w:val="nil"/>
              <w:bottom w:val="nil"/>
              <w:right w:val="nil"/>
            </w:tcBorders>
            <w:noWrap/>
            <w:vAlign w:val="center"/>
            <w:hideMark/>
          </w:tcPr>
          <w:p w14:paraId="3D217AAE" w14:textId="77777777" w:rsidR="00273BC5" w:rsidRPr="00FB7EA4" w:rsidRDefault="00273BC5" w:rsidP="0028238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13.104.617 </w:t>
            </w:r>
          </w:p>
        </w:tc>
        <w:tc>
          <w:tcPr>
            <w:tcW w:w="0" w:type="auto"/>
            <w:tcBorders>
              <w:top w:val="nil"/>
              <w:left w:val="nil"/>
              <w:bottom w:val="nil"/>
              <w:right w:val="nil"/>
            </w:tcBorders>
            <w:noWrap/>
            <w:vAlign w:val="center"/>
            <w:hideMark/>
          </w:tcPr>
          <w:p w14:paraId="486C42CC" w14:textId="77777777" w:rsidR="00273BC5" w:rsidRPr="00FB7EA4" w:rsidRDefault="00273BC5" w:rsidP="0028238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10.714.307 </w:t>
            </w:r>
          </w:p>
        </w:tc>
        <w:tc>
          <w:tcPr>
            <w:tcW w:w="0" w:type="auto"/>
            <w:tcBorders>
              <w:top w:val="nil"/>
              <w:left w:val="nil"/>
              <w:bottom w:val="nil"/>
              <w:right w:val="nil"/>
            </w:tcBorders>
            <w:noWrap/>
            <w:vAlign w:val="center"/>
            <w:hideMark/>
          </w:tcPr>
          <w:p w14:paraId="7C4B60ED" w14:textId="77777777" w:rsidR="00273BC5" w:rsidRPr="00FB7EA4" w:rsidRDefault="00273BC5" w:rsidP="0028238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2.390.310 </w:t>
            </w:r>
          </w:p>
        </w:tc>
        <w:tc>
          <w:tcPr>
            <w:tcW w:w="0" w:type="auto"/>
            <w:tcBorders>
              <w:top w:val="nil"/>
              <w:left w:val="nil"/>
              <w:bottom w:val="nil"/>
              <w:right w:val="nil"/>
            </w:tcBorders>
            <w:noWrap/>
            <w:vAlign w:val="center"/>
            <w:hideMark/>
          </w:tcPr>
          <w:p w14:paraId="72D2559C" w14:textId="77777777" w:rsidR="00273BC5" w:rsidRPr="00FB7EA4" w:rsidRDefault="00273BC5" w:rsidP="00273BC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22%</w:t>
            </w:r>
          </w:p>
        </w:tc>
      </w:tr>
      <w:tr w:rsidR="00273BC5" w:rsidRPr="00A003B6" w14:paraId="7920C8DA" w14:textId="77777777" w:rsidTr="003B077C">
        <w:trPr>
          <w:cantSplit/>
          <w:jc w:val="center"/>
        </w:trPr>
        <w:tc>
          <w:tcPr>
            <w:cnfStyle w:val="001000000000" w:firstRow="0" w:lastRow="0" w:firstColumn="1" w:lastColumn="0" w:oddVBand="0" w:evenVBand="0" w:oddHBand="0" w:evenHBand="0" w:firstRowFirstColumn="0" w:firstRowLastColumn="0" w:lastRowFirstColumn="0" w:lastRowLastColumn="0"/>
            <w:tcW w:w="1528" w:type="dxa"/>
            <w:tcBorders>
              <w:top w:val="nil"/>
              <w:left w:val="nil"/>
              <w:bottom w:val="nil"/>
              <w:right w:val="nil"/>
            </w:tcBorders>
            <w:noWrap/>
            <w:vAlign w:val="center"/>
            <w:hideMark/>
          </w:tcPr>
          <w:p w14:paraId="399EF3B5" w14:textId="77777777" w:rsidR="00273BC5" w:rsidRPr="003D2343" w:rsidRDefault="00273BC5" w:rsidP="00273BC5">
            <w:pPr>
              <w:spacing w:before="100" w:after="100"/>
              <w:jc w:val="center"/>
              <w:rPr>
                <w:rFonts w:ascii="Arial" w:hAnsi="Arial" w:cs="Arial"/>
                <w:b w:val="0"/>
                <w:color w:val="0F243E" w:themeColor="text2" w:themeShade="80"/>
                <w:sz w:val="20"/>
                <w:szCs w:val="20"/>
              </w:rPr>
            </w:pPr>
            <w:r w:rsidRPr="003D2343">
              <w:rPr>
                <w:rFonts w:ascii="Arial" w:hAnsi="Arial" w:cs="Arial"/>
                <w:b w:val="0"/>
                <w:color w:val="0F243E" w:themeColor="text2" w:themeShade="80"/>
                <w:sz w:val="20"/>
                <w:szCs w:val="20"/>
              </w:rPr>
              <w:t xml:space="preserve">Agosto </w:t>
            </w:r>
          </w:p>
        </w:tc>
        <w:tc>
          <w:tcPr>
            <w:tcW w:w="0" w:type="auto"/>
            <w:tcBorders>
              <w:top w:val="nil"/>
              <w:left w:val="nil"/>
              <w:bottom w:val="nil"/>
              <w:right w:val="nil"/>
            </w:tcBorders>
            <w:noWrap/>
            <w:vAlign w:val="center"/>
            <w:hideMark/>
          </w:tcPr>
          <w:p w14:paraId="21F83B20" w14:textId="77777777" w:rsidR="00273BC5" w:rsidRPr="00FB7EA4" w:rsidRDefault="00273BC5" w:rsidP="0028238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12.468.412 </w:t>
            </w:r>
          </w:p>
        </w:tc>
        <w:tc>
          <w:tcPr>
            <w:tcW w:w="0" w:type="auto"/>
            <w:tcBorders>
              <w:top w:val="nil"/>
              <w:left w:val="nil"/>
              <w:bottom w:val="nil"/>
              <w:right w:val="nil"/>
            </w:tcBorders>
            <w:noWrap/>
            <w:vAlign w:val="center"/>
            <w:hideMark/>
          </w:tcPr>
          <w:p w14:paraId="4B010255" w14:textId="77777777" w:rsidR="00273BC5" w:rsidRPr="00FB7EA4" w:rsidRDefault="00273BC5" w:rsidP="0028238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10.978.539 </w:t>
            </w:r>
          </w:p>
        </w:tc>
        <w:tc>
          <w:tcPr>
            <w:tcW w:w="0" w:type="auto"/>
            <w:tcBorders>
              <w:top w:val="nil"/>
              <w:left w:val="nil"/>
              <w:bottom w:val="nil"/>
              <w:right w:val="nil"/>
            </w:tcBorders>
            <w:noWrap/>
            <w:vAlign w:val="center"/>
            <w:hideMark/>
          </w:tcPr>
          <w:p w14:paraId="00C34A34" w14:textId="77777777" w:rsidR="00273BC5" w:rsidRPr="00FB7EA4" w:rsidRDefault="00273BC5" w:rsidP="0028238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1.489.873 </w:t>
            </w:r>
          </w:p>
        </w:tc>
        <w:tc>
          <w:tcPr>
            <w:tcW w:w="0" w:type="auto"/>
            <w:tcBorders>
              <w:top w:val="nil"/>
              <w:left w:val="nil"/>
              <w:bottom w:val="nil"/>
              <w:right w:val="nil"/>
            </w:tcBorders>
            <w:noWrap/>
            <w:vAlign w:val="center"/>
            <w:hideMark/>
          </w:tcPr>
          <w:p w14:paraId="5F025FC4" w14:textId="77777777" w:rsidR="00273BC5" w:rsidRPr="00FB7EA4" w:rsidRDefault="00273BC5" w:rsidP="00273BC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14%</w:t>
            </w:r>
          </w:p>
        </w:tc>
      </w:tr>
      <w:tr w:rsidR="00273BC5" w:rsidRPr="00A003B6" w14:paraId="1B0DAB5D" w14:textId="77777777" w:rsidTr="003B077C">
        <w:trPr>
          <w:cantSplit/>
          <w:jc w:val="center"/>
        </w:trPr>
        <w:tc>
          <w:tcPr>
            <w:cnfStyle w:val="001000000000" w:firstRow="0" w:lastRow="0" w:firstColumn="1" w:lastColumn="0" w:oddVBand="0" w:evenVBand="0" w:oddHBand="0" w:evenHBand="0" w:firstRowFirstColumn="0" w:firstRowLastColumn="0" w:lastRowFirstColumn="0" w:lastRowLastColumn="0"/>
            <w:tcW w:w="1528" w:type="dxa"/>
            <w:tcBorders>
              <w:top w:val="nil"/>
              <w:left w:val="nil"/>
              <w:bottom w:val="double" w:sz="4" w:space="0" w:color="4F81BD" w:themeColor="accent1"/>
              <w:right w:val="nil"/>
            </w:tcBorders>
            <w:noWrap/>
            <w:vAlign w:val="center"/>
            <w:hideMark/>
          </w:tcPr>
          <w:p w14:paraId="79C65904" w14:textId="77777777" w:rsidR="00273BC5" w:rsidRPr="003D2343" w:rsidRDefault="00273BC5" w:rsidP="00273BC5">
            <w:pPr>
              <w:spacing w:before="100" w:after="100"/>
              <w:jc w:val="center"/>
              <w:rPr>
                <w:rFonts w:ascii="Arial" w:hAnsi="Arial" w:cs="Arial"/>
                <w:b w:val="0"/>
                <w:color w:val="0F243E" w:themeColor="text2" w:themeShade="80"/>
                <w:sz w:val="20"/>
                <w:szCs w:val="20"/>
              </w:rPr>
            </w:pPr>
            <w:r w:rsidRPr="003D2343">
              <w:rPr>
                <w:rFonts w:ascii="Arial" w:hAnsi="Arial" w:cs="Arial"/>
                <w:b w:val="0"/>
                <w:color w:val="0F243E" w:themeColor="text2" w:themeShade="80"/>
                <w:sz w:val="20"/>
                <w:szCs w:val="20"/>
              </w:rPr>
              <w:t xml:space="preserve">Septiembre </w:t>
            </w:r>
          </w:p>
        </w:tc>
        <w:tc>
          <w:tcPr>
            <w:tcW w:w="0" w:type="auto"/>
            <w:tcBorders>
              <w:top w:val="nil"/>
              <w:left w:val="nil"/>
              <w:bottom w:val="double" w:sz="4" w:space="0" w:color="4F81BD" w:themeColor="accent1"/>
              <w:right w:val="nil"/>
            </w:tcBorders>
            <w:noWrap/>
            <w:vAlign w:val="center"/>
            <w:hideMark/>
          </w:tcPr>
          <w:p w14:paraId="4951D82D" w14:textId="77777777" w:rsidR="00273BC5" w:rsidRPr="00FB7EA4" w:rsidRDefault="00273BC5" w:rsidP="0028238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11.287.165 </w:t>
            </w:r>
          </w:p>
        </w:tc>
        <w:tc>
          <w:tcPr>
            <w:tcW w:w="0" w:type="auto"/>
            <w:tcBorders>
              <w:top w:val="nil"/>
              <w:left w:val="nil"/>
              <w:bottom w:val="double" w:sz="4" w:space="0" w:color="4F81BD" w:themeColor="accent1"/>
              <w:right w:val="nil"/>
            </w:tcBorders>
            <w:noWrap/>
            <w:vAlign w:val="center"/>
            <w:hideMark/>
          </w:tcPr>
          <w:p w14:paraId="63DF1B93" w14:textId="77777777" w:rsidR="00273BC5" w:rsidRPr="00FB7EA4" w:rsidRDefault="00273BC5" w:rsidP="0028238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10.676.162 </w:t>
            </w:r>
          </w:p>
        </w:tc>
        <w:tc>
          <w:tcPr>
            <w:tcW w:w="0" w:type="auto"/>
            <w:tcBorders>
              <w:top w:val="nil"/>
              <w:left w:val="nil"/>
              <w:bottom w:val="double" w:sz="4" w:space="0" w:color="4F81BD" w:themeColor="accent1"/>
              <w:right w:val="nil"/>
            </w:tcBorders>
            <w:noWrap/>
            <w:vAlign w:val="center"/>
            <w:hideMark/>
          </w:tcPr>
          <w:p w14:paraId="0131BF75" w14:textId="77777777" w:rsidR="00273BC5" w:rsidRPr="00FB7EA4" w:rsidRDefault="00273BC5" w:rsidP="0028238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611.003 </w:t>
            </w:r>
          </w:p>
        </w:tc>
        <w:tc>
          <w:tcPr>
            <w:tcW w:w="0" w:type="auto"/>
            <w:tcBorders>
              <w:top w:val="nil"/>
              <w:left w:val="nil"/>
              <w:bottom w:val="double" w:sz="4" w:space="0" w:color="4F81BD" w:themeColor="accent1"/>
              <w:right w:val="nil"/>
            </w:tcBorders>
            <w:noWrap/>
            <w:vAlign w:val="center"/>
            <w:hideMark/>
          </w:tcPr>
          <w:p w14:paraId="6C8A91F1" w14:textId="77777777" w:rsidR="00273BC5" w:rsidRPr="00FB7EA4" w:rsidRDefault="00273BC5" w:rsidP="00273BC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w:t>
            </w:r>
          </w:p>
        </w:tc>
      </w:tr>
      <w:tr w:rsidR="00273BC5" w:rsidRPr="00A003B6" w14:paraId="41BB63F8" w14:textId="77777777" w:rsidTr="003B077C">
        <w:trPr>
          <w:cantSplit/>
          <w:jc w:val="center"/>
        </w:trPr>
        <w:tc>
          <w:tcPr>
            <w:cnfStyle w:val="001000000000" w:firstRow="0" w:lastRow="0" w:firstColumn="1" w:lastColumn="0" w:oddVBand="0" w:evenVBand="0" w:oddHBand="0" w:evenHBand="0" w:firstRowFirstColumn="0" w:firstRowLastColumn="0" w:lastRowFirstColumn="0" w:lastRowLastColumn="0"/>
            <w:tcW w:w="1528" w:type="dxa"/>
            <w:tcBorders>
              <w:top w:val="double" w:sz="4" w:space="0" w:color="4F81BD" w:themeColor="accent1"/>
              <w:left w:val="nil"/>
              <w:bottom w:val="double" w:sz="4" w:space="0" w:color="4F81BD" w:themeColor="accent1"/>
              <w:right w:val="nil"/>
            </w:tcBorders>
            <w:noWrap/>
            <w:vAlign w:val="center"/>
            <w:hideMark/>
          </w:tcPr>
          <w:p w14:paraId="7673C182" w14:textId="77777777" w:rsidR="00273BC5" w:rsidRPr="003D2343" w:rsidRDefault="00273BC5" w:rsidP="00273BC5">
            <w:pPr>
              <w:spacing w:before="100" w:after="100"/>
              <w:jc w:val="center"/>
              <w:rPr>
                <w:rFonts w:ascii="Arial" w:hAnsi="Arial" w:cs="Arial"/>
                <w:color w:val="0F243E" w:themeColor="text2" w:themeShade="80"/>
                <w:sz w:val="20"/>
                <w:szCs w:val="20"/>
              </w:rPr>
            </w:pPr>
            <w:r w:rsidRPr="003D2343">
              <w:rPr>
                <w:rFonts w:ascii="Arial" w:hAnsi="Arial" w:cs="Arial"/>
                <w:color w:val="0F243E" w:themeColor="text2" w:themeShade="80"/>
                <w:sz w:val="20"/>
                <w:szCs w:val="20"/>
              </w:rPr>
              <w:t>Total</w:t>
            </w:r>
          </w:p>
        </w:tc>
        <w:tc>
          <w:tcPr>
            <w:tcW w:w="0" w:type="auto"/>
            <w:tcBorders>
              <w:top w:val="double" w:sz="4" w:space="0" w:color="4F81BD" w:themeColor="accent1"/>
              <w:left w:val="nil"/>
              <w:bottom w:val="double" w:sz="4" w:space="0" w:color="4F81BD" w:themeColor="accent1"/>
              <w:right w:val="nil"/>
            </w:tcBorders>
            <w:noWrap/>
            <w:vAlign w:val="center"/>
            <w:hideMark/>
          </w:tcPr>
          <w:p w14:paraId="51D3974E" w14:textId="77777777" w:rsidR="00273BC5" w:rsidRPr="00FB7EA4" w:rsidRDefault="00273BC5" w:rsidP="0028238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36.860.193 </w:t>
            </w:r>
          </w:p>
        </w:tc>
        <w:tc>
          <w:tcPr>
            <w:tcW w:w="0" w:type="auto"/>
            <w:tcBorders>
              <w:top w:val="double" w:sz="4" w:space="0" w:color="4F81BD" w:themeColor="accent1"/>
              <w:left w:val="nil"/>
              <w:bottom w:val="double" w:sz="4" w:space="0" w:color="4F81BD" w:themeColor="accent1"/>
              <w:right w:val="nil"/>
            </w:tcBorders>
            <w:noWrap/>
            <w:vAlign w:val="center"/>
            <w:hideMark/>
          </w:tcPr>
          <w:p w14:paraId="3D606793" w14:textId="77777777" w:rsidR="00273BC5" w:rsidRPr="00FB7EA4" w:rsidRDefault="00273BC5" w:rsidP="0028238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32.369.008 </w:t>
            </w:r>
          </w:p>
        </w:tc>
        <w:tc>
          <w:tcPr>
            <w:tcW w:w="0" w:type="auto"/>
            <w:tcBorders>
              <w:top w:val="double" w:sz="4" w:space="0" w:color="4F81BD" w:themeColor="accent1"/>
              <w:left w:val="nil"/>
              <w:bottom w:val="double" w:sz="4" w:space="0" w:color="4F81BD" w:themeColor="accent1"/>
              <w:right w:val="nil"/>
            </w:tcBorders>
            <w:noWrap/>
            <w:vAlign w:val="center"/>
            <w:hideMark/>
          </w:tcPr>
          <w:p w14:paraId="36723CE2" w14:textId="77777777" w:rsidR="00273BC5" w:rsidRPr="00FB7EA4" w:rsidRDefault="00273BC5" w:rsidP="0028238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4.491.185 </w:t>
            </w:r>
          </w:p>
        </w:tc>
        <w:tc>
          <w:tcPr>
            <w:tcW w:w="0" w:type="auto"/>
            <w:tcBorders>
              <w:top w:val="double" w:sz="4" w:space="0" w:color="4F81BD" w:themeColor="accent1"/>
              <w:left w:val="nil"/>
              <w:bottom w:val="double" w:sz="4" w:space="0" w:color="4F81BD" w:themeColor="accent1"/>
              <w:right w:val="nil"/>
            </w:tcBorders>
            <w:noWrap/>
            <w:vAlign w:val="center"/>
            <w:hideMark/>
          </w:tcPr>
          <w:p w14:paraId="579672B5" w14:textId="77777777" w:rsidR="00273BC5" w:rsidRPr="00FB7EA4" w:rsidRDefault="00273BC5" w:rsidP="00273BC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14%</w:t>
            </w:r>
          </w:p>
        </w:tc>
      </w:tr>
    </w:tbl>
    <w:p w14:paraId="4CF6EF3E" w14:textId="77777777" w:rsidR="003339C6" w:rsidRPr="00A003B6" w:rsidRDefault="003339C6" w:rsidP="00BB72E3">
      <w:pPr>
        <w:rPr>
          <w:rFonts w:ascii="Arial" w:hAnsi="Arial" w:cs="Arial"/>
          <w:sz w:val="22"/>
          <w:szCs w:val="22"/>
          <w:highlight w:val="yellow"/>
        </w:rPr>
      </w:pPr>
    </w:p>
    <w:p w14:paraId="384508AC" w14:textId="77777777" w:rsidR="00D01B51" w:rsidRDefault="00BB72E3" w:rsidP="003D2343">
      <w:pPr>
        <w:jc w:val="both"/>
        <w:rPr>
          <w:rFonts w:ascii="Arial" w:hAnsi="Arial" w:cs="Arial"/>
          <w:sz w:val="22"/>
          <w:szCs w:val="22"/>
        </w:rPr>
      </w:pPr>
      <w:r w:rsidRPr="002853A1">
        <w:rPr>
          <w:rFonts w:ascii="Arial" w:hAnsi="Arial" w:cs="Arial"/>
          <w:sz w:val="22"/>
          <w:szCs w:val="22"/>
        </w:rPr>
        <w:t xml:space="preserve">Para los periodos analizados, se observó </w:t>
      </w:r>
      <w:r w:rsidR="00806537" w:rsidRPr="002853A1">
        <w:rPr>
          <w:rFonts w:ascii="Arial" w:hAnsi="Arial" w:cs="Arial"/>
          <w:sz w:val="22"/>
          <w:szCs w:val="22"/>
        </w:rPr>
        <w:t xml:space="preserve">un </w:t>
      </w:r>
      <w:r w:rsidR="00806537" w:rsidRPr="002853A1">
        <w:rPr>
          <w:rFonts w:ascii="Arial" w:hAnsi="Arial" w:cs="Arial"/>
          <w:b/>
          <w:sz w:val="22"/>
          <w:szCs w:val="22"/>
        </w:rPr>
        <w:t>incremento</w:t>
      </w:r>
      <w:r w:rsidR="00806537" w:rsidRPr="002853A1">
        <w:rPr>
          <w:rFonts w:ascii="Arial" w:hAnsi="Arial" w:cs="Arial"/>
          <w:sz w:val="22"/>
          <w:szCs w:val="22"/>
        </w:rPr>
        <w:t xml:space="preserve"> </w:t>
      </w:r>
      <w:r w:rsidRPr="002853A1">
        <w:rPr>
          <w:rFonts w:ascii="Arial" w:hAnsi="Arial" w:cs="Arial"/>
          <w:sz w:val="22"/>
          <w:szCs w:val="22"/>
        </w:rPr>
        <w:t xml:space="preserve">del </w:t>
      </w:r>
      <w:r w:rsidR="002853A1">
        <w:rPr>
          <w:rFonts w:ascii="Arial" w:hAnsi="Arial" w:cs="Arial"/>
          <w:sz w:val="22"/>
          <w:szCs w:val="22"/>
        </w:rPr>
        <w:t>14</w:t>
      </w:r>
      <w:r w:rsidRPr="002853A1">
        <w:rPr>
          <w:rFonts w:ascii="Arial" w:hAnsi="Arial" w:cs="Arial"/>
          <w:sz w:val="22"/>
          <w:szCs w:val="22"/>
        </w:rPr>
        <w:t>% por concepto de suministro de gasolina corriente y ACPM pa</w:t>
      </w:r>
      <w:r w:rsidR="00974D1B">
        <w:rPr>
          <w:rFonts w:ascii="Arial" w:hAnsi="Arial" w:cs="Arial"/>
          <w:sz w:val="22"/>
          <w:szCs w:val="22"/>
        </w:rPr>
        <w:t xml:space="preserve">ra los vehículos y motocicletas. </w:t>
      </w:r>
      <w:r w:rsidR="009F104D">
        <w:rPr>
          <w:rFonts w:ascii="Arial" w:hAnsi="Arial" w:cs="Arial"/>
          <w:sz w:val="22"/>
          <w:szCs w:val="22"/>
        </w:rPr>
        <w:t xml:space="preserve"> Es de precisar que, </w:t>
      </w:r>
      <w:r w:rsidR="003D2343">
        <w:rPr>
          <w:rFonts w:ascii="Arial" w:hAnsi="Arial" w:cs="Arial"/>
          <w:sz w:val="22"/>
          <w:szCs w:val="22"/>
        </w:rPr>
        <w:t xml:space="preserve">la facturación de </w:t>
      </w:r>
      <w:r w:rsidR="00631CFC">
        <w:rPr>
          <w:rFonts w:ascii="Arial" w:hAnsi="Arial" w:cs="Arial"/>
          <w:sz w:val="22"/>
          <w:szCs w:val="22"/>
        </w:rPr>
        <w:t>combustible correspondiente</w:t>
      </w:r>
      <w:r w:rsidR="003D2343">
        <w:rPr>
          <w:rFonts w:ascii="Arial" w:hAnsi="Arial" w:cs="Arial"/>
          <w:sz w:val="22"/>
          <w:szCs w:val="22"/>
        </w:rPr>
        <w:t xml:space="preserve"> el periodo del 16 a 30 de septiembre de 2019 por valor de $ 5.597.232 está en proceso de revisión y </w:t>
      </w:r>
      <w:r w:rsidR="00631CFC">
        <w:rPr>
          <w:rFonts w:ascii="Arial" w:hAnsi="Arial" w:cs="Arial"/>
          <w:sz w:val="22"/>
          <w:szCs w:val="22"/>
        </w:rPr>
        <w:t>aprobación por</w:t>
      </w:r>
      <w:r w:rsidR="003D2343">
        <w:rPr>
          <w:rFonts w:ascii="Arial" w:hAnsi="Arial" w:cs="Arial"/>
          <w:sz w:val="22"/>
          <w:szCs w:val="22"/>
        </w:rPr>
        <w:t xml:space="preserve"> parte del Grupo de Logística y Suministros, es de</w:t>
      </w:r>
      <w:r w:rsidR="00631CFC">
        <w:rPr>
          <w:rFonts w:ascii="Arial" w:hAnsi="Arial" w:cs="Arial"/>
          <w:sz w:val="22"/>
          <w:szCs w:val="22"/>
        </w:rPr>
        <w:t>cir, dicho gasto a la fecha de este informe</w:t>
      </w:r>
      <w:r w:rsidR="00C35E2C">
        <w:rPr>
          <w:rFonts w:ascii="Arial" w:hAnsi="Arial" w:cs="Arial"/>
          <w:sz w:val="22"/>
          <w:szCs w:val="22"/>
        </w:rPr>
        <w:t xml:space="preserve"> [20/11/2019] </w:t>
      </w:r>
      <w:r w:rsidR="00631CFC">
        <w:rPr>
          <w:rFonts w:ascii="Arial" w:hAnsi="Arial" w:cs="Arial"/>
          <w:sz w:val="22"/>
          <w:szCs w:val="22"/>
        </w:rPr>
        <w:t xml:space="preserve">aún no estaba registrada la obligación para pago, sin embargo, para </w:t>
      </w:r>
      <w:r w:rsidR="00A151F5">
        <w:rPr>
          <w:rFonts w:ascii="Arial" w:hAnsi="Arial" w:cs="Arial"/>
          <w:sz w:val="22"/>
          <w:szCs w:val="22"/>
        </w:rPr>
        <w:t xml:space="preserve">el cálculo de </w:t>
      </w:r>
      <w:r w:rsidR="00631CFC">
        <w:rPr>
          <w:rFonts w:ascii="Arial" w:hAnsi="Arial" w:cs="Arial"/>
          <w:sz w:val="22"/>
          <w:szCs w:val="22"/>
        </w:rPr>
        <w:t xml:space="preserve">las variaciones </w:t>
      </w:r>
      <w:r w:rsidR="000B26C6">
        <w:rPr>
          <w:rFonts w:ascii="Arial" w:hAnsi="Arial" w:cs="Arial"/>
          <w:sz w:val="22"/>
          <w:szCs w:val="22"/>
        </w:rPr>
        <w:t>expuesta</w:t>
      </w:r>
      <w:r w:rsidR="00A151F5">
        <w:rPr>
          <w:rFonts w:ascii="Arial" w:hAnsi="Arial" w:cs="Arial"/>
          <w:sz w:val="22"/>
          <w:szCs w:val="22"/>
        </w:rPr>
        <w:t>s</w:t>
      </w:r>
      <w:r w:rsidR="000B26C6">
        <w:rPr>
          <w:rFonts w:ascii="Arial" w:hAnsi="Arial" w:cs="Arial"/>
          <w:sz w:val="22"/>
          <w:szCs w:val="22"/>
        </w:rPr>
        <w:t xml:space="preserve"> en este informe, </w:t>
      </w:r>
      <w:r w:rsidR="00631CFC">
        <w:rPr>
          <w:rFonts w:ascii="Arial" w:hAnsi="Arial" w:cs="Arial"/>
          <w:sz w:val="22"/>
          <w:szCs w:val="22"/>
        </w:rPr>
        <w:t xml:space="preserve">se incluyó con el propósito </w:t>
      </w:r>
      <w:r w:rsidR="000B26C6">
        <w:rPr>
          <w:rFonts w:ascii="Arial" w:hAnsi="Arial" w:cs="Arial"/>
          <w:sz w:val="22"/>
          <w:szCs w:val="22"/>
        </w:rPr>
        <w:t xml:space="preserve">de presentar </w:t>
      </w:r>
      <w:r w:rsidR="00A151F5">
        <w:rPr>
          <w:rFonts w:ascii="Arial" w:hAnsi="Arial" w:cs="Arial"/>
          <w:sz w:val="22"/>
          <w:szCs w:val="22"/>
        </w:rPr>
        <w:t>un análisis</w:t>
      </w:r>
      <w:r w:rsidR="009A3B38">
        <w:rPr>
          <w:rFonts w:ascii="Arial" w:hAnsi="Arial" w:cs="Arial"/>
          <w:sz w:val="22"/>
          <w:szCs w:val="22"/>
        </w:rPr>
        <w:t xml:space="preserve"> ajustado al gasto del trimestre. </w:t>
      </w:r>
    </w:p>
    <w:p w14:paraId="4B6A7E95" w14:textId="77777777" w:rsidR="00631CFC" w:rsidRDefault="00631CFC" w:rsidP="003D2343">
      <w:pPr>
        <w:jc w:val="both"/>
        <w:rPr>
          <w:rFonts w:ascii="Arial" w:hAnsi="Arial" w:cs="Arial"/>
          <w:sz w:val="22"/>
          <w:szCs w:val="22"/>
        </w:rPr>
      </w:pPr>
    </w:p>
    <w:p w14:paraId="4F86FAA3" w14:textId="77777777" w:rsidR="003C0083" w:rsidRDefault="00494ACD" w:rsidP="00FD6CE8">
      <w:pPr>
        <w:jc w:val="both"/>
        <w:rPr>
          <w:rFonts w:ascii="Arial" w:hAnsi="Arial" w:cs="Arial"/>
          <w:sz w:val="22"/>
          <w:szCs w:val="22"/>
        </w:rPr>
      </w:pPr>
      <w:r>
        <w:rPr>
          <w:rFonts w:ascii="Arial" w:hAnsi="Arial" w:cs="Arial"/>
          <w:sz w:val="22"/>
          <w:szCs w:val="22"/>
        </w:rPr>
        <w:t>Analizando los gastos de combustible</w:t>
      </w:r>
      <w:r w:rsidR="00146217" w:rsidRPr="00573B77">
        <w:rPr>
          <w:rFonts w:ascii="Arial" w:hAnsi="Arial" w:cs="Arial"/>
          <w:sz w:val="22"/>
          <w:szCs w:val="22"/>
        </w:rPr>
        <w:t>,</w:t>
      </w:r>
      <w:r w:rsidR="003B24CF" w:rsidRPr="00573B77">
        <w:rPr>
          <w:rFonts w:ascii="Arial" w:hAnsi="Arial" w:cs="Arial"/>
          <w:sz w:val="22"/>
          <w:szCs w:val="22"/>
        </w:rPr>
        <w:t xml:space="preserve"> </w:t>
      </w:r>
      <w:r w:rsidR="00DB4C25">
        <w:rPr>
          <w:rFonts w:ascii="Arial" w:hAnsi="Arial" w:cs="Arial"/>
          <w:sz w:val="22"/>
          <w:szCs w:val="22"/>
        </w:rPr>
        <w:t xml:space="preserve">en lo que respecta al gasto de gasolina se </w:t>
      </w:r>
      <w:r w:rsidR="003B24CF" w:rsidRPr="00573B77">
        <w:rPr>
          <w:rFonts w:ascii="Arial" w:hAnsi="Arial" w:cs="Arial"/>
          <w:sz w:val="22"/>
          <w:szCs w:val="22"/>
        </w:rPr>
        <w:t xml:space="preserve">observó </w:t>
      </w:r>
      <w:r w:rsidRPr="00573B77">
        <w:rPr>
          <w:rFonts w:ascii="Arial" w:hAnsi="Arial" w:cs="Arial"/>
          <w:sz w:val="22"/>
          <w:szCs w:val="22"/>
        </w:rPr>
        <w:t>que,</w:t>
      </w:r>
      <w:r w:rsidR="00FD6CE8" w:rsidRPr="00573B77">
        <w:rPr>
          <w:rFonts w:ascii="Arial" w:hAnsi="Arial" w:cs="Arial"/>
          <w:sz w:val="22"/>
          <w:szCs w:val="22"/>
        </w:rPr>
        <w:t xml:space="preserve"> </w:t>
      </w:r>
      <w:r>
        <w:rPr>
          <w:rFonts w:ascii="Arial" w:hAnsi="Arial" w:cs="Arial"/>
          <w:sz w:val="22"/>
          <w:szCs w:val="22"/>
        </w:rPr>
        <w:t xml:space="preserve">para julio de 2019 frente al mismo periodo de 2018 se presentó un incremento del 14%, caso contrario, se observó para el </w:t>
      </w:r>
      <w:r w:rsidR="00D41DD2">
        <w:rPr>
          <w:rFonts w:ascii="Arial" w:hAnsi="Arial" w:cs="Arial"/>
          <w:sz w:val="22"/>
          <w:szCs w:val="22"/>
        </w:rPr>
        <w:t xml:space="preserve">periodo </w:t>
      </w:r>
      <w:r>
        <w:rPr>
          <w:rFonts w:ascii="Arial" w:hAnsi="Arial" w:cs="Arial"/>
          <w:sz w:val="22"/>
          <w:szCs w:val="22"/>
        </w:rPr>
        <w:t xml:space="preserve">de agosto y septiembre en donde se obtuvo variaciones negativas del 2% y 1%, </w:t>
      </w:r>
      <w:r w:rsidR="00D41DD2">
        <w:rPr>
          <w:rFonts w:ascii="Arial" w:hAnsi="Arial" w:cs="Arial"/>
          <w:sz w:val="22"/>
          <w:szCs w:val="22"/>
        </w:rPr>
        <w:t xml:space="preserve">respectivamente. Para el caso del ACPM, las variaciones obtenidas fueron positivas para los tres meses que conforman el trimestre analizado. </w:t>
      </w:r>
    </w:p>
    <w:p w14:paraId="084A1742" w14:textId="77777777" w:rsidR="00D41DD2" w:rsidRPr="00573B77" w:rsidRDefault="00D41DD2" w:rsidP="00FD6CE8">
      <w:pPr>
        <w:jc w:val="both"/>
        <w:rPr>
          <w:rFonts w:ascii="Arial" w:hAnsi="Arial" w:cs="Arial"/>
          <w:noProof/>
          <w:color w:val="000000" w:themeColor="text1"/>
          <w:sz w:val="20"/>
          <w:szCs w:val="20"/>
        </w:rPr>
      </w:pPr>
    </w:p>
    <w:p w14:paraId="1D6B02DD" w14:textId="77777777" w:rsidR="00855D82" w:rsidRPr="00A003B6" w:rsidRDefault="00CD65F3" w:rsidP="00BB72E3">
      <w:pPr>
        <w:rPr>
          <w:rFonts w:ascii="Arial" w:hAnsi="Arial" w:cs="Arial"/>
          <w:noProof/>
          <w:color w:val="000000" w:themeColor="text1"/>
          <w:sz w:val="20"/>
          <w:szCs w:val="20"/>
          <w:highlight w:val="yellow"/>
        </w:rPr>
      </w:pPr>
      <w:r w:rsidRPr="00C0216E">
        <w:rPr>
          <w:rFonts w:ascii="Arial" w:hAnsi="Arial" w:cs="Arial"/>
          <w:noProof/>
          <w:color w:val="000000"/>
          <w:sz w:val="18"/>
          <w:szCs w:val="18"/>
        </w:rPr>
        <w:drawing>
          <wp:anchor distT="0" distB="0" distL="114300" distR="114300" simplePos="0" relativeHeight="251959296" behindDoc="0" locked="0" layoutInCell="1" allowOverlap="1" wp14:anchorId="764022A3" wp14:editId="524F53C9">
            <wp:simplePos x="0" y="0"/>
            <wp:positionH relativeFrom="margin">
              <wp:align>right</wp:align>
            </wp:positionH>
            <wp:positionV relativeFrom="paragraph">
              <wp:posOffset>130810</wp:posOffset>
            </wp:positionV>
            <wp:extent cx="3190875" cy="2667000"/>
            <wp:effectExtent l="0" t="0" r="0" b="0"/>
            <wp:wrapNone/>
            <wp:docPr id="22" name="Gráfico 2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600-000005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tbl>
      <w:tblPr>
        <w:tblW w:w="0" w:type="auto"/>
        <w:tblInd w:w="-10" w:type="dxa"/>
        <w:tblCellMar>
          <w:left w:w="70" w:type="dxa"/>
          <w:right w:w="70" w:type="dxa"/>
        </w:tblCellMar>
        <w:tblLook w:val="04A0" w:firstRow="1" w:lastRow="0" w:firstColumn="1" w:lastColumn="0" w:noHBand="0" w:noVBand="1"/>
      </w:tblPr>
      <w:tblGrid>
        <w:gridCol w:w="1274"/>
        <w:gridCol w:w="1030"/>
        <w:gridCol w:w="1030"/>
        <w:gridCol w:w="1230"/>
      </w:tblGrid>
      <w:tr w:rsidR="00CD65F3" w:rsidRPr="00C0216E" w14:paraId="51BED6E8" w14:textId="77777777" w:rsidTr="00CD65F3">
        <w:trPr>
          <w:trHeight w:val="315"/>
        </w:trPr>
        <w:tc>
          <w:tcPr>
            <w:tcW w:w="0" w:type="auto"/>
            <w:vMerge w:val="restart"/>
            <w:tcBorders>
              <w:top w:val="single" w:sz="8" w:space="0" w:color="4F81BD"/>
              <w:left w:val="single" w:sz="8" w:space="0" w:color="B8CCE4"/>
              <w:bottom w:val="single" w:sz="8" w:space="0" w:color="4F81BD"/>
              <w:right w:val="single" w:sz="8" w:space="0" w:color="B8CCE4"/>
            </w:tcBorders>
            <w:shd w:val="clear" w:color="000000" w:fill="4F81BD"/>
            <w:noWrap/>
            <w:vAlign w:val="center"/>
            <w:hideMark/>
          </w:tcPr>
          <w:p w14:paraId="2D59A17E" w14:textId="77777777" w:rsidR="00CD65F3" w:rsidRPr="00CD65F3" w:rsidRDefault="00CD65F3" w:rsidP="00C957F8">
            <w:pPr>
              <w:spacing w:before="60" w:after="60"/>
              <w:jc w:val="center"/>
              <w:rPr>
                <w:rFonts w:ascii="Arial" w:hAnsi="Arial" w:cs="Arial"/>
                <w:color w:val="FFFFFF"/>
                <w:sz w:val="20"/>
                <w:szCs w:val="20"/>
              </w:rPr>
            </w:pPr>
            <w:r w:rsidRPr="00CD65F3">
              <w:rPr>
                <w:rFonts w:ascii="Arial" w:hAnsi="Arial" w:cs="Arial"/>
                <w:color w:val="FFFFFF"/>
                <w:sz w:val="20"/>
                <w:szCs w:val="20"/>
              </w:rPr>
              <w:t>III Trimestre</w:t>
            </w:r>
          </w:p>
        </w:tc>
        <w:tc>
          <w:tcPr>
            <w:tcW w:w="0" w:type="auto"/>
            <w:tcBorders>
              <w:top w:val="single" w:sz="8" w:space="0" w:color="4F81BD"/>
              <w:left w:val="nil"/>
              <w:bottom w:val="single" w:sz="12" w:space="0" w:color="95B3D7"/>
              <w:right w:val="single" w:sz="8" w:space="0" w:color="B8CCE4"/>
            </w:tcBorders>
            <w:shd w:val="clear" w:color="000000" w:fill="4F81BD"/>
            <w:noWrap/>
            <w:vAlign w:val="center"/>
            <w:hideMark/>
          </w:tcPr>
          <w:p w14:paraId="62952401" w14:textId="77777777" w:rsidR="00CD65F3" w:rsidRPr="00CD65F3" w:rsidRDefault="00CD65F3" w:rsidP="00C957F8">
            <w:pPr>
              <w:spacing w:before="60" w:after="60"/>
              <w:jc w:val="center"/>
              <w:rPr>
                <w:rFonts w:ascii="Arial" w:hAnsi="Arial" w:cs="Arial"/>
                <w:b/>
                <w:bCs/>
                <w:color w:val="FFFFFF"/>
                <w:sz w:val="20"/>
                <w:szCs w:val="20"/>
              </w:rPr>
            </w:pPr>
            <w:r w:rsidRPr="00CD65F3">
              <w:rPr>
                <w:rFonts w:ascii="Arial" w:hAnsi="Arial" w:cs="Arial"/>
                <w:b/>
                <w:bCs/>
                <w:color w:val="FFFFFF"/>
                <w:sz w:val="20"/>
                <w:szCs w:val="20"/>
              </w:rPr>
              <w:t xml:space="preserve">Julio </w:t>
            </w:r>
          </w:p>
        </w:tc>
        <w:tc>
          <w:tcPr>
            <w:tcW w:w="0" w:type="auto"/>
            <w:tcBorders>
              <w:top w:val="single" w:sz="8" w:space="0" w:color="4F81BD"/>
              <w:left w:val="nil"/>
              <w:bottom w:val="single" w:sz="12" w:space="0" w:color="95B3D7"/>
              <w:right w:val="single" w:sz="8" w:space="0" w:color="B8CCE4"/>
            </w:tcBorders>
            <w:shd w:val="clear" w:color="000000" w:fill="4F81BD"/>
            <w:noWrap/>
            <w:vAlign w:val="center"/>
            <w:hideMark/>
          </w:tcPr>
          <w:p w14:paraId="0E933446" w14:textId="77777777" w:rsidR="00CD65F3" w:rsidRPr="00CD65F3" w:rsidRDefault="00CD65F3" w:rsidP="00C957F8">
            <w:pPr>
              <w:spacing w:before="60" w:after="60"/>
              <w:jc w:val="center"/>
              <w:rPr>
                <w:rFonts w:ascii="Arial" w:hAnsi="Arial" w:cs="Arial"/>
                <w:b/>
                <w:bCs/>
                <w:color w:val="FFFFFF"/>
                <w:sz w:val="20"/>
                <w:szCs w:val="20"/>
              </w:rPr>
            </w:pPr>
            <w:r w:rsidRPr="00CD65F3">
              <w:rPr>
                <w:rFonts w:ascii="Arial" w:hAnsi="Arial" w:cs="Arial"/>
                <w:b/>
                <w:bCs/>
                <w:color w:val="FFFFFF"/>
                <w:sz w:val="20"/>
                <w:szCs w:val="20"/>
              </w:rPr>
              <w:t xml:space="preserve">Agosto </w:t>
            </w:r>
          </w:p>
        </w:tc>
        <w:tc>
          <w:tcPr>
            <w:tcW w:w="0" w:type="auto"/>
            <w:tcBorders>
              <w:top w:val="single" w:sz="8" w:space="0" w:color="4F81BD"/>
              <w:left w:val="nil"/>
              <w:bottom w:val="single" w:sz="12" w:space="0" w:color="95B3D7"/>
              <w:right w:val="single" w:sz="8" w:space="0" w:color="B8CCE4"/>
            </w:tcBorders>
            <w:shd w:val="clear" w:color="000000" w:fill="4F81BD"/>
            <w:noWrap/>
            <w:vAlign w:val="center"/>
            <w:hideMark/>
          </w:tcPr>
          <w:p w14:paraId="40492936" w14:textId="77777777" w:rsidR="00CD65F3" w:rsidRPr="00CD65F3" w:rsidRDefault="00CD65F3" w:rsidP="00C957F8">
            <w:pPr>
              <w:spacing w:before="60" w:after="60"/>
              <w:jc w:val="center"/>
              <w:rPr>
                <w:rFonts w:ascii="Arial" w:hAnsi="Arial" w:cs="Arial"/>
                <w:b/>
                <w:bCs/>
                <w:color w:val="FFFFFF"/>
                <w:sz w:val="20"/>
                <w:szCs w:val="20"/>
              </w:rPr>
            </w:pPr>
            <w:r w:rsidRPr="00CD65F3">
              <w:rPr>
                <w:rFonts w:ascii="Arial" w:hAnsi="Arial" w:cs="Arial"/>
                <w:b/>
                <w:bCs/>
                <w:color w:val="FFFFFF"/>
                <w:sz w:val="20"/>
                <w:szCs w:val="20"/>
              </w:rPr>
              <w:t>Septiembre</w:t>
            </w:r>
          </w:p>
        </w:tc>
      </w:tr>
      <w:tr w:rsidR="00CD65F3" w:rsidRPr="00C0216E" w14:paraId="58ABB51A" w14:textId="77777777" w:rsidTr="00CD65F3">
        <w:trPr>
          <w:trHeight w:val="330"/>
        </w:trPr>
        <w:tc>
          <w:tcPr>
            <w:tcW w:w="0" w:type="auto"/>
            <w:vMerge/>
            <w:tcBorders>
              <w:top w:val="single" w:sz="8" w:space="0" w:color="4F81BD"/>
              <w:left w:val="single" w:sz="8" w:space="0" w:color="B8CCE4"/>
              <w:bottom w:val="single" w:sz="8" w:space="0" w:color="4F81BD"/>
              <w:right w:val="single" w:sz="8" w:space="0" w:color="B8CCE4"/>
            </w:tcBorders>
            <w:vAlign w:val="center"/>
            <w:hideMark/>
          </w:tcPr>
          <w:p w14:paraId="21475767" w14:textId="77777777" w:rsidR="00CD65F3" w:rsidRPr="00CD65F3" w:rsidRDefault="00CD65F3" w:rsidP="00C957F8">
            <w:pPr>
              <w:spacing w:before="60" w:after="60"/>
              <w:rPr>
                <w:rFonts w:ascii="Arial" w:hAnsi="Arial" w:cs="Arial"/>
                <w:color w:val="FFFFFF"/>
                <w:sz w:val="20"/>
                <w:szCs w:val="20"/>
              </w:rPr>
            </w:pPr>
          </w:p>
        </w:tc>
        <w:tc>
          <w:tcPr>
            <w:tcW w:w="0" w:type="auto"/>
            <w:gridSpan w:val="3"/>
            <w:tcBorders>
              <w:top w:val="single" w:sz="12" w:space="0" w:color="95B3D7"/>
              <w:left w:val="nil"/>
              <w:bottom w:val="single" w:sz="8" w:space="0" w:color="4F81BD"/>
              <w:right w:val="single" w:sz="8" w:space="0" w:color="B8CCE4"/>
            </w:tcBorders>
            <w:shd w:val="clear" w:color="000000" w:fill="4F81BD"/>
            <w:noWrap/>
            <w:vAlign w:val="center"/>
            <w:hideMark/>
          </w:tcPr>
          <w:p w14:paraId="48F0CB15" w14:textId="77777777" w:rsidR="00CD65F3" w:rsidRPr="00CD65F3" w:rsidRDefault="00CD65F3" w:rsidP="00C957F8">
            <w:pPr>
              <w:spacing w:before="60" w:after="60"/>
              <w:jc w:val="center"/>
              <w:rPr>
                <w:rFonts w:ascii="Arial" w:hAnsi="Arial" w:cs="Arial"/>
                <w:b/>
                <w:bCs/>
                <w:color w:val="FFFFFF"/>
                <w:sz w:val="20"/>
                <w:szCs w:val="20"/>
              </w:rPr>
            </w:pPr>
            <w:r w:rsidRPr="00CD65F3">
              <w:rPr>
                <w:rFonts w:ascii="Arial" w:hAnsi="Arial" w:cs="Arial"/>
                <w:b/>
                <w:bCs/>
                <w:color w:val="FFFFFF"/>
                <w:sz w:val="20"/>
                <w:szCs w:val="20"/>
              </w:rPr>
              <w:t>Gasolina Corriente</w:t>
            </w:r>
            <w:r w:rsidR="00DB4C25">
              <w:rPr>
                <w:rFonts w:ascii="Arial" w:hAnsi="Arial" w:cs="Arial"/>
                <w:b/>
                <w:bCs/>
                <w:color w:val="FFFFFF"/>
                <w:sz w:val="20"/>
                <w:szCs w:val="20"/>
              </w:rPr>
              <w:t xml:space="preserve"> ($)</w:t>
            </w:r>
          </w:p>
        </w:tc>
      </w:tr>
      <w:tr w:rsidR="00CD65F3" w:rsidRPr="00C0216E" w14:paraId="27DCBECC" w14:textId="77777777" w:rsidTr="00CD65F3">
        <w:trPr>
          <w:trHeight w:val="300"/>
        </w:trPr>
        <w:tc>
          <w:tcPr>
            <w:tcW w:w="0" w:type="auto"/>
            <w:tcBorders>
              <w:top w:val="nil"/>
              <w:left w:val="nil"/>
              <w:bottom w:val="nil"/>
              <w:right w:val="nil"/>
            </w:tcBorders>
            <w:shd w:val="clear" w:color="auto" w:fill="auto"/>
            <w:noWrap/>
            <w:vAlign w:val="center"/>
            <w:hideMark/>
          </w:tcPr>
          <w:p w14:paraId="4E4F836E" w14:textId="77777777" w:rsidR="00CD65F3" w:rsidRPr="00CD65F3" w:rsidRDefault="00CD65F3" w:rsidP="00C957F8">
            <w:pPr>
              <w:spacing w:before="60" w:after="60"/>
              <w:jc w:val="center"/>
              <w:rPr>
                <w:rFonts w:ascii="Arial" w:hAnsi="Arial" w:cs="Arial"/>
                <w:color w:val="0F243E"/>
                <w:sz w:val="20"/>
                <w:szCs w:val="20"/>
              </w:rPr>
            </w:pPr>
            <w:r w:rsidRPr="00CD65F3">
              <w:rPr>
                <w:rFonts w:ascii="Arial" w:hAnsi="Arial" w:cs="Arial"/>
                <w:color w:val="0F243E"/>
                <w:sz w:val="20"/>
                <w:szCs w:val="20"/>
              </w:rPr>
              <w:t>2019</w:t>
            </w:r>
          </w:p>
        </w:tc>
        <w:tc>
          <w:tcPr>
            <w:tcW w:w="0" w:type="auto"/>
            <w:tcBorders>
              <w:top w:val="nil"/>
              <w:left w:val="nil"/>
              <w:bottom w:val="nil"/>
              <w:right w:val="nil"/>
            </w:tcBorders>
            <w:shd w:val="clear" w:color="auto" w:fill="auto"/>
            <w:noWrap/>
            <w:vAlign w:val="center"/>
            <w:hideMark/>
          </w:tcPr>
          <w:p w14:paraId="5B71FCC2" w14:textId="77777777" w:rsidR="00CD65F3" w:rsidRPr="00FB7EA4" w:rsidRDefault="00CD65F3" w:rsidP="00C957F8">
            <w:pPr>
              <w:spacing w:before="6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8.603.230</w:t>
            </w:r>
          </w:p>
        </w:tc>
        <w:tc>
          <w:tcPr>
            <w:tcW w:w="0" w:type="auto"/>
            <w:tcBorders>
              <w:top w:val="nil"/>
              <w:left w:val="nil"/>
              <w:bottom w:val="nil"/>
              <w:right w:val="nil"/>
            </w:tcBorders>
            <w:shd w:val="clear" w:color="auto" w:fill="auto"/>
            <w:noWrap/>
            <w:vAlign w:val="center"/>
            <w:hideMark/>
          </w:tcPr>
          <w:p w14:paraId="3EFA8A99" w14:textId="77777777" w:rsidR="00CD65F3" w:rsidRPr="00FB7EA4" w:rsidRDefault="00CD65F3" w:rsidP="00C957F8">
            <w:pPr>
              <w:spacing w:before="6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7.425.529</w:t>
            </w:r>
          </w:p>
        </w:tc>
        <w:tc>
          <w:tcPr>
            <w:tcW w:w="0" w:type="auto"/>
            <w:tcBorders>
              <w:top w:val="nil"/>
              <w:left w:val="nil"/>
              <w:bottom w:val="nil"/>
              <w:right w:val="nil"/>
            </w:tcBorders>
            <w:shd w:val="clear" w:color="auto" w:fill="auto"/>
            <w:noWrap/>
            <w:vAlign w:val="center"/>
            <w:hideMark/>
          </w:tcPr>
          <w:p w14:paraId="2CA3ED8B" w14:textId="77777777" w:rsidR="00CD65F3" w:rsidRPr="00FB7EA4" w:rsidRDefault="00CD65F3" w:rsidP="00C957F8">
            <w:pPr>
              <w:spacing w:before="6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7.908.926</w:t>
            </w:r>
          </w:p>
        </w:tc>
      </w:tr>
      <w:tr w:rsidR="00CD65F3" w:rsidRPr="00C0216E" w14:paraId="7C139C1A" w14:textId="77777777" w:rsidTr="00CD65F3">
        <w:trPr>
          <w:trHeight w:val="315"/>
        </w:trPr>
        <w:tc>
          <w:tcPr>
            <w:tcW w:w="0" w:type="auto"/>
            <w:tcBorders>
              <w:top w:val="nil"/>
              <w:left w:val="nil"/>
              <w:bottom w:val="double" w:sz="6" w:space="0" w:color="4F81BD"/>
              <w:right w:val="nil"/>
            </w:tcBorders>
            <w:shd w:val="clear" w:color="auto" w:fill="auto"/>
            <w:noWrap/>
            <w:vAlign w:val="center"/>
            <w:hideMark/>
          </w:tcPr>
          <w:p w14:paraId="5A904EA8" w14:textId="77777777" w:rsidR="00CD65F3" w:rsidRPr="00CD65F3" w:rsidRDefault="00CD65F3" w:rsidP="00C957F8">
            <w:pPr>
              <w:spacing w:before="60" w:after="60"/>
              <w:jc w:val="center"/>
              <w:rPr>
                <w:rFonts w:ascii="Arial" w:hAnsi="Arial" w:cs="Arial"/>
                <w:color w:val="0F243E"/>
                <w:sz w:val="20"/>
                <w:szCs w:val="20"/>
              </w:rPr>
            </w:pPr>
            <w:r w:rsidRPr="00CD65F3">
              <w:rPr>
                <w:rFonts w:ascii="Arial" w:hAnsi="Arial" w:cs="Arial"/>
                <w:color w:val="0F243E"/>
                <w:sz w:val="20"/>
                <w:szCs w:val="20"/>
              </w:rPr>
              <w:t>2018</w:t>
            </w:r>
          </w:p>
        </w:tc>
        <w:tc>
          <w:tcPr>
            <w:tcW w:w="0" w:type="auto"/>
            <w:tcBorders>
              <w:top w:val="nil"/>
              <w:left w:val="nil"/>
              <w:bottom w:val="double" w:sz="6" w:space="0" w:color="4F81BD"/>
              <w:right w:val="nil"/>
            </w:tcBorders>
            <w:shd w:val="clear" w:color="auto" w:fill="auto"/>
            <w:noWrap/>
            <w:vAlign w:val="center"/>
            <w:hideMark/>
          </w:tcPr>
          <w:p w14:paraId="6D2665DC" w14:textId="77777777" w:rsidR="00CD65F3" w:rsidRPr="00FB7EA4" w:rsidRDefault="00CD65F3" w:rsidP="00C957F8">
            <w:pPr>
              <w:spacing w:before="6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7.552.645</w:t>
            </w:r>
          </w:p>
        </w:tc>
        <w:tc>
          <w:tcPr>
            <w:tcW w:w="0" w:type="auto"/>
            <w:tcBorders>
              <w:top w:val="nil"/>
              <w:left w:val="nil"/>
              <w:bottom w:val="double" w:sz="6" w:space="0" w:color="4F81BD"/>
              <w:right w:val="nil"/>
            </w:tcBorders>
            <w:shd w:val="clear" w:color="auto" w:fill="auto"/>
            <w:noWrap/>
            <w:vAlign w:val="center"/>
            <w:hideMark/>
          </w:tcPr>
          <w:p w14:paraId="751E9929" w14:textId="77777777" w:rsidR="00CD65F3" w:rsidRPr="00FB7EA4" w:rsidRDefault="00CD65F3" w:rsidP="00C957F8">
            <w:pPr>
              <w:spacing w:before="6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7.574.503</w:t>
            </w:r>
          </w:p>
        </w:tc>
        <w:tc>
          <w:tcPr>
            <w:tcW w:w="0" w:type="auto"/>
            <w:tcBorders>
              <w:top w:val="nil"/>
              <w:left w:val="nil"/>
              <w:bottom w:val="double" w:sz="6" w:space="0" w:color="4F81BD"/>
              <w:right w:val="nil"/>
            </w:tcBorders>
            <w:shd w:val="clear" w:color="auto" w:fill="auto"/>
            <w:noWrap/>
            <w:vAlign w:val="center"/>
            <w:hideMark/>
          </w:tcPr>
          <w:p w14:paraId="31E6BDFF" w14:textId="77777777" w:rsidR="00CD65F3" w:rsidRPr="00FB7EA4" w:rsidRDefault="00CD65F3" w:rsidP="00C957F8">
            <w:pPr>
              <w:spacing w:before="6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7.970.806</w:t>
            </w:r>
          </w:p>
        </w:tc>
      </w:tr>
      <w:tr w:rsidR="00CD65F3" w:rsidRPr="00C0216E" w14:paraId="6CC27007" w14:textId="77777777" w:rsidTr="00CD65F3">
        <w:trPr>
          <w:trHeight w:val="315"/>
        </w:trPr>
        <w:tc>
          <w:tcPr>
            <w:tcW w:w="0" w:type="auto"/>
            <w:tcBorders>
              <w:top w:val="nil"/>
              <w:left w:val="nil"/>
              <w:bottom w:val="nil"/>
              <w:right w:val="nil"/>
            </w:tcBorders>
            <w:shd w:val="clear" w:color="auto" w:fill="auto"/>
            <w:noWrap/>
            <w:vAlign w:val="center"/>
            <w:hideMark/>
          </w:tcPr>
          <w:p w14:paraId="175881B1" w14:textId="77777777" w:rsidR="00CD65F3" w:rsidRPr="00CD65F3" w:rsidRDefault="00CD65F3" w:rsidP="00C957F8">
            <w:pPr>
              <w:spacing w:before="60" w:after="60"/>
              <w:jc w:val="center"/>
              <w:rPr>
                <w:rFonts w:ascii="Arial" w:hAnsi="Arial" w:cs="Arial"/>
                <w:b/>
                <w:bCs/>
                <w:color w:val="0F243E"/>
                <w:sz w:val="20"/>
                <w:szCs w:val="20"/>
              </w:rPr>
            </w:pPr>
            <w:r w:rsidRPr="00CD65F3">
              <w:rPr>
                <w:rFonts w:ascii="Arial" w:hAnsi="Arial" w:cs="Arial"/>
                <w:b/>
                <w:bCs/>
                <w:color w:val="0F243E"/>
                <w:sz w:val="20"/>
                <w:szCs w:val="20"/>
              </w:rPr>
              <w:t>Variación $</w:t>
            </w:r>
          </w:p>
        </w:tc>
        <w:tc>
          <w:tcPr>
            <w:tcW w:w="0" w:type="auto"/>
            <w:tcBorders>
              <w:top w:val="nil"/>
              <w:left w:val="nil"/>
              <w:bottom w:val="nil"/>
              <w:right w:val="nil"/>
            </w:tcBorders>
            <w:shd w:val="clear" w:color="auto" w:fill="auto"/>
            <w:noWrap/>
            <w:vAlign w:val="center"/>
            <w:hideMark/>
          </w:tcPr>
          <w:p w14:paraId="39741AAC" w14:textId="77777777" w:rsidR="00CD65F3" w:rsidRPr="00CD65F3" w:rsidRDefault="00CD65F3" w:rsidP="00C957F8">
            <w:pPr>
              <w:spacing w:before="60" w:after="60"/>
              <w:jc w:val="right"/>
              <w:rPr>
                <w:rFonts w:ascii="Arial" w:hAnsi="Arial" w:cs="Arial"/>
                <w:b/>
                <w:bCs/>
                <w:color w:val="0F243E"/>
                <w:sz w:val="20"/>
                <w:szCs w:val="20"/>
              </w:rPr>
            </w:pPr>
            <w:r w:rsidRPr="00CD65F3">
              <w:rPr>
                <w:rFonts w:ascii="Arial" w:hAnsi="Arial" w:cs="Arial"/>
                <w:b/>
                <w:bCs/>
                <w:color w:val="0F243E"/>
                <w:sz w:val="20"/>
                <w:szCs w:val="20"/>
              </w:rPr>
              <w:t>1.050.586</w:t>
            </w:r>
          </w:p>
        </w:tc>
        <w:tc>
          <w:tcPr>
            <w:tcW w:w="0" w:type="auto"/>
            <w:tcBorders>
              <w:top w:val="nil"/>
              <w:left w:val="nil"/>
              <w:bottom w:val="nil"/>
              <w:right w:val="nil"/>
            </w:tcBorders>
            <w:shd w:val="clear" w:color="auto" w:fill="auto"/>
            <w:noWrap/>
            <w:vAlign w:val="center"/>
            <w:hideMark/>
          </w:tcPr>
          <w:p w14:paraId="36301B3E" w14:textId="07A84C0E" w:rsidR="00CD65F3" w:rsidRPr="00CD65F3" w:rsidRDefault="0078124A" w:rsidP="00C957F8">
            <w:pPr>
              <w:spacing w:before="60" w:after="60"/>
              <w:jc w:val="right"/>
              <w:rPr>
                <w:rFonts w:ascii="Arial" w:hAnsi="Arial" w:cs="Arial"/>
                <w:b/>
                <w:bCs/>
                <w:color w:val="0F243E"/>
                <w:sz w:val="20"/>
                <w:szCs w:val="20"/>
              </w:rPr>
            </w:pPr>
            <w:r>
              <w:rPr>
                <w:rFonts w:ascii="Arial" w:hAnsi="Arial" w:cs="Arial"/>
                <w:b/>
                <w:bCs/>
                <w:color w:val="0F243E"/>
                <w:sz w:val="20"/>
                <w:szCs w:val="20"/>
              </w:rPr>
              <w:t>(</w:t>
            </w:r>
            <w:r w:rsidR="00CD65F3" w:rsidRPr="00CD65F3">
              <w:rPr>
                <w:rFonts w:ascii="Arial" w:hAnsi="Arial" w:cs="Arial"/>
                <w:b/>
                <w:bCs/>
                <w:color w:val="0F243E"/>
                <w:sz w:val="20"/>
                <w:szCs w:val="20"/>
              </w:rPr>
              <w:t>148.974</w:t>
            </w:r>
            <w:r>
              <w:rPr>
                <w:rFonts w:ascii="Arial" w:hAnsi="Arial" w:cs="Arial"/>
                <w:b/>
                <w:bCs/>
                <w:color w:val="0F243E"/>
                <w:sz w:val="20"/>
                <w:szCs w:val="20"/>
              </w:rPr>
              <w:t>)</w:t>
            </w:r>
          </w:p>
        </w:tc>
        <w:tc>
          <w:tcPr>
            <w:tcW w:w="0" w:type="auto"/>
            <w:tcBorders>
              <w:top w:val="nil"/>
              <w:left w:val="nil"/>
              <w:bottom w:val="nil"/>
              <w:right w:val="nil"/>
            </w:tcBorders>
            <w:shd w:val="clear" w:color="auto" w:fill="auto"/>
            <w:noWrap/>
            <w:vAlign w:val="center"/>
            <w:hideMark/>
          </w:tcPr>
          <w:p w14:paraId="6E91DC6F" w14:textId="79A947B8" w:rsidR="00CD65F3" w:rsidRPr="00CD65F3" w:rsidRDefault="0078124A" w:rsidP="00C957F8">
            <w:pPr>
              <w:spacing w:before="60" w:after="60"/>
              <w:jc w:val="right"/>
              <w:rPr>
                <w:rFonts w:ascii="Arial" w:hAnsi="Arial" w:cs="Arial"/>
                <w:b/>
                <w:bCs/>
                <w:color w:val="0F243E"/>
                <w:sz w:val="20"/>
                <w:szCs w:val="20"/>
              </w:rPr>
            </w:pPr>
            <w:r>
              <w:rPr>
                <w:rFonts w:ascii="Arial" w:hAnsi="Arial" w:cs="Arial"/>
                <w:b/>
                <w:bCs/>
                <w:color w:val="0F243E"/>
                <w:sz w:val="20"/>
                <w:szCs w:val="20"/>
              </w:rPr>
              <w:t>(</w:t>
            </w:r>
            <w:r w:rsidR="00CD65F3" w:rsidRPr="00CD65F3">
              <w:rPr>
                <w:rFonts w:ascii="Arial" w:hAnsi="Arial" w:cs="Arial"/>
                <w:b/>
                <w:bCs/>
                <w:color w:val="0F243E"/>
                <w:sz w:val="20"/>
                <w:szCs w:val="20"/>
              </w:rPr>
              <w:t>61.880</w:t>
            </w:r>
            <w:r>
              <w:rPr>
                <w:rFonts w:ascii="Arial" w:hAnsi="Arial" w:cs="Arial"/>
                <w:b/>
                <w:bCs/>
                <w:color w:val="0F243E"/>
                <w:sz w:val="20"/>
                <w:szCs w:val="20"/>
              </w:rPr>
              <w:t>)</w:t>
            </w:r>
          </w:p>
        </w:tc>
      </w:tr>
      <w:tr w:rsidR="00CD65F3" w:rsidRPr="00C0216E" w14:paraId="6BE56728" w14:textId="77777777" w:rsidTr="00D41DD2">
        <w:trPr>
          <w:trHeight w:val="315"/>
        </w:trPr>
        <w:tc>
          <w:tcPr>
            <w:tcW w:w="0" w:type="auto"/>
            <w:tcBorders>
              <w:top w:val="nil"/>
              <w:left w:val="nil"/>
              <w:bottom w:val="double" w:sz="4" w:space="0" w:color="4F81BD" w:themeColor="accent1"/>
              <w:right w:val="nil"/>
            </w:tcBorders>
            <w:shd w:val="clear" w:color="auto" w:fill="auto"/>
            <w:noWrap/>
            <w:vAlign w:val="center"/>
            <w:hideMark/>
          </w:tcPr>
          <w:p w14:paraId="7A50B759" w14:textId="77777777" w:rsidR="00CD65F3" w:rsidRPr="00CD65F3" w:rsidRDefault="00CD65F3" w:rsidP="00C957F8">
            <w:pPr>
              <w:spacing w:before="60" w:after="60"/>
              <w:jc w:val="center"/>
              <w:rPr>
                <w:rFonts w:ascii="Arial" w:hAnsi="Arial" w:cs="Arial"/>
                <w:b/>
                <w:bCs/>
                <w:color w:val="0F243E"/>
                <w:sz w:val="20"/>
                <w:szCs w:val="20"/>
              </w:rPr>
            </w:pPr>
            <w:r w:rsidRPr="00CD65F3">
              <w:rPr>
                <w:rFonts w:ascii="Arial" w:hAnsi="Arial" w:cs="Arial"/>
                <w:b/>
                <w:bCs/>
                <w:color w:val="0F243E"/>
                <w:sz w:val="20"/>
                <w:szCs w:val="20"/>
              </w:rPr>
              <w:t>Variación %</w:t>
            </w:r>
          </w:p>
        </w:tc>
        <w:tc>
          <w:tcPr>
            <w:tcW w:w="0" w:type="auto"/>
            <w:tcBorders>
              <w:top w:val="nil"/>
              <w:left w:val="nil"/>
              <w:bottom w:val="double" w:sz="4" w:space="0" w:color="4F81BD" w:themeColor="accent1"/>
              <w:right w:val="nil"/>
            </w:tcBorders>
            <w:shd w:val="clear" w:color="auto" w:fill="auto"/>
            <w:noWrap/>
            <w:vAlign w:val="center"/>
            <w:hideMark/>
          </w:tcPr>
          <w:p w14:paraId="0596C673" w14:textId="77777777" w:rsidR="00CD65F3" w:rsidRPr="00CD65F3" w:rsidRDefault="00CD65F3" w:rsidP="00C957F8">
            <w:pPr>
              <w:spacing w:before="60" w:after="60"/>
              <w:jc w:val="center"/>
              <w:rPr>
                <w:rFonts w:ascii="Arial" w:hAnsi="Arial" w:cs="Arial"/>
                <w:b/>
                <w:bCs/>
                <w:color w:val="0F243E"/>
                <w:sz w:val="20"/>
                <w:szCs w:val="20"/>
              </w:rPr>
            </w:pPr>
            <w:r w:rsidRPr="00CD65F3">
              <w:rPr>
                <w:rFonts w:ascii="Arial" w:hAnsi="Arial" w:cs="Arial"/>
                <w:b/>
                <w:bCs/>
                <w:color w:val="0F243E"/>
                <w:sz w:val="20"/>
                <w:szCs w:val="20"/>
              </w:rPr>
              <w:t>14%</w:t>
            </w:r>
          </w:p>
        </w:tc>
        <w:tc>
          <w:tcPr>
            <w:tcW w:w="0" w:type="auto"/>
            <w:tcBorders>
              <w:top w:val="nil"/>
              <w:left w:val="nil"/>
              <w:bottom w:val="double" w:sz="4" w:space="0" w:color="4F81BD" w:themeColor="accent1"/>
              <w:right w:val="nil"/>
            </w:tcBorders>
            <w:shd w:val="clear" w:color="auto" w:fill="auto"/>
            <w:noWrap/>
            <w:vAlign w:val="center"/>
            <w:hideMark/>
          </w:tcPr>
          <w:p w14:paraId="0447D9A9" w14:textId="697B7CE1" w:rsidR="00CD65F3" w:rsidRPr="00CD65F3" w:rsidRDefault="0078124A" w:rsidP="00C957F8">
            <w:pPr>
              <w:spacing w:before="60" w:after="60"/>
              <w:jc w:val="center"/>
              <w:rPr>
                <w:rFonts w:ascii="Arial" w:hAnsi="Arial" w:cs="Arial"/>
                <w:b/>
                <w:bCs/>
                <w:color w:val="0F243E"/>
                <w:sz w:val="20"/>
                <w:szCs w:val="20"/>
              </w:rPr>
            </w:pPr>
            <w:r>
              <w:rPr>
                <w:rFonts w:ascii="Arial" w:hAnsi="Arial" w:cs="Arial"/>
                <w:b/>
                <w:bCs/>
                <w:color w:val="0F243E"/>
                <w:sz w:val="20"/>
                <w:szCs w:val="20"/>
              </w:rPr>
              <w:t>(</w:t>
            </w:r>
            <w:r w:rsidR="00CD65F3" w:rsidRPr="00CD65F3">
              <w:rPr>
                <w:rFonts w:ascii="Arial" w:hAnsi="Arial" w:cs="Arial"/>
                <w:b/>
                <w:bCs/>
                <w:color w:val="0F243E"/>
                <w:sz w:val="20"/>
                <w:szCs w:val="20"/>
              </w:rPr>
              <w:t>2%</w:t>
            </w:r>
            <w:r>
              <w:rPr>
                <w:rFonts w:ascii="Arial" w:hAnsi="Arial" w:cs="Arial"/>
                <w:b/>
                <w:bCs/>
                <w:color w:val="0F243E"/>
                <w:sz w:val="20"/>
                <w:szCs w:val="20"/>
              </w:rPr>
              <w:t>)</w:t>
            </w:r>
          </w:p>
        </w:tc>
        <w:tc>
          <w:tcPr>
            <w:tcW w:w="0" w:type="auto"/>
            <w:tcBorders>
              <w:top w:val="nil"/>
              <w:left w:val="nil"/>
              <w:bottom w:val="double" w:sz="4" w:space="0" w:color="4F81BD" w:themeColor="accent1"/>
              <w:right w:val="nil"/>
            </w:tcBorders>
            <w:shd w:val="clear" w:color="auto" w:fill="auto"/>
            <w:noWrap/>
            <w:vAlign w:val="center"/>
            <w:hideMark/>
          </w:tcPr>
          <w:p w14:paraId="5375DE7E" w14:textId="43EEEF65" w:rsidR="00CD65F3" w:rsidRPr="00CD65F3" w:rsidRDefault="0078124A" w:rsidP="00C957F8">
            <w:pPr>
              <w:spacing w:before="60" w:after="60"/>
              <w:jc w:val="center"/>
              <w:rPr>
                <w:rFonts w:ascii="Arial" w:hAnsi="Arial" w:cs="Arial"/>
                <w:b/>
                <w:bCs/>
                <w:color w:val="0F243E"/>
                <w:sz w:val="20"/>
                <w:szCs w:val="20"/>
              </w:rPr>
            </w:pPr>
            <w:r>
              <w:rPr>
                <w:rFonts w:ascii="Arial" w:hAnsi="Arial" w:cs="Arial"/>
                <w:b/>
                <w:bCs/>
                <w:color w:val="0F243E"/>
                <w:sz w:val="20"/>
                <w:szCs w:val="20"/>
              </w:rPr>
              <w:t>(</w:t>
            </w:r>
            <w:r w:rsidR="00CD65F3" w:rsidRPr="00CD65F3">
              <w:rPr>
                <w:rFonts w:ascii="Arial" w:hAnsi="Arial" w:cs="Arial"/>
                <w:b/>
                <w:bCs/>
                <w:color w:val="0F243E"/>
                <w:sz w:val="20"/>
                <w:szCs w:val="20"/>
              </w:rPr>
              <w:t>1%</w:t>
            </w:r>
            <w:r>
              <w:rPr>
                <w:rFonts w:ascii="Arial" w:hAnsi="Arial" w:cs="Arial"/>
                <w:b/>
                <w:bCs/>
                <w:color w:val="0F243E"/>
                <w:sz w:val="20"/>
                <w:szCs w:val="20"/>
              </w:rPr>
              <w:t>)</w:t>
            </w:r>
          </w:p>
        </w:tc>
      </w:tr>
      <w:tr w:rsidR="00C0216E" w:rsidRPr="00C0216E" w14:paraId="6A60FAAB" w14:textId="77777777" w:rsidTr="00D41DD2">
        <w:trPr>
          <w:trHeight w:val="518"/>
        </w:trPr>
        <w:tc>
          <w:tcPr>
            <w:tcW w:w="0" w:type="auto"/>
            <w:tcBorders>
              <w:top w:val="double" w:sz="4" w:space="0" w:color="4F81BD" w:themeColor="accent1"/>
              <w:left w:val="single" w:sz="8" w:space="0" w:color="B8CCE4"/>
              <w:bottom w:val="nil"/>
              <w:right w:val="single" w:sz="8" w:space="0" w:color="B8CCE4"/>
            </w:tcBorders>
            <w:shd w:val="clear" w:color="000000" w:fill="4F81BD"/>
            <w:noWrap/>
            <w:vAlign w:val="center"/>
            <w:hideMark/>
          </w:tcPr>
          <w:p w14:paraId="5AB34C23" w14:textId="77777777" w:rsidR="00C0216E" w:rsidRPr="00CD65F3" w:rsidRDefault="00C0216E" w:rsidP="00C957F8">
            <w:pPr>
              <w:spacing w:before="60" w:after="60"/>
              <w:jc w:val="center"/>
              <w:rPr>
                <w:rFonts w:ascii="Arial" w:hAnsi="Arial" w:cs="Arial"/>
                <w:color w:val="FFFFFF"/>
                <w:sz w:val="20"/>
                <w:szCs w:val="20"/>
              </w:rPr>
            </w:pPr>
            <w:r w:rsidRPr="00CD65F3">
              <w:rPr>
                <w:rFonts w:ascii="Arial" w:hAnsi="Arial" w:cs="Arial"/>
                <w:color w:val="FFFFFF"/>
                <w:sz w:val="20"/>
                <w:szCs w:val="20"/>
              </w:rPr>
              <w:t>III Trimestre</w:t>
            </w:r>
          </w:p>
        </w:tc>
        <w:tc>
          <w:tcPr>
            <w:tcW w:w="0" w:type="auto"/>
            <w:gridSpan w:val="3"/>
            <w:tcBorders>
              <w:top w:val="double" w:sz="4" w:space="0" w:color="4F81BD" w:themeColor="accent1"/>
              <w:left w:val="nil"/>
              <w:bottom w:val="nil"/>
              <w:right w:val="single" w:sz="8" w:space="0" w:color="B8CCE4"/>
            </w:tcBorders>
            <w:shd w:val="clear" w:color="000000" w:fill="4F81BD"/>
            <w:noWrap/>
            <w:vAlign w:val="center"/>
            <w:hideMark/>
          </w:tcPr>
          <w:p w14:paraId="2B7CB60E" w14:textId="77777777" w:rsidR="00C0216E" w:rsidRPr="00CD65F3" w:rsidRDefault="00C0216E" w:rsidP="00C957F8">
            <w:pPr>
              <w:spacing w:before="60" w:after="60"/>
              <w:jc w:val="center"/>
              <w:rPr>
                <w:rFonts w:ascii="Arial" w:hAnsi="Arial" w:cs="Arial"/>
                <w:b/>
                <w:bCs/>
                <w:color w:val="FFFFFF"/>
                <w:sz w:val="20"/>
                <w:szCs w:val="20"/>
              </w:rPr>
            </w:pPr>
            <w:r w:rsidRPr="00CD65F3">
              <w:rPr>
                <w:rFonts w:ascii="Arial" w:hAnsi="Arial" w:cs="Arial"/>
                <w:b/>
                <w:bCs/>
                <w:color w:val="FFFFFF"/>
                <w:sz w:val="20"/>
                <w:szCs w:val="20"/>
              </w:rPr>
              <w:t>ACPM</w:t>
            </w:r>
            <w:r w:rsidR="00DB4C25">
              <w:rPr>
                <w:rFonts w:ascii="Arial" w:hAnsi="Arial" w:cs="Arial"/>
                <w:b/>
                <w:bCs/>
                <w:color w:val="FFFFFF"/>
                <w:sz w:val="20"/>
                <w:szCs w:val="20"/>
              </w:rPr>
              <w:t xml:space="preserve"> ($)</w:t>
            </w:r>
          </w:p>
        </w:tc>
      </w:tr>
      <w:tr w:rsidR="00C0216E" w:rsidRPr="00C0216E" w14:paraId="51190D5A" w14:textId="77777777" w:rsidTr="00CD65F3">
        <w:trPr>
          <w:trHeight w:val="300"/>
        </w:trPr>
        <w:tc>
          <w:tcPr>
            <w:tcW w:w="0" w:type="auto"/>
            <w:tcBorders>
              <w:top w:val="nil"/>
              <w:left w:val="nil"/>
              <w:bottom w:val="nil"/>
              <w:right w:val="nil"/>
            </w:tcBorders>
            <w:shd w:val="clear" w:color="auto" w:fill="auto"/>
            <w:noWrap/>
            <w:vAlign w:val="center"/>
            <w:hideMark/>
          </w:tcPr>
          <w:p w14:paraId="257D6C2E" w14:textId="77777777" w:rsidR="00C0216E" w:rsidRPr="00CD65F3" w:rsidRDefault="00C0216E" w:rsidP="00C957F8">
            <w:pPr>
              <w:spacing w:before="60" w:after="60"/>
              <w:jc w:val="center"/>
              <w:rPr>
                <w:rFonts w:ascii="Arial" w:hAnsi="Arial" w:cs="Arial"/>
                <w:color w:val="0F243E"/>
                <w:sz w:val="20"/>
                <w:szCs w:val="20"/>
              </w:rPr>
            </w:pPr>
            <w:r w:rsidRPr="00CD65F3">
              <w:rPr>
                <w:rFonts w:ascii="Arial" w:hAnsi="Arial" w:cs="Arial"/>
                <w:color w:val="0F243E"/>
                <w:sz w:val="20"/>
                <w:szCs w:val="20"/>
              </w:rPr>
              <w:t>2019</w:t>
            </w:r>
          </w:p>
        </w:tc>
        <w:tc>
          <w:tcPr>
            <w:tcW w:w="0" w:type="auto"/>
            <w:tcBorders>
              <w:top w:val="nil"/>
              <w:left w:val="nil"/>
              <w:bottom w:val="nil"/>
              <w:right w:val="nil"/>
            </w:tcBorders>
            <w:shd w:val="clear" w:color="auto" w:fill="auto"/>
            <w:noWrap/>
            <w:vAlign w:val="center"/>
            <w:hideMark/>
          </w:tcPr>
          <w:p w14:paraId="57ABF66E" w14:textId="77777777" w:rsidR="00C0216E" w:rsidRPr="00FB7EA4" w:rsidRDefault="00C0216E" w:rsidP="00C957F8">
            <w:pPr>
              <w:spacing w:before="6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4.501.387</w:t>
            </w:r>
          </w:p>
        </w:tc>
        <w:tc>
          <w:tcPr>
            <w:tcW w:w="0" w:type="auto"/>
            <w:tcBorders>
              <w:top w:val="nil"/>
              <w:left w:val="nil"/>
              <w:bottom w:val="nil"/>
              <w:right w:val="nil"/>
            </w:tcBorders>
            <w:shd w:val="clear" w:color="auto" w:fill="auto"/>
            <w:noWrap/>
            <w:vAlign w:val="center"/>
            <w:hideMark/>
          </w:tcPr>
          <w:p w14:paraId="7B19AC01" w14:textId="77777777" w:rsidR="00C0216E" w:rsidRPr="00FB7EA4" w:rsidRDefault="00C0216E" w:rsidP="00C957F8">
            <w:pPr>
              <w:spacing w:before="6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5.042.883</w:t>
            </w:r>
          </w:p>
        </w:tc>
        <w:tc>
          <w:tcPr>
            <w:tcW w:w="0" w:type="auto"/>
            <w:tcBorders>
              <w:top w:val="nil"/>
              <w:left w:val="nil"/>
              <w:bottom w:val="nil"/>
              <w:right w:val="nil"/>
            </w:tcBorders>
            <w:shd w:val="clear" w:color="auto" w:fill="auto"/>
            <w:noWrap/>
            <w:vAlign w:val="center"/>
            <w:hideMark/>
          </w:tcPr>
          <w:p w14:paraId="22E89E99" w14:textId="77777777" w:rsidR="00C0216E" w:rsidRPr="00FB7EA4" w:rsidRDefault="00C0216E" w:rsidP="00C957F8">
            <w:pPr>
              <w:spacing w:before="6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3.378.239</w:t>
            </w:r>
          </w:p>
        </w:tc>
      </w:tr>
      <w:tr w:rsidR="00C0216E" w:rsidRPr="00C0216E" w14:paraId="2F767609" w14:textId="77777777" w:rsidTr="00CD65F3">
        <w:trPr>
          <w:trHeight w:val="315"/>
        </w:trPr>
        <w:tc>
          <w:tcPr>
            <w:tcW w:w="0" w:type="auto"/>
            <w:tcBorders>
              <w:top w:val="nil"/>
              <w:left w:val="nil"/>
              <w:bottom w:val="double" w:sz="6" w:space="0" w:color="4F81BD"/>
              <w:right w:val="nil"/>
            </w:tcBorders>
            <w:shd w:val="clear" w:color="auto" w:fill="auto"/>
            <w:noWrap/>
            <w:vAlign w:val="center"/>
            <w:hideMark/>
          </w:tcPr>
          <w:p w14:paraId="49221142" w14:textId="77777777" w:rsidR="00C0216E" w:rsidRPr="00CD65F3" w:rsidRDefault="00C0216E" w:rsidP="00C957F8">
            <w:pPr>
              <w:spacing w:before="60" w:after="60"/>
              <w:jc w:val="center"/>
              <w:rPr>
                <w:rFonts w:ascii="Arial" w:hAnsi="Arial" w:cs="Arial"/>
                <w:color w:val="0F243E"/>
                <w:sz w:val="20"/>
                <w:szCs w:val="20"/>
              </w:rPr>
            </w:pPr>
            <w:r w:rsidRPr="00CD65F3">
              <w:rPr>
                <w:rFonts w:ascii="Arial" w:hAnsi="Arial" w:cs="Arial"/>
                <w:color w:val="0F243E"/>
                <w:sz w:val="20"/>
                <w:szCs w:val="20"/>
              </w:rPr>
              <w:t>2018</w:t>
            </w:r>
          </w:p>
        </w:tc>
        <w:tc>
          <w:tcPr>
            <w:tcW w:w="0" w:type="auto"/>
            <w:tcBorders>
              <w:top w:val="nil"/>
              <w:left w:val="nil"/>
              <w:bottom w:val="double" w:sz="6" w:space="0" w:color="4F81BD"/>
              <w:right w:val="nil"/>
            </w:tcBorders>
            <w:shd w:val="clear" w:color="auto" w:fill="auto"/>
            <w:noWrap/>
            <w:vAlign w:val="center"/>
            <w:hideMark/>
          </w:tcPr>
          <w:p w14:paraId="3AFCE978" w14:textId="77777777" w:rsidR="00C0216E" w:rsidRPr="00FB7EA4" w:rsidRDefault="00C0216E" w:rsidP="00C957F8">
            <w:pPr>
              <w:spacing w:before="6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3.161.663</w:t>
            </w:r>
          </w:p>
        </w:tc>
        <w:tc>
          <w:tcPr>
            <w:tcW w:w="0" w:type="auto"/>
            <w:tcBorders>
              <w:top w:val="nil"/>
              <w:left w:val="nil"/>
              <w:bottom w:val="double" w:sz="6" w:space="0" w:color="4F81BD"/>
              <w:right w:val="nil"/>
            </w:tcBorders>
            <w:shd w:val="clear" w:color="auto" w:fill="auto"/>
            <w:noWrap/>
            <w:vAlign w:val="center"/>
            <w:hideMark/>
          </w:tcPr>
          <w:p w14:paraId="139567EE" w14:textId="77777777" w:rsidR="00C0216E" w:rsidRPr="00FB7EA4" w:rsidRDefault="00C0216E" w:rsidP="00C957F8">
            <w:pPr>
              <w:spacing w:before="6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3.404.036</w:t>
            </w:r>
          </w:p>
        </w:tc>
        <w:tc>
          <w:tcPr>
            <w:tcW w:w="0" w:type="auto"/>
            <w:tcBorders>
              <w:top w:val="nil"/>
              <w:left w:val="nil"/>
              <w:bottom w:val="double" w:sz="6" w:space="0" w:color="4F81BD"/>
              <w:right w:val="nil"/>
            </w:tcBorders>
            <w:shd w:val="clear" w:color="auto" w:fill="auto"/>
            <w:noWrap/>
            <w:vAlign w:val="center"/>
            <w:hideMark/>
          </w:tcPr>
          <w:p w14:paraId="65C0C5F0" w14:textId="77777777" w:rsidR="00C0216E" w:rsidRPr="00FB7EA4" w:rsidRDefault="00C0216E" w:rsidP="00C957F8">
            <w:pPr>
              <w:spacing w:before="6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2.705.356</w:t>
            </w:r>
          </w:p>
        </w:tc>
      </w:tr>
      <w:tr w:rsidR="00C0216E" w:rsidRPr="00C0216E" w14:paraId="285BA182" w14:textId="77777777" w:rsidTr="00CD65F3">
        <w:trPr>
          <w:trHeight w:val="315"/>
        </w:trPr>
        <w:tc>
          <w:tcPr>
            <w:tcW w:w="0" w:type="auto"/>
            <w:tcBorders>
              <w:top w:val="nil"/>
              <w:left w:val="nil"/>
              <w:bottom w:val="nil"/>
              <w:right w:val="nil"/>
            </w:tcBorders>
            <w:shd w:val="clear" w:color="auto" w:fill="auto"/>
            <w:noWrap/>
            <w:vAlign w:val="center"/>
            <w:hideMark/>
          </w:tcPr>
          <w:p w14:paraId="6E9AF5AF" w14:textId="77777777" w:rsidR="00C0216E" w:rsidRPr="00CD65F3" w:rsidRDefault="00C0216E" w:rsidP="00C957F8">
            <w:pPr>
              <w:spacing w:before="60" w:after="60"/>
              <w:jc w:val="center"/>
              <w:rPr>
                <w:rFonts w:ascii="Arial" w:hAnsi="Arial" w:cs="Arial"/>
                <w:b/>
                <w:bCs/>
                <w:color w:val="0F243E"/>
                <w:sz w:val="20"/>
                <w:szCs w:val="20"/>
              </w:rPr>
            </w:pPr>
            <w:r w:rsidRPr="00CD65F3">
              <w:rPr>
                <w:rFonts w:ascii="Arial" w:hAnsi="Arial" w:cs="Arial"/>
                <w:b/>
                <w:bCs/>
                <w:color w:val="0F243E"/>
                <w:sz w:val="20"/>
                <w:szCs w:val="20"/>
              </w:rPr>
              <w:t>Variación $</w:t>
            </w:r>
          </w:p>
        </w:tc>
        <w:tc>
          <w:tcPr>
            <w:tcW w:w="0" w:type="auto"/>
            <w:tcBorders>
              <w:top w:val="nil"/>
              <w:left w:val="nil"/>
              <w:bottom w:val="nil"/>
              <w:right w:val="nil"/>
            </w:tcBorders>
            <w:shd w:val="clear" w:color="auto" w:fill="auto"/>
            <w:noWrap/>
            <w:vAlign w:val="center"/>
            <w:hideMark/>
          </w:tcPr>
          <w:p w14:paraId="49D0202D" w14:textId="77777777" w:rsidR="00C0216E" w:rsidRPr="00FB7EA4" w:rsidRDefault="00C0216E" w:rsidP="00C957F8">
            <w:pPr>
              <w:spacing w:before="60" w:after="60"/>
              <w:jc w:val="right"/>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1.339.724</w:t>
            </w:r>
          </w:p>
        </w:tc>
        <w:tc>
          <w:tcPr>
            <w:tcW w:w="0" w:type="auto"/>
            <w:tcBorders>
              <w:top w:val="nil"/>
              <w:left w:val="nil"/>
              <w:bottom w:val="nil"/>
              <w:right w:val="nil"/>
            </w:tcBorders>
            <w:shd w:val="clear" w:color="auto" w:fill="auto"/>
            <w:noWrap/>
            <w:vAlign w:val="center"/>
            <w:hideMark/>
          </w:tcPr>
          <w:p w14:paraId="506F43E0" w14:textId="77777777" w:rsidR="00C0216E" w:rsidRPr="00FB7EA4" w:rsidRDefault="00C0216E" w:rsidP="00C957F8">
            <w:pPr>
              <w:spacing w:before="60" w:after="60"/>
              <w:jc w:val="right"/>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1.638.847</w:t>
            </w:r>
          </w:p>
        </w:tc>
        <w:tc>
          <w:tcPr>
            <w:tcW w:w="0" w:type="auto"/>
            <w:tcBorders>
              <w:top w:val="nil"/>
              <w:left w:val="nil"/>
              <w:bottom w:val="nil"/>
              <w:right w:val="nil"/>
            </w:tcBorders>
            <w:shd w:val="clear" w:color="auto" w:fill="auto"/>
            <w:noWrap/>
            <w:vAlign w:val="center"/>
            <w:hideMark/>
          </w:tcPr>
          <w:p w14:paraId="578BC6EF" w14:textId="77777777" w:rsidR="00C0216E" w:rsidRPr="00FB7EA4" w:rsidRDefault="00C0216E" w:rsidP="00C957F8">
            <w:pPr>
              <w:spacing w:before="60" w:after="60"/>
              <w:jc w:val="right"/>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672.883</w:t>
            </w:r>
          </w:p>
        </w:tc>
      </w:tr>
      <w:tr w:rsidR="00C0216E" w:rsidRPr="00C0216E" w14:paraId="4AF3F959" w14:textId="77777777" w:rsidTr="00C0216E">
        <w:trPr>
          <w:trHeight w:val="300"/>
        </w:trPr>
        <w:tc>
          <w:tcPr>
            <w:tcW w:w="0" w:type="auto"/>
            <w:tcBorders>
              <w:top w:val="nil"/>
              <w:left w:val="nil"/>
              <w:bottom w:val="double" w:sz="4" w:space="0" w:color="4F81BD" w:themeColor="accent1"/>
              <w:right w:val="nil"/>
            </w:tcBorders>
            <w:shd w:val="clear" w:color="auto" w:fill="auto"/>
            <w:noWrap/>
            <w:vAlign w:val="center"/>
            <w:hideMark/>
          </w:tcPr>
          <w:p w14:paraId="5E4FB42B" w14:textId="77777777" w:rsidR="00C0216E" w:rsidRPr="00CD65F3" w:rsidRDefault="00C0216E" w:rsidP="00C957F8">
            <w:pPr>
              <w:spacing w:before="60" w:after="60"/>
              <w:jc w:val="center"/>
              <w:rPr>
                <w:rFonts w:ascii="Arial" w:hAnsi="Arial" w:cs="Arial"/>
                <w:b/>
                <w:bCs/>
                <w:color w:val="0F243E"/>
                <w:sz w:val="20"/>
                <w:szCs w:val="20"/>
              </w:rPr>
            </w:pPr>
            <w:r w:rsidRPr="00CD65F3">
              <w:rPr>
                <w:rFonts w:ascii="Arial" w:hAnsi="Arial" w:cs="Arial"/>
                <w:b/>
                <w:bCs/>
                <w:color w:val="0F243E"/>
                <w:sz w:val="20"/>
                <w:szCs w:val="20"/>
              </w:rPr>
              <w:t>Variación %</w:t>
            </w:r>
          </w:p>
        </w:tc>
        <w:tc>
          <w:tcPr>
            <w:tcW w:w="0" w:type="auto"/>
            <w:tcBorders>
              <w:top w:val="nil"/>
              <w:left w:val="nil"/>
              <w:bottom w:val="double" w:sz="4" w:space="0" w:color="4F81BD" w:themeColor="accent1"/>
              <w:right w:val="nil"/>
            </w:tcBorders>
            <w:shd w:val="clear" w:color="auto" w:fill="auto"/>
            <w:noWrap/>
            <w:vAlign w:val="center"/>
            <w:hideMark/>
          </w:tcPr>
          <w:p w14:paraId="32BFBB73" w14:textId="77777777" w:rsidR="00C0216E" w:rsidRPr="00FB7EA4" w:rsidRDefault="00C0216E" w:rsidP="00C957F8">
            <w:pPr>
              <w:spacing w:before="60" w:after="60"/>
              <w:jc w:val="center"/>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42%</w:t>
            </w:r>
          </w:p>
        </w:tc>
        <w:tc>
          <w:tcPr>
            <w:tcW w:w="0" w:type="auto"/>
            <w:tcBorders>
              <w:top w:val="nil"/>
              <w:left w:val="nil"/>
              <w:bottom w:val="double" w:sz="4" w:space="0" w:color="4F81BD" w:themeColor="accent1"/>
              <w:right w:val="nil"/>
            </w:tcBorders>
            <w:shd w:val="clear" w:color="auto" w:fill="auto"/>
            <w:noWrap/>
            <w:vAlign w:val="center"/>
            <w:hideMark/>
          </w:tcPr>
          <w:p w14:paraId="0086FEDA" w14:textId="77777777" w:rsidR="00C0216E" w:rsidRPr="00FB7EA4" w:rsidRDefault="00C0216E" w:rsidP="00C957F8">
            <w:pPr>
              <w:spacing w:before="60" w:after="60"/>
              <w:jc w:val="center"/>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48%</w:t>
            </w:r>
          </w:p>
        </w:tc>
        <w:tc>
          <w:tcPr>
            <w:tcW w:w="0" w:type="auto"/>
            <w:tcBorders>
              <w:top w:val="nil"/>
              <w:left w:val="nil"/>
              <w:bottom w:val="double" w:sz="4" w:space="0" w:color="4F81BD" w:themeColor="accent1"/>
              <w:right w:val="nil"/>
            </w:tcBorders>
            <w:shd w:val="clear" w:color="auto" w:fill="auto"/>
            <w:noWrap/>
            <w:vAlign w:val="center"/>
            <w:hideMark/>
          </w:tcPr>
          <w:p w14:paraId="55EB9D07" w14:textId="77777777" w:rsidR="00C0216E" w:rsidRPr="00FB7EA4" w:rsidRDefault="00C0216E" w:rsidP="00C957F8">
            <w:pPr>
              <w:spacing w:before="60" w:after="60"/>
              <w:jc w:val="center"/>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25%</w:t>
            </w:r>
          </w:p>
        </w:tc>
      </w:tr>
    </w:tbl>
    <w:p w14:paraId="20470EF8" w14:textId="77777777" w:rsidR="001876D7" w:rsidRDefault="001876D7" w:rsidP="00B72D96">
      <w:pPr>
        <w:jc w:val="both"/>
        <w:rPr>
          <w:rFonts w:ascii="Arial" w:hAnsi="Arial" w:cs="Arial"/>
          <w:sz w:val="22"/>
          <w:szCs w:val="22"/>
        </w:rPr>
      </w:pPr>
    </w:p>
    <w:p w14:paraId="0CB1AE8A" w14:textId="36A98459" w:rsidR="003C609B" w:rsidRDefault="00806537" w:rsidP="00B72D96">
      <w:pPr>
        <w:jc w:val="both"/>
        <w:rPr>
          <w:rFonts w:ascii="Arial" w:hAnsi="Arial" w:cs="Arial"/>
          <w:sz w:val="22"/>
          <w:szCs w:val="22"/>
        </w:rPr>
      </w:pPr>
      <w:r w:rsidRPr="00FA1078">
        <w:rPr>
          <w:rFonts w:ascii="Arial" w:hAnsi="Arial" w:cs="Arial"/>
          <w:sz w:val="22"/>
          <w:szCs w:val="22"/>
        </w:rPr>
        <w:lastRenderedPageBreak/>
        <w:t>Con respecto a</w:t>
      </w:r>
      <w:r w:rsidR="00BB72E3" w:rsidRPr="00FA1078">
        <w:rPr>
          <w:rFonts w:ascii="Arial" w:hAnsi="Arial" w:cs="Arial"/>
          <w:sz w:val="22"/>
          <w:szCs w:val="22"/>
        </w:rPr>
        <w:t xml:space="preserve">l consumo en galones de combustible </w:t>
      </w:r>
      <w:r w:rsidR="00D01B51" w:rsidRPr="00FA1078">
        <w:rPr>
          <w:rFonts w:ascii="Arial" w:hAnsi="Arial" w:cs="Arial"/>
          <w:sz w:val="22"/>
          <w:szCs w:val="22"/>
        </w:rPr>
        <w:t>[gasolina</w:t>
      </w:r>
      <w:r w:rsidR="00F543C4" w:rsidRPr="00FA1078">
        <w:rPr>
          <w:rFonts w:ascii="Arial" w:hAnsi="Arial" w:cs="Arial"/>
          <w:sz w:val="22"/>
          <w:szCs w:val="22"/>
        </w:rPr>
        <w:t xml:space="preserve"> corriente y ACPM], </w:t>
      </w:r>
      <w:r w:rsidR="00BB72E3" w:rsidRPr="00FA1078">
        <w:rPr>
          <w:rFonts w:ascii="Arial" w:hAnsi="Arial" w:cs="Arial"/>
          <w:sz w:val="22"/>
          <w:szCs w:val="22"/>
        </w:rPr>
        <w:t xml:space="preserve">durante el trimestre objeto de verificación, </w:t>
      </w:r>
      <w:r w:rsidR="00B72D96">
        <w:rPr>
          <w:rFonts w:ascii="Arial" w:hAnsi="Arial" w:cs="Arial"/>
          <w:sz w:val="22"/>
          <w:szCs w:val="22"/>
        </w:rPr>
        <w:t xml:space="preserve">se evidenció un </w:t>
      </w:r>
      <w:r w:rsidR="00B72D96" w:rsidRPr="00B72D96">
        <w:rPr>
          <w:rFonts w:ascii="Arial" w:hAnsi="Arial" w:cs="Arial"/>
          <w:b/>
          <w:sz w:val="22"/>
          <w:szCs w:val="22"/>
        </w:rPr>
        <w:t>incremento</w:t>
      </w:r>
      <w:r w:rsidR="00B72D96">
        <w:rPr>
          <w:rFonts w:ascii="Arial" w:hAnsi="Arial" w:cs="Arial"/>
          <w:b/>
          <w:sz w:val="22"/>
          <w:szCs w:val="22"/>
        </w:rPr>
        <w:t xml:space="preserve"> </w:t>
      </w:r>
      <w:r w:rsidR="00B311EB" w:rsidRPr="00FA1078">
        <w:rPr>
          <w:rFonts w:ascii="Arial" w:hAnsi="Arial" w:cs="Arial"/>
          <w:sz w:val="22"/>
          <w:szCs w:val="22"/>
        </w:rPr>
        <w:t xml:space="preserve">de </w:t>
      </w:r>
      <w:r w:rsidR="00B72D96">
        <w:rPr>
          <w:rFonts w:ascii="Arial" w:hAnsi="Arial" w:cs="Arial"/>
          <w:sz w:val="22"/>
          <w:szCs w:val="22"/>
        </w:rPr>
        <w:t>48</w:t>
      </w:r>
      <w:r w:rsidR="00B311EB" w:rsidRPr="00FA1078">
        <w:rPr>
          <w:rFonts w:ascii="Arial" w:hAnsi="Arial" w:cs="Arial"/>
          <w:sz w:val="22"/>
          <w:szCs w:val="22"/>
        </w:rPr>
        <w:t xml:space="preserve"> </w:t>
      </w:r>
      <w:r w:rsidR="00BB72E3" w:rsidRPr="00FA1078">
        <w:rPr>
          <w:rFonts w:ascii="Arial" w:hAnsi="Arial" w:cs="Arial"/>
          <w:sz w:val="22"/>
          <w:szCs w:val="22"/>
        </w:rPr>
        <w:t xml:space="preserve">galones de gasolina corriente equivalentes a un </w:t>
      </w:r>
      <w:r w:rsidR="00B72D96">
        <w:rPr>
          <w:rFonts w:ascii="Arial" w:hAnsi="Arial" w:cs="Arial"/>
          <w:sz w:val="22"/>
          <w:szCs w:val="22"/>
        </w:rPr>
        <w:t>2</w:t>
      </w:r>
      <w:r w:rsidR="00F96CCC" w:rsidRPr="00FA1078">
        <w:rPr>
          <w:rFonts w:ascii="Arial" w:hAnsi="Arial" w:cs="Arial"/>
          <w:sz w:val="22"/>
          <w:szCs w:val="22"/>
        </w:rPr>
        <w:t xml:space="preserve">%. Para el concepto de ACPM, </w:t>
      </w:r>
      <w:r w:rsidR="00B72D96">
        <w:rPr>
          <w:rFonts w:ascii="Arial" w:hAnsi="Arial" w:cs="Arial"/>
          <w:sz w:val="22"/>
          <w:szCs w:val="22"/>
        </w:rPr>
        <w:t xml:space="preserve">el total de galones se </w:t>
      </w:r>
      <w:r w:rsidR="008F69B6" w:rsidRPr="00FA1078">
        <w:rPr>
          <w:rFonts w:ascii="Arial" w:hAnsi="Arial" w:cs="Arial"/>
          <w:b/>
          <w:sz w:val="22"/>
          <w:szCs w:val="22"/>
        </w:rPr>
        <w:t>incrementó</w:t>
      </w:r>
      <w:r w:rsidR="008F69B6" w:rsidRPr="00FA1078">
        <w:rPr>
          <w:rFonts w:ascii="Arial" w:hAnsi="Arial" w:cs="Arial"/>
          <w:sz w:val="22"/>
          <w:szCs w:val="22"/>
        </w:rPr>
        <w:t xml:space="preserve"> </w:t>
      </w:r>
      <w:r w:rsidR="00B72D96">
        <w:rPr>
          <w:rFonts w:ascii="Arial" w:hAnsi="Arial" w:cs="Arial"/>
          <w:sz w:val="22"/>
          <w:szCs w:val="22"/>
        </w:rPr>
        <w:t>en 124</w:t>
      </w:r>
      <w:r w:rsidR="00F543C4" w:rsidRPr="00FA1078">
        <w:rPr>
          <w:rFonts w:ascii="Arial" w:hAnsi="Arial" w:cs="Arial"/>
          <w:sz w:val="22"/>
          <w:szCs w:val="22"/>
        </w:rPr>
        <w:t xml:space="preserve">, correspondiente a un </w:t>
      </w:r>
      <w:r w:rsidR="00B72D96">
        <w:rPr>
          <w:rFonts w:ascii="Arial" w:hAnsi="Arial" w:cs="Arial"/>
          <w:sz w:val="22"/>
          <w:szCs w:val="22"/>
        </w:rPr>
        <w:t xml:space="preserve">11%. </w:t>
      </w:r>
    </w:p>
    <w:p w14:paraId="1781AA7E" w14:textId="77777777" w:rsidR="004402CD" w:rsidRDefault="004402CD" w:rsidP="00B72D96">
      <w:pPr>
        <w:jc w:val="both"/>
        <w:rPr>
          <w:rFonts w:ascii="Arial" w:hAnsi="Arial" w:cs="Arial"/>
          <w:sz w:val="22"/>
          <w:szCs w:val="22"/>
        </w:rPr>
      </w:pPr>
    </w:p>
    <w:tbl>
      <w:tblPr>
        <w:tblW w:w="0" w:type="auto"/>
        <w:tblInd w:w="-10" w:type="dxa"/>
        <w:tblCellMar>
          <w:left w:w="70" w:type="dxa"/>
          <w:right w:w="70" w:type="dxa"/>
        </w:tblCellMar>
        <w:tblLook w:val="04A0" w:firstRow="1" w:lastRow="0" w:firstColumn="1" w:lastColumn="0" w:noHBand="0" w:noVBand="1"/>
      </w:tblPr>
      <w:tblGrid>
        <w:gridCol w:w="1338"/>
        <w:gridCol w:w="923"/>
        <w:gridCol w:w="895"/>
        <w:gridCol w:w="1083"/>
        <w:gridCol w:w="588"/>
        <w:gridCol w:w="146"/>
        <w:gridCol w:w="1163"/>
        <w:gridCol w:w="952"/>
        <w:gridCol w:w="880"/>
        <w:gridCol w:w="1020"/>
        <w:gridCol w:w="690"/>
      </w:tblGrid>
      <w:tr w:rsidR="003F3D94" w:rsidRPr="00CA5F52" w14:paraId="5B7B43BA" w14:textId="77777777" w:rsidTr="00CA5F52">
        <w:trPr>
          <w:cantSplit/>
        </w:trPr>
        <w:tc>
          <w:tcPr>
            <w:tcW w:w="0" w:type="auto"/>
            <w:vMerge w:val="restart"/>
            <w:tcBorders>
              <w:top w:val="single" w:sz="8" w:space="0" w:color="B8CCE4"/>
              <w:left w:val="single" w:sz="8" w:space="0" w:color="B8CCE4"/>
              <w:bottom w:val="nil"/>
              <w:right w:val="single" w:sz="8" w:space="0" w:color="B8CCE4"/>
            </w:tcBorders>
            <w:shd w:val="clear" w:color="000000" w:fill="4F81BD"/>
            <w:vAlign w:val="center"/>
            <w:hideMark/>
          </w:tcPr>
          <w:p w14:paraId="2E36FECF" w14:textId="77777777" w:rsidR="00CA5F52" w:rsidRPr="00CA5F52" w:rsidRDefault="00CA5F52" w:rsidP="00422BDB">
            <w:pPr>
              <w:spacing w:before="80" w:after="60"/>
              <w:jc w:val="center"/>
              <w:rPr>
                <w:rFonts w:ascii="Arial" w:hAnsi="Arial" w:cs="Arial"/>
                <w:color w:val="FFFFFF"/>
                <w:sz w:val="20"/>
                <w:szCs w:val="20"/>
              </w:rPr>
            </w:pPr>
            <w:r w:rsidRPr="00CA5F52">
              <w:rPr>
                <w:rFonts w:ascii="Arial" w:hAnsi="Arial" w:cs="Arial"/>
                <w:color w:val="FFFFFF"/>
                <w:sz w:val="20"/>
                <w:szCs w:val="20"/>
              </w:rPr>
              <w:t>Gasolina Corriente</w:t>
            </w:r>
          </w:p>
        </w:tc>
        <w:tc>
          <w:tcPr>
            <w:tcW w:w="0" w:type="auto"/>
            <w:gridSpan w:val="2"/>
            <w:tcBorders>
              <w:top w:val="single" w:sz="8" w:space="0" w:color="B8CCE4"/>
              <w:left w:val="nil"/>
              <w:bottom w:val="single" w:sz="12" w:space="0" w:color="95B3D7"/>
              <w:right w:val="single" w:sz="8" w:space="0" w:color="B8CCE4"/>
            </w:tcBorders>
            <w:shd w:val="clear" w:color="000000" w:fill="4F81BD"/>
            <w:vAlign w:val="center"/>
            <w:hideMark/>
          </w:tcPr>
          <w:p w14:paraId="0EDA04BF" w14:textId="77777777" w:rsidR="00CA5F52" w:rsidRPr="00CA5F52" w:rsidRDefault="00CA5F52" w:rsidP="00422BDB">
            <w:pPr>
              <w:spacing w:before="80" w:after="60"/>
              <w:jc w:val="center"/>
              <w:rPr>
                <w:rFonts w:ascii="Arial" w:hAnsi="Arial" w:cs="Arial"/>
                <w:color w:val="FFFFFF"/>
                <w:sz w:val="20"/>
                <w:szCs w:val="20"/>
              </w:rPr>
            </w:pPr>
            <w:r w:rsidRPr="00CA5F52">
              <w:rPr>
                <w:rFonts w:ascii="Arial" w:hAnsi="Arial" w:cs="Arial"/>
                <w:color w:val="FFFFFF"/>
                <w:sz w:val="20"/>
                <w:szCs w:val="20"/>
              </w:rPr>
              <w:t xml:space="preserve"> Consumo en Galones III Trimestre</w:t>
            </w:r>
          </w:p>
        </w:tc>
        <w:tc>
          <w:tcPr>
            <w:tcW w:w="0" w:type="auto"/>
            <w:gridSpan w:val="2"/>
            <w:tcBorders>
              <w:top w:val="single" w:sz="8" w:space="0" w:color="B8CCE4"/>
              <w:left w:val="nil"/>
              <w:bottom w:val="single" w:sz="12" w:space="0" w:color="95B3D7"/>
              <w:right w:val="single" w:sz="8" w:space="0" w:color="4F81BD"/>
            </w:tcBorders>
            <w:shd w:val="clear" w:color="000000" w:fill="4F81BD"/>
            <w:vAlign w:val="center"/>
            <w:hideMark/>
          </w:tcPr>
          <w:p w14:paraId="5CF4DA0B" w14:textId="77777777" w:rsidR="00CA5F52" w:rsidRPr="00CA5F52" w:rsidRDefault="00CA5F52" w:rsidP="00422BDB">
            <w:pPr>
              <w:spacing w:before="80" w:after="60"/>
              <w:jc w:val="center"/>
              <w:rPr>
                <w:rFonts w:ascii="Arial" w:hAnsi="Arial" w:cs="Arial"/>
                <w:color w:val="FFFFFF"/>
                <w:sz w:val="20"/>
                <w:szCs w:val="20"/>
              </w:rPr>
            </w:pPr>
            <w:r w:rsidRPr="00CA5F52">
              <w:rPr>
                <w:rFonts w:ascii="Arial" w:hAnsi="Arial" w:cs="Arial"/>
                <w:color w:val="FFFFFF"/>
                <w:sz w:val="20"/>
                <w:szCs w:val="20"/>
              </w:rPr>
              <w:t xml:space="preserve">Variaciones Gasolina </w:t>
            </w:r>
          </w:p>
        </w:tc>
        <w:tc>
          <w:tcPr>
            <w:tcW w:w="0" w:type="auto"/>
            <w:tcBorders>
              <w:top w:val="nil"/>
              <w:left w:val="nil"/>
              <w:bottom w:val="nil"/>
              <w:right w:val="nil"/>
            </w:tcBorders>
            <w:shd w:val="clear" w:color="auto" w:fill="auto"/>
            <w:noWrap/>
            <w:vAlign w:val="center"/>
            <w:hideMark/>
          </w:tcPr>
          <w:p w14:paraId="385DBCDA" w14:textId="77777777" w:rsidR="00CA5F52" w:rsidRPr="00CA5F52" w:rsidRDefault="00CA5F52" w:rsidP="00422BDB">
            <w:pPr>
              <w:spacing w:before="80" w:after="60"/>
              <w:jc w:val="center"/>
              <w:rPr>
                <w:rFonts w:ascii="Arial" w:hAnsi="Arial" w:cs="Arial"/>
                <w:color w:val="FFFFFF"/>
                <w:sz w:val="20"/>
                <w:szCs w:val="20"/>
              </w:rPr>
            </w:pPr>
          </w:p>
        </w:tc>
        <w:tc>
          <w:tcPr>
            <w:tcW w:w="0" w:type="auto"/>
            <w:vMerge w:val="restart"/>
            <w:tcBorders>
              <w:top w:val="single" w:sz="8" w:space="0" w:color="B8CCE4"/>
              <w:left w:val="single" w:sz="8" w:space="0" w:color="B8CCE4"/>
              <w:bottom w:val="nil"/>
              <w:right w:val="single" w:sz="8" w:space="0" w:color="B8CCE4"/>
            </w:tcBorders>
            <w:shd w:val="clear" w:color="000000" w:fill="4F81BD"/>
            <w:vAlign w:val="center"/>
            <w:hideMark/>
          </w:tcPr>
          <w:p w14:paraId="7F22BD66" w14:textId="77777777" w:rsidR="00CA5F52" w:rsidRPr="00CA5F52" w:rsidRDefault="00CA5F52" w:rsidP="00422BDB">
            <w:pPr>
              <w:spacing w:before="80" w:after="60"/>
              <w:jc w:val="center"/>
              <w:rPr>
                <w:rFonts w:ascii="Arial" w:hAnsi="Arial" w:cs="Arial"/>
                <w:color w:val="FFFFFF"/>
                <w:sz w:val="20"/>
                <w:szCs w:val="20"/>
              </w:rPr>
            </w:pPr>
            <w:r w:rsidRPr="00CA5F52">
              <w:rPr>
                <w:rFonts w:ascii="Arial" w:hAnsi="Arial" w:cs="Arial"/>
                <w:color w:val="FFFFFF"/>
                <w:sz w:val="20"/>
                <w:szCs w:val="20"/>
              </w:rPr>
              <w:t>ACPM</w:t>
            </w:r>
          </w:p>
        </w:tc>
        <w:tc>
          <w:tcPr>
            <w:tcW w:w="0" w:type="auto"/>
            <w:gridSpan w:val="2"/>
            <w:tcBorders>
              <w:top w:val="single" w:sz="8" w:space="0" w:color="B8CCE4"/>
              <w:left w:val="nil"/>
              <w:bottom w:val="single" w:sz="12" w:space="0" w:color="95B3D7"/>
              <w:right w:val="single" w:sz="8" w:space="0" w:color="B8CCE4"/>
            </w:tcBorders>
            <w:shd w:val="clear" w:color="000000" w:fill="4F81BD"/>
            <w:vAlign w:val="center"/>
            <w:hideMark/>
          </w:tcPr>
          <w:p w14:paraId="72C8F9D2" w14:textId="77777777" w:rsidR="00CA5F52" w:rsidRPr="00CA5F52" w:rsidRDefault="00CA5F52" w:rsidP="00422BDB">
            <w:pPr>
              <w:spacing w:before="80" w:after="60"/>
              <w:jc w:val="center"/>
              <w:rPr>
                <w:rFonts w:ascii="Arial" w:hAnsi="Arial" w:cs="Arial"/>
                <w:color w:val="FFFFFF"/>
                <w:sz w:val="20"/>
                <w:szCs w:val="20"/>
              </w:rPr>
            </w:pPr>
            <w:r w:rsidRPr="00CA5F52">
              <w:rPr>
                <w:rFonts w:ascii="Arial" w:hAnsi="Arial" w:cs="Arial"/>
                <w:color w:val="FFFFFF"/>
                <w:sz w:val="20"/>
                <w:szCs w:val="20"/>
              </w:rPr>
              <w:t>Consumo  en Galones  III Trimestre</w:t>
            </w:r>
          </w:p>
        </w:tc>
        <w:tc>
          <w:tcPr>
            <w:tcW w:w="0" w:type="auto"/>
            <w:gridSpan w:val="2"/>
            <w:tcBorders>
              <w:top w:val="single" w:sz="8" w:space="0" w:color="B8CCE4"/>
              <w:left w:val="nil"/>
              <w:bottom w:val="single" w:sz="12" w:space="0" w:color="95B3D7"/>
              <w:right w:val="single" w:sz="8" w:space="0" w:color="4F81BD"/>
            </w:tcBorders>
            <w:shd w:val="clear" w:color="000000" w:fill="4F81BD"/>
            <w:vAlign w:val="center"/>
            <w:hideMark/>
          </w:tcPr>
          <w:p w14:paraId="2324F297" w14:textId="77777777" w:rsidR="00CA5F52" w:rsidRPr="00CA5F52" w:rsidRDefault="00CA5F52" w:rsidP="00422BDB">
            <w:pPr>
              <w:spacing w:before="80" w:after="60"/>
              <w:jc w:val="center"/>
              <w:rPr>
                <w:rFonts w:ascii="Arial" w:hAnsi="Arial" w:cs="Arial"/>
                <w:color w:val="FFFFFF"/>
                <w:sz w:val="20"/>
                <w:szCs w:val="20"/>
              </w:rPr>
            </w:pPr>
            <w:r w:rsidRPr="00CA5F52">
              <w:rPr>
                <w:rFonts w:ascii="Arial" w:hAnsi="Arial" w:cs="Arial"/>
                <w:color w:val="FFFFFF"/>
                <w:sz w:val="20"/>
                <w:szCs w:val="20"/>
              </w:rPr>
              <w:t>Variaciones ACPM</w:t>
            </w:r>
          </w:p>
        </w:tc>
      </w:tr>
      <w:tr w:rsidR="00CA5F52" w:rsidRPr="00CA5F52" w14:paraId="67A52281" w14:textId="77777777" w:rsidTr="00CA5F52">
        <w:trPr>
          <w:cantSplit/>
        </w:trPr>
        <w:tc>
          <w:tcPr>
            <w:tcW w:w="0" w:type="auto"/>
            <w:vMerge/>
            <w:tcBorders>
              <w:top w:val="single" w:sz="8" w:space="0" w:color="B8CCE4"/>
              <w:left w:val="single" w:sz="8" w:space="0" w:color="B8CCE4"/>
              <w:bottom w:val="nil"/>
              <w:right w:val="single" w:sz="8" w:space="0" w:color="B8CCE4"/>
            </w:tcBorders>
            <w:vAlign w:val="center"/>
            <w:hideMark/>
          </w:tcPr>
          <w:p w14:paraId="22E20B3E" w14:textId="77777777" w:rsidR="00CA5F52" w:rsidRPr="00CA5F52" w:rsidRDefault="00CA5F52" w:rsidP="00422BDB">
            <w:pPr>
              <w:spacing w:before="80" w:after="60"/>
              <w:rPr>
                <w:rFonts w:ascii="Arial" w:hAnsi="Arial" w:cs="Arial"/>
                <w:color w:val="FFFFFF"/>
                <w:sz w:val="20"/>
                <w:szCs w:val="20"/>
              </w:rPr>
            </w:pPr>
          </w:p>
        </w:tc>
        <w:tc>
          <w:tcPr>
            <w:tcW w:w="0" w:type="auto"/>
            <w:tcBorders>
              <w:top w:val="nil"/>
              <w:left w:val="nil"/>
              <w:bottom w:val="nil"/>
              <w:right w:val="single" w:sz="8" w:space="0" w:color="B8CCE4"/>
            </w:tcBorders>
            <w:shd w:val="clear" w:color="000000" w:fill="4F81BD"/>
            <w:vAlign w:val="center"/>
            <w:hideMark/>
          </w:tcPr>
          <w:p w14:paraId="54D606BD" w14:textId="77777777" w:rsidR="00CA5F52" w:rsidRPr="00CA5F52" w:rsidRDefault="00CA5F52" w:rsidP="00422BDB">
            <w:pPr>
              <w:spacing w:before="80" w:after="60"/>
              <w:jc w:val="center"/>
              <w:rPr>
                <w:rFonts w:ascii="Arial" w:hAnsi="Arial" w:cs="Arial"/>
                <w:b/>
                <w:bCs/>
                <w:color w:val="FFFFFF"/>
                <w:sz w:val="20"/>
                <w:szCs w:val="20"/>
              </w:rPr>
            </w:pPr>
            <w:r w:rsidRPr="00CA5F52">
              <w:rPr>
                <w:rFonts w:ascii="Arial" w:hAnsi="Arial" w:cs="Arial"/>
                <w:b/>
                <w:bCs/>
                <w:color w:val="FFFFFF"/>
                <w:sz w:val="20"/>
                <w:szCs w:val="20"/>
              </w:rPr>
              <w:t>2019</w:t>
            </w:r>
          </w:p>
        </w:tc>
        <w:tc>
          <w:tcPr>
            <w:tcW w:w="0" w:type="auto"/>
            <w:tcBorders>
              <w:top w:val="nil"/>
              <w:left w:val="nil"/>
              <w:bottom w:val="nil"/>
              <w:right w:val="single" w:sz="8" w:space="0" w:color="B8CCE4"/>
            </w:tcBorders>
            <w:shd w:val="clear" w:color="000000" w:fill="4F81BD"/>
            <w:vAlign w:val="center"/>
            <w:hideMark/>
          </w:tcPr>
          <w:p w14:paraId="31CD69DC" w14:textId="77777777" w:rsidR="00CA5F52" w:rsidRPr="00CA5F52" w:rsidRDefault="00CA5F52" w:rsidP="00422BDB">
            <w:pPr>
              <w:spacing w:before="80" w:after="60"/>
              <w:jc w:val="center"/>
              <w:rPr>
                <w:rFonts w:ascii="Arial" w:hAnsi="Arial" w:cs="Arial"/>
                <w:b/>
                <w:bCs/>
                <w:color w:val="FFFFFF"/>
                <w:sz w:val="20"/>
                <w:szCs w:val="20"/>
              </w:rPr>
            </w:pPr>
            <w:r w:rsidRPr="00CA5F52">
              <w:rPr>
                <w:rFonts w:ascii="Arial" w:hAnsi="Arial" w:cs="Arial"/>
                <w:b/>
                <w:bCs/>
                <w:color w:val="FFFFFF"/>
                <w:sz w:val="20"/>
                <w:szCs w:val="20"/>
              </w:rPr>
              <w:t>2018</w:t>
            </w:r>
          </w:p>
        </w:tc>
        <w:tc>
          <w:tcPr>
            <w:tcW w:w="0" w:type="auto"/>
            <w:tcBorders>
              <w:top w:val="nil"/>
              <w:left w:val="nil"/>
              <w:bottom w:val="nil"/>
              <w:right w:val="single" w:sz="8" w:space="0" w:color="B8CCE4"/>
            </w:tcBorders>
            <w:shd w:val="clear" w:color="000000" w:fill="4F81BD"/>
            <w:vAlign w:val="center"/>
            <w:hideMark/>
          </w:tcPr>
          <w:p w14:paraId="3062F7A9" w14:textId="77777777" w:rsidR="00CA5F52" w:rsidRPr="00CA5F52" w:rsidRDefault="00CA5F52" w:rsidP="00422BDB">
            <w:pPr>
              <w:spacing w:before="80" w:after="60"/>
              <w:jc w:val="center"/>
              <w:rPr>
                <w:rFonts w:ascii="Arial" w:hAnsi="Arial" w:cs="Arial"/>
                <w:b/>
                <w:bCs/>
                <w:color w:val="FFFFFF"/>
                <w:sz w:val="20"/>
                <w:szCs w:val="20"/>
              </w:rPr>
            </w:pPr>
            <w:r w:rsidRPr="00CA5F52">
              <w:rPr>
                <w:rFonts w:ascii="Arial" w:hAnsi="Arial" w:cs="Arial"/>
                <w:b/>
                <w:bCs/>
                <w:color w:val="FFFFFF"/>
                <w:sz w:val="20"/>
                <w:szCs w:val="20"/>
              </w:rPr>
              <w:t>Cantidad</w:t>
            </w:r>
          </w:p>
        </w:tc>
        <w:tc>
          <w:tcPr>
            <w:tcW w:w="0" w:type="auto"/>
            <w:tcBorders>
              <w:top w:val="nil"/>
              <w:left w:val="nil"/>
              <w:bottom w:val="nil"/>
              <w:right w:val="single" w:sz="8" w:space="0" w:color="4F81BD"/>
            </w:tcBorders>
            <w:shd w:val="clear" w:color="000000" w:fill="4F81BD"/>
            <w:vAlign w:val="center"/>
            <w:hideMark/>
          </w:tcPr>
          <w:p w14:paraId="5FC3E6F5" w14:textId="77777777" w:rsidR="00CA5F52" w:rsidRPr="00CA5F52" w:rsidRDefault="00CA5F52" w:rsidP="00422BDB">
            <w:pPr>
              <w:spacing w:before="80" w:after="60"/>
              <w:jc w:val="center"/>
              <w:rPr>
                <w:rFonts w:ascii="Arial" w:hAnsi="Arial" w:cs="Arial"/>
                <w:b/>
                <w:bCs/>
                <w:color w:val="FFFFFF"/>
                <w:sz w:val="20"/>
                <w:szCs w:val="20"/>
              </w:rPr>
            </w:pPr>
            <w:r w:rsidRPr="00CA5F52">
              <w:rPr>
                <w:rFonts w:ascii="Arial" w:hAnsi="Arial" w:cs="Arial"/>
                <w:b/>
                <w:bCs/>
                <w:color w:val="FFFFFF"/>
                <w:sz w:val="20"/>
                <w:szCs w:val="20"/>
              </w:rPr>
              <w:t>%</w:t>
            </w:r>
          </w:p>
        </w:tc>
        <w:tc>
          <w:tcPr>
            <w:tcW w:w="0" w:type="auto"/>
            <w:tcBorders>
              <w:top w:val="nil"/>
              <w:left w:val="nil"/>
              <w:bottom w:val="nil"/>
              <w:right w:val="nil"/>
            </w:tcBorders>
            <w:shd w:val="clear" w:color="auto" w:fill="auto"/>
            <w:noWrap/>
            <w:vAlign w:val="center"/>
            <w:hideMark/>
          </w:tcPr>
          <w:p w14:paraId="798039AA" w14:textId="77777777" w:rsidR="00CA5F52" w:rsidRPr="00CA5F52" w:rsidRDefault="00CA5F52" w:rsidP="00422BDB">
            <w:pPr>
              <w:spacing w:before="80" w:after="60"/>
              <w:jc w:val="center"/>
              <w:rPr>
                <w:rFonts w:ascii="Arial" w:hAnsi="Arial" w:cs="Arial"/>
                <w:b/>
                <w:bCs/>
                <w:color w:val="FFFFFF"/>
                <w:sz w:val="20"/>
                <w:szCs w:val="20"/>
              </w:rPr>
            </w:pPr>
          </w:p>
        </w:tc>
        <w:tc>
          <w:tcPr>
            <w:tcW w:w="0" w:type="auto"/>
            <w:vMerge/>
            <w:tcBorders>
              <w:top w:val="single" w:sz="8" w:space="0" w:color="B8CCE4"/>
              <w:left w:val="single" w:sz="8" w:space="0" w:color="B8CCE4"/>
              <w:bottom w:val="nil"/>
              <w:right w:val="single" w:sz="8" w:space="0" w:color="B8CCE4"/>
            </w:tcBorders>
            <w:vAlign w:val="center"/>
            <w:hideMark/>
          </w:tcPr>
          <w:p w14:paraId="473127D8" w14:textId="77777777" w:rsidR="00CA5F52" w:rsidRPr="00CA5F52" w:rsidRDefault="00CA5F52" w:rsidP="00422BDB">
            <w:pPr>
              <w:spacing w:before="80" w:after="60"/>
              <w:rPr>
                <w:rFonts w:ascii="Arial" w:hAnsi="Arial" w:cs="Arial"/>
                <w:color w:val="FFFFFF"/>
                <w:sz w:val="20"/>
                <w:szCs w:val="20"/>
              </w:rPr>
            </w:pPr>
          </w:p>
        </w:tc>
        <w:tc>
          <w:tcPr>
            <w:tcW w:w="0" w:type="auto"/>
            <w:tcBorders>
              <w:top w:val="nil"/>
              <w:left w:val="nil"/>
              <w:bottom w:val="nil"/>
              <w:right w:val="single" w:sz="8" w:space="0" w:color="B8CCE4"/>
            </w:tcBorders>
            <w:shd w:val="clear" w:color="000000" w:fill="4F81BD"/>
            <w:vAlign w:val="center"/>
            <w:hideMark/>
          </w:tcPr>
          <w:p w14:paraId="43D25153" w14:textId="77777777" w:rsidR="00CA5F52" w:rsidRPr="00CA5F52" w:rsidRDefault="00CA5F52" w:rsidP="00422BDB">
            <w:pPr>
              <w:spacing w:before="80" w:after="60"/>
              <w:jc w:val="center"/>
              <w:rPr>
                <w:rFonts w:ascii="Arial" w:hAnsi="Arial" w:cs="Arial"/>
                <w:b/>
                <w:bCs/>
                <w:color w:val="FFFFFF"/>
                <w:sz w:val="20"/>
                <w:szCs w:val="20"/>
              </w:rPr>
            </w:pPr>
            <w:r w:rsidRPr="00CA5F52">
              <w:rPr>
                <w:rFonts w:ascii="Arial" w:hAnsi="Arial" w:cs="Arial"/>
                <w:b/>
                <w:bCs/>
                <w:color w:val="FFFFFF"/>
                <w:sz w:val="20"/>
                <w:szCs w:val="20"/>
              </w:rPr>
              <w:t>2019</w:t>
            </w:r>
          </w:p>
        </w:tc>
        <w:tc>
          <w:tcPr>
            <w:tcW w:w="0" w:type="auto"/>
            <w:tcBorders>
              <w:top w:val="nil"/>
              <w:left w:val="nil"/>
              <w:bottom w:val="nil"/>
              <w:right w:val="single" w:sz="8" w:space="0" w:color="B8CCE4"/>
            </w:tcBorders>
            <w:shd w:val="clear" w:color="000000" w:fill="4F81BD"/>
            <w:vAlign w:val="center"/>
            <w:hideMark/>
          </w:tcPr>
          <w:p w14:paraId="7686BE68" w14:textId="77777777" w:rsidR="00CA5F52" w:rsidRPr="00CA5F52" w:rsidRDefault="00CA5F52" w:rsidP="00422BDB">
            <w:pPr>
              <w:spacing w:before="80" w:after="60"/>
              <w:jc w:val="center"/>
              <w:rPr>
                <w:rFonts w:ascii="Arial" w:hAnsi="Arial" w:cs="Arial"/>
                <w:b/>
                <w:bCs/>
                <w:color w:val="FFFFFF"/>
                <w:sz w:val="20"/>
                <w:szCs w:val="20"/>
              </w:rPr>
            </w:pPr>
            <w:r w:rsidRPr="00CA5F52">
              <w:rPr>
                <w:rFonts w:ascii="Arial" w:hAnsi="Arial" w:cs="Arial"/>
                <w:b/>
                <w:bCs/>
                <w:color w:val="FFFFFF"/>
                <w:sz w:val="20"/>
                <w:szCs w:val="20"/>
              </w:rPr>
              <w:t>2018</w:t>
            </w:r>
          </w:p>
        </w:tc>
        <w:tc>
          <w:tcPr>
            <w:tcW w:w="0" w:type="auto"/>
            <w:tcBorders>
              <w:top w:val="nil"/>
              <w:left w:val="nil"/>
              <w:bottom w:val="nil"/>
              <w:right w:val="single" w:sz="8" w:space="0" w:color="B8CCE4"/>
            </w:tcBorders>
            <w:shd w:val="clear" w:color="000000" w:fill="4F81BD"/>
            <w:vAlign w:val="center"/>
            <w:hideMark/>
          </w:tcPr>
          <w:p w14:paraId="2A439325" w14:textId="77777777" w:rsidR="00CA5F52" w:rsidRPr="00CA5F52" w:rsidRDefault="00CA5F52" w:rsidP="00422BDB">
            <w:pPr>
              <w:spacing w:before="80" w:after="60"/>
              <w:jc w:val="center"/>
              <w:rPr>
                <w:rFonts w:ascii="Arial" w:hAnsi="Arial" w:cs="Arial"/>
                <w:b/>
                <w:bCs/>
                <w:color w:val="FFFFFF"/>
                <w:sz w:val="20"/>
                <w:szCs w:val="20"/>
              </w:rPr>
            </w:pPr>
            <w:r w:rsidRPr="00CA5F52">
              <w:rPr>
                <w:rFonts w:ascii="Arial" w:hAnsi="Arial" w:cs="Arial"/>
                <w:b/>
                <w:bCs/>
                <w:color w:val="FFFFFF"/>
                <w:sz w:val="20"/>
                <w:szCs w:val="20"/>
              </w:rPr>
              <w:t>Cantidad</w:t>
            </w:r>
          </w:p>
        </w:tc>
        <w:tc>
          <w:tcPr>
            <w:tcW w:w="0" w:type="auto"/>
            <w:tcBorders>
              <w:top w:val="nil"/>
              <w:left w:val="nil"/>
              <w:bottom w:val="nil"/>
              <w:right w:val="single" w:sz="8" w:space="0" w:color="4F81BD"/>
            </w:tcBorders>
            <w:shd w:val="clear" w:color="000000" w:fill="4F81BD"/>
            <w:vAlign w:val="center"/>
            <w:hideMark/>
          </w:tcPr>
          <w:p w14:paraId="7D70B38D" w14:textId="77777777" w:rsidR="00CA5F52" w:rsidRPr="00CA5F52" w:rsidRDefault="00CA5F52" w:rsidP="00422BDB">
            <w:pPr>
              <w:spacing w:before="80" w:after="60"/>
              <w:jc w:val="center"/>
              <w:rPr>
                <w:rFonts w:ascii="Arial" w:hAnsi="Arial" w:cs="Arial"/>
                <w:b/>
                <w:bCs/>
                <w:color w:val="FFFFFF"/>
                <w:sz w:val="20"/>
                <w:szCs w:val="20"/>
              </w:rPr>
            </w:pPr>
            <w:r w:rsidRPr="00CA5F52">
              <w:rPr>
                <w:rFonts w:ascii="Arial" w:hAnsi="Arial" w:cs="Arial"/>
                <w:b/>
                <w:bCs/>
                <w:color w:val="FFFFFF"/>
                <w:sz w:val="20"/>
                <w:szCs w:val="20"/>
              </w:rPr>
              <w:t>%</w:t>
            </w:r>
          </w:p>
        </w:tc>
      </w:tr>
      <w:tr w:rsidR="003F3D94" w:rsidRPr="00CA5F52" w14:paraId="021CD883" w14:textId="77777777" w:rsidTr="00CA5F52">
        <w:trPr>
          <w:cantSplit/>
        </w:trPr>
        <w:tc>
          <w:tcPr>
            <w:tcW w:w="0" w:type="auto"/>
            <w:tcBorders>
              <w:top w:val="nil"/>
              <w:left w:val="nil"/>
              <w:bottom w:val="nil"/>
              <w:right w:val="nil"/>
            </w:tcBorders>
            <w:shd w:val="clear" w:color="auto" w:fill="auto"/>
            <w:vAlign w:val="center"/>
            <w:hideMark/>
          </w:tcPr>
          <w:p w14:paraId="4529997C" w14:textId="77777777" w:rsidR="00CA5F52" w:rsidRPr="00CA5F52" w:rsidRDefault="00CA5F52" w:rsidP="00422BDB">
            <w:pPr>
              <w:spacing w:before="80" w:after="60"/>
              <w:jc w:val="center"/>
              <w:rPr>
                <w:rFonts w:ascii="Arial" w:hAnsi="Arial" w:cs="Arial"/>
                <w:color w:val="0F243E" w:themeColor="text2" w:themeShade="80"/>
                <w:sz w:val="20"/>
                <w:szCs w:val="20"/>
              </w:rPr>
            </w:pPr>
            <w:r w:rsidRPr="00CA5F52">
              <w:rPr>
                <w:rFonts w:ascii="Arial" w:hAnsi="Arial" w:cs="Arial"/>
                <w:color w:val="0F243E" w:themeColor="text2" w:themeShade="80"/>
                <w:sz w:val="20"/>
                <w:szCs w:val="20"/>
              </w:rPr>
              <w:t>Julio</w:t>
            </w:r>
          </w:p>
        </w:tc>
        <w:tc>
          <w:tcPr>
            <w:tcW w:w="0" w:type="auto"/>
            <w:tcBorders>
              <w:top w:val="nil"/>
              <w:left w:val="nil"/>
              <w:bottom w:val="nil"/>
              <w:right w:val="nil"/>
            </w:tcBorders>
            <w:shd w:val="clear" w:color="auto" w:fill="auto"/>
            <w:vAlign w:val="center"/>
            <w:hideMark/>
          </w:tcPr>
          <w:p w14:paraId="67F21617"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928 </w:t>
            </w:r>
          </w:p>
        </w:tc>
        <w:tc>
          <w:tcPr>
            <w:tcW w:w="0" w:type="auto"/>
            <w:tcBorders>
              <w:top w:val="nil"/>
              <w:left w:val="nil"/>
              <w:bottom w:val="nil"/>
              <w:right w:val="nil"/>
            </w:tcBorders>
            <w:shd w:val="clear" w:color="auto" w:fill="auto"/>
            <w:vAlign w:val="center"/>
            <w:hideMark/>
          </w:tcPr>
          <w:p w14:paraId="4D466DB6"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829 </w:t>
            </w:r>
          </w:p>
        </w:tc>
        <w:tc>
          <w:tcPr>
            <w:tcW w:w="0" w:type="auto"/>
            <w:tcBorders>
              <w:top w:val="nil"/>
              <w:left w:val="nil"/>
              <w:bottom w:val="nil"/>
              <w:right w:val="nil"/>
            </w:tcBorders>
            <w:shd w:val="clear" w:color="auto" w:fill="auto"/>
            <w:vAlign w:val="center"/>
            <w:hideMark/>
          </w:tcPr>
          <w:p w14:paraId="21EBB48A" w14:textId="77777777" w:rsidR="00CA5F52" w:rsidRPr="00FB7EA4" w:rsidRDefault="00CA5F52" w:rsidP="00422BDB">
            <w:pPr>
              <w:spacing w:before="80" w:after="6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98</w:t>
            </w:r>
          </w:p>
        </w:tc>
        <w:tc>
          <w:tcPr>
            <w:tcW w:w="0" w:type="auto"/>
            <w:tcBorders>
              <w:top w:val="nil"/>
              <w:left w:val="nil"/>
              <w:bottom w:val="nil"/>
              <w:right w:val="single" w:sz="8" w:space="0" w:color="4F81BD"/>
            </w:tcBorders>
            <w:shd w:val="clear" w:color="auto" w:fill="auto"/>
            <w:vAlign w:val="center"/>
            <w:hideMark/>
          </w:tcPr>
          <w:p w14:paraId="6A79C84E"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12%</w:t>
            </w:r>
          </w:p>
        </w:tc>
        <w:tc>
          <w:tcPr>
            <w:tcW w:w="0" w:type="auto"/>
            <w:tcBorders>
              <w:top w:val="nil"/>
              <w:left w:val="nil"/>
              <w:bottom w:val="nil"/>
              <w:right w:val="nil"/>
            </w:tcBorders>
            <w:shd w:val="clear" w:color="auto" w:fill="auto"/>
            <w:noWrap/>
            <w:vAlign w:val="center"/>
            <w:hideMark/>
          </w:tcPr>
          <w:p w14:paraId="5D063EB0" w14:textId="77777777" w:rsidR="00CA5F52" w:rsidRPr="00CA5F52" w:rsidRDefault="00CA5F52" w:rsidP="00422BDB">
            <w:pPr>
              <w:spacing w:before="80" w:after="60"/>
              <w:jc w:val="center"/>
              <w:rPr>
                <w:rFonts w:ascii="Arial" w:hAnsi="Arial" w:cs="Arial"/>
                <w:color w:val="0F243E"/>
                <w:sz w:val="20"/>
                <w:szCs w:val="20"/>
              </w:rPr>
            </w:pPr>
          </w:p>
        </w:tc>
        <w:tc>
          <w:tcPr>
            <w:tcW w:w="0" w:type="auto"/>
            <w:tcBorders>
              <w:top w:val="nil"/>
              <w:left w:val="nil"/>
              <w:bottom w:val="nil"/>
              <w:right w:val="nil"/>
            </w:tcBorders>
            <w:shd w:val="clear" w:color="auto" w:fill="auto"/>
            <w:vAlign w:val="center"/>
            <w:hideMark/>
          </w:tcPr>
          <w:p w14:paraId="539FC46C" w14:textId="77777777" w:rsidR="00CA5F52" w:rsidRPr="00CA5F52" w:rsidRDefault="00CA5F52" w:rsidP="00422BDB">
            <w:pPr>
              <w:spacing w:before="80" w:after="60"/>
              <w:rPr>
                <w:rFonts w:ascii="Arial" w:hAnsi="Arial" w:cs="Arial"/>
                <w:color w:val="0F243E"/>
                <w:sz w:val="20"/>
                <w:szCs w:val="20"/>
              </w:rPr>
            </w:pPr>
            <w:r w:rsidRPr="00CA5F52">
              <w:rPr>
                <w:rFonts w:ascii="Arial" w:hAnsi="Arial" w:cs="Arial"/>
                <w:color w:val="0F243E"/>
                <w:sz w:val="20"/>
                <w:szCs w:val="20"/>
              </w:rPr>
              <w:t xml:space="preserve">Julio </w:t>
            </w:r>
          </w:p>
        </w:tc>
        <w:tc>
          <w:tcPr>
            <w:tcW w:w="0" w:type="auto"/>
            <w:tcBorders>
              <w:top w:val="nil"/>
              <w:left w:val="nil"/>
              <w:bottom w:val="nil"/>
              <w:right w:val="nil"/>
            </w:tcBorders>
            <w:shd w:val="clear" w:color="auto" w:fill="auto"/>
            <w:vAlign w:val="center"/>
            <w:hideMark/>
          </w:tcPr>
          <w:p w14:paraId="333F3EF3"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514 </w:t>
            </w:r>
          </w:p>
        </w:tc>
        <w:tc>
          <w:tcPr>
            <w:tcW w:w="0" w:type="auto"/>
            <w:tcBorders>
              <w:top w:val="nil"/>
              <w:left w:val="nil"/>
              <w:bottom w:val="nil"/>
              <w:right w:val="nil"/>
            </w:tcBorders>
            <w:shd w:val="clear" w:color="auto" w:fill="auto"/>
            <w:vAlign w:val="center"/>
            <w:hideMark/>
          </w:tcPr>
          <w:p w14:paraId="1C5EB058"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375 </w:t>
            </w:r>
          </w:p>
        </w:tc>
        <w:tc>
          <w:tcPr>
            <w:tcW w:w="0" w:type="auto"/>
            <w:tcBorders>
              <w:top w:val="nil"/>
              <w:left w:val="nil"/>
              <w:bottom w:val="nil"/>
              <w:right w:val="nil"/>
            </w:tcBorders>
            <w:shd w:val="clear" w:color="auto" w:fill="auto"/>
            <w:vAlign w:val="center"/>
            <w:hideMark/>
          </w:tcPr>
          <w:p w14:paraId="779FDF0E"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139 </w:t>
            </w:r>
          </w:p>
        </w:tc>
        <w:tc>
          <w:tcPr>
            <w:tcW w:w="0" w:type="auto"/>
            <w:tcBorders>
              <w:top w:val="nil"/>
              <w:left w:val="nil"/>
              <w:bottom w:val="nil"/>
              <w:right w:val="nil"/>
            </w:tcBorders>
            <w:shd w:val="clear" w:color="auto" w:fill="auto"/>
            <w:vAlign w:val="center"/>
            <w:hideMark/>
          </w:tcPr>
          <w:p w14:paraId="4B3D1A0A" w14:textId="77777777" w:rsidR="00CA5F52" w:rsidRPr="00FB7EA4" w:rsidRDefault="00CA5F52" w:rsidP="00422BDB">
            <w:pPr>
              <w:spacing w:before="80" w:after="60"/>
              <w:jc w:val="right"/>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37%</w:t>
            </w:r>
          </w:p>
        </w:tc>
      </w:tr>
      <w:tr w:rsidR="003F3D94" w:rsidRPr="00CA5F52" w14:paraId="4C049BFF" w14:textId="77777777" w:rsidTr="00CA5F52">
        <w:trPr>
          <w:cantSplit/>
        </w:trPr>
        <w:tc>
          <w:tcPr>
            <w:tcW w:w="0" w:type="auto"/>
            <w:tcBorders>
              <w:top w:val="nil"/>
              <w:left w:val="nil"/>
              <w:bottom w:val="nil"/>
              <w:right w:val="nil"/>
            </w:tcBorders>
            <w:shd w:val="clear" w:color="auto" w:fill="auto"/>
            <w:vAlign w:val="center"/>
            <w:hideMark/>
          </w:tcPr>
          <w:p w14:paraId="27AADC21" w14:textId="77777777" w:rsidR="00CA5F52" w:rsidRPr="00CA5F52" w:rsidRDefault="00CA5F52" w:rsidP="00422BDB">
            <w:pPr>
              <w:spacing w:before="80" w:after="60"/>
              <w:jc w:val="center"/>
              <w:rPr>
                <w:rFonts w:ascii="Arial" w:hAnsi="Arial" w:cs="Arial"/>
                <w:color w:val="0F243E" w:themeColor="text2" w:themeShade="80"/>
                <w:sz w:val="20"/>
                <w:szCs w:val="20"/>
              </w:rPr>
            </w:pPr>
            <w:r w:rsidRPr="00CA5F52">
              <w:rPr>
                <w:rFonts w:ascii="Arial" w:hAnsi="Arial" w:cs="Arial"/>
                <w:color w:val="0F243E" w:themeColor="text2" w:themeShade="80"/>
                <w:sz w:val="20"/>
                <w:szCs w:val="20"/>
              </w:rPr>
              <w:t>Agosto</w:t>
            </w:r>
          </w:p>
        </w:tc>
        <w:tc>
          <w:tcPr>
            <w:tcW w:w="0" w:type="auto"/>
            <w:tcBorders>
              <w:top w:val="nil"/>
              <w:left w:val="nil"/>
              <w:bottom w:val="nil"/>
              <w:right w:val="nil"/>
            </w:tcBorders>
            <w:shd w:val="clear" w:color="auto" w:fill="auto"/>
            <w:vAlign w:val="center"/>
            <w:hideMark/>
          </w:tcPr>
          <w:p w14:paraId="60CB9CDB"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801 </w:t>
            </w:r>
          </w:p>
        </w:tc>
        <w:tc>
          <w:tcPr>
            <w:tcW w:w="0" w:type="auto"/>
            <w:tcBorders>
              <w:top w:val="nil"/>
              <w:left w:val="nil"/>
              <w:bottom w:val="nil"/>
              <w:right w:val="nil"/>
            </w:tcBorders>
            <w:shd w:val="clear" w:color="auto" w:fill="auto"/>
            <w:vAlign w:val="center"/>
            <w:hideMark/>
          </w:tcPr>
          <w:p w14:paraId="7E4D573F"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832 </w:t>
            </w:r>
          </w:p>
        </w:tc>
        <w:tc>
          <w:tcPr>
            <w:tcW w:w="0" w:type="auto"/>
            <w:tcBorders>
              <w:top w:val="nil"/>
              <w:left w:val="nil"/>
              <w:bottom w:val="nil"/>
              <w:right w:val="nil"/>
            </w:tcBorders>
            <w:shd w:val="clear" w:color="auto" w:fill="auto"/>
            <w:vAlign w:val="center"/>
            <w:hideMark/>
          </w:tcPr>
          <w:p w14:paraId="7818F5FB" w14:textId="77777777" w:rsidR="00CA5F52" w:rsidRPr="00FB7EA4" w:rsidRDefault="003F3D94" w:rsidP="00422BDB">
            <w:pPr>
              <w:spacing w:before="80" w:after="6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CA5F52" w:rsidRPr="00FB7EA4">
              <w:rPr>
                <w:rFonts w:ascii="Arial" w:hAnsi="Arial" w:cs="Arial"/>
                <w:color w:val="0F243E" w:themeColor="text2" w:themeShade="80"/>
                <w:sz w:val="20"/>
                <w:szCs w:val="20"/>
              </w:rPr>
              <w:t>31</w:t>
            </w:r>
            <w:r w:rsidRPr="00FB7EA4">
              <w:rPr>
                <w:rFonts w:ascii="Arial" w:hAnsi="Arial" w:cs="Arial"/>
                <w:color w:val="0F243E" w:themeColor="text2" w:themeShade="80"/>
                <w:sz w:val="20"/>
                <w:szCs w:val="20"/>
              </w:rPr>
              <w:t>)</w:t>
            </w:r>
          </w:p>
        </w:tc>
        <w:tc>
          <w:tcPr>
            <w:tcW w:w="0" w:type="auto"/>
            <w:tcBorders>
              <w:top w:val="nil"/>
              <w:left w:val="nil"/>
              <w:bottom w:val="nil"/>
              <w:right w:val="single" w:sz="8" w:space="0" w:color="4F81BD"/>
            </w:tcBorders>
            <w:shd w:val="clear" w:color="auto" w:fill="auto"/>
            <w:vAlign w:val="center"/>
            <w:hideMark/>
          </w:tcPr>
          <w:p w14:paraId="70A1A62D"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-4%</w:t>
            </w:r>
          </w:p>
        </w:tc>
        <w:tc>
          <w:tcPr>
            <w:tcW w:w="0" w:type="auto"/>
            <w:tcBorders>
              <w:top w:val="nil"/>
              <w:left w:val="nil"/>
              <w:bottom w:val="nil"/>
              <w:right w:val="nil"/>
            </w:tcBorders>
            <w:shd w:val="clear" w:color="auto" w:fill="auto"/>
            <w:noWrap/>
            <w:vAlign w:val="center"/>
            <w:hideMark/>
          </w:tcPr>
          <w:p w14:paraId="04710044" w14:textId="77777777" w:rsidR="00CA5F52" w:rsidRPr="00CA5F52" w:rsidRDefault="00CA5F52" w:rsidP="00422BDB">
            <w:pPr>
              <w:spacing w:before="80" w:after="60"/>
              <w:jc w:val="center"/>
              <w:rPr>
                <w:rFonts w:ascii="Arial" w:hAnsi="Arial" w:cs="Arial"/>
                <w:color w:val="0F243E"/>
                <w:sz w:val="20"/>
                <w:szCs w:val="20"/>
              </w:rPr>
            </w:pPr>
          </w:p>
        </w:tc>
        <w:tc>
          <w:tcPr>
            <w:tcW w:w="0" w:type="auto"/>
            <w:tcBorders>
              <w:top w:val="nil"/>
              <w:left w:val="nil"/>
              <w:bottom w:val="nil"/>
              <w:right w:val="nil"/>
            </w:tcBorders>
            <w:shd w:val="clear" w:color="auto" w:fill="auto"/>
            <w:vAlign w:val="center"/>
            <w:hideMark/>
          </w:tcPr>
          <w:p w14:paraId="7E23E42D" w14:textId="77777777" w:rsidR="00CA5F52" w:rsidRPr="00CA5F52" w:rsidRDefault="00CA5F52" w:rsidP="00422BDB">
            <w:pPr>
              <w:spacing w:before="80" w:after="60"/>
              <w:rPr>
                <w:rFonts w:ascii="Arial" w:hAnsi="Arial" w:cs="Arial"/>
                <w:color w:val="0F243E"/>
                <w:sz w:val="20"/>
                <w:szCs w:val="20"/>
              </w:rPr>
            </w:pPr>
            <w:r w:rsidRPr="00CA5F52">
              <w:rPr>
                <w:rFonts w:ascii="Arial" w:hAnsi="Arial" w:cs="Arial"/>
                <w:color w:val="0F243E"/>
                <w:sz w:val="20"/>
                <w:szCs w:val="20"/>
              </w:rPr>
              <w:t>Agosto</w:t>
            </w:r>
          </w:p>
        </w:tc>
        <w:tc>
          <w:tcPr>
            <w:tcW w:w="0" w:type="auto"/>
            <w:tcBorders>
              <w:top w:val="nil"/>
              <w:left w:val="nil"/>
              <w:bottom w:val="nil"/>
              <w:right w:val="nil"/>
            </w:tcBorders>
            <w:shd w:val="clear" w:color="auto" w:fill="auto"/>
            <w:vAlign w:val="center"/>
            <w:hideMark/>
          </w:tcPr>
          <w:p w14:paraId="41F58A62"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576 </w:t>
            </w:r>
          </w:p>
        </w:tc>
        <w:tc>
          <w:tcPr>
            <w:tcW w:w="0" w:type="auto"/>
            <w:tcBorders>
              <w:top w:val="nil"/>
              <w:left w:val="nil"/>
              <w:bottom w:val="nil"/>
              <w:right w:val="nil"/>
            </w:tcBorders>
            <w:shd w:val="clear" w:color="auto" w:fill="auto"/>
            <w:vAlign w:val="center"/>
            <w:hideMark/>
          </w:tcPr>
          <w:p w14:paraId="03CAAB25"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404 </w:t>
            </w:r>
          </w:p>
        </w:tc>
        <w:tc>
          <w:tcPr>
            <w:tcW w:w="0" w:type="auto"/>
            <w:tcBorders>
              <w:top w:val="nil"/>
              <w:left w:val="nil"/>
              <w:bottom w:val="nil"/>
              <w:right w:val="nil"/>
            </w:tcBorders>
            <w:shd w:val="clear" w:color="auto" w:fill="auto"/>
            <w:vAlign w:val="center"/>
            <w:hideMark/>
          </w:tcPr>
          <w:p w14:paraId="1114603E"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172 </w:t>
            </w:r>
          </w:p>
        </w:tc>
        <w:tc>
          <w:tcPr>
            <w:tcW w:w="0" w:type="auto"/>
            <w:tcBorders>
              <w:top w:val="nil"/>
              <w:left w:val="nil"/>
              <w:bottom w:val="nil"/>
              <w:right w:val="nil"/>
            </w:tcBorders>
            <w:shd w:val="clear" w:color="auto" w:fill="auto"/>
            <w:vAlign w:val="center"/>
            <w:hideMark/>
          </w:tcPr>
          <w:p w14:paraId="55BCEE08" w14:textId="77777777" w:rsidR="00CA5F52" w:rsidRPr="00FB7EA4" w:rsidRDefault="00CA5F52" w:rsidP="00422BDB">
            <w:pPr>
              <w:spacing w:before="80" w:after="60"/>
              <w:jc w:val="right"/>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43%</w:t>
            </w:r>
          </w:p>
        </w:tc>
      </w:tr>
      <w:tr w:rsidR="003F3D94" w:rsidRPr="00CA5F52" w14:paraId="26000DFC" w14:textId="77777777" w:rsidTr="00CA5F52">
        <w:trPr>
          <w:cantSplit/>
        </w:trPr>
        <w:tc>
          <w:tcPr>
            <w:tcW w:w="0" w:type="auto"/>
            <w:tcBorders>
              <w:top w:val="nil"/>
              <w:left w:val="nil"/>
              <w:bottom w:val="nil"/>
              <w:right w:val="nil"/>
            </w:tcBorders>
            <w:shd w:val="clear" w:color="auto" w:fill="auto"/>
            <w:vAlign w:val="center"/>
            <w:hideMark/>
          </w:tcPr>
          <w:p w14:paraId="67E15F79" w14:textId="77777777" w:rsidR="00CA5F52" w:rsidRPr="00CA5F52" w:rsidRDefault="00CA5F52" w:rsidP="00422BDB">
            <w:pPr>
              <w:spacing w:before="80" w:after="60"/>
              <w:jc w:val="center"/>
              <w:rPr>
                <w:rFonts w:ascii="Arial" w:hAnsi="Arial" w:cs="Arial"/>
                <w:color w:val="0F243E" w:themeColor="text2" w:themeShade="80"/>
                <w:sz w:val="20"/>
                <w:szCs w:val="20"/>
              </w:rPr>
            </w:pPr>
            <w:r w:rsidRPr="00CA5F52">
              <w:rPr>
                <w:rFonts w:ascii="Arial" w:hAnsi="Arial" w:cs="Arial"/>
                <w:color w:val="0F243E" w:themeColor="text2" w:themeShade="80"/>
                <w:sz w:val="20"/>
                <w:szCs w:val="20"/>
              </w:rPr>
              <w:t>Septiembre</w:t>
            </w:r>
          </w:p>
        </w:tc>
        <w:tc>
          <w:tcPr>
            <w:tcW w:w="0" w:type="auto"/>
            <w:tcBorders>
              <w:top w:val="nil"/>
              <w:left w:val="nil"/>
              <w:bottom w:val="nil"/>
              <w:right w:val="nil"/>
            </w:tcBorders>
            <w:shd w:val="clear" w:color="auto" w:fill="auto"/>
            <w:vAlign w:val="center"/>
            <w:hideMark/>
          </w:tcPr>
          <w:p w14:paraId="4C189CFE"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853 </w:t>
            </w:r>
          </w:p>
        </w:tc>
        <w:tc>
          <w:tcPr>
            <w:tcW w:w="0" w:type="auto"/>
            <w:tcBorders>
              <w:top w:val="nil"/>
              <w:left w:val="nil"/>
              <w:bottom w:val="nil"/>
              <w:right w:val="nil"/>
            </w:tcBorders>
            <w:shd w:val="clear" w:color="auto" w:fill="auto"/>
            <w:vAlign w:val="center"/>
            <w:hideMark/>
          </w:tcPr>
          <w:p w14:paraId="674B95A9"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872 </w:t>
            </w:r>
          </w:p>
        </w:tc>
        <w:tc>
          <w:tcPr>
            <w:tcW w:w="0" w:type="auto"/>
            <w:tcBorders>
              <w:top w:val="nil"/>
              <w:left w:val="nil"/>
              <w:bottom w:val="nil"/>
              <w:right w:val="nil"/>
            </w:tcBorders>
            <w:shd w:val="clear" w:color="auto" w:fill="auto"/>
            <w:vAlign w:val="center"/>
            <w:hideMark/>
          </w:tcPr>
          <w:p w14:paraId="59B968FB" w14:textId="77777777" w:rsidR="00CA5F52" w:rsidRPr="00FB7EA4" w:rsidRDefault="003F3D94" w:rsidP="00422BDB">
            <w:pPr>
              <w:spacing w:before="80" w:after="6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CA5F52" w:rsidRPr="00FB7EA4">
              <w:rPr>
                <w:rFonts w:ascii="Arial" w:hAnsi="Arial" w:cs="Arial"/>
                <w:color w:val="0F243E" w:themeColor="text2" w:themeShade="80"/>
                <w:sz w:val="20"/>
                <w:szCs w:val="20"/>
              </w:rPr>
              <w:t>19</w:t>
            </w:r>
            <w:r w:rsidRPr="00FB7EA4">
              <w:rPr>
                <w:rFonts w:ascii="Arial" w:hAnsi="Arial" w:cs="Arial"/>
                <w:color w:val="0F243E" w:themeColor="text2" w:themeShade="80"/>
                <w:sz w:val="20"/>
                <w:szCs w:val="20"/>
              </w:rPr>
              <w:t>)</w:t>
            </w:r>
          </w:p>
        </w:tc>
        <w:tc>
          <w:tcPr>
            <w:tcW w:w="0" w:type="auto"/>
            <w:tcBorders>
              <w:top w:val="nil"/>
              <w:left w:val="nil"/>
              <w:bottom w:val="nil"/>
              <w:right w:val="single" w:sz="8" w:space="0" w:color="4F81BD"/>
            </w:tcBorders>
            <w:shd w:val="clear" w:color="auto" w:fill="auto"/>
            <w:vAlign w:val="center"/>
            <w:hideMark/>
          </w:tcPr>
          <w:p w14:paraId="38FD574D"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-2%</w:t>
            </w:r>
          </w:p>
        </w:tc>
        <w:tc>
          <w:tcPr>
            <w:tcW w:w="0" w:type="auto"/>
            <w:tcBorders>
              <w:top w:val="nil"/>
              <w:left w:val="nil"/>
              <w:bottom w:val="nil"/>
              <w:right w:val="nil"/>
            </w:tcBorders>
            <w:shd w:val="clear" w:color="auto" w:fill="auto"/>
            <w:noWrap/>
            <w:vAlign w:val="center"/>
            <w:hideMark/>
          </w:tcPr>
          <w:p w14:paraId="6A0AF0F3" w14:textId="77777777" w:rsidR="00CA5F52" w:rsidRPr="00CA5F52" w:rsidRDefault="00CA5F52" w:rsidP="00422BDB">
            <w:pPr>
              <w:spacing w:before="80" w:after="60"/>
              <w:jc w:val="center"/>
              <w:rPr>
                <w:rFonts w:ascii="Arial" w:hAnsi="Arial" w:cs="Arial"/>
                <w:color w:val="0F243E"/>
                <w:sz w:val="20"/>
                <w:szCs w:val="20"/>
              </w:rPr>
            </w:pPr>
          </w:p>
        </w:tc>
        <w:tc>
          <w:tcPr>
            <w:tcW w:w="0" w:type="auto"/>
            <w:tcBorders>
              <w:top w:val="nil"/>
              <w:left w:val="nil"/>
              <w:bottom w:val="nil"/>
              <w:right w:val="nil"/>
            </w:tcBorders>
            <w:shd w:val="clear" w:color="auto" w:fill="auto"/>
            <w:vAlign w:val="center"/>
            <w:hideMark/>
          </w:tcPr>
          <w:p w14:paraId="40CA7B29" w14:textId="77777777" w:rsidR="00CA5F52" w:rsidRPr="00CA5F52" w:rsidRDefault="00CA5F52" w:rsidP="00422BDB">
            <w:pPr>
              <w:spacing w:before="80" w:after="60"/>
              <w:rPr>
                <w:rFonts w:ascii="Arial" w:hAnsi="Arial" w:cs="Arial"/>
                <w:color w:val="0F243E"/>
                <w:sz w:val="20"/>
                <w:szCs w:val="20"/>
              </w:rPr>
            </w:pPr>
            <w:r w:rsidRPr="00CA5F52">
              <w:rPr>
                <w:rFonts w:ascii="Arial" w:hAnsi="Arial" w:cs="Arial"/>
                <w:color w:val="0F243E"/>
                <w:sz w:val="20"/>
                <w:szCs w:val="20"/>
              </w:rPr>
              <w:t>Septiembre</w:t>
            </w:r>
          </w:p>
        </w:tc>
        <w:tc>
          <w:tcPr>
            <w:tcW w:w="0" w:type="auto"/>
            <w:tcBorders>
              <w:top w:val="nil"/>
              <w:left w:val="nil"/>
              <w:bottom w:val="nil"/>
              <w:right w:val="nil"/>
            </w:tcBorders>
            <w:shd w:val="clear" w:color="auto" w:fill="auto"/>
            <w:vAlign w:val="center"/>
            <w:hideMark/>
          </w:tcPr>
          <w:p w14:paraId="32E3A86A"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130 </w:t>
            </w:r>
          </w:p>
        </w:tc>
        <w:tc>
          <w:tcPr>
            <w:tcW w:w="0" w:type="auto"/>
            <w:tcBorders>
              <w:top w:val="nil"/>
              <w:left w:val="nil"/>
              <w:bottom w:val="nil"/>
              <w:right w:val="nil"/>
            </w:tcBorders>
            <w:shd w:val="clear" w:color="auto" w:fill="auto"/>
            <w:vAlign w:val="center"/>
            <w:hideMark/>
          </w:tcPr>
          <w:p w14:paraId="62C0C026" w14:textId="77777777" w:rsidR="00CA5F52" w:rsidRPr="00FB7EA4" w:rsidRDefault="00CA5F52"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317 </w:t>
            </w:r>
          </w:p>
        </w:tc>
        <w:tc>
          <w:tcPr>
            <w:tcW w:w="0" w:type="auto"/>
            <w:tcBorders>
              <w:top w:val="nil"/>
              <w:left w:val="nil"/>
              <w:bottom w:val="nil"/>
              <w:right w:val="nil"/>
            </w:tcBorders>
            <w:shd w:val="clear" w:color="auto" w:fill="auto"/>
            <w:vAlign w:val="center"/>
            <w:hideMark/>
          </w:tcPr>
          <w:p w14:paraId="17986340" w14:textId="77777777" w:rsidR="00CA5F52" w:rsidRPr="00FB7EA4" w:rsidRDefault="003F3D94" w:rsidP="00422BDB">
            <w:pPr>
              <w:spacing w:before="80" w:after="60"/>
              <w:jc w:val="right"/>
              <w:rPr>
                <w:rFonts w:ascii="Arial" w:hAnsi="Arial" w:cs="Arial"/>
                <w:color w:val="0F243E" w:themeColor="text2" w:themeShade="80"/>
                <w:sz w:val="20"/>
                <w:szCs w:val="20"/>
              </w:rPr>
            </w:pPr>
            <w:r w:rsidRPr="00FB7EA4">
              <w:rPr>
                <w:rFonts w:ascii="Arial" w:hAnsi="Arial" w:cs="Arial"/>
                <w:color w:val="0F243E" w:themeColor="text2" w:themeShade="80"/>
                <w:sz w:val="20"/>
                <w:szCs w:val="20"/>
              </w:rPr>
              <w:t>(</w:t>
            </w:r>
            <w:r w:rsidR="00CA5F52" w:rsidRPr="00FB7EA4">
              <w:rPr>
                <w:rFonts w:ascii="Arial" w:hAnsi="Arial" w:cs="Arial"/>
                <w:color w:val="0F243E" w:themeColor="text2" w:themeShade="80"/>
                <w:sz w:val="20"/>
                <w:szCs w:val="20"/>
              </w:rPr>
              <w:t>187</w:t>
            </w:r>
            <w:r w:rsidRPr="00FB7EA4">
              <w:rPr>
                <w:rFonts w:ascii="Arial" w:hAnsi="Arial" w:cs="Arial"/>
                <w:color w:val="0F243E" w:themeColor="text2" w:themeShade="80"/>
                <w:sz w:val="20"/>
                <w:szCs w:val="20"/>
              </w:rPr>
              <w:t>)</w:t>
            </w:r>
            <w:r w:rsidR="00CA5F52" w:rsidRPr="00FB7EA4">
              <w:rPr>
                <w:rFonts w:ascii="Arial" w:hAnsi="Arial" w:cs="Arial"/>
                <w:color w:val="0F243E" w:themeColor="text2" w:themeShade="80"/>
                <w:sz w:val="20"/>
                <w:szCs w:val="20"/>
              </w:rPr>
              <w:t xml:space="preserve"> </w:t>
            </w:r>
          </w:p>
        </w:tc>
        <w:tc>
          <w:tcPr>
            <w:tcW w:w="0" w:type="auto"/>
            <w:tcBorders>
              <w:top w:val="nil"/>
              <w:left w:val="nil"/>
              <w:bottom w:val="nil"/>
              <w:right w:val="nil"/>
            </w:tcBorders>
            <w:shd w:val="clear" w:color="auto" w:fill="auto"/>
            <w:vAlign w:val="center"/>
            <w:hideMark/>
          </w:tcPr>
          <w:p w14:paraId="4C2441E0" w14:textId="77777777" w:rsidR="00CA5F52" w:rsidRPr="00FB7EA4" w:rsidRDefault="003F3D94" w:rsidP="00422BDB">
            <w:pPr>
              <w:spacing w:before="80" w:after="60"/>
              <w:jc w:val="right"/>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w:t>
            </w:r>
            <w:r w:rsidR="00CA5F52" w:rsidRPr="00FB7EA4">
              <w:rPr>
                <w:rFonts w:ascii="Arial" w:hAnsi="Arial" w:cs="Arial"/>
                <w:b/>
                <w:bCs/>
                <w:color w:val="0F243E" w:themeColor="text2" w:themeShade="80"/>
                <w:sz w:val="20"/>
                <w:szCs w:val="20"/>
              </w:rPr>
              <w:t>59%</w:t>
            </w:r>
            <w:r w:rsidRPr="00FB7EA4">
              <w:rPr>
                <w:rFonts w:ascii="Arial" w:hAnsi="Arial" w:cs="Arial"/>
                <w:b/>
                <w:bCs/>
                <w:color w:val="0F243E" w:themeColor="text2" w:themeShade="80"/>
                <w:sz w:val="20"/>
                <w:szCs w:val="20"/>
              </w:rPr>
              <w:t>)</w:t>
            </w:r>
          </w:p>
        </w:tc>
      </w:tr>
      <w:tr w:rsidR="003F3D94" w:rsidRPr="00CA5F52" w14:paraId="333F52CF" w14:textId="77777777" w:rsidTr="00CA5F52">
        <w:trPr>
          <w:cantSplit/>
        </w:trPr>
        <w:tc>
          <w:tcPr>
            <w:tcW w:w="0" w:type="auto"/>
            <w:tcBorders>
              <w:top w:val="nil"/>
              <w:left w:val="nil"/>
              <w:bottom w:val="nil"/>
              <w:right w:val="nil"/>
            </w:tcBorders>
            <w:shd w:val="clear" w:color="000000" w:fill="4F81BD"/>
            <w:vAlign w:val="center"/>
            <w:hideMark/>
          </w:tcPr>
          <w:p w14:paraId="6B254DB1" w14:textId="77777777" w:rsidR="00CA5F52" w:rsidRPr="00CA5F52" w:rsidRDefault="00CA5F52" w:rsidP="00422BDB">
            <w:pPr>
              <w:spacing w:before="80" w:after="60"/>
              <w:jc w:val="center"/>
              <w:rPr>
                <w:rFonts w:ascii="Arial" w:hAnsi="Arial" w:cs="Arial"/>
                <w:color w:val="FFFFFF"/>
                <w:sz w:val="20"/>
                <w:szCs w:val="20"/>
              </w:rPr>
            </w:pPr>
            <w:r w:rsidRPr="00CA5F52">
              <w:rPr>
                <w:rFonts w:ascii="Arial" w:hAnsi="Arial" w:cs="Arial"/>
                <w:color w:val="FFFFFF"/>
                <w:sz w:val="20"/>
                <w:szCs w:val="20"/>
              </w:rPr>
              <w:t>Total</w:t>
            </w:r>
          </w:p>
        </w:tc>
        <w:tc>
          <w:tcPr>
            <w:tcW w:w="0" w:type="auto"/>
            <w:tcBorders>
              <w:top w:val="nil"/>
              <w:left w:val="nil"/>
              <w:bottom w:val="nil"/>
              <w:right w:val="nil"/>
            </w:tcBorders>
            <w:shd w:val="clear" w:color="000000" w:fill="4F81BD"/>
            <w:vAlign w:val="center"/>
            <w:hideMark/>
          </w:tcPr>
          <w:p w14:paraId="112274A4" w14:textId="77777777" w:rsidR="00CA5F52" w:rsidRPr="00CA5F52" w:rsidRDefault="00CA5F52" w:rsidP="00422BDB">
            <w:pPr>
              <w:spacing w:before="80" w:after="60"/>
              <w:jc w:val="right"/>
              <w:rPr>
                <w:rFonts w:ascii="Arial" w:hAnsi="Arial" w:cs="Arial"/>
                <w:b/>
                <w:bCs/>
                <w:color w:val="FFFFFF"/>
                <w:sz w:val="20"/>
                <w:szCs w:val="20"/>
              </w:rPr>
            </w:pPr>
            <w:r w:rsidRPr="00CA5F52">
              <w:rPr>
                <w:rFonts w:ascii="Arial" w:hAnsi="Arial" w:cs="Arial"/>
                <w:b/>
                <w:bCs/>
                <w:color w:val="FFFFFF"/>
                <w:sz w:val="20"/>
                <w:szCs w:val="20"/>
              </w:rPr>
              <w:t xml:space="preserve"> 2.581 </w:t>
            </w:r>
          </w:p>
        </w:tc>
        <w:tc>
          <w:tcPr>
            <w:tcW w:w="0" w:type="auto"/>
            <w:tcBorders>
              <w:top w:val="nil"/>
              <w:left w:val="nil"/>
              <w:bottom w:val="nil"/>
              <w:right w:val="nil"/>
            </w:tcBorders>
            <w:shd w:val="clear" w:color="000000" w:fill="4F81BD"/>
            <w:vAlign w:val="center"/>
            <w:hideMark/>
          </w:tcPr>
          <w:p w14:paraId="71E17C6F" w14:textId="77777777" w:rsidR="00CA5F52" w:rsidRPr="00CA5F52" w:rsidRDefault="00CA5F52" w:rsidP="00422BDB">
            <w:pPr>
              <w:spacing w:before="80" w:after="60"/>
              <w:jc w:val="right"/>
              <w:rPr>
                <w:rFonts w:ascii="Arial" w:hAnsi="Arial" w:cs="Arial"/>
                <w:b/>
                <w:bCs/>
                <w:color w:val="FFFFFF"/>
                <w:sz w:val="20"/>
                <w:szCs w:val="20"/>
              </w:rPr>
            </w:pPr>
            <w:r w:rsidRPr="00CA5F52">
              <w:rPr>
                <w:rFonts w:ascii="Arial" w:hAnsi="Arial" w:cs="Arial"/>
                <w:b/>
                <w:bCs/>
                <w:color w:val="FFFFFF"/>
                <w:sz w:val="20"/>
                <w:szCs w:val="20"/>
              </w:rPr>
              <w:t xml:space="preserve">    2.533 </w:t>
            </w:r>
          </w:p>
        </w:tc>
        <w:tc>
          <w:tcPr>
            <w:tcW w:w="0" w:type="auto"/>
            <w:tcBorders>
              <w:top w:val="nil"/>
              <w:left w:val="nil"/>
              <w:bottom w:val="nil"/>
              <w:right w:val="nil"/>
            </w:tcBorders>
            <w:shd w:val="clear" w:color="000000" w:fill="4F81BD"/>
            <w:vAlign w:val="center"/>
            <w:hideMark/>
          </w:tcPr>
          <w:p w14:paraId="726FABC0" w14:textId="77777777" w:rsidR="00CA5F52" w:rsidRPr="00CA5F52" w:rsidRDefault="00CA5F52" w:rsidP="00422BDB">
            <w:pPr>
              <w:spacing w:before="80" w:after="60"/>
              <w:jc w:val="center"/>
              <w:rPr>
                <w:rFonts w:ascii="Arial" w:hAnsi="Arial" w:cs="Arial"/>
                <w:b/>
                <w:bCs/>
                <w:color w:val="FFFFFF"/>
                <w:sz w:val="20"/>
                <w:szCs w:val="20"/>
              </w:rPr>
            </w:pPr>
            <w:r w:rsidRPr="00CA5F52">
              <w:rPr>
                <w:rFonts w:ascii="Arial" w:hAnsi="Arial" w:cs="Arial"/>
                <w:b/>
                <w:bCs/>
                <w:color w:val="FFFFFF"/>
                <w:sz w:val="20"/>
                <w:szCs w:val="20"/>
              </w:rPr>
              <w:t>48</w:t>
            </w:r>
          </w:p>
        </w:tc>
        <w:tc>
          <w:tcPr>
            <w:tcW w:w="0" w:type="auto"/>
            <w:tcBorders>
              <w:top w:val="nil"/>
              <w:left w:val="nil"/>
              <w:bottom w:val="nil"/>
              <w:right w:val="single" w:sz="8" w:space="0" w:color="4F81BD"/>
            </w:tcBorders>
            <w:shd w:val="clear" w:color="000000" w:fill="4F81BD"/>
            <w:vAlign w:val="center"/>
            <w:hideMark/>
          </w:tcPr>
          <w:p w14:paraId="411CE7A6" w14:textId="77777777" w:rsidR="00CA5F52" w:rsidRPr="00CA5F52" w:rsidRDefault="00CA5F52" w:rsidP="00422BDB">
            <w:pPr>
              <w:spacing w:before="80" w:after="60"/>
              <w:jc w:val="right"/>
              <w:rPr>
                <w:rFonts w:ascii="Arial" w:hAnsi="Arial" w:cs="Arial"/>
                <w:b/>
                <w:bCs/>
                <w:color w:val="FFFFFF"/>
                <w:sz w:val="20"/>
                <w:szCs w:val="20"/>
              </w:rPr>
            </w:pPr>
            <w:r w:rsidRPr="00CA5F52">
              <w:rPr>
                <w:rFonts w:ascii="Arial" w:hAnsi="Arial" w:cs="Arial"/>
                <w:b/>
                <w:bCs/>
                <w:color w:val="FFFFFF"/>
                <w:sz w:val="20"/>
                <w:szCs w:val="20"/>
              </w:rPr>
              <w:t>2%</w:t>
            </w:r>
          </w:p>
        </w:tc>
        <w:tc>
          <w:tcPr>
            <w:tcW w:w="0" w:type="auto"/>
            <w:tcBorders>
              <w:top w:val="nil"/>
              <w:left w:val="nil"/>
              <w:bottom w:val="nil"/>
              <w:right w:val="nil"/>
            </w:tcBorders>
            <w:shd w:val="clear" w:color="auto" w:fill="auto"/>
            <w:noWrap/>
            <w:vAlign w:val="center"/>
            <w:hideMark/>
          </w:tcPr>
          <w:p w14:paraId="0CEFB1BC" w14:textId="77777777" w:rsidR="00CA5F52" w:rsidRPr="00CA5F52" w:rsidRDefault="00CA5F52" w:rsidP="00422BDB">
            <w:pPr>
              <w:spacing w:before="80" w:after="60"/>
              <w:jc w:val="center"/>
              <w:rPr>
                <w:rFonts w:ascii="Arial" w:hAnsi="Arial" w:cs="Arial"/>
                <w:b/>
                <w:bCs/>
                <w:color w:val="FFFFFF"/>
                <w:sz w:val="20"/>
                <w:szCs w:val="20"/>
              </w:rPr>
            </w:pPr>
          </w:p>
        </w:tc>
        <w:tc>
          <w:tcPr>
            <w:tcW w:w="0" w:type="auto"/>
            <w:tcBorders>
              <w:top w:val="nil"/>
              <w:left w:val="nil"/>
              <w:bottom w:val="nil"/>
              <w:right w:val="nil"/>
            </w:tcBorders>
            <w:shd w:val="clear" w:color="000000" w:fill="4F81BD"/>
            <w:vAlign w:val="center"/>
            <w:hideMark/>
          </w:tcPr>
          <w:p w14:paraId="62823862" w14:textId="77777777" w:rsidR="00CA5F52" w:rsidRPr="00CA5F52" w:rsidRDefault="00CA5F52" w:rsidP="00422BDB">
            <w:pPr>
              <w:spacing w:before="80" w:after="60"/>
              <w:jc w:val="both"/>
              <w:rPr>
                <w:rFonts w:ascii="Arial" w:hAnsi="Arial" w:cs="Arial"/>
                <w:b/>
                <w:bCs/>
                <w:color w:val="FFFFFF"/>
                <w:sz w:val="20"/>
                <w:szCs w:val="20"/>
              </w:rPr>
            </w:pPr>
            <w:r w:rsidRPr="00CA5F52">
              <w:rPr>
                <w:rFonts w:ascii="Arial" w:hAnsi="Arial" w:cs="Arial"/>
                <w:b/>
                <w:bCs/>
                <w:color w:val="FFFFFF"/>
                <w:sz w:val="20"/>
                <w:szCs w:val="20"/>
              </w:rPr>
              <w:t>Total</w:t>
            </w:r>
          </w:p>
        </w:tc>
        <w:tc>
          <w:tcPr>
            <w:tcW w:w="0" w:type="auto"/>
            <w:tcBorders>
              <w:top w:val="nil"/>
              <w:left w:val="nil"/>
              <w:bottom w:val="nil"/>
              <w:right w:val="nil"/>
            </w:tcBorders>
            <w:shd w:val="clear" w:color="000000" w:fill="4F81BD"/>
            <w:vAlign w:val="center"/>
            <w:hideMark/>
          </w:tcPr>
          <w:p w14:paraId="38BA058F" w14:textId="77777777" w:rsidR="00CA5F52" w:rsidRPr="00CA5F52" w:rsidRDefault="00CA5F52" w:rsidP="00422BDB">
            <w:pPr>
              <w:spacing w:before="80" w:after="60"/>
              <w:jc w:val="right"/>
              <w:rPr>
                <w:rFonts w:ascii="Arial" w:hAnsi="Arial" w:cs="Arial"/>
                <w:b/>
                <w:bCs/>
                <w:color w:val="FFFFFF"/>
                <w:sz w:val="20"/>
                <w:szCs w:val="20"/>
              </w:rPr>
            </w:pPr>
            <w:r w:rsidRPr="00CA5F52">
              <w:rPr>
                <w:rFonts w:ascii="Arial" w:hAnsi="Arial" w:cs="Arial"/>
                <w:b/>
                <w:bCs/>
                <w:color w:val="FFFFFF"/>
                <w:sz w:val="20"/>
                <w:szCs w:val="20"/>
              </w:rPr>
              <w:t xml:space="preserve"> 1.220 </w:t>
            </w:r>
          </w:p>
        </w:tc>
        <w:tc>
          <w:tcPr>
            <w:tcW w:w="0" w:type="auto"/>
            <w:tcBorders>
              <w:top w:val="nil"/>
              <w:left w:val="nil"/>
              <w:bottom w:val="nil"/>
              <w:right w:val="nil"/>
            </w:tcBorders>
            <w:shd w:val="clear" w:color="000000" w:fill="4F81BD"/>
            <w:vAlign w:val="center"/>
            <w:hideMark/>
          </w:tcPr>
          <w:p w14:paraId="5373FF63" w14:textId="77777777" w:rsidR="00CA5F52" w:rsidRPr="00CA5F52" w:rsidRDefault="00CA5F52" w:rsidP="00422BDB">
            <w:pPr>
              <w:spacing w:before="80" w:after="60"/>
              <w:jc w:val="right"/>
              <w:rPr>
                <w:rFonts w:ascii="Arial" w:hAnsi="Arial" w:cs="Arial"/>
                <w:b/>
                <w:bCs/>
                <w:color w:val="FFFFFF"/>
                <w:sz w:val="20"/>
                <w:szCs w:val="20"/>
              </w:rPr>
            </w:pPr>
            <w:r w:rsidRPr="00CA5F52">
              <w:rPr>
                <w:rFonts w:ascii="Arial" w:hAnsi="Arial" w:cs="Arial"/>
                <w:b/>
                <w:bCs/>
                <w:color w:val="FFFFFF"/>
                <w:sz w:val="20"/>
                <w:szCs w:val="20"/>
              </w:rPr>
              <w:t xml:space="preserve">1.096 </w:t>
            </w:r>
          </w:p>
        </w:tc>
        <w:tc>
          <w:tcPr>
            <w:tcW w:w="0" w:type="auto"/>
            <w:tcBorders>
              <w:top w:val="nil"/>
              <w:left w:val="nil"/>
              <w:bottom w:val="nil"/>
              <w:right w:val="nil"/>
            </w:tcBorders>
            <w:shd w:val="clear" w:color="000000" w:fill="4F81BD"/>
            <w:vAlign w:val="center"/>
            <w:hideMark/>
          </w:tcPr>
          <w:p w14:paraId="24195AE6" w14:textId="77777777" w:rsidR="00CA5F52" w:rsidRPr="00CA5F52" w:rsidRDefault="00CA5F52" w:rsidP="00422BDB">
            <w:pPr>
              <w:spacing w:before="80" w:after="60"/>
              <w:jc w:val="right"/>
              <w:rPr>
                <w:rFonts w:ascii="Arial" w:hAnsi="Arial" w:cs="Arial"/>
                <w:b/>
                <w:bCs/>
                <w:color w:val="FFFFFF"/>
                <w:sz w:val="20"/>
                <w:szCs w:val="20"/>
              </w:rPr>
            </w:pPr>
            <w:r w:rsidRPr="00CA5F52">
              <w:rPr>
                <w:rFonts w:ascii="Arial" w:hAnsi="Arial" w:cs="Arial"/>
                <w:b/>
                <w:bCs/>
                <w:color w:val="FFFFFF"/>
                <w:sz w:val="20"/>
                <w:szCs w:val="20"/>
              </w:rPr>
              <w:t xml:space="preserve">124 </w:t>
            </w:r>
          </w:p>
        </w:tc>
        <w:tc>
          <w:tcPr>
            <w:tcW w:w="0" w:type="auto"/>
            <w:tcBorders>
              <w:top w:val="nil"/>
              <w:left w:val="nil"/>
              <w:bottom w:val="nil"/>
              <w:right w:val="nil"/>
            </w:tcBorders>
            <w:shd w:val="clear" w:color="000000" w:fill="4F81BD"/>
            <w:vAlign w:val="center"/>
            <w:hideMark/>
          </w:tcPr>
          <w:p w14:paraId="7BC0EC8A" w14:textId="77777777" w:rsidR="00CA5F52" w:rsidRPr="00CA5F52" w:rsidRDefault="00CA5F52" w:rsidP="00422BDB">
            <w:pPr>
              <w:spacing w:before="80" w:after="60"/>
              <w:jc w:val="right"/>
              <w:rPr>
                <w:rFonts w:ascii="Arial" w:hAnsi="Arial" w:cs="Arial"/>
                <w:color w:val="FFFFFF"/>
                <w:sz w:val="20"/>
                <w:szCs w:val="20"/>
              </w:rPr>
            </w:pPr>
            <w:r w:rsidRPr="00CA5F52">
              <w:rPr>
                <w:rFonts w:ascii="Arial" w:hAnsi="Arial" w:cs="Arial"/>
                <w:color w:val="FFFFFF"/>
                <w:sz w:val="20"/>
                <w:szCs w:val="20"/>
              </w:rPr>
              <w:t>11%</w:t>
            </w:r>
          </w:p>
        </w:tc>
      </w:tr>
    </w:tbl>
    <w:p w14:paraId="1F589F99" w14:textId="3CC0848D" w:rsidR="00CA5F52" w:rsidRDefault="00422BDB" w:rsidP="004F1906">
      <w:pPr>
        <w:rPr>
          <w:rFonts w:ascii="Arial" w:hAnsi="Arial" w:cs="Arial"/>
          <w:sz w:val="22"/>
          <w:szCs w:val="22"/>
          <w:highlight w:val="yellow"/>
        </w:rPr>
      </w:pPr>
      <w:r w:rsidRPr="009C6C6B">
        <w:rPr>
          <w:rFonts w:ascii="Calibri" w:hAnsi="Calibri" w:cs="Calibri"/>
          <w:noProof/>
          <w:color w:val="000000"/>
          <w:sz w:val="22"/>
          <w:szCs w:val="22"/>
        </w:rPr>
        <w:drawing>
          <wp:anchor distT="0" distB="0" distL="114300" distR="114300" simplePos="0" relativeHeight="251961344" behindDoc="0" locked="0" layoutInCell="1" allowOverlap="1" wp14:anchorId="11C60EBF" wp14:editId="76BFD173">
            <wp:simplePos x="0" y="0"/>
            <wp:positionH relativeFrom="margin">
              <wp:posOffset>3071495</wp:posOffset>
            </wp:positionH>
            <wp:positionV relativeFrom="paragraph">
              <wp:posOffset>158115</wp:posOffset>
            </wp:positionV>
            <wp:extent cx="3124200" cy="2590800"/>
            <wp:effectExtent l="0" t="0" r="0" b="0"/>
            <wp:wrapNone/>
            <wp:docPr id="29" name="Gráfico 29">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600-000006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Pr="009C6C6B">
        <w:rPr>
          <w:rFonts w:ascii="Calibri" w:hAnsi="Calibri" w:cs="Calibri"/>
          <w:noProof/>
          <w:color w:val="000000"/>
          <w:sz w:val="22"/>
          <w:szCs w:val="22"/>
        </w:rPr>
        <w:drawing>
          <wp:anchor distT="0" distB="0" distL="114300" distR="114300" simplePos="0" relativeHeight="251962368" behindDoc="0" locked="0" layoutInCell="1" allowOverlap="1" wp14:anchorId="3C19821A" wp14:editId="298919C3">
            <wp:simplePos x="0" y="0"/>
            <wp:positionH relativeFrom="margin">
              <wp:posOffset>-109855</wp:posOffset>
            </wp:positionH>
            <wp:positionV relativeFrom="paragraph">
              <wp:posOffset>158115</wp:posOffset>
            </wp:positionV>
            <wp:extent cx="3086100" cy="2590800"/>
            <wp:effectExtent l="0" t="0" r="0" b="0"/>
            <wp:wrapNone/>
            <wp:docPr id="31" name="Gráfico 3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600-000007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25EF869A" w14:textId="0E0D0364" w:rsidR="00CA5F52" w:rsidRDefault="00CA5F52" w:rsidP="004F1906">
      <w:pPr>
        <w:rPr>
          <w:rFonts w:ascii="Arial" w:hAnsi="Arial" w:cs="Arial"/>
          <w:sz w:val="22"/>
          <w:szCs w:val="22"/>
          <w:highlight w:val="yellow"/>
        </w:rPr>
      </w:pPr>
    </w:p>
    <w:p w14:paraId="710B8980" w14:textId="77777777" w:rsidR="009C6C6B" w:rsidRDefault="009C6C6B" w:rsidP="004F1906">
      <w:pPr>
        <w:rPr>
          <w:rFonts w:ascii="Arial" w:hAnsi="Arial" w:cs="Arial"/>
          <w:sz w:val="22"/>
          <w:szCs w:val="22"/>
          <w:highlight w:val="yellow"/>
        </w:rPr>
      </w:pPr>
    </w:p>
    <w:p w14:paraId="62A6DF3F" w14:textId="77777777" w:rsidR="009C6C6B" w:rsidRDefault="009C6C6B" w:rsidP="004F1906">
      <w:pPr>
        <w:rPr>
          <w:rFonts w:ascii="Arial" w:hAnsi="Arial" w:cs="Arial"/>
          <w:sz w:val="22"/>
          <w:szCs w:val="22"/>
          <w:highlight w:val="yellow"/>
        </w:rPr>
      </w:pPr>
    </w:p>
    <w:p w14:paraId="36CF5585" w14:textId="77777777" w:rsidR="009C6C6B" w:rsidRDefault="009C6C6B" w:rsidP="004F1906">
      <w:pPr>
        <w:rPr>
          <w:rFonts w:ascii="Arial" w:hAnsi="Arial" w:cs="Arial"/>
          <w:sz w:val="22"/>
          <w:szCs w:val="22"/>
          <w:highlight w:val="yellow"/>
        </w:rPr>
      </w:pPr>
    </w:p>
    <w:p w14:paraId="4B109CCB" w14:textId="77777777" w:rsidR="009C6C6B" w:rsidRDefault="009C6C6B" w:rsidP="004F1906">
      <w:pPr>
        <w:rPr>
          <w:rFonts w:ascii="Arial" w:hAnsi="Arial" w:cs="Arial"/>
          <w:sz w:val="22"/>
          <w:szCs w:val="22"/>
          <w:highlight w:val="yellow"/>
        </w:rPr>
      </w:pPr>
    </w:p>
    <w:p w14:paraId="575BEA8A" w14:textId="77777777" w:rsidR="009C6C6B" w:rsidRPr="00A003B6" w:rsidRDefault="009C6C6B" w:rsidP="004F1906">
      <w:pPr>
        <w:rPr>
          <w:rFonts w:ascii="Arial" w:hAnsi="Arial" w:cs="Arial"/>
          <w:sz w:val="22"/>
          <w:szCs w:val="22"/>
          <w:highlight w:val="yellow"/>
        </w:rPr>
      </w:pPr>
    </w:p>
    <w:p w14:paraId="7C41A551" w14:textId="77777777" w:rsidR="00F97919" w:rsidRDefault="00F97919" w:rsidP="00FD6CE8">
      <w:pPr>
        <w:jc w:val="both"/>
        <w:rPr>
          <w:rFonts w:ascii="Arial" w:hAnsi="Arial" w:cs="Arial"/>
          <w:sz w:val="22"/>
          <w:szCs w:val="22"/>
          <w:highlight w:val="yellow"/>
        </w:rPr>
      </w:pPr>
    </w:p>
    <w:p w14:paraId="7D7017EC" w14:textId="77777777" w:rsidR="00F97919" w:rsidRDefault="00F97919" w:rsidP="00FD6CE8">
      <w:pPr>
        <w:jc w:val="both"/>
        <w:rPr>
          <w:rFonts w:ascii="Arial" w:hAnsi="Arial" w:cs="Arial"/>
          <w:sz w:val="22"/>
          <w:szCs w:val="22"/>
          <w:highlight w:val="yellow"/>
        </w:rPr>
      </w:pPr>
    </w:p>
    <w:p w14:paraId="5052B08B" w14:textId="77777777" w:rsidR="00F97919" w:rsidRDefault="00F97919" w:rsidP="00FD6CE8">
      <w:pPr>
        <w:jc w:val="both"/>
        <w:rPr>
          <w:rFonts w:ascii="Arial" w:hAnsi="Arial" w:cs="Arial"/>
          <w:sz w:val="22"/>
          <w:szCs w:val="22"/>
          <w:highlight w:val="yellow"/>
        </w:rPr>
      </w:pPr>
    </w:p>
    <w:p w14:paraId="0F4BAF6C" w14:textId="77777777" w:rsidR="00F97919" w:rsidRDefault="00F97919" w:rsidP="00FD6CE8">
      <w:pPr>
        <w:jc w:val="both"/>
        <w:rPr>
          <w:rFonts w:ascii="Arial" w:hAnsi="Arial" w:cs="Arial"/>
          <w:sz w:val="22"/>
          <w:szCs w:val="22"/>
          <w:highlight w:val="yellow"/>
        </w:rPr>
      </w:pPr>
    </w:p>
    <w:p w14:paraId="65957D6D" w14:textId="77777777" w:rsidR="00F97919" w:rsidRDefault="00F97919" w:rsidP="00FD6CE8">
      <w:pPr>
        <w:jc w:val="both"/>
        <w:rPr>
          <w:rFonts w:ascii="Arial" w:hAnsi="Arial" w:cs="Arial"/>
          <w:sz w:val="22"/>
          <w:szCs w:val="22"/>
          <w:highlight w:val="yellow"/>
        </w:rPr>
      </w:pPr>
    </w:p>
    <w:p w14:paraId="32F9AB78" w14:textId="77777777" w:rsidR="00F97919" w:rsidRDefault="00F97919" w:rsidP="00FD6CE8">
      <w:pPr>
        <w:jc w:val="both"/>
        <w:rPr>
          <w:rFonts w:ascii="Arial" w:hAnsi="Arial" w:cs="Arial"/>
          <w:sz w:val="22"/>
          <w:szCs w:val="22"/>
          <w:highlight w:val="yellow"/>
        </w:rPr>
      </w:pPr>
    </w:p>
    <w:p w14:paraId="2F33F183" w14:textId="77777777" w:rsidR="00F97919" w:rsidRDefault="00F97919" w:rsidP="00FD6CE8">
      <w:pPr>
        <w:jc w:val="both"/>
        <w:rPr>
          <w:rFonts w:ascii="Arial" w:hAnsi="Arial" w:cs="Arial"/>
          <w:sz w:val="22"/>
          <w:szCs w:val="22"/>
          <w:highlight w:val="yellow"/>
        </w:rPr>
      </w:pPr>
    </w:p>
    <w:p w14:paraId="140DCAAF" w14:textId="77777777" w:rsidR="00E60C97" w:rsidRDefault="00E60C97" w:rsidP="009A4703">
      <w:pPr>
        <w:jc w:val="both"/>
        <w:rPr>
          <w:rFonts w:ascii="Arial" w:hAnsi="Arial" w:cs="Arial"/>
          <w:sz w:val="22"/>
          <w:szCs w:val="22"/>
        </w:rPr>
      </w:pPr>
    </w:p>
    <w:p w14:paraId="62A6F3C6" w14:textId="77777777" w:rsidR="00E60C97" w:rsidRDefault="00E60C97" w:rsidP="009A4703">
      <w:pPr>
        <w:jc w:val="both"/>
        <w:rPr>
          <w:rFonts w:ascii="Arial" w:hAnsi="Arial" w:cs="Arial"/>
          <w:sz w:val="22"/>
          <w:szCs w:val="22"/>
        </w:rPr>
      </w:pPr>
    </w:p>
    <w:p w14:paraId="3FF97071" w14:textId="77777777" w:rsidR="00422BDB" w:rsidRDefault="00422BDB" w:rsidP="009A4703">
      <w:pPr>
        <w:jc w:val="both"/>
        <w:rPr>
          <w:rFonts w:ascii="Arial" w:hAnsi="Arial" w:cs="Arial"/>
          <w:sz w:val="22"/>
          <w:szCs w:val="22"/>
        </w:rPr>
      </w:pPr>
    </w:p>
    <w:p w14:paraId="1DCC6714" w14:textId="77777777" w:rsidR="00422BDB" w:rsidRDefault="00422BDB" w:rsidP="009A4703">
      <w:pPr>
        <w:jc w:val="both"/>
        <w:rPr>
          <w:rFonts w:ascii="Arial" w:hAnsi="Arial" w:cs="Arial"/>
          <w:sz w:val="22"/>
          <w:szCs w:val="22"/>
        </w:rPr>
      </w:pPr>
    </w:p>
    <w:p w14:paraId="5F644611" w14:textId="6F013EA0" w:rsidR="00CD3C72" w:rsidRDefault="009A4703" w:rsidP="009A4703">
      <w:pPr>
        <w:jc w:val="both"/>
        <w:rPr>
          <w:rFonts w:ascii="Arial" w:hAnsi="Arial" w:cs="Arial"/>
          <w:sz w:val="22"/>
          <w:szCs w:val="22"/>
        </w:rPr>
      </w:pPr>
      <w:r>
        <w:rPr>
          <w:rFonts w:ascii="Arial" w:hAnsi="Arial" w:cs="Arial"/>
          <w:sz w:val="22"/>
          <w:szCs w:val="22"/>
        </w:rPr>
        <w:t xml:space="preserve">Teniendo en cuenta, las variaciones en el valor del gasto y consumo en cantidad </w:t>
      </w:r>
      <w:r w:rsidR="00174044">
        <w:rPr>
          <w:rFonts w:ascii="Arial" w:hAnsi="Arial" w:cs="Arial"/>
          <w:sz w:val="22"/>
          <w:szCs w:val="22"/>
        </w:rPr>
        <w:t xml:space="preserve">de galones para </w:t>
      </w:r>
      <w:r w:rsidR="003749FC">
        <w:rPr>
          <w:rFonts w:ascii="Arial" w:hAnsi="Arial" w:cs="Arial"/>
          <w:sz w:val="22"/>
          <w:szCs w:val="22"/>
        </w:rPr>
        <w:t xml:space="preserve">los conceptos de </w:t>
      </w:r>
      <w:r>
        <w:rPr>
          <w:rFonts w:ascii="Arial" w:hAnsi="Arial" w:cs="Arial"/>
          <w:sz w:val="22"/>
          <w:szCs w:val="22"/>
        </w:rPr>
        <w:t>combustible</w:t>
      </w:r>
      <w:r w:rsidR="003749FC">
        <w:rPr>
          <w:rFonts w:ascii="Arial" w:hAnsi="Arial" w:cs="Arial"/>
          <w:sz w:val="22"/>
          <w:szCs w:val="22"/>
        </w:rPr>
        <w:t>s</w:t>
      </w:r>
      <w:r>
        <w:rPr>
          <w:rFonts w:ascii="Arial" w:hAnsi="Arial" w:cs="Arial"/>
          <w:sz w:val="22"/>
          <w:szCs w:val="22"/>
        </w:rPr>
        <w:t xml:space="preserve"> [gasolina y ACPM], se puede deducir que para el concepto de gasolina corriente </w:t>
      </w:r>
      <w:r w:rsidR="003749FC">
        <w:rPr>
          <w:rFonts w:ascii="Arial" w:hAnsi="Arial" w:cs="Arial"/>
          <w:sz w:val="22"/>
          <w:szCs w:val="22"/>
        </w:rPr>
        <w:t xml:space="preserve">los </w:t>
      </w:r>
      <w:r w:rsidR="003749FC" w:rsidRPr="00DF1257">
        <w:rPr>
          <w:rFonts w:ascii="Arial" w:hAnsi="Arial" w:cs="Arial"/>
          <w:b/>
          <w:sz w:val="22"/>
          <w:szCs w:val="22"/>
        </w:rPr>
        <w:t>incrementos</w:t>
      </w:r>
      <w:r w:rsidR="003749FC">
        <w:rPr>
          <w:rFonts w:ascii="Arial" w:hAnsi="Arial" w:cs="Arial"/>
          <w:sz w:val="22"/>
          <w:szCs w:val="22"/>
        </w:rPr>
        <w:t xml:space="preserve"> presentados</w:t>
      </w:r>
      <w:r w:rsidR="002E006D">
        <w:rPr>
          <w:rFonts w:ascii="Arial" w:hAnsi="Arial" w:cs="Arial"/>
          <w:sz w:val="22"/>
          <w:szCs w:val="22"/>
        </w:rPr>
        <w:t xml:space="preserve"> durante el tercer trimestre 2019-2018 </w:t>
      </w:r>
      <w:r w:rsidR="003749FC">
        <w:rPr>
          <w:rFonts w:ascii="Arial" w:hAnsi="Arial" w:cs="Arial"/>
          <w:sz w:val="22"/>
          <w:szCs w:val="22"/>
        </w:rPr>
        <w:t>están directamente relacionado</w:t>
      </w:r>
      <w:r w:rsidR="008B12EC">
        <w:rPr>
          <w:rFonts w:ascii="Arial" w:hAnsi="Arial" w:cs="Arial"/>
          <w:sz w:val="22"/>
          <w:szCs w:val="22"/>
        </w:rPr>
        <w:t xml:space="preserve">s con las variaciones </w:t>
      </w:r>
      <w:r w:rsidR="00B969BD">
        <w:rPr>
          <w:rFonts w:ascii="Arial" w:hAnsi="Arial" w:cs="Arial"/>
          <w:sz w:val="22"/>
          <w:szCs w:val="22"/>
        </w:rPr>
        <w:t xml:space="preserve">entre el valor y el consumo. </w:t>
      </w:r>
      <w:r w:rsidR="00CD3C72">
        <w:rPr>
          <w:rFonts w:ascii="Arial" w:hAnsi="Arial" w:cs="Arial"/>
          <w:sz w:val="22"/>
          <w:szCs w:val="22"/>
        </w:rPr>
        <w:t>De igual forma, se presentó para el concepto de ACPM</w:t>
      </w:r>
      <w:r w:rsidR="00C711E9">
        <w:rPr>
          <w:rFonts w:ascii="Arial" w:hAnsi="Arial" w:cs="Arial"/>
          <w:sz w:val="22"/>
          <w:szCs w:val="22"/>
        </w:rPr>
        <w:t xml:space="preserve">, </w:t>
      </w:r>
      <w:r w:rsidR="00FB58D6">
        <w:rPr>
          <w:rFonts w:ascii="Arial" w:hAnsi="Arial" w:cs="Arial"/>
          <w:sz w:val="22"/>
          <w:szCs w:val="22"/>
        </w:rPr>
        <w:t>para los meses</w:t>
      </w:r>
      <w:r w:rsidR="00CD3C72">
        <w:rPr>
          <w:rFonts w:ascii="Arial" w:hAnsi="Arial" w:cs="Arial"/>
          <w:sz w:val="22"/>
          <w:szCs w:val="22"/>
        </w:rPr>
        <w:t xml:space="preserve"> de julio y agosto. Situación diferente, se observó para el mes de septiembre, en donde </w:t>
      </w:r>
      <w:r w:rsidR="00DF1257">
        <w:rPr>
          <w:rFonts w:ascii="Arial" w:hAnsi="Arial" w:cs="Arial"/>
          <w:sz w:val="22"/>
          <w:szCs w:val="22"/>
        </w:rPr>
        <w:t xml:space="preserve">el total del gasto </w:t>
      </w:r>
      <w:r w:rsidR="00CD3C72">
        <w:rPr>
          <w:rFonts w:ascii="Arial" w:hAnsi="Arial" w:cs="Arial"/>
          <w:sz w:val="22"/>
          <w:szCs w:val="22"/>
        </w:rPr>
        <w:t xml:space="preserve">se </w:t>
      </w:r>
      <w:r w:rsidR="00CD3C72" w:rsidRPr="00DF1257">
        <w:rPr>
          <w:rFonts w:ascii="Arial" w:hAnsi="Arial" w:cs="Arial"/>
          <w:b/>
          <w:sz w:val="22"/>
          <w:szCs w:val="22"/>
        </w:rPr>
        <w:t>increment</w:t>
      </w:r>
      <w:r w:rsidR="00DF1257" w:rsidRPr="00DF1257">
        <w:rPr>
          <w:rFonts w:ascii="Arial" w:hAnsi="Arial" w:cs="Arial"/>
          <w:b/>
          <w:sz w:val="22"/>
          <w:szCs w:val="22"/>
        </w:rPr>
        <w:t xml:space="preserve">ó </w:t>
      </w:r>
      <w:r w:rsidR="00DF1257">
        <w:rPr>
          <w:rFonts w:ascii="Arial" w:hAnsi="Arial" w:cs="Arial"/>
          <w:sz w:val="22"/>
          <w:szCs w:val="22"/>
        </w:rPr>
        <w:t xml:space="preserve">el 25%, no obstante, el número de galones de ACPM </w:t>
      </w:r>
      <w:r w:rsidR="00DF1257" w:rsidRPr="00DF1257">
        <w:rPr>
          <w:rFonts w:ascii="Arial" w:hAnsi="Arial" w:cs="Arial"/>
          <w:b/>
          <w:sz w:val="22"/>
          <w:szCs w:val="22"/>
        </w:rPr>
        <w:t>disminuyó</w:t>
      </w:r>
      <w:r w:rsidR="00DF1257">
        <w:rPr>
          <w:rFonts w:ascii="Arial" w:hAnsi="Arial" w:cs="Arial"/>
          <w:sz w:val="22"/>
          <w:szCs w:val="22"/>
        </w:rPr>
        <w:t xml:space="preserve"> el 59%. </w:t>
      </w:r>
    </w:p>
    <w:p w14:paraId="24E0DB5C" w14:textId="77777777" w:rsidR="002E006D" w:rsidRDefault="002E006D" w:rsidP="009A4703">
      <w:pPr>
        <w:jc w:val="both"/>
        <w:rPr>
          <w:rFonts w:ascii="Arial" w:hAnsi="Arial" w:cs="Arial"/>
          <w:sz w:val="22"/>
          <w:szCs w:val="22"/>
        </w:rPr>
      </w:pPr>
    </w:p>
    <w:tbl>
      <w:tblPr>
        <w:tblStyle w:val="Tabladecuadrcula1clara-nfasis1"/>
        <w:tblW w:w="0" w:type="auto"/>
        <w:jc w:val="center"/>
        <w:tblLayout w:type="fixed"/>
        <w:tblLook w:val="04A0" w:firstRow="1" w:lastRow="0" w:firstColumn="1" w:lastColumn="0" w:noHBand="0" w:noVBand="1"/>
      </w:tblPr>
      <w:tblGrid>
        <w:gridCol w:w="1991"/>
        <w:gridCol w:w="1134"/>
        <w:gridCol w:w="1270"/>
        <w:gridCol w:w="1139"/>
        <w:gridCol w:w="1413"/>
      </w:tblGrid>
      <w:tr w:rsidR="00BD2E0F" w:rsidRPr="00BD2E0F" w14:paraId="1D417421" w14:textId="77777777" w:rsidTr="004B48A1">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991" w:type="dxa"/>
            <w:vMerge w:val="restart"/>
            <w:shd w:val="clear" w:color="auto" w:fill="4F81BD" w:themeFill="accent1"/>
            <w:vAlign w:val="center"/>
            <w:hideMark/>
          </w:tcPr>
          <w:p w14:paraId="614C2273" w14:textId="77777777" w:rsidR="00BD2E0F" w:rsidRPr="00BD2E0F" w:rsidRDefault="00BD2E0F" w:rsidP="00BD2E0F">
            <w:pPr>
              <w:spacing w:before="60" w:after="60"/>
              <w:jc w:val="center"/>
              <w:rPr>
                <w:rFonts w:ascii="Arial" w:hAnsi="Arial" w:cs="Arial"/>
                <w:color w:val="FFFFFF" w:themeColor="background1"/>
                <w:sz w:val="20"/>
                <w:szCs w:val="20"/>
              </w:rPr>
            </w:pPr>
            <w:r w:rsidRPr="00BD2E0F">
              <w:rPr>
                <w:rFonts w:ascii="Arial" w:hAnsi="Arial" w:cs="Arial"/>
                <w:color w:val="FFFFFF" w:themeColor="background1"/>
                <w:sz w:val="20"/>
                <w:szCs w:val="20"/>
              </w:rPr>
              <w:t>Periodo</w:t>
            </w:r>
          </w:p>
        </w:tc>
        <w:tc>
          <w:tcPr>
            <w:tcW w:w="2404" w:type="dxa"/>
            <w:gridSpan w:val="2"/>
            <w:shd w:val="clear" w:color="auto" w:fill="4F81BD" w:themeFill="accent1"/>
            <w:vAlign w:val="center"/>
            <w:hideMark/>
          </w:tcPr>
          <w:p w14:paraId="40D2814D" w14:textId="77777777" w:rsidR="00BD2E0F" w:rsidRPr="00BD2E0F" w:rsidRDefault="00BD2E0F" w:rsidP="00BD2E0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D2E0F">
              <w:rPr>
                <w:rFonts w:ascii="Arial" w:hAnsi="Arial" w:cs="Arial"/>
                <w:color w:val="FFFFFF" w:themeColor="background1"/>
                <w:sz w:val="20"/>
                <w:szCs w:val="20"/>
              </w:rPr>
              <w:t xml:space="preserve"> Concepto de Gasolina </w:t>
            </w:r>
          </w:p>
        </w:tc>
        <w:tc>
          <w:tcPr>
            <w:tcW w:w="2552" w:type="dxa"/>
            <w:gridSpan w:val="2"/>
            <w:shd w:val="clear" w:color="auto" w:fill="4F81BD" w:themeFill="accent1"/>
            <w:vAlign w:val="center"/>
            <w:hideMark/>
          </w:tcPr>
          <w:p w14:paraId="66B7338C" w14:textId="77777777" w:rsidR="00BD2E0F" w:rsidRPr="00BD2E0F" w:rsidRDefault="00BD2E0F" w:rsidP="00BD2E0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D2E0F">
              <w:rPr>
                <w:rFonts w:ascii="Arial" w:hAnsi="Arial" w:cs="Arial"/>
                <w:color w:val="FFFFFF" w:themeColor="background1"/>
                <w:sz w:val="20"/>
                <w:szCs w:val="20"/>
              </w:rPr>
              <w:t xml:space="preserve"> Concepto de ACPM</w:t>
            </w:r>
          </w:p>
        </w:tc>
      </w:tr>
      <w:tr w:rsidR="00BD2E0F" w:rsidRPr="00BD2E0F" w14:paraId="296E6F49" w14:textId="77777777" w:rsidTr="004B48A1">
        <w:trPr>
          <w:cantSplit/>
          <w:jc w:val="center"/>
        </w:trPr>
        <w:tc>
          <w:tcPr>
            <w:cnfStyle w:val="001000000000" w:firstRow="0" w:lastRow="0" w:firstColumn="1" w:lastColumn="0" w:oddVBand="0" w:evenVBand="0" w:oddHBand="0" w:evenHBand="0" w:firstRowFirstColumn="0" w:firstRowLastColumn="0" w:lastRowFirstColumn="0" w:lastRowLastColumn="0"/>
            <w:tcW w:w="1991" w:type="dxa"/>
            <w:vMerge/>
            <w:shd w:val="clear" w:color="auto" w:fill="4F81BD" w:themeFill="accent1"/>
            <w:vAlign w:val="center"/>
            <w:hideMark/>
          </w:tcPr>
          <w:p w14:paraId="7310C989" w14:textId="77777777" w:rsidR="00BD2E0F" w:rsidRPr="00BD2E0F" w:rsidRDefault="00BD2E0F" w:rsidP="00BD2E0F">
            <w:pPr>
              <w:spacing w:before="60" w:after="60"/>
              <w:rPr>
                <w:rFonts w:ascii="Arial" w:hAnsi="Arial" w:cs="Arial"/>
                <w:color w:val="FFFFFF" w:themeColor="background1"/>
                <w:sz w:val="20"/>
                <w:szCs w:val="20"/>
              </w:rPr>
            </w:pPr>
          </w:p>
        </w:tc>
        <w:tc>
          <w:tcPr>
            <w:tcW w:w="1134" w:type="dxa"/>
            <w:shd w:val="clear" w:color="auto" w:fill="4F81BD" w:themeFill="accent1"/>
            <w:vAlign w:val="center"/>
            <w:hideMark/>
          </w:tcPr>
          <w:p w14:paraId="66108BC5" w14:textId="77777777" w:rsidR="00BD2E0F" w:rsidRPr="00BD2E0F"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D2E0F">
              <w:rPr>
                <w:rFonts w:ascii="Arial" w:hAnsi="Arial" w:cs="Arial"/>
                <w:color w:val="FFFFFF" w:themeColor="background1"/>
                <w:sz w:val="20"/>
                <w:szCs w:val="20"/>
              </w:rPr>
              <w:t>Variación Gasto ($)</w:t>
            </w:r>
          </w:p>
        </w:tc>
        <w:tc>
          <w:tcPr>
            <w:tcW w:w="1270" w:type="dxa"/>
            <w:shd w:val="clear" w:color="auto" w:fill="4F81BD" w:themeFill="accent1"/>
            <w:vAlign w:val="center"/>
            <w:hideMark/>
          </w:tcPr>
          <w:p w14:paraId="23CF0046" w14:textId="77777777" w:rsidR="00BD2E0F" w:rsidRPr="00BD2E0F"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D2E0F">
              <w:rPr>
                <w:rFonts w:ascii="Arial" w:hAnsi="Arial" w:cs="Arial"/>
                <w:color w:val="FFFFFF" w:themeColor="background1"/>
                <w:sz w:val="20"/>
                <w:szCs w:val="20"/>
              </w:rPr>
              <w:t>Variación Cantidad</w:t>
            </w:r>
          </w:p>
        </w:tc>
        <w:tc>
          <w:tcPr>
            <w:tcW w:w="1139" w:type="dxa"/>
            <w:shd w:val="clear" w:color="auto" w:fill="4F81BD" w:themeFill="accent1"/>
            <w:vAlign w:val="center"/>
            <w:hideMark/>
          </w:tcPr>
          <w:p w14:paraId="574A52FF" w14:textId="77777777" w:rsidR="00BD2E0F" w:rsidRPr="00BD2E0F"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D2E0F">
              <w:rPr>
                <w:rFonts w:ascii="Arial" w:hAnsi="Arial" w:cs="Arial"/>
                <w:color w:val="FFFFFF" w:themeColor="background1"/>
                <w:sz w:val="20"/>
                <w:szCs w:val="20"/>
              </w:rPr>
              <w:t>Variación Gasto ($)</w:t>
            </w:r>
          </w:p>
        </w:tc>
        <w:tc>
          <w:tcPr>
            <w:tcW w:w="1413" w:type="dxa"/>
            <w:shd w:val="clear" w:color="auto" w:fill="4F81BD" w:themeFill="accent1"/>
            <w:vAlign w:val="center"/>
            <w:hideMark/>
          </w:tcPr>
          <w:p w14:paraId="595EEB1C" w14:textId="77777777" w:rsidR="00BD2E0F" w:rsidRPr="00BD2E0F"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D2E0F">
              <w:rPr>
                <w:rFonts w:ascii="Arial" w:hAnsi="Arial" w:cs="Arial"/>
                <w:color w:val="FFFFFF" w:themeColor="background1"/>
                <w:sz w:val="20"/>
                <w:szCs w:val="20"/>
              </w:rPr>
              <w:t>Variación Cantidad</w:t>
            </w:r>
          </w:p>
        </w:tc>
      </w:tr>
      <w:tr w:rsidR="00BD2E0F" w:rsidRPr="00BD2E0F" w14:paraId="52BBB457" w14:textId="77777777" w:rsidTr="004B48A1">
        <w:trPr>
          <w:cantSplit/>
          <w:jc w:val="center"/>
        </w:trPr>
        <w:tc>
          <w:tcPr>
            <w:cnfStyle w:val="001000000000" w:firstRow="0" w:lastRow="0" w:firstColumn="1" w:lastColumn="0" w:oddVBand="0" w:evenVBand="0" w:oddHBand="0" w:evenHBand="0" w:firstRowFirstColumn="0" w:firstRowLastColumn="0" w:lastRowFirstColumn="0" w:lastRowLastColumn="0"/>
            <w:tcW w:w="1991" w:type="dxa"/>
            <w:vAlign w:val="center"/>
            <w:hideMark/>
          </w:tcPr>
          <w:p w14:paraId="0CAFFC65" w14:textId="77777777" w:rsidR="00BD2E0F" w:rsidRPr="00BD2E0F" w:rsidRDefault="00BD2E0F" w:rsidP="00BD2E0F">
            <w:pPr>
              <w:spacing w:before="60" w:after="60"/>
              <w:jc w:val="center"/>
              <w:rPr>
                <w:rFonts w:ascii="Arial" w:hAnsi="Arial" w:cs="Arial"/>
                <w:color w:val="0F243E" w:themeColor="text2" w:themeShade="80"/>
                <w:sz w:val="20"/>
                <w:szCs w:val="20"/>
              </w:rPr>
            </w:pPr>
            <w:r w:rsidRPr="00BD2E0F">
              <w:rPr>
                <w:rFonts w:ascii="Arial" w:hAnsi="Arial" w:cs="Arial"/>
                <w:color w:val="0F243E" w:themeColor="text2" w:themeShade="80"/>
                <w:sz w:val="20"/>
                <w:szCs w:val="20"/>
              </w:rPr>
              <w:t xml:space="preserve">Julio </w:t>
            </w:r>
          </w:p>
        </w:tc>
        <w:tc>
          <w:tcPr>
            <w:tcW w:w="1134" w:type="dxa"/>
            <w:vAlign w:val="center"/>
            <w:hideMark/>
          </w:tcPr>
          <w:p w14:paraId="56725CFF" w14:textId="77777777" w:rsidR="00BD2E0F" w:rsidRPr="00FB7EA4"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14%</w:t>
            </w:r>
          </w:p>
        </w:tc>
        <w:tc>
          <w:tcPr>
            <w:tcW w:w="1270" w:type="dxa"/>
            <w:vAlign w:val="center"/>
            <w:hideMark/>
          </w:tcPr>
          <w:p w14:paraId="7C668637" w14:textId="77777777" w:rsidR="00BD2E0F" w:rsidRPr="00FB7EA4"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12%</w:t>
            </w:r>
          </w:p>
        </w:tc>
        <w:tc>
          <w:tcPr>
            <w:tcW w:w="1139" w:type="dxa"/>
            <w:vAlign w:val="center"/>
            <w:hideMark/>
          </w:tcPr>
          <w:p w14:paraId="0437D52F" w14:textId="77777777" w:rsidR="00BD2E0F" w:rsidRPr="00FB7EA4"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42%</w:t>
            </w:r>
          </w:p>
        </w:tc>
        <w:tc>
          <w:tcPr>
            <w:tcW w:w="1413" w:type="dxa"/>
            <w:vAlign w:val="center"/>
            <w:hideMark/>
          </w:tcPr>
          <w:p w14:paraId="6CFA2072" w14:textId="77777777" w:rsidR="00BD2E0F" w:rsidRPr="00FB7EA4"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37%</w:t>
            </w:r>
          </w:p>
        </w:tc>
      </w:tr>
      <w:tr w:rsidR="00BD2E0F" w:rsidRPr="00BD2E0F" w14:paraId="6B39E7DC" w14:textId="77777777" w:rsidTr="004B48A1">
        <w:trPr>
          <w:cantSplit/>
          <w:jc w:val="center"/>
        </w:trPr>
        <w:tc>
          <w:tcPr>
            <w:cnfStyle w:val="001000000000" w:firstRow="0" w:lastRow="0" w:firstColumn="1" w:lastColumn="0" w:oddVBand="0" w:evenVBand="0" w:oddHBand="0" w:evenHBand="0" w:firstRowFirstColumn="0" w:firstRowLastColumn="0" w:lastRowFirstColumn="0" w:lastRowLastColumn="0"/>
            <w:tcW w:w="1991" w:type="dxa"/>
            <w:vAlign w:val="center"/>
            <w:hideMark/>
          </w:tcPr>
          <w:p w14:paraId="0602626C" w14:textId="77777777" w:rsidR="00BD2E0F" w:rsidRPr="00BD2E0F" w:rsidRDefault="00BD2E0F" w:rsidP="00BD2E0F">
            <w:pPr>
              <w:spacing w:before="60" w:after="60"/>
              <w:jc w:val="center"/>
              <w:rPr>
                <w:rFonts w:ascii="Arial" w:hAnsi="Arial" w:cs="Arial"/>
                <w:color w:val="0F243E" w:themeColor="text2" w:themeShade="80"/>
                <w:sz w:val="20"/>
                <w:szCs w:val="20"/>
              </w:rPr>
            </w:pPr>
            <w:r w:rsidRPr="00BD2E0F">
              <w:rPr>
                <w:rFonts w:ascii="Arial" w:hAnsi="Arial" w:cs="Arial"/>
                <w:color w:val="0F243E" w:themeColor="text2" w:themeShade="80"/>
                <w:sz w:val="20"/>
                <w:szCs w:val="20"/>
              </w:rPr>
              <w:t xml:space="preserve">Agosto </w:t>
            </w:r>
          </w:p>
        </w:tc>
        <w:tc>
          <w:tcPr>
            <w:tcW w:w="1134" w:type="dxa"/>
            <w:vAlign w:val="center"/>
            <w:hideMark/>
          </w:tcPr>
          <w:p w14:paraId="24868388" w14:textId="77777777" w:rsidR="00BD2E0F" w:rsidRPr="00FB7EA4"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w:t>
            </w:r>
          </w:p>
        </w:tc>
        <w:tc>
          <w:tcPr>
            <w:tcW w:w="1270" w:type="dxa"/>
            <w:vAlign w:val="center"/>
            <w:hideMark/>
          </w:tcPr>
          <w:p w14:paraId="5770B805" w14:textId="77777777" w:rsidR="00BD2E0F" w:rsidRPr="00FB7EA4"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w:t>
            </w:r>
          </w:p>
        </w:tc>
        <w:tc>
          <w:tcPr>
            <w:tcW w:w="1139" w:type="dxa"/>
            <w:vAlign w:val="center"/>
            <w:hideMark/>
          </w:tcPr>
          <w:p w14:paraId="1A5079D3" w14:textId="77777777" w:rsidR="00BD2E0F" w:rsidRPr="00FB7EA4"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48%</w:t>
            </w:r>
          </w:p>
        </w:tc>
        <w:tc>
          <w:tcPr>
            <w:tcW w:w="1413" w:type="dxa"/>
            <w:vAlign w:val="center"/>
            <w:hideMark/>
          </w:tcPr>
          <w:p w14:paraId="1C5E5D9C" w14:textId="77777777" w:rsidR="00BD2E0F" w:rsidRPr="00FB7EA4"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43%</w:t>
            </w:r>
          </w:p>
        </w:tc>
      </w:tr>
      <w:tr w:rsidR="00BD2E0F" w:rsidRPr="00BD2E0F" w14:paraId="1C1EAE6A" w14:textId="77777777" w:rsidTr="004B48A1">
        <w:trPr>
          <w:cantSplit/>
          <w:jc w:val="center"/>
        </w:trPr>
        <w:tc>
          <w:tcPr>
            <w:cnfStyle w:val="001000000000" w:firstRow="0" w:lastRow="0" w:firstColumn="1" w:lastColumn="0" w:oddVBand="0" w:evenVBand="0" w:oddHBand="0" w:evenHBand="0" w:firstRowFirstColumn="0" w:firstRowLastColumn="0" w:lastRowFirstColumn="0" w:lastRowLastColumn="0"/>
            <w:tcW w:w="1991" w:type="dxa"/>
            <w:vAlign w:val="center"/>
            <w:hideMark/>
          </w:tcPr>
          <w:p w14:paraId="2780D9FC" w14:textId="77777777" w:rsidR="00BD2E0F" w:rsidRPr="00BD2E0F" w:rsidRDefault="00BD2E0F" w:rsidP="00BD2E0F">
            <w:pPr>
              <w:spacing w:before="60" w:after="60"/>
              <w:jc w:val="center"/>
              <w:rPr>
                <w:rFonts w:ascii="Arial" w:hAnsi="Arial" w:cs="Arial"/>
                <w:color w:val="0F243E" w:themeColor="text2" w:themeShade="80"/>
                <w:sz w:val="20"/>
                <w:szCs w:val="20"/>
              </w:rPr>
            </w:pPr>
            <w:r w:rsidRPr="00BD2E0F">
              <w:rPr>
                <w:rFonts w:ascii="Arial" w:hAnsi="Arial" w:cs="Arial"/>
                <w:color w:val="0F243E" w:themeColor="text2" w:themeShade="80"/>
                <w:sz w:val="20"/>
                <w:szCs w:val="20"/>
              </w:rPr>
              <w:t>Septiembre</w:t>
            </w:r>
          </w:p>
        </w:tc>
        <w:tc>
          <w:tcPr>
            <w:tcW w:w="1134" w:type="dxa"/>
            <w:vAlign w:val="center"/>
            <w:hideMark/>
          </w:tcPr>
          <w:p w14:paraId="15376427" w14:textId="77777777" w:rsidR="00BD2E0F" w:rsidRPr="00FB7EA4"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w:t>
            </w:r>
          </w:p>
        </w:tc>
        <w:tc>
          <w:tcPr>
            <w:tcW w:w="1270" w:type="dxa"/>
            <w:vAlign w:val="center"/>
            <w:hideMark/>
          </w:tcPr>
          <w:p w14:paraId="0909EA36" w14:textId="77777777" w:rsidR="00BD2E0F" w:rsidRPr="00FB7EA4"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w:t>
            </w:r>
          </w:p>
        </w:tc>
        <w:tc>
          <w:tcPr>
            <w:tcW w:w="1139" w:type="dxa"/>
            <w:vAlign w:val="center"/>
            <w:hideMark/>
          </w:tcPr>
          <w:p w14:paraId="5C6ADC60" w14:textId="77777777" w:rsidR="00BD2E0F" w:rsidRPr="00FB7EA4"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25%</w:t>
            </w:r>
          </w:p>
        </w:tc>
        <w:tc>
          <w:tcPr>
            <w:tcW w:w="1413" w:type="dxa"/>
            <w:vAlign w:val="center"/>
            <w:hideMark/>
          </w:tcPr>
          <w:p w14:paraId="0A954903" w14:textId="77777777" w:rsidR="00BD2E0F" w:rsidRPr="00FB7EA4" w:rsidRDefault="00BD2E0F" w:rsidP="00BD2E0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-59%</w:t>
            </w:r>
          </w:p>
        </w:tc>
      </w:tr>
    </w:tbl>
    <w:p w14:paraId="6015E66E" w14:textId="77777777" w:rsidR="00DF1257" w:rsidRDefault="00DF1257" w:rsidP="009A4703">
      <w:pPr>
        <w:jc w:val="both"/>
        <w:rPr>
          <w:rFonts w:ascii="Arial" w:hAnsi="Arial" w:cs="Arial"/>
          <w:sz w:val="22"/>
          <w:szCs w:val="22"/>
        </w:rPr>
      </w:pPr>
    </w:p>
    <w:p w14:paraId="43360691" w14:textId="77777777" w:rsidR="004B48A1" w:rsidRDefault="004B48A1" w:rsidP="004B48A1">
      <w:pPr>
        <w:jc w:val="both"/>
        <w:rPr>
          <w:rFonts w:ascii="Arial" w:hAnsi="Arial" w:cs="Arial"/>
          <w:sz w:val="22"/>
          <w:szCs w:val="22"/>
        </w:rPr>
      </w:pPr>
      <w:r>
        <w:rPr>
          <w:noProof/>
        </w:rPr>
        <w:lastRenderedPageBreak/>
        <w:drawing>
          <wp:inline distT="0" distB="0" distL="0" distR="0" wp14:anchorId="6E96C20D" wp14:editId="3F49650B">
            <wp:extent cx="6124575" cy="1847850"/>
            <wp:effectExtent l="0" t="0" r="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9A11F46" w14:textId="5DB2AD9E" w:rsidR="00BB72E3" w:rsidRPr="00E15105" w:rsidRDefault="00DD6814" w:rsidP="00FD6CE8">
      <w:pPr>
        <w:jc w:val="both"/>
        <w:rPr>
          <w:rFonts w:ascii="Arial" w:hAnsi="Arial" w:cs="Arial"/>
          <w:sz w:val="22"/>
          <w:szCs w:val="22"/>
        </w:rPr>
      </w:pPr>
      <w:r w:rsidRPr="00E15105">
        <w:rPr>
          <w:rFonts w:ascii="Arial" w:hAnsi="Arial" w:cs="Arial"/>
          <w:sz w:val="22"/>
          <w:szCs w:val="22"/>
        </w:rPr>
        <w:t xml:space="preserve">Como control para los conceptos de combustibles, </w:t>
      </w:r>
      <w:r w:rsidR="000F330E" w:rsidRPr="00E15105">
        <w:rPr>
          <w:rFonts w:ascii="Arial" w:hAnsi="Arial" w:cs="Arial"/>
          <w:sz w:val="22"/>
          <w:szCs w:val="22"/>
        </w:rPr>
        <w:t>e</w:t>
      </w:r>
      <w:r w:rsidR="00BB72E3" w:rsidRPr="00E15105">
        <w:rPr>
          <w:rFonts w:ascii="Arial" w:hAnsi="Arial" w:cs="Arial"/>
          <w:sz w:val="22"/>
          <w:szCs w:val="22"/>
        </w:rPr>
        <w:t xml:space="preserve">l Grupo de Logística y Suministro </w:t>
      </w:r>
      <w:r w:rsidR="00E15105" w:rsidRPr="00E15105">
        <w:rPr>
          <w:rFonts w:ascii="Arial" w:hAnsi="Arial" w:cs="Arial"/>
          <w:sz w:val="22"/>
          <w:szCs w:val="22"/>
        </w:rPr>
        <w:t xml:space="preserve">realiza el monitoreo del consumo mediante el </w:t>
      </w:r>
      <w:r w:rsidR="00BB72E3" w:rsidRPr="00E15105">
        <w:rPr>
          <w:rFonts w:ascii="Arial" w:hAnsi="Arial" w:cs="Arial"/>
          <w:sz w:val="22"/>
          <w:szCs w:val="22"/>
        </w:rPr>
        <w:t>dispositivo que se encuentra instalado en cada vehículo y motocicleta que conforma el parque automotor de la Entidad y las camionetas de la Unidad Nacio</w:t>
      </w:r>
      <w:r w:rsidR="001567A6" w:rsidRPr="00E15105">
        <w:rPr>
          <w:rFonts w:ascii="Arial" w:hAnsi="Arial" w:cs="Arial"/>
          <w:sz w:val="22"/>
          <w:szCs w:val="22"/>
        </w:rPr>
        <w:t>nal de Protección asignadas al esquema</w:t>
      </w:r>
      <w:r w:rsidR="00E15105" w:rsidRPr="00E15105">
        <w:rPr>
          <w:rFonts w:ascii="Arial" w:hAnsi="Arial" w:cs="Arial"/>
          <w:sz w:val="22"/>
          <w:szCs w:val="22"/>
        </w:rPr>
        <w:t xml:space="preserve"> de seguridad del Ministro y el viceministro, </w:t>
      </w:r>
      <w:r w:rsidR="00BB72E3" w:rsidRPr="00E15105">
        <w:rPr>
          <w:rFonts w:ascii="Arial" w:hAnsi="Arial" w:cs="Arial"/>
          <w:sz w:val="22"/>
          <w:szCs w:val="22"/>
        </w:rPr>
        <w:t xml:space="preserve">el cual esta parametrizado para llevar el registro de los consumos de gasolina y ACPM, con fecha, día, hora y kilometraje, dicho dispositivo es suministrado por el contratista, de este modo, cuando el proveedor del servicio contratado envía el informe de ejecución mensual detallado con los consumos por placa, el mencionado Grupo concilia con el ticket físico </w:t>
      </w:r>
      <w:r w:rsidR="00383395" w:rsidRPr="00E15105">
        <w:rPr>
          <w:rFonts w:ascii="Arial" w:hAnsi="Arial" w:cs="Arial"/>
          <w:sz w:val="22"/>
          <w:szCs w:val="22"/>
        </w:rPr>
        <w:t xml:space="preserve">entregado por cada </w:t>
      </w:r>
      <w:r w:rsidR="00BB72E3" w:rsidRPr="00E15105">
        <w:rPr>
          <w:rFonts w:ascii="Arial" w:hAnsi="Arial" w:cs="Arial"/>
          <w:sz w:val="22"/>
          <w:szCs w:val="22"/>
        </w:rPr>
        <w:t xml:space="preserve">conductor. </w:t>
      </w:r>
    </w:p>
    <w:p w14:paraId="504A1EEF" w14:textId="338DB67C" w:rsidR="001A3E9B" w:rsidRDefault="001A3E9B" w:rsidP="00B83072">
      <w:pPr>
        <w:rPr>
          <w:rFonts w:ascii="Arial" w:hAnsi="Arial" w:cs="Arial"/>
          <w:sz w:val="22"/>
          <w:szCs w:val="22"/>
        </w:rPr>
      </w:pPr>
    </w:p>
    <w:p w14:paraId="5E9E8E4F" w14:textId="77777777" w:rsidR="00974DB9" w:rsidRDefault="00974DB9" w:rsidP="00B83072">
      <w:pPr>
        <w:rPr>
          <w:rFonts w:ascii="Arial" w:hAnsi="Arial" w:cs="Arial"/>
          <w:sz w:val="22"/>
          <w:szCs w:val="22"/>
        </w:rPr>
      </w:pPr>
    </w:p>
    <w:p w14:paraId="46918C8B" w14:textId="77777777" w:rsidR="00DF6E6A" w:rsidRPr="008005BB" w:rsidRDefault="00E234F0" w:rsidP="00B83072">
      <w:pPr>
        <w:rPr>
          <w:rFonts w:ascii="Arial" w:hAnsi="Arial" w:cs="Arial"/>
          <w:b/>
          <w:sz w:val="22"/>
          <w:szCs w:val="22"/>
        </w:rPr>
      </w:pPr>
      <w:r w:rsidRPr="008005BB">
        <w:rPr>
          <w:rFonts w:ascii="Arial" w:hAnsi="Arial" w:cs="Arial"/>
          <w:b/>
          <w:sz w:val="22"/>
          <w:szCs w:val="22"/>
        </w:rPr>
        <w:t xml:space="preserve">5.3 </w:t>
      </w:r>
      <w:r w:rsidR="00FB4B9D" w:rsidRPr="008005BB">
        <w:rPr>
          <w:rFonts w:ascii="Arial" w:hAnsi="Arial" w:cs="Arial"/>
          <w:b/>
          <w:sz w:val="22"/>
          <w:szCs w:val="22"/>
        </w:rPr>
        <w:t>GARAJES Y/O PARQUEADEROS</w:t>
      </w:r>
    </w:p>
    <w:p w14:paraId="58C9828B" w14:textId="77777777" w:rsidR="00FB4B9D" w:rsidRPr="008005BB" w:rsidRDefault="00FB4B9D" w:rsidP="00B83072">
      <w:pPr>
        <w:rPr>
          <w:rFonts w:ascii="Arial" w:hAnsi="Arial" w:cs="Arial"/>
          <w:sz w:val="22"/>
          <w:szCs w:val="22"/>
        </w:rPr>
      </w:pPr>
    </w:p>
    <w:p w14:paraId="45A1E45D" w14:textId="77777777" w:rsidR="00A86733" w:rsidRPr="008005BB" w:rsidRDefault="003B6677" w:rsidP="00FF1131">
      <w:pPr>
        <w:jc w:val="both"/>
        <w:rPr>
          <w:rFonts w:ascii="Arial" w:hAnsi="Arial" w:cs="Arial"/>
          <w:sz w:val="22"/>
          <w:szCs w:val="22"/>
        </w:rPr>
      </w:pPr>
      <w:r w:rsidRPr="008005BB">
        <w:rPr>
          <w:rFonts w:ascii="Arial" w:hAnsi="Arial" w:cs="Arial"/>
          <w:sz w:val="22"/>
          <w:szCs w:val="22"/>
        </w:rPr>
        <w:t xml:space="preserve">El Ministerio de Hacienda y Crédito Público </w:t>
      </w:r>
      <w:r w:rsidR="00A86733" w:rsidRPr="008005BB">
        <w:rPr>
          <w:rFonts w:ascii="Arial" w:hAnsi="Arial" w:cs="Arial"/>
          <w:sz w:val="22"/>
          <w:szCs w:val="22"/>
        </w:rPr>
        <w:t>Resolución Interna 743 del 22 de abril de 2002, viabilizó el reconocimiento mensual de pago por concepto de servicio de garaje y /o pa</w:t>
      </w:r>
      <w:r w:rsidR="00431DA7" w:rsidRPr="008005BB">
        <w:rPr>
          <w:rFonts w:ascii="Arial" w:hAnsi="Arial" w:cs="Arial"/>
          <w:sz w:val="22"/>
          <w:szCs w:val="22"/>
        </w:rPr>
        <w:t>rqueadero para los vehículos de</w:t>
      </w:r>
      <w:r w:rsidR="00A86733" w:rsidRPr="008005BB">
        <w:rPr>
          <w:rFonts w:ascii="Arial" w:hAnsi="Arial" w:cs="Arial"/>
          <w:sz w:val="22"/>
          <w:szCs w:val="22"/>
        </w:rPr>
        <w:t xml:space="preserve"> esta Entidad </w:t>
      </w:r>
      <w:r w:rsidR="00EE1932" w:rsidRPr="008005BB">
        <w:rPr>
          <w:rFonts w:ascii="Arial" w:hAnsi="Arial" w:cs="Arial"/>
          <w:sz w:val="22"/>
          <w:szCs w:val="22"/>
        </w:rPr>
        <w:t xml:space="preserve">asignados a los Directivos y al Grupo de Logística y Suministro para los operativos, los cuales </w:t>
      </w:r>
      <w:r w:rsidR="00A86733" w:rsidRPr="008005BB">
        <w:rPr>
          <w:rFonts w:ascii="Arial" w:hAnsi="Arial" w:cs="Arial"/>
          <w:sz w:val="22"/>
          <w:szCs w:val="22"/>
        </w:rPr>
        <w:t xml:space="preserve">deben utilizar el mencionado servicio en horas nocturnas y días no laborales. Actualmente, el valor mensual pagado por concepto de parqueadero es de $ 111.700 el cual fue determinado mediante la Resolución Interna 3464 de 2014.  </w:t>
      </w:r>
    </w:p>
    <w:p w14:paraId="6EC2A3C4" w14:textId="77777777" w:rsidR="00273BC5" w:rsidRPr="008005BB" w:rsidRDefault="00273BC5" w:rsidP="00FF1131">
      <w:pPr>
        <w:jc w:val="both"/>
        <w:rPr>
          <w:rFonts w:ascii="Arial" w:hAnsi="Arial" w:cs="Arial"/>
          <w:sz w:val="22"/>
          <w:szCs w:val="22"/>
        </w:rPr>
      </w:pPr>
    </w:p>
    <w:p w14:paraId="3C118A31" w14:textId="77777777" w:rsidR="00443160" w:rsidRPr="008005BB" w:rsidRDefault="00C96B65" w:rsidP="00FF1131">
      <w:pPr>
        <w:jc w:val="both"/>
        <w:rPr>
          <w:rFonts w:ascii="Arial" w:hAnsi="Arial" w:cs="Arial"/>
          <w:sz w:val="22"/>
          <w:szCs w:val="22"/>
        </w:rPr>
      </w:pPr>
      <w:r w:rsidRPr="008005BB">
        <w:rPr>
          <w:rFonts w:ascii="Arial" w:hAnsi="Arial" w:cs="Arial"/>
          <w:sz w:val="22"/>
          <w:szCs w:val="22"/>
        </w:rPr>
        <w:t>Para este punto, la Dirección Administrativa mensualmente mediante acto administrativo (resolución) reconoce y ordena el pago por concepto de servicio de garajes y /o parqueaderos para los vehículos pertenecientes al Ministerio</w:t>
      </w:r>
      <w:r w:rsidR="00EE1932" w:rsidRPr="008005BB">
        <w:rPr>
          <w:rFonts w:ascii="Arial" w:hAnsi="Arial" w:cs="Arial"/>
          <w:sz w:val="22"/>
          <w:szCs w:val="22"/>
        </w:rPr>
        <w:t xml:space="preserve"> de Hacienda y Crédito Público. </w:t>
      </w:r>
      <w:r w:rsidR="002651E2" w:rsidRPr="008005BB">
        <w:rPr>
          <w:rFonts w:ascii="Arial" w:hAnsi="Arial" w:cs="Arial"/>
          <w:sz w:val="22"/>
          <w:szCs w:val="22"/>
        </w:rPr>
        <w:t>El</w:t>
      </w:r>
      <w:r w:rsidR="00C47475" w:rsidRPr="008005BB">
        <w:rPr>
          <w:rFonts w:ascii="Arial" w:hAnsi="Arial" w:cs="Arial"/>
          <w:sz w:val="22"/>
          <w:szCs w:val="22"/>
        </w:rPr>
        <w:t xml:space="preserve"> gasto analizado, se fundamen</w:t>
      </w:r>
      <w:r w:rsidR="002651E2" w:rsidRPr="008005BB">
        <w:rPr>
          <w:rFonts w:ascii="Arial" w:hAnsi="Arial" w:cs="Arial"/>
          <w:sz w:val="22"/>
          <w:szCs w:val="22"/>
        </w:rPr>
        <w:t xml:space="preserve">ta en la necesidad del servicio prestado por </w:t>
      </w:r>
      <w:r w:rsidR="00C47475" w:rsidRPr="008005BB">
        <w:rPr>
          <w:rFonts w:ascii="Arial" w:hAnsi="Arial" w:cs="Arial"/>
          <w:sz w:val="22"/>
          <w:szCs w:val="22"/>
        </w:rPr>
        <w:t xml:space="preserve">los conductores que tienen asignados </w:t>
      </w:r>
      <w:r w:rsidR="002651E2" w:rsidRPr="008005BB">
        <w:rPr>
          <w:rFonts w:ascii="Arial" w:hAnsi="Arial" w:cs="Arial"/>
          <w:sz w:val="22"/>
          <w:szCs w:val="22"/>
        </w:rPr>
        <w:t xml:space="preserve">vehículos para el traslado de </w:t>
      </w:r>
      <w:r w:rsidR="00C47475" w:rsidRPr="008005BB">
        <w:rPr>
          <w:rFonts w:ascii="Arial" w:hAnsi="Arial" w:cs="Arial"/>
          <w:sz w:val="22"/>
          <w:szCs w:val="22"/>
        </w:rPr>
        <w:t>los Directivos de esta Entidad</w:t>
      </w:r>
      <w:r w:rsidR="002651E2" w:rsidRPr="008005BB">
        <w:rPr>
          <w:rFonts w:ascii="Arial" w:hAnsi="Arial" w:cs="Arial"/>
          <w:sz w:val="22"/>
          <w:szCs w:val="22"/>
        </w:rPr>
        <w:t xml:space="preserve">. </w:t>
      </w:r>
    </w:p>
    <w:p w14:paraId="07EF5A89" w14:textId="77777777" w:rsidR="00443160" w:rsidRPr="008005BB" w:rsidRDefault="00443160" w:rsidP="00FF1131">
      <w:pPr>
        <w:jc w:val="both"/>
        <w:rPr>
          <w:rFonts w:ascii="Arial" w:hAnsi="Arial" w:cs="Arial"/>
          <w:sz w:val="22"/>
          <w:szCs w:val="22"/>
        </w:rPr>
      </w:pPr>
    </w:p>
    <w:p w14:paraId="0471005B" w14:textId="77777777" w:rsidR="00C47475" w:rsidRDefault="002651E2" w:rsidP="00FF1131">
      <w:pPr>
        <w:jc w:val="both"/>
        <w:rPr>
          <w:rFonts w:ascii="Arial" w:hAnsi="Arial" w:cs="Arial"/>
          <w:sz w:val="22"/>
          <w:szCs w:val="22"/>
        </w:rPr>
      </w:pPr>
      <w:r w:rsidRPr="008005BB">
        <w:rPr>
          <w:rFonts w:ascii="Arial" w:hAnsi="Arial" w:cs="Arial"/>
          <w:sz w:val="22"/>
          <w:szCs w:val="22"/>
        </w:rPr>
        <w:t xml:space="preserve">De acuerdo con la información allegada por la Subdirección de Servicios, se efectuó una comparación del gasto </w:t>
      </w:r>
      <w:r w:rsidR="00DB1A20" w:rsidRPr="008005BB">
        <w:rPr>
          <w:rFonts w:ascii="Arial" w:hAnsi="Arial" w:cs="Arial"/>
          <w:sz w:val="22"/>
          <w:szCs w:val="22"/>
        </w:rPr>
        <w:t xml:space="preserve">reconocido durante el </w:t>
      </w:r>
      <w:r w:rsidR="001A3E9B">
        <w:rPr>
          <w:rFonts w:ascii="Arial" w:hAnsi="Arial" w:cs="Arial"/>
          <w:sz w:val="22"/>
          <w:szCs w:val="22"/>
        </w:rPr>
        <w:t xml:space="preserve">tercer </w:t>
      </w:r>
      <w:r w:rsidRPr="008005BB">
        <w:rPr>
          <w:rFonts w:ascii="Arial" w:hAnsi="Arial" w:cs="Arial"/>
          <w:sz w:val="22"/>
          <w:szCs w:val="22"/>
        </w:rPr>
        <w:t>trimestre de 2019 comparado con el mismo periodo de 2018</w:t>
      </w:r>
      <w:r w:rsidR="001A3E9B">
        <w:rPr>
          <w:rFonts w:ascii="Arial" w:hAnsi="Arial" w:cs="Arial"/>
          <w:sz w:val="22"/>
          <w:szCs w:val="22"/>
        </w:rPr>
        <w:t xml:space="preserve">, como resultado se observó una </w:t>
      </w:r>
      <w:r w:rsidR="001A3E9B" w:rsidRPr="001A3E9B">
        <w:rPr>
          <w:rFonts w:ascii="Arial" w:hAnsi="Arial" w:cs="Arial"/>
          <w:b/>
          <w:sz w:val="22"/>
          <w:szCs w:val="22"/>
        </w:rPr>
        <w:t>disminución</w:t>
      </w:r>
      <w:r w:rsidR="001A3E9B">
        <w:rPr>
          <w:rFonts w:ascii="Arial" w:hAnsi="Arial" w:cs="Arial"/>
          <w:sz w:val="22"/>
          <w:szCs w:val="22"/>
        </w:rPr>
        <w:t xml:space="preserve"> d</w:t>
      </w:r>
      <w:r w:rsidR="00443160" w:rsidRPr="008005BB">
        <w:rPr>
          <w:rFonts w:ascii="Arial" w:hAnsi="Arial" w:cs="Arial"/>
          <w:sz w:val="22"/>
          <w:szCs w:val="22"/>
        </w:rPr>
        <w:t xml:space="preserve">el </w:t>
      </w:r>
      <w:r w:rsidR="001A3E9B">
        <w:rPr>
          <w:rFonts w:ascii="Arial" w:hAnsi="Arial" w:cs="Arial"/>
          <w:sz w:val="22"/>
          <w:szCs w:val="22"/>
        </w:rPr>
        <w:t>6</w:t>
      </w:r>
      <w:r w:rsidR="00443160" w:rsidRPr="008005BB">
        <w:rPr>
          <w:rFonts w:ascii="Arial" w:hAnsi="Arial" w:cs="Arial"/>
          <w:sz w:val="22"/>
          <w:szCs w:val="22"/>
        </w:rPr>
        <w:t>% por concepto gasto de garajes y /o parqueaderos para los vehículos de este Ministerio</w:t>
      </w:r>
      <w:r w:rsidR="001A3E9B">
        <w:rPr>
          <w:rFonts w:ascii="Arial" w:hAnsi="Arial" w:cs="Arial"/>
          <w:sz w:val="22"/>
          <w:szCs w:val="22"/>
        </w:rPr>
        <w:t xml:space="preserve">. </w:t>
      </w:r>
    </w:p>
    <w:p w14:paraId="6DABF989" w14:textId="12ED74B6" w:rsidR="002651E2" w:rsidRDefault="002651E2" w:rsidP="00FF1131">
      <w:pPr>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1124"/>
        <w:gridCol w:w="1501"/>
        <w:gridCol w:w="2319"/>
        <w:gridCol w:w="1283"/>
        <w:gridCol w:w="1276"/>
      </w:tblGrid>
      <w:tr w:rsidR="00330370" w:rsidRPr="00330370" w14:paraId="56990059" w14:textId="77777777" w:rsidTr="006D4AAB">
        <w:trPr>
          <w:cantSplit/>
          <w:tblHeader/>
          <w:jc w:val="center"/>
        </w:trPr>
        <w:tc>
          <w:tcPr>
            <w:tcW w:w="1124" w:type="dxa"/>
            <w:tcBorders>
              <w:top w:val="single" w:sz="8" w:space="0" w:color="B8CCE4"/>
              <w:left w:val="single" w:sz="8" w:space="0" w:color="B8CCE4"/>
              <w:bottom w:val="single" w:sz="12" w:space="0" w:color="95B3D7"/>
              <w:right w:val="single" w:sz="8" w:space="0" w:color="B8CCE4"/>
            </w:tcBorders>
            <w:shd w:val="clear" w:color="000000" w:fill="4F81BD"/>
            <w:vAlign w:val="center"/>
            <w:hideMark/>
          </w:tcPr>
          <w:p w14:paraId="7990DF39" w14:textId="77777777" w:rsidR="00330370" w:rsidRPr="00330370" w:rsidRDefault="00330370" w:rsidP="00974DB9">
            <w:pPr>
              <w:spacing w:before="60" w:after="60"/>
              <w:jc w:val="center"/>
              <w:rPr>
                <w:rFonts w:ascii="Arial" w:hAnsi="Arial" w:cs="Arial"/>
                <w:b/>
                <w:bCs/>
                <w:color w:val="FFFFFF"/>
                <w:sz w:val="20"/>
                <w:szCs w:val="20"/>
              </w:rPr>
            </w:pPr>
            <w:r w:rsidRPr="00330370">
              <w:rPr>
                <w:rFonts w:ascii="Arial" w:hAnsi="Arial" w:cs="Arial"/>
                <w:b/>
                <w:bCs/>
                <w:color w:val="FFFFFF"/>
                <w:sz w:val="20"/>
                <w:szCs w:val="20"/>
              </w:rPr>
              <w:t xml:space="preserve">Periodo </w:t>
            </w:r>
          </w:p>
        </w:tc>
        <w:tc>
          <w:tcPr>
            <w:tcW w:w="1501" w:type="dxa"/>
            <w:tcBorders>
              <w:top w:val="single" w:sz="8" w:space="0" w:color="B8CCE4"/>
              <w:left w:val="nil"/>
              <w:bottom w:val="single" w:sz="12" w:space="0" w:color="95B3D7"/>
              <w:right w:val="single" w:sz="8" w:space="0" w:color="B8CCE4"/>
            </w:tcBorders>
            <w:shd w:val="clear" w:color="000000" w:fill="4F81BD"/>
            <w:vAlign w:val="center"/>
            <w:hideMark/>
          </w:tcPr>
          <w:p w14:paraId="45D0819F" w14:textId="77777777" w:rsidR="00330370" w:rsidRPr="00330370" w:rsidRDefault="00330370" w:rsidP="00974DB9">
            <w:pPr>
              <w:spacing w:before="60" w:after="60"/>
              <w:jc w:val="center"/>
              <w:rPr>
                <w:rFonts w:ascii="Arial" w:hAnsi="Arial" w:cs="Arial"/>
                <w:b/>
                <w:bCs/>
                <w:color w:val="FFFFFF"/>
                <w:sz w:val="20"/>
                <w:szCs w:val="20"/>
              </w:rPr>
            </w:pPr>
            <w:r w:rsidRPr="00330370">
              <w:rPr>
                <w:rFonts w:ascii="Arial" w:hAnsi="Arial" w:cs="Arial"/>
                <w:b/>
                <w:bCs/>
                <w:color w:val="FFFFFF"/>
                <w:sz w:val="20"/>
                <w:szCs w:val="20"/>
              </w:rPr>
              <w:t>Mes</w:t>
            </w:r>
          </w:p>
        </w:tc>
        <w:tc>
          <w:tcPr>
            <w:tcW w:w="0" w:type="auto"/>
            <w:tcBorders>
              <w:top w:val="single" w:sz="8" w:space="0" w:color="B8CCE4"/>
              <w:left w:val="nil"/>
              <w:bottom w:val="single" w:sz="12" w:space="0" w:color="95B3D7"/>
              <w:right w:val="single" w:sz="8" w:space="0" w:color="B8CCE4"/>
            </w:tcBorders>
            <w:shd w:val="clear" w:color="000000" w:fill="4F81BD"/>
            <w:vAlign w:val="center"/>
            <w:hideMark/>
          </w:tcPr>
          <w:p w14:paraId="6B098A99" w14:textId="77777777" w:rsidR="00330370" w:rsidRPr="00330370" w:rsidRDefault="00330370" w:rsidP="00974DB9">
            <w:pPr>
              <w:spacing w:before="60" w:after="60"/>
              <w:jc w:val="center"/>
              <w:rPr>
                <w:rFonts w:ascii="Arial" w:hAnsi="Arial" w:cs="Arial"/>
                <w:b/>
                <w:bCs/>
                <w:color w:val="FFFFFF"/>
                <w:sz w:val="20"/>
                <w:szCs w:val="20"/>
              </w:rPr>
            </w:pPr>
            <w:r w:rsidRPr="00330370">
              <w:rPr>
                <w:rFonts w:ascii="Arial" w:hAnsi="Arial" w:cs="Arial"/>
                <w:b/>
                <w:bCs/>
                <w:color w:val="FFFFFF"/>
                <w:sz w:val="20"/>
                <w:szCs w:val="20"/>
              </w:rPr>
              <w:t xml:space="preserve">Número de Resolución </w:t>
            </w:r>
          </w:p>
        </w:tc>
        <w:tc>
          <w:tcPr>
            <w:tcW w:w="1283" w:type="dxa"/>
            <w:tcBorders>
              <w:top w:val="single" w:sz="8" w:space="0" w:color="B8CCE4"/>
              <w:left w:val="nil"/>
              <w:bottom w:val="single" w:sz="12" w:space="0" w:color="95B3D7"/>
              <w:right w:val="single" w:sz="8" w:space="0" w:color="B8CCE4"/>
            </w:tcBorders>
            <w:shd w:val="clear" w:color="000000" w:fill="4F81BD"/>
            <w:vAlign w:val="center"/>
            <w:hideMark/>
          </w:tcPr>
          <w:p w14:paraId="6817079D" w14:textId="77777777" w:rsidR="00330370" w:rsidRPr="00330370" w:rsidRDefault="00330370" w:rsidP="00974DB9">
            <w:pPr>
              <w:spacing w:before="60" w:after="60"/>
              <w:jc w:val="center"/>
              <w:rPr>
                <w:rFonts w:ascii="Arial" w:hAnsi="Arial" w:cs="Arial"/>
                <w:b/>
                <w:bCs/>
                <w:color w:val="FFFFFF"/>
                <w:sz w:val="20"/>
                <w:szCs w:val="20"/>
              </w:rPr>
            </w:pPr>
            <w:r w:rsidRPr="00330370">
              <w:rPr>
                <w:rFonts w:ascii="Arial" w:hAnsi="Arial" w:cs="Arial"/>
                <w:b/>
                <w:bCs/>
                <w:color w:val="FFFFFF"/>
                <w:sz w:val="20"/>
                <w:szCs w:val="20"/>
              </w:rPr>
              <w:t xml:space="preserve">Fecha </w:t>
            </w:r>
          </w:p>
        </w:tc>
        <w:tc>
          <w:tcPr>
            <w:tcW w:w="1276" w:type="dxa"/>
            <w:tcBorders>
              <w:top w:val="single" w:sz="8" w:space="0" w:color="B8CCE4"/>
              <w:left w:val="nil"/>
              <w:bottom w:val="single" w:sz="12" w:space="0" w:color="95B3D7"/>
              <w:right w:val="single" w:sz="8" w:space="0" w:color="B8CCE4"/>
            </w:tcBorders>
            <w:shd w:val="clear" w:color="000000" w:fill="4F81BD"/>
            <w:vAlign w:val="center"/>
            <w:hideMark/>
          </w:tcPr>
          <w:p w14:paraId="568C11F0" w14:textId="77777777" w:rsidR="00330370" w:rsidRPr="00330370" w:rsidRDefault="00330370" w:rsidP="00974DB9">
            <w:pPr>
              <w:spacing w:before="60" w:after="60"/>
              <w:jc w:val="center"/>
              <w:rPr>
                <w:rFonts w:ascii="Arial" w:hAnsi="Arial" w:cs="Arial"/>
                <w:b/>
                <w:bCs/>
                <w:color w:val="FFFFFF"/>
                <w:sz w:val="20"/>
                <w:szCs w:val="20"/>
              </w:rPr>
            </w:pPr>
            <w:r w:rsidRPr="00330370">
              <w:rPr>
                <w:rFonts w:ascii="Arial" w:hAnsi="Arial" w:cs="Arial"/>
                <w:b/>
                <w:bCs/>
                <w:color w:val="FFFFFF"/>
                <w:sz w:val="20"/>
                <w:szCs w:val="20"/>
              </w:rPr>
              <w:t>Valor ($)</w:t>
            </w:r>
          </w:p>
        </w:tc>
      </w:tr>
      <w:tr w:rsidR="00330370" w:rsidRPr="00330370" w14:paraId="644FCBB7" w14:textId="77777777" w:rsidTr="006D4AAB">
        <w:trPr>
          <w:trHeight w:val="495"/>
          <w:jc w:val="center"/>
        </w:trPr>
        <w:tc>
          <w:tcPr>
            <w:tcW w:w="1124" w:type="dxa"/>
            <w:vMerge w:val="restart"/>
            <w:tcBorders>
              <w:top w:val="nil"/>
              <w:left w:val="single" w:sz="8" w:space="0" w:color="B8CCE4"/>
              <w:bottom w:val="single" w:sz="8" w:space="0" w:color="B8CCE4"/>
              <w:right w:val="single" w:sz="8" w:space="0" w:color="B8CCE4"/>
            </w:tcBorders>
            <w:shd w:val="clear" w:color="000000" w:fill="4F81BD"/>
            <w:noWrap/>
            <w:textDirection w:val="btLr"/>
            <w:vAlign w:val="center"/>
            <w:hideMark/>
          </w:tcPr>
          <w:p w14:paraId="46AF4035" w14:textId="77777777" w:rsidR="00330370" w:rsidRPr="00330370" w:rsidRDefault="00330370" w:rsidP="00974DB9">
            <w:pPr>
              <w:spacing w:before="60" w:after="60"/>
              <w:jc w:val="center"/>
              <w:rPr>
                <w:rFonts w:ascii="Arial" w:hAnsi="Arial" w:cs="Arial"/>
                <w:b/>
                <w:bCs/>
                <w:color w:val="FFFFFF"/>
                <w:sz w:val="20"/>
                <w:szCs w:val="20"/>
              </w:rPr>
            </w:pPr>
            <w:r w:rsidRPr="00330370">
              <w:rPr>
                <w:rFonts w:ascii="Arial" w:hAnsi="Arial" w:cs="Arial"/>
                <w:b/>
                <w:bCs/>
                <w:color w:val="FFFFFF"/>
                <w:sz w:val="20"/>
                <w:szCs w:val="20"/>
              </w:rPr>
              <w:t>III Trimestre 2019</w:t>
            </w:r>
          </w:p>
        </w:tc>
        <w:tc>
          <w:tcPr>
            <w:tcW w:w="1501" w:type="dxa"/>
            <w:tcBorders>
              <w:top w:val="nil"/>
              <w:left w:val="nil"/>
              <w:bottom w:val="single" w:sz="8" w:space="0" w:color="B8CCE4"/>
              <w:right w:val="single" w:sz="8" w:space="0" w:color="B8CCE4"/>
            </w:tcBorders>
            <w:shd w:val="clear" w:color="auto" w:fill="auto"/>
            <w:noWrap/>
            <w:vAlign w:val="center"/>
            <w:hideMark/>
          </w:tcPr>
          <w:p w14:paraId="4C3EFDFB" w14:textId="77777777" w:rsidR="00330370" w:rsidRPr="00330370" w:rsidRDefault="00330370" w:rsidP="00974DB9">
            <w:pPr>
              <w:spacing w:before="60" w:after="60"/>
              <w:rPr>
                <w:rFonts w:ascii="Arial" w:hAnsi="Arial" w:cs="Arial"/>
                <w:color w:val="0F243E"/>
                <w:sz w:val="20"/>
                <w:szCs w:val="20"/>
              </w:rPr>
            </w:pPr>
            <w:r w:rsidRPr="00330370">
              <w:rPr>
                <w:rFonts w:ascii="Arial" w:hAnsi="Arial" w:cs="Arial"/>
                <w:color w:val="0F243E"/>
                <w:sz w:val="20"/>
                <w:szCs w:val="20"/>
              </w:rPr>
              <w:t xml:space="preserve">Julio </w:t>
            </w:r>
          </w:p>
        </w:tc>
        <w:tc>
          <w:tcPr>
            <w:tcW w:w="0" w:type="auto"/>
            <w:tcBorders>
              <w:top w:val="nil"/>
              <w:left w:val="nil"/>
              <w:bottom w:val="single" w:sz="8" w:space="0" w:color="B8CCE4"/>
              <w:right w:val="single" w:sz="8" w:space="0" w:color="B8CCE4"/>
            </w:tcBorders>
            <w:shd w:val="clear" w:color="auto" w:fill="auto"/>
            <w:noWrap/>
            <w:vAlign w:val="center"/>
            <w:hideMark/>
          </w:tcPr>
          <w:p w14:paraId="27A26006" w14:textId="77777777" w:rsidR="00330370" w:rsidRPr="00330370" w:rsidRDefault="00330370" w:rsidP="00FB7EA4">
            <w:pPr>
              <w:spacing w:before="60" w:after="60"/>
              <w:jc w:val="center"/>
              <w:rPr>
                <w:rFonts w:ascii="Arial" w:hAnsi="Arial" w:cs="Arial"/>
                <w:color w:val="0F243E"/>
                <w:sz w:val="20"/>
                <w:szCs w:val="20"/>
              </w:rPr>
            </w:pPr>
            <w:r w:rsidRPr="00330370">
              <w:rPr>
                <w:rFonts w:ascii="Arial" w:hAnsi="Arial" w:cs="Arial"/>
                <w:color w:val="0F243E"/>
                <w:sz w:val="20"/>
                <w:szCs w:val="20"/>
              </w:rPr>
              <w:t>2568</w:t>
            </w:r>
          </w:p>
        </w:tc>
        <w:tc>
          <w:tcPr>
            <w:tcW w:w="1283" w:type="dxa"/>
            <w:tcBorders>
              <w:top w:val="nil"/>
              <w:left w:val="nil"/>
              <w:bottom w:val="single" w:sz="8" w:space="0" w:color="B8CCE4"/>
              <w:right w:val="single" w:sz="8" w:space="0" w:color="B8CCE4"/>
            </w:tcBorders>
            <w:shd w:val="clear" w:color="auto" w:fill="auto"/>
            <w:noWrap/>
            <w:vAlign w:val="center"/>
            <w:hideMark/>
          </w:tcPr>
          <w:p w14:paraId="1B4A97DB" w14:textId="77777777" w:rsidR="00330370" w:rsidRPr="00330370" w:rsidRDefault="00330370" w:rsidP="00974DB9">
            <w:pPr>
              <w:spacing w:before="60" w:after="60"/>
              <w:jc w:val="right"/>
              <w:rPr>
                <w:rFonts w:ascii="Arial" w:hAnsi="Arial" w:cs="Arial"/>
                <w:color w:val="0F243E"/>
                <w:sz w:val="20"/>
                <w:szCs w:val="20"/>
              </w:rPr>
            </w:pPr>
            <w:r w:rsidRPr="00330370">
              <w:rPr>
                <w:rFonts w:ascii="Arial" w:hAnsi="Arial" w:cs="Arial"/>
                <w:color w:val="0F243E"/>
                <w:sz w:val="20"/>
                <w:szCs w:val="20"/>
              </w:rPr>
              <w:t>5/08/2019</w:t>
            </w:r>
          </w:p>
        </w:tc>
        <w:tc>
          <w:tcPr>
            <w:tcW w:w="1276" w:type="dxa"/>
            <w:tcBorders>
              <w:top w:val="nil"/>
              <w:left w:val="nil"/>
              <w:bottom w:val="single" w:sz="8" w:space="0" w:color="B8CCE4"/>
              <w:right w:val="single" w:sz="8" w:space="0" w:color="B8CCE4"/>
            </w:tcBorders>
            <w:shd w:val="clear" w:color="auto" w:fill="auto"/>
            <w:noWrap/>
            <w:vAlign w:val="center"/>
            <w:hideMark/>
          </w:tcPr>
          <w:p w14:paraId="17B05F96" w14:textId="77777777" w:rsidR="00330370" w:rsidRPr="00330370" w:rsidRDefault="00330370" w:rsidP="00974DB9">
            <w:pPr>
              <w:spacing w:before="60" w:after="60"/>
              <w:jc w:val="right"/>
              <w:rPr>
                <w:rFonts w:ascii="Arial" w:hAnsi="Arial" w:cs="Arial"/>
                <w:color w:val="0F243E"/>
                <w:sz w:val="20"/>
                <w:szCs w:val="20"/>
              </w:rPr>
            </w:pPr>
            <w:r w:rsidRPr="00330370">
              <w:rPr>
                <w:rFonts w:ascii="Arial" w:hAnsi="Arial" w:cs="Arial"/>
                <w:color w:val="0F243E"/>
                <w:sz w:val="20"/>
                <w:szCs w:val="20"/>
              </w:rPr>
              <w:t>2.092.513</w:t>
            </w:r>
          </w:p>
        </w:tc>
      </w:tr>
      <w:tr w:rsidR="00330370" w:rsidRPr="00330370" w14:paraId="6C2CC79A" w14:textId="77777777" w:rsidTr="006D4AAB">
        <w:trPr>
          <w:trHeight w:val="413"/>
          <w:jc w:val="center"/>
        </w:trPr>
        <w:tc>
          <w:tcPr>
            <w:tcW w:w="1124" w:type="dxa"/>
            <w:vMerge/>
            <w:tcBorders>
              <w:top w:val="nil"/>
              <w:left w:val="single" w:sz="8" w:space="0" w:color="B8CCE4"/>
              <w:bottom w:val="single" w:sz="8" w:space="0" w:color="B8CCE4"/>
              <w:right w:val="single" w:sz="8" w:space="0" w:color="B8CCE4"/>
            </w:tcBorders>
            <w:vAlign w:val="center"/>
            <w:hideMark/>
          </w:tcPr>
          <w:p w14:paraId="64471D98" w14:textId="77777777" w:rsidR="00330370" w:rsidRPr="00330370" w:rsidRDefault="00330370" w:rsidP="00974DB9">
            <w:pPr>
              <w:spacing w:before="60" w:after="60"/>
              <w:rPr>
                <w:rFonts w:ascii="Arial" w:hAnsi="Arial" w:cs="Arial"/>
                <w:b/>
                <w:bCs/>
                <w:color w:val="FFFFFF"/>
                <w:sz w:val="20"/>
                <w:szCs w:val="20"/>
              </w:rPr>
            </w:pPr>
          </w:p>
        </w:tc>
        <w:tc>
          <w:tcPr>
            <w:tcW w:w="1501" w:type="dxa"/>
            <w:tcBorders>
              <w:top w:val="nil"/>
              <w:left w:val="nil"/>
              <w:bottom w:val="single" w:sz="8" w:space="0" w:color="B8CCE4"/>
              <w:right w:val="single" w:sz="8" w:space="0" w:color="B8CCE4"/>
            </w:tcBorders>
            <w:shd w:val="clear" w:color="auto" w:fill="auto"/>
            <w:noWrap/>
            <w:vAlign w:val="center"/>
            <w:hideMark/>
          </w:tcPr>
          <w:p w14:paraId="17474290" w14:textId="77777777" w:rsidR="00330370" w:rsidRPr="00330370" w:rsidRDefault="00330370" w:rsidP="00974DB9">
            <w:pPr>
              <w:spacing w:before="60" w:after="60"/>
              <w:rPr>
                <w:rFonts w:ascii="Arial" w:hAnsi="Arial" w:cs="Arial"/>
                <w:color w:val="0F243E"/>
                <w:sz w:val="20"/>
                <w:szCs w:val="20"/>
              </w:rPr>
            </w:pPr>
            <w:r w:rsidRPr="00330370">
              <w:rPr>
                <w:rFonts w:ascii="Arial" w:hAnsi="Arial" w:cs="Arial"/>
                <w:color w:val="0F243E"/>
                <w:sz w:val="20"/>
                <w:szCs w:val="20"/>
              </w:rPr>
              <w:t>Agosto</w:t>
            </w:r>
          </w:p>
        </w:tc>
        <w:tc>
          <w:tcPr>
            <w:tcW w:w="0" w:type="auto"/>
            <w:tcBorders>
              <w:top w:val="nil"/>
              <w:left w:val="nil"/>
              <w:bottom w:val="single" w:sz="8" w:space="0" w:color="B8CCE4"/>
              <w:right w:val="single" w:sz="8" w:space="0" w:color="B8CCE4"/>
            </w:tcBorders>
            <w:shd w:val="clear" w:color="auto" w:fill="auto"/>
            <w:noWrap/>
            <w:vAlign w:val="center"/>
            <w:hideMark/>
          </w:tcPr>
          <w:p w14:paraId="23D148D5" w14:textId="77777777" w:rsidR="00330370" w:rsidRPr="00330370" w:rsidRDefault="00330370" w:rsidP="00FB7EA4">
            <w:pPr>
              <w:spacing w:before="60" w:after="60"/>
              <w:jc w:val="center"/>
              <w:rPr>
                <w:rFonts w:ascii="Arial" w:hAnsi="Arial" w:cs="Arial"/>
                <w:color w:val="0F243E"/>
                <w:sz w:val="20"/>
                <w:szCs w:val="20"/>
              </w:rPr>
            </w:pPr>
            <w:r w:rsidRPr="00330370">
              <w:rPr>
                <w:rFonts w:ascii="Arial" w:hAnsi="Arial" w:cs="Arial"/>
                <w:color w:val="0F243E"/>
                <w:sz w:val="20"/>
                <w:szCs w:val="20"/>
              </w:rPr>
              <w:t>3176</w:t>
            </w:r>
          </w:p>
        </w:tc>
        <w:tc>
          <w:tcPr>
            <w:tcW w:w="1283" w:type="dxa"/>
            <w:tcBorders>
              <w:top w:val="nil"/>
              <w:left w:val="nil"/>
              <w:bottom w:val="single" w:sz="8" w:space="0" w:color="B8CCE4"/>
              <w:right w:val="single" w:sz="8" w:space="0" w:color="B8CCE4"/>
            </w:tcBorders>
            <w:shd w:val="clear" w:color="auto" w:fill="auto"/>
            <w:noWrap/>
            <w:vAlign w:val="center"/>
            <w:hideMark/>
          </w:tcPr>
          <w:p w14:paraId="2EE3E7E6" w14:textId="77777777" w:rsidR="00330370" w:rsidRPr="00330370" w:rsidRDefault="00330370" w:rsidP="00974DB9">
            <w:pPr>
              <w:spacing w:before="60" w:after="60"/>
              <w:jc w:val="right"/>
              <w:rPr>
                <w:rFonts w:ascii="Arial" w:hAnsi="Arial" w:cs="Arial"/>
                <w:color w:val="0F243E"/>
                <w:sz w:val="20"/>
                <w:szCs w:val="20"/>
              </w:rPr>
            </w:pPr>
            <w:r w:rsidRPr="00330370">
              <w:rPr>
                <w:rFonts w:ascii="Arial" w:hAnsi="Arial" w:cs="Arial"/>
                <w:color w:val="0F243E"/>
                <w:sz w:val="20"/>
                <w:szCs w:val="20"/>
              </w:rPr>
              <w:t>11/09/2019</w:t>
            </w:r>
          </w:p>
        </w:tc>
        <w:tc>
          <w:tcPr>
            <w:tcW w:w="1276" w:type="dxa"/>
            <w:tcBorders>
              <w:top w:val="nil"/>
              <w:left w:val="nil"/>
              <w:bottom w:val="single" w:sz="8" w:space="0" w:color="B8CCE4"/>
              <w:right w:val="single" w:sz="8" w:space="0" w:color="B8CCE4"/>
            </w:tcBorders>
            <w:shd w:val="clear" w:color="auto" w:fill="auto"/>
            <w:noWrap/>
            <w:vAlign w:val="center"/>
            <w:hideMark/>
          </w:tcPr>
          <w:p w14:paraId="78443832" w14:textId="77777777" w:rsidR="00330370" w:rsidRPr="00330370" w:rsidRDefault="00330370" w:rsidP="00974DB9">
            <w:pPr>
              <w:spacing w:before="60" w:after="60"/>
              <w:jc w:val="right"/>
              <w:rPr>
                <w:rFonts w:ascii="Arial" w:hAnsi="Arial" w:cs="Arial"/>
                <w:color w:val="0F243E"/>
                <w:sz w:val="20"/>
                <w:szCs w:val="20"/>
              </w:rPr>
            </w:pPr>
            <w:r w:rsidRPr="00330370">
              <w:rPr>
                <w:rFonts w:ascii="Arial" w:hAnsi="Arial" w:cs="Arial"/>
                <w:color w:val="0F243E"/>
                <w:sz w:val="20"/>
                <w:szCs w:val="20"/>
              </w:rPr>
              <w:t>1.902.623</w:t>
            </w:r>
          </w:p>
        </w:tc>
      </w:tr>
      <w:tr w:rsidR="00330370" w:rsidRPr="00330370" w14:paraId="51ABD62E" w14:textId="77777777" w:rsidTr="006D4AAB">
        <w:trPr>
          <w:trHeight w:val="768"/>
          <w:jc w:val="center"/>
        </w:trPr>
        <w:tc>
          <w:tcPr>
            <w:tcW w:w="1124" w:type="dxa"/>
            <w:vMerge/>
            <w:tcBorders>
              <w:top w:val="nil"/>
              <w:left w:val="single" w:sz="8" w:space="0" w:color="B8CCE4"/>
              <w:bottom w:val="single" w:sz="8" w:space="0" w:color="B8CCE4"/>
              <w:right w:val="single" w:sz="8" w:space="0" w:color="B8CCE4"/>
            </w:tcBorders>
            <w:vAlign w:val="center"/>
            <w:hideMark/>
          </w:tcPr>
          <w:p w14:paraId="0CF25F73" w14:textId="77777777" w:rsidR="00330370" w:rsidRPr="00330370" w:rsidRDefault="00330370" w:rsidP="00974DB9">
            <w:pPr>
              <w:spacing w:before="60" w:after="60"/>
              <w:rPr>
                <w:rFonts w:ascii="Arial" w:hAnsi="Arial" w:cs="Arial"/>
                <w:b/>
                <w:bCs/>
                <w:color w:val="FFFFFF"/>
                <w:sz w:val="20"/>
                <w:szCs w:val="20"/>
              </w:rPr>
            </w:pPr>
          </w:p>
        </w:tc>
        <w:tc>
          <w:tcPr>
            <w:tcW w:w="1501" w:type="dxa"/>
            <w:tcBorders>
              <w:top w:val="nil"/>
              <w:left w:val="nil"/>
              <w:bottom w:val="single" w:sz="8" w:space="0" w:color="B8CCE4"/>
              <w:right w:val="single" w:sz="8" w:space="0" w:color="B8CCE4"/>
            </w:tcBorders>
            <w:shd w:val="clear" w:color="auto" w:fill="auto"/>
            <w:noWrap/>
            <w:vAlign w:val="center"/>
            <w:hideMark/>
          </w:tcPr>
          <w:p w14:paraId="49448609" w14:textId="77777777" w:rsidR="00330370" w:rsidRPr="00330370" w:rsidRDefault="00330370" w:rsidP="00974DB9">
            <w:pPr>
              <w:spacing w:before="60" w:after="60"/>
              <w:rPr>
                <w:rFonts w:ascii="Arial" w:hAnsi="Arial" w:cs="Arial"/>
                <w:color w:val="0F243E"/>
                <w:sz w:val="20"/>
                <w:szCs w:val="20"/>
              </w:rPr>
            </w:pPr>
            <w:r w:rsidRPr="00330370">
              <w:rPr>
                <w:rFonts w:ascii="Arial" w:hAnsi="Arial" w:cs="Arial"/>
                <w:color w:val="0F243E"/>
                <w:sz w:val="20"/>
                <w:szCs w:val="20"/>
              </w:rPr>
              <w:t xml:space="preserve">Septiembre </w:t>
            </w:r>
          </w:p>
        </w:tc>
        <w:tc>
          <w:tcPr>
            <w:tcW w:w="0" w:type="auto"/>
            <w:tcBorders>
              <w:top w:val="nil"/>
              <w:left w:val="nil"/>
              <w:bottom w:val="single" w:sz="8" w:space="0" w:color="B8CCE4"/>
              <w:right w:val="single" w:sz="8" w:space="0" w:color="B8CCE4"/>
            </w:tcBorders>
            <w:shd w:val="clear" w:color="auto" w:fill="auto"/>
            <w:noWrap/>
            <w:vAlign w:val="center"/>
            <w:hideMark/>
          </w:tcPr>
          <w:p w14:paraId="64D6D724" w14:textId="77777777" w:rsidR="00330370" w:rsidRPr="00330370" w:rsidRDefault="00330370" w:rsidP="00FB7EA4">
            <w:pPr>
              <w:spacing w:before="60" w:after="60"/>
              <w:jc w:val="center"/>
              <w:rPr>
                <w:rFonts w:ascii="Arial" w:hAnsi="Arial" w:cs="Arial"/>
                <w:color w:val="0F243E"/>
                <w:sz w:val="20"/>
                <w:szCs w:val="20"/>
              </w:rPr>
            </w:pPr>
            <w:r w:rsidRPr="00330370">
              <w:rPr>
                <w:rFonts w:ascii="Arial" w:hAnsi="Arial" w:cs="Arial"/>
                <w:color w:val="0F243E"/>
                <w:sz w:val="20"/>
                <w:szCs w:val="20"/>
              </w:rPr>
              <w:t>3559</w:t>
            </w:r>
          </w:p>
        </w:tc>
        <w:tc>
          <w:tcPr>
            <w:tcW w:w="1283" w:type="dxa"/>
            <w:tcBorders>
              <w:top w:val="nil"/>
              <w:left w:val="nil"/>
              <w:bottom w:val="single" w:sz="8" w:space="0" w:color="B8CCE4"/>
              <w:right w:val="single" w:sz="8" w:space="0" w:color="B8CCE4"/>
            </w:tcBorders>
            <w:shd w:val="clear" w:color="auto" w:fill="auto"/>
            <w:noWrap/>
            <w:vAlign w:val="center"/>
            <w:hideMark/>
          </w:tcPr>
          <w:p w14:paraId="2108720C" w14:textId="77777777" w:rsidR="00330370" w:rsidRPr="00330370" w:rsidRDefault="00330370" w:rsidP="00974DB9">
            <w:pPr>
              <w:spacing w:before="60" w:after="60"/>
              <w:jc w:val="right"/>
              <w:rPr>
                <w:rFonts w:ascii="Arial" w:hAnsi="Arial" w:cs="Arial"/>
                <w:color w:val="0F243E"/>
                <w:sz w:val="20"/>
                <w:szCs w:val="20"/>
              </w:rPr>
            </w:pPr>
            <w:r w:rsidRPr="00330370">
              <w:rPr>
                <w:rFonts w:ascii="Arial" w:hAnsi="Arial" w:cs="Arial"/>
                <w:color w:val="0F243E"/>
                <w:sz w:val="20"/>
                <w:szCs w:val="20"/>
              </w:rPr>
              <w:t>4/10/2019</w:t>
            </w:r>
          </w:p>
        </w:tc>
        <w:tc>
          <w:tcPr>
            <w:tcW w:w="1276" w:type="dxa"/>
            <w:tcBorders>
              <w:top w:val="nil"/>
              <w:left w:val="nil"/>
              <w:bottom w:val="single" w:sz="8" w:space="0" w:color="B8CCE4"/>
              <w:right w:val="single" w:sz="8" w:space="0" w:color="B8CCE4"/>
            </w:tcBorders>
            <w:shd w:val="clear" w:color="auto" w:fill="auto"/>
            <w:noWrap/>
            <w:vAlign w:val="center"/>
            <w:hideMark/>
          </w:tcPr>
          <w:p w14:paraId="5C0BF466" w14:textId="77777777" w:rsidR="00330370" w:rsidRPr="00330370" w:rsidRDefault="00330370" w:rsidP="00974DB9">
            <w:pPr>
              <w:spacing w:before="60" w:after="60"/>
              <w:jc w:val="right"/>
              <w:rPr>
                <w:rFonts w:ascii="Arial" w:hAnsi="Arial" w:cs="Arial"/>
                <w:color w:val="0F243E"/>
                <w:sz w:val="20"/>
                <w:szCs w:val="20"/>
              </w:rPr>
            </w:pPr>
            <w:r w:rsidRPr="00330370">
              <w:rPr>
                <w:rFonts w:ascii="Arial" w:hAnsi="Arial" w:cs="Arial"/>
                <w:color w:val="0F243E"/>
                <w:sz w:val="20"/>
                <w:szCs w:val="20"/>
              </w:rPr>
              <w:t>1.951.027</w:t>
            </w:r>
          </w:p>
        </w:tc>
      </w:tr>
      <w:tr w:rsidR="00330370" w:rsidRPr="00330370" w14:paraId="6D79EF6F" w14:textId="77777777" w:rsidTr="006D4AAB">
        <w:trPr>
          <w:trHeight w:val="485"/>
          <w:jc w:val="center"/>
        </w:trPr>
        <w:tc>
          <w:tcPr>
            <w:tcW w:w="6227" w:type="dxa"/>
            <w:gridSpan w:val="4"/>
            <w:tcBorders>
              <w:top w:val="single" w:sz="8" w:space="0" w:color="B8CCE4"/>
              <w:left w:val="single" w:sz="8" w:space="0" w:color="B8CCE4"/>
              <w:bottom w:val="single" w:sz="8" w:space="0" w:color="B8CCE4"/>
              <w:right w:val="single" w:sz="8" w:space="0" w:color="B8CCE4"/>
            </w:tcBorders>
            <w:shd w:val="clear" w:color="000000" w:fill="4F81BD"/>
            <w:noWrap/>
            <w:vAlign w:val="center"/>
            <w:hideMark/>
          </w:tcPr>
          <w:p w14:paraId="4844767B" w14:textId="77777777" w:rsidR="00330370" w:rsidRPr="00330370" w:rsidRDefault="00330370" w:rsidP="00974DB9">
            <w:pPr>
              <w:spacing w:before="60" w:after="60"/>
              <w:jc w:val="center"/>
              <w:rPr>
                <w:rFonts w:ascii="Arial" w:hAnsi="Arial" w:cs="Arial"/>
                <w:b/>
                <w:bCs/>
                <w:color w:val="FFFFFF"/>
                <w:sz w:val="20"/>
                <w:szCs w:val="20"/>
              </w:rPr>
            </w:pPr>
            <w:r w:rsidRPr="00330370">
              <w:rPr>
                <w:rFonts w:ascii="Arial" w:hAnsi="Arial" w:cs="Arial"/>
                <w:b/>
                <w:bCs/>
                <w:color w:val="FFFFFF"/>
                <w:sz w:val="20"/>
                <w:szCs w:val="20"/>
              </w:rPr>
              <w:t>Total  Pago de Garajes III Trimestre 2019</w:t>
            </w:r>
          </w:p>
        </w:tc>
        <w:tc>
          <w:tcPr>
            <w:tcW w:w="1276" w:type="dxa"/>
            <w:tcBorders>
              <w:top w:val="nil"/>
              <w:left w:val="nil"/>
              <w:bottom w:val="single" w:sz="8" w:space="0" w:color="B8CCE4"/>
              <w:right w:val="single" w:sz="8" w:space="0" w:color="B8CCE4"/>
            </w:tcBorders>
            <w:shd w:val="clear" w:color="000000" w:fill="4F81BD"/>
            <w:noWrap/>
            <w:vAlign w:val="center"/>
            <w:hideMark/>
          </w:tcPr>
          <w:p w14:paraId="05822960" w14:textId="77777777" w:rsidR="00330370" w:rsidRPr="00330370" w:rsidRDefault="00330370" w:rsidP="00974DB9">
            <w:pPr>
              <w:spacing w:before="60" w:after="60"/>
              <w:jc w:val="right"/>
              <w:rPr>
                <w:rFonts w:ascii="Arial" w:hAnsi="Arial" w:cs="Arial"/>
                <w:b/>
                <w:bCs/>
                <w:color w:val="FFFFFF"/>
                <w:sz w:val="20"/>
                <w:szCs w:val="20"/>
              </w:rPr>
            </w:pPr>
            <w:r w:rsidRPr="00330370">
              <w:rPr>
                <w:rFonts w:ascii="Arial" w:hAnsi="Arial" w:cs="Arial"/>
                <w:b/>
                <w:bCs/>
                <w:color w:val="FFFFFF"/>
                <w:sz w:val="20"/>
                <w:szCs w:val="20"/>
              </w:rPr>
              <w:t>5.946.163</w:t>
            </w:r>
          </w:p>
        </w:tc>
      </w:tr>
      <w:tr w:rsidR="00330370" w:rsidRPr="00330370" w14:paraId="5EC1831F" w14:textId="77777777" w:rsidTr="006D4AAB">
        <w:trPr>
          <w:trHeight w:val="615"/>
          <w:jc w:val="center"/>
        </w:trPr>
        <w:tc>
          <w:tcPr>
            <w:tcW w:w="1124" w:type="dxa"/>
            <w:vMerge w:val="restart"/>
            <w:tcBorders>
              <w:top w:val="nil"/>
              <w:left w:val="single" w:sz="8" w:space="0" w:color="B8CCE4"/>
              <w:bottom w:val="single" w:sz="8" w:space="0" w:color="B8CCE4"/>
              <w:right w:val="single" w:sz="8" w:space="0" w:color="B8CCE4"/>
            </w:tcBorders>
            <w:shd w:val="clear" w:color="000000" w:fill="4F81BD"/>
            <w:noWrap/>
            <w:textDirection w:val="btLr"/>
            <w:vAlign w:val="center"/>
            <w:hideMark/>
          </w:tcPr>
          <w:p w14:paraId="79E371ED" w14:textId="77777777" w:rsidR="00330370" w:rsidRPr="00330370" w:rsidRDefault="00330370" w:rsidP="00974DB9">
            <w:pPr>
              <w:spacing w:before="60" w:after="60"/>
              <w:jc w:val="center"/>
              <w:rPr>
                <w:rFonts w:ascii="Arial" w:hAnsi="Arial" w:cs="Arial"/>
                <w:b/>
                <w:bCs/>
                <w:color w:val="FFFFFF"/>
                <w:sz w:val="20"/>
                <w:szCs w:val="20"/>
              </w:rPr>
            </w:pPr>
            <w:r w:rsidRPr="00330370">
              <w:rPr>
                <w:rFonts w:ascii="Arial" w:hAnsi="Arial" w:cs="Arial"/>
                <w:b/>
                <w:bCs/>
                <w:color w:val="FFFFFF"/>
                <w:sz w:val="20"/>
                <w:szCs w:val="20"/>
              </w:rPr>
              <w:lastRenderedPageBreak/>
              <w:t>III Trimestre 2018</w:t>
            </w:r>
          </w:p>
        </w:tc>
        <w:tc>
          <w:tcPr>
            <w:tcW w:w="1501" w:type="dxa"/>
            <w:tcBorders>
              <w:top w:val="nil"/>
              <w:left w:val="nil"/>
              <w:bottom w:val="single" w:sz="8" w:space="0" w:color="B8CCE4"/>
              <w:right w:val="single" w:sz="8" w:space="0" w:color="B8CCE4"/>
            </w:tcBorders>
            <w:shd w:val="clear" w:color="auto" w:fill="auto"/>
            <w:noWrap/>
            <w:vAlign w:val="center"/>
            <w:hideMark/>
          </w:tcPr>
          <w:p w14:paraId="25969400" w14:textId="77777777" w:rsidR="00330370" w:rsidRPr="00330370" w:rsidRDefault="00330370" w:rsidP="00974DB9">
            <w:pPr>
              <w:spacing w:before="60" w:after="60"/>
              <w:rPr>
                <w:rFonts w:ascii="Arial" w:hAnsi="Arial" w:cs="Arial"/>
                <w:color w:val="0F243E"/>
                <w:sz w:val="20"/>
                <w:szCs w:val="20"/>
              </w:rPr>
            </w:pPr>
            <w:r w:rsidRPr="00330370">
              <w:rPr>
                <w:rFonts w:ascii="Arial" w:hAnsi="Arial" w:cs="Arial"/>
                <w:color w:val="0F243E"/>
                <w:sz w:val="20"/>
                <w:szCs w:val="20"/>
              </w:rPr>
              <w:t xml:space="preserve">Julio </w:t>
            </w:r>
          </w:p>
        </w:tc>
        <w:tc>
          <w:tcPr>
            <w:tcW w:w="0" w:type="auto"/>
            <w:tcBorders>
              <w:top w:val="nil"/>
              <w:left w:val="nil"/>
              <w:bottom w:val="single" w:sz="8" w:space="0" w:color="B8CCE4"/>
              <w:right w:val="single" w:sz="8" w:space="0" w:color="B8CCE4"/>
            </w:tcBorders>
            <w:shd w:val="clear" w:color="auto" w:fill="auto"/>
            <w:noWrap/>
            <w:vAlign w:val="center"/>
            <w:hideMark/>
          </w:tcPr>
          <w:p w14:paraId="1CB88411" w14:textId="77777777" w:rsidR="00330370" w:rsidRPr="00330370" w:rsidRDefault="00330370" w:rsidP="00FB7EA4">
            <w:pPr>
              <w:spacing w:before="60" w:after="60"/>
              <w:jc w:val="center"/>
              <w:rPr>
                <w:rFonts w:ascii="Arial" w:hAnsi="Arial" w:cs="Arial"/>
                <w:color w:val="0F243E"/>
                <w:sz w:val="20"/>
                <w:szCs w:val="20"/>
              </w:rPr>
            </w:pPr>
            <w:r w:rsidRPr="00330370">
              <w:rPr>
                <w:rFonts w:ascii="Arial" w:hAnsi="Arial" w:cs="Arial"/>
                <w:color w:val="0F243E"/>
                <w:sz w:val="20"/>
                <w:szCs w:val="20"/>
              </w:rPr>
              <w:t>2328</w:t>
            </w:r>
          </w:p>
        </w:tc>
        <w:tc>
          <w:tcPr>
            <w:tcW w:w="1283" w:type="dxa"/>
            <w:tcBorders>
              <w:top w:val="nil"/>
              <w:left w:val="nil"/>
              <w:bottom w:val="single" w:sz="8" w:space="0" w:color="B8CCE4"/>
              <w:right w:val="single" w:sz="8" w:space="0" w:color="B8CCE4"/>
            </w:tcBorders>
            <w:shd w:val="clear" w:color="auto" w:fill="auto"/>
            <w:noWrap/>
            <w:vAlign w:val="center"/>
            <w:hideMark/>
          </w:tcPr>
          <w:p w14:paraId="6DAF3F43" w14:textId="77777777" w:rsidR="00330370" w:rsidRPr="00330370" w:rsidRDefault="00330370" w:rsidP="00974DB9">
            <w:pPr>
              <w:spacing w:before="60" w:after="60"/>
              <w:jc w:val="right"/>
              <w:rPr>
                <w:rFonts w:ascii="Arial" w:hAnsi="Arial" w:cs="Arial"/>
                <w:color w:val="0F243E"/>
                <w:sz w:val="20"/>
                <w:szCs w:val="20"/>
              </w:rPr>
            </w:pPr>
            <w:r w:rsidRPr="00330370">
              <w:rPr>
                <w:rFonts w:ascii="Arial" w:hAnsi="Arial" w:cs="Arial"/>
                <w:color w:val="0F243E"/>
                <w:sz w:val="20"/>
                <w:szCs w:val="20"/>
              </w:rPr>
              <w:t>8/08/2018</w:t>
            </w:r>
          </w:p>
        </w:tc>
        <w:tc>
          <w:tcPr>
            <w:tcW w:w="1276" w:type="dxa"/>
            <w:tcBorders>
              <w:top w:val="nil"/>
              <w:left w:val="nil"/>
              <w:bottom w:val="single" w:sz="8" w:space="0" w:color="B8CCE4"/>
              <w:right w:val="single" w:sz="8" w:space="0" w:color="B8CCE4"/>
            </w:tcBorders>
            <w:shd w:val="clear" w:color="auto" w:fill="auto"/>
            <w:noWrap/>
            <w:vAlign w:val="center"/>
            <w:hideMark/>
          </w:tcPr>
          <w:p w14:paraId="771AEB4B" w14:textId="77777777" w:rsidR="00330370" w:rsidRPr="00330370" w:rsidRDefault="00330370" w:rsidP="00974DB9">
            <w:pPr>
              <w:spacing w:before="60" w:after="60"/>
              <w:jc w:val="right"/>
              <w:rPr>
                <w:rFonts w:ascii="Arial" w:hAnsi="Arial" w:cs="Arial"/>
                <w:color w:val="0F243E"/>
                <w:sz w:val="20"/>
                <w:szCs w:val="20"/>
              </w:rPr>
            </w:pPr>
            <w:r w:rsidRPr="00330370">
              <w:rPr>
                <w:rFonts w:ascii="Arial" w:hAnsi="Arial" w:cs="Arial"/>
                <w:color w:val="0F243E"/>
                <w:sz w:val="20"/>
                <w:szCs w:val="20"/>
              </w:rPr>
              <w:t>2.085.067</w:t>
            </w:r>
          </w:p>
        </w:tc>
      </w:tr>
      <w:tr w:rsidR="00330370" w:rsidRPr="00330370" w14:paraId="6E984E2C" w14:textId="77777777" w:rsidTr="006D4AAB">
        <w:trPr>
          <w:trHeight w:val="525"/>
          <w:jc w:val="center"/>
        </w:trPr>
        <w:tc>
          <w:tcPr>
            <w:tcW w:w="1124" w:type="dxa"/>
            <w:vMerge/>
            <w:tcBorders>
              <w:top w:val="nil"/>
              <w:left w:val="single" w:sz="8" w:space="0" w:color="B8CCE4"/>
              <w:bottom w:val="single" w:sz="8" w:space="0" w:color="B8CCE4"/>
              <w:right w:val="single" w:sz="8" w:space="0" w:color="B8CCE4"/>
            </w:tcBorders>
            <w:vAlign w:val="center"/>
            <w:hideMark/>
          </w:tcPr>
          <w:p w14:paraId="40D0253D" w14:textId="77777777" w:rsidR="00330370" w:rsidRPr="00330370" w:rsidRDefault="00330370" w:rsidP="00974DB9">
            <w:pPr>
              <w:spacing w:before="60" w:after="60"/>
              <w:rPr>
                <w:rFonts w:ascii="Arial" w:hAnsi="Arial" w:cs="Arial"/>
                <w:b/>
                <w:bCs/>
                <w:color w:val="FFFFFF"/>
                <w:sz w:val="20"/>
                <w:szCs w:val="20"/>
              </w:rPr>
            </w:pPr>
          </w:p>
        </w:tc>
        <w:tc>
          <w:tcPr>
            <w:tcW w:w="1501" w:type="dxa"/>
            <w:tcBorders>
              <w:top w:val="nil"/>
              <w:left w:val="nil"/>
              <w:bottom w:val="single" w:sz="8" w:space="0" w:color="B8CCE4"/>
              <w:right w:val="single" w:sz="8" w:space="0" w:color="B8CCE4"/>
            </w:tcBorders>
            <w:shd w:val="clear" w:color="auto" w:fill="auto"/>
            <w:noWrap/>
            <w:vAlign w:val="center"/>
            <w:hideMark/>
          </w:tcPr>
          <w:p w14:paraId="0C315AFF" w14:textId="77777777" w:rsidR="00330370" w:rsidRPr="00330370" w:rsidRDefault="00330370" w:rsidP="00974DB9">
            <w:pPr>
              <w:spacing w:before="60" w:after="60"/>
              <w:rPr>
                <w:rFonts w:ascii="Arial" w:hAnsi="Arial" w:cs="Arial"/>
                <w:color w:val="0F243E"/>
                <w:sz w:val="20"/>
                <w:szCs w:val="20"/>
              </w:rPr>
            </w:pPr>
            <w:r w:rsidRPr="00330370">
              <w:rPr>
                <w:rFonts w:ascii="Arial" w:hAnsi="Arial" w:cs="Arial"/>
                <w:color w:val="0F243E"/>
                <w:sz w:val="20"/>
                <w:szCs w:val="20"/>
              </w:rPr>
              <w:t>Agosto</w:t>
            </w:r>
          </w:p>
        </w:tc>
        <w:tc>
          <w:tcPr>
            <w:tcW w:w="0" w:type="auto"/>
            <w:tcBorders>
              <w:top w:val="nil"/>
              <w:left w:val="nil"/>
              <w:bottom w:val="single" w:sz="8" w:space="0" w:color="B8CCE4"/>
              <w:right w:val="single" w:sz="8" w:space="0" w:color="B8CCE4"/>
            </w:tcBorders>
            <w:shd w:val="clear" w:color="auto" w:fill="auto"/>
            <w:noWrap/>
            <w:vAlign w:val="center"/>
            <w:hideMark/>
          </w:tcPr>
          <w:p w14:paraId="5C7CA733" w14:textId="77777777" w:rsidR="00330370" w:rsidRPr="00330370" w:rsidRDefault="00330370" w:rsidP="00FB7EA4">
            <w:pPr>
              <w:spacing w:before="60" w:after="60"/>
              <w:jc w:val="center"/>
              <w:rPr>
                <w:rFonts w:ascii="Arial" w:hAnsi="Arial" w:cs="Arial"/>
                <w:color w:val="0F243E"/>
                <w:sz w:val="20"/>
                <w:szCs w:val="20"/>
              </w:rPr>
            </w:pPr>
            <w:r w:rsidRPr="00330370">
              <w:rPr>
                <w:rFonts w:ascii="Arial" w:hAnsi="Arial" w:cs="Arial"/>
                <w:color w:val="0F243E"/>
                <w:sz w:val="20"/>
                <w:szCs w:val="20"/>
              </w:rPr>
              <w:t>2811</w:t>
            </w:r>
          </w:p>
        </w:tc>
        <w:tc>
          <w:tcPr>
            <w:tcW w:w="1283" w:type="dxa"/>
            <w:tcBorders>
              <w:top w:val="nil"/>
              <w:left w:val="nil"/>
              <w:bottom w:val="single" w:sz="8" w:space="0" w:color="B8CCE4"/>
              <w:right w:val="single" w:sz="8" w:space="0" w:color="B8CCE4"/>
            </w:tcBorders>
            <w:shd w:val="clear" w:color="auto" w:fill="auto"/>
            <w:noWrap/>
            <w:vAlign w:val="center"/>
            <w:hideMark/>
          </w:tcPr>
          <w:p w14:paraId="35274311" w14:textId="77777777" w:rsidR="00330370" w:rsidRPr="00330370" w:rsidRDefault="00330370" w:rsidP="00974DB9">
            <w:pPr>
              <w:spacing w:before="60" w:after="60"/>
              <w:jc w:val="right"/>
              <w:rPr>
                <w:rFonts w:ascii="Arial" w:hAnsi="Arial" w:cs="Arial"/>
                <w:color w:val="0F243E"/>
                <w:sz w:val="20"/>
                <w:szCs w:val="20"/>
              </w:rPr>
            </w:pPr>
            <w:r w:rsidRPr="00330370">
              <w:rPr>
                <w:rFonts w:ascii="Arial" w:hAnsi="Arial" w:cs="Arial"/>
                <w:color w:val="0F243E"/>
                <w:sz w:val="20"/>
                <w:szCs w:val="20"/>
              </w:rPr>
              <w:t>11/09/2018</w:t>
            </w:r>
          </w:p>
        </w:tc>
        <w:tc>
          <w:tcPr>
            <w:tcW w:w="1276" w:type="dxa"/>
            <w:tcBorders>
              <w:top w:val="nil"/>
              <w:left w:val="nil"/>
              <w:bottom w:val="single" w:sz="8" w:space="0" w:color="B8CCE4"/>
              <w:right w:val="single" w:sz="8" w:space="0" w:color="B8CCE4"/>
            </w:tcBorders>
            <w:shd w:val="clear" w:color="auto" w:fill="auto"/>
            <w:noWrap/>
            <w:vAlign w:val="center"/>
            <w:hideMark/>
          </w:tcPr>
          <w:p w14:paraId="3E44C076" w14:textId="77777777" w:rsidR="00330370" w:rsidRPr="00330370" w:rsidRDefault="00330370" w:rsidP="00974DB9">
            <w:pPr>
              <w:spacing w:before="60" w:after="60"/>
              <w:jc w:val="right"/>
              <w:rPr>
                <w:rFonts w:ascii="Arial" w:hAnsi="Arial" w:cs="Arial"/>
                <w:color w:val="0F243E"/>
                <w:sz w:val="20"/>
                <w:szCs w:val="20"/>
              </w:rPr>
            </w:pPr>
            <w:r w:rsidRPr="00330370">
              <w:rPr>
                <w:rFonts w:ascii="Arial" w:hAnsi="Arial" w:cs="Arial"/>
                <w:color w:val="0F243E"/>
                <w:sz w:val="20"/>
                <w:szCs w:val="20"/>
              </w:rPr>
              <w:t>2.036.663</w:t>
            </w:r>
          </w:p>
        </w:tc>
      </w:tr>
      <w:tr w:rsidR="00330370" w:rsidRPr="00330370" w14:paraId="5559D491" w14:textId="77777777" w:rsidTr="006D4AAB">
        <w:trPr>
          <w:trHeight w:val="690"/>
          <w:jc w:val="center"/>
        </w:trPr>
        <w:tc>
          <w:tcPr>
            <w:tcW w:w="1124" w:type="dxa"/>
            <w:vMerge/>
            <w:tcBorders>
              <w:top w:val="nil"/>
              <w:left w:val="single" w:sz="8" w:space="0" w:color="B8CCE4"/>
              <w:bottom w:val="single" w:sz="8" w:space="0" w:color="B8CCE4"/>
              <w:right w:val="single" w:sz="8" w:space="0" w:color="B8CCE4"/>
            </w:tcBorders>
            <w:vAlign w:val="center"/>
            <w:hideMark/>
          </w:tcPr>
          <w:p w14:paraId="63FBEFFC" w14:textId="77777777" w:rsidR="00330370" w:rsidRPr="00330370" w:rsidRDefault="00330370" w:rsidP="00974DB9">
            <w:pPr>
              <w:spacing w:before="60" w:after="60"/>
              <w:rPr>
                <w:rFonts w:ascii="Arial" w:hAnsi="Arial" w:cs="Arial"/>
                <w:b/>
                <w:bCs/>
                <w:color w:val="FFFFFF"/>
                <w:sz w:val="20"/>
                <w:szCs w:val="20"/>
              </w:rPr>
            </w:pPr>
          </w:p>
        </w:tc>
        <w:tc>
          <w:tcPr>
            <w:tcW w:w="1501" w:type="dxa"/>
            <w:tcBorders>
              <w:top w:val="nil"/>
              <w:left w:val="nil"/>
              <w:bottom w:val="single" w:sz="8" w:space="0" w:color="B8CCE4"/>
              <w:right w:val="single" w:sz="8" w:space="0" w:color="B8CCE4"/>
            </w:tcBorders>
            <w:shd w:val="clear" w:color="auto" w:fill="auto"/>
            <w:noWrap/>
            <w:vAlign w:val="center"/>
            <w:hideMark/>
          </w:tcPr>
          <w:p w14:paraId="53327614" w14:textId="77777777" w:rsidR="00330370" w:rsidRPr="00330370" w:rsidRDefault="00330370" w:rsidP="00974DB9">
            <w:pPr>
              <w:spacing w:before="60" w:after="60"/>
              <w:rPr>
                <w:rFonts w:ascii="Arial" w:hAnsi="Arial" w:cs="Arial"/>
                <w:color w:val="0F243E"/>
                <w:sz w:val="20"/>
                <w:szCs w:val="20"/>
              </w:rPr>
            </w:pPr>
            <w:r w:rsidRPr="00330370">
              <w:rPr>
                <w:rFonts w:ascii="Arial" w:hAnsi="Arial" w:cs="Arial"/>
                <w:color w:val="0F243E"/>
                <w:sz w:val="20"/>
                <w:szCs w:val="20"/>
              </w:rPr>
              <w:t xml:space="preserve">Septiembre </w:t>
            </w:r>
          </w:p>
        </w:tc>
        <w:tc>
          <w:tcPr>
            <w:tcW w:w="0" w:type="auto"/>
            <w:tcBorders>
              <w:top w:val="nil"/>
              <w:left w:val="nil"/>
              <w:bottom w:val="single" w:sz="8" w:space="0" w:color="B8CCE4"/>
              <w:right w:val="single" w:sz="8" w:space="0" w:color="B8CCE4"/>
            </w:tcBorders>
            <w:shd w:val="clear" w:color="auto" w:fill="auto"/>
            <w:noWrap/>
            <w:vAlign w:val="center"/>
            <w:hideMark/>
          </w:tcPr>
          <w:p w14:paraId="51E8CDCF" w14:textId="77777777" w:rsidR="00330370" w:rsidRPr="00330370" w:rsidRDefault="00330370" w:rsidP="00FB7EA4">
            <w:pPr>
              <w:spacing w:before="60" w:after="60"/>
              <w:jc w:val="center"/>
              <w:rPr>
                <w:rFonts w:ascii="Arial" w:hAnsi="Arial" w:cs="Arial"/>
                <w:color w:val="0F243E"/>
                <w:sz w:val="20"/>
                <w:szCs w:val="20"/>
              </w:rPr>
            </w:pPr>
            <w:r w:rsidRPr="00330370">
              <w:rPr>
                <w:rFonts w:ascii="Arial" w:hAnsi="Arial" w:cs="Arial"/>
                <w:color w:val="0F243E"/>
                <w:sz w:val="20"/>
                <w:szCs w:val="20"/>
              </w:rPr>
              <w:t>3468</w:t>
            </w:r>
          </w:p>
        </w:tc>
        <w:tc>
          <w:tcPr>
            <w:tcW w:w="1283" w:type="dxa"/>
            <w:tcBorders>
              <w:top w:val="nil"/>
              <w:left w:val="nil"/>
              <w:bottom w:val="single" w:sz="8" w:space="0" w:color="B8CCE4"/>
              <w:right w:val="single" w:sz="8" w:space="0" w:color="B8CCE4"/>
            </w:tcBorders>
            <w:shd w:val="clear" w:color="auto" w:fill="auto"/>
            <w:noWrap/>
            <w:vAlign w:val="center"/>
            <w:hideMark/>
          </w:tcPr>
          <w:p w14:paraId="6B2C514B" w14:textId="77777777" w:rsidR="00330370" w:rsidRPr="00330370" w:rsidRDefault="00330370" w:rsidP="00974DB9">
            <w:pPr>
              <w:spacing w:before="60" w:after="60"/>
              <w:jc w:val="right"/>
              <w:rPr>
                <w:rFonts w:ascii="Arial" w:hAnsi="Arial" w:cs="Arial"/>
                <w:color w:val="0F243E"/>
                <w:sz w:val="20"/>
                <w:szCs w:val="20"/>
              </w:rPr>
            </w:pPr>
            <w:r w:rsidRPr="00330370">
              <w:rPr>
                <w:rFonts w:ascii="Arial" w:hAnsi="Arial" w:cs="Arial"/>
                <w:color w:val="0F243E"/>
                <w:sz w:val="20"/>
                <w:szCs w:val="20"/>
              </w:rPr>
              <w:t>12/10/2018</w:t>
            </w:r>
          </w:p>
        </w:tc>
        <w:tc>
          <w:tcPr>
            <w:tcW w:w="1276" w:type="dxa"/>
            <w:tcBorders>
              <w:top w:val="nil"/>
              <w:left w:val="nil"/>
              <w:bottom w:val="single" w:sz="8" w:space="0" w:color="B8CCE4"/>
              <w:right w:val="single" w:sz="8" w:space="0" w:color="B8CCE4"/>
            </w:tcBorders>
            <w:shd w:val="clear" w:color="auto" w:fill="auto"/>
            <w:noWrap/>
            <w:vAlign w:val="center"/>
            <w:hideMark/>
          </w:tcPr>
          <w:p w14:paraId="1E3794F2" w14:textId="77777777" w:rsidR="00330370" w:rsidRPr="00330370" w:rsidRDefault="00330370" w:rsidP="00974DB9">
            <w:pPr>
              <w:spacing w:before="60" w:after="60"/>
              <w:jc w:val="right"/>
              <w:rPr>
                <w:rFonts w:ascii="Arial" w:hAnsi="Arial" w:cs="Arial"/>
                <w:color w:val="0F243E"/>
                <w:sz w:val="20"/>
                <w:szCs w:val="20"/>
              </w:rPr>
            </w:pPr>
            <w:r w:rsidRPr="00330370">
              <w:rPr>
                <w:rFonts w:ascii="Arial" w:hAnsi="Arial" w:cs="Arial"/>
                <w:color w:val="0F243E"/>
                <w:sz w:val="20"/>
                <w:szCs w:val="20"/>
              </w:rPr>
              <w:t>2.234.000</w:t>
            </w:r>
          </w:p>
        </w:tc>
      </w:tr>
      <w:tr w:rsidR="00330370" w:rsidRPr="00330370" w14:paraId="12E948C3" w14:textId="77777777" w:rsidTr="006D4AAB">
        <w:trPr>
          <w:trHeight w:val="315"/>
          <w:jc w:val="center"/>
        </w:trPr>
        <w:tc>
          <w:tcPr>
            <w:tcW w:w="6227" w:type="dxa"/>
            <w:gridSpan w:val="4"/>
            <w:tcBorders>
              <w:top w:val="single" w:sz="8" w:space="0" w:color="B8CCE4"/>
              <w:left w:val="single" w:sz="8" w:space="0" w:color="B8CCE4"/>
              <w:bottom w:val="double" w:sz="6" w:space="0" w:color="4F81BD"/>
              <w:right w:val="single" w:sz="8" w:space="0" w:color="B8CCE4"/>
            </w:tcBorders>
            <w:shd w:val="clear" w:color="000000" w:fill="4F81BD"/>
            <w:noWrap/>
            <w:vAlign w:val="center"/>
            <w:hideMark/>
          </w:tcPr>
          <w:p w14:paraId="723C918B" w14:textId="77777777" w:rsidR="00330370" w:rsidRPr="00330370" w:rsidRDefault="00330370" w:rsidP="00974DB9">
            <w:pPr>
              <w:spacing w:before="60" w:after="60"/>
              <w:jc w:val="center"/>
              <w:rPr>
                <w:rFonts w:ascii="Arial" w:hAnsi="Arial" w:cs="Arial"/>
                <w:b/>
                <w:bCs/>
                <w:color w:val="FFFFFF"/>
                <w:sz w:val="20"/>
                <w:szCs w:val="20"/>
              </w:rPr>
            </w:pPr>
            <w:r w:rsidRPr="00330370">
              <w:rPr>
                <w:rFonts w:ascii="Arial" w:hAnsi="Arial" w:cs="Arial"/>
                <w:b/>
                <w:bCs/>
                <w:color w:val="FFFFFF"/>
                <w:sz w:val="20"/>
                <w:szCs w:val="20"/>
              </w:rPr>
              <w:t>Total  Pago de Garajes II Trimestre 2018</w:t>
            </w:r>
          </w:p>
        </w:tc>
        <w:tc>
          <w:tcPr>
            <w:tcW w:w="1276" w:type="dxa"/>
            <w:tcBorders>
              <w:top w:val="nil"/>
              <w:left w:val="nil"/>
              <w:bottom w:val="double" w:sz="6" w:space="0" w:color="4F81BD"/>
              <w:right w:val="single" w:sz="8" w:space="0" w:color="B8CCE4"/>
            </w:tcBorders>
            <w:shd w:val="clear" w:color="000000" w:fill="4F81BD"/>
            <w:noWrap/>
            <w:vAlign w:val="center"/>
            <w:hideMark/>
          </w:tcPr>
          <w:p w14:paraId="18A87DA8" w14:textId="77777777" w:rsidR="00330370" w:rsidRPr="00330370" w:rsidRDefault="00330370" w:rsidP="00974DB9">
            <w:pPr>
              <w:spacing w:before="60" w:after="60"/>
              <w:jc w:val="right"/>
              <w:rPr>
                <w:rFonts w:ascii="Arial" w:hAnsi="Arial" w:cs="Arial"/>
                <w:b/>
                <w:bCs/>
                <w:color w:val="FFFFFF"/>
                <w:sz w:val="20"/>
                <w:szCs w:val="20"/>
              </w:rPr>
            </w:pPr>
            <w:r w:rsidRPr="00330370">
              <w:rPr>
                <w:rFonts w:ascii="Arial" w:hAnsi="Arial" w:cs="Arial"/>
                <w:b/>
                <w:bCs/>
                <w:color w:val="FFFFFF"/>
                <w:sz w:val="20"/>
                <w:szCs w:val="20"/>
              </w:rPr>
              <w:t>6.355.730</w:t>
            </w:r>
          </w:p>
        </w:tc>
      </w:tr>
      <w:tr w:rsidR="00330370" w:rsidRPr="00330370" w14:paraId="0354191E" w14:textId="77777777" w:rsidTr="006D4AAB">
        <w:trPr>
          <w:trHeight w:val="315"/>
          <w:jc w:val="center"/>
        </w:trPr>
        <w:tc>
          <w:tcPr>
            <w:tcW w:w="6227" w:type="dxa"/>
            <w:gridSpan w:val="4"/>
            <w:tcBorders>
              <w:top w:val="double" w:sz="6" w:space="0" w:color="4F81BD"/>
              <w:left w:val="nil"/>
              <w:bottom w:val="nil"/>
              <w:right w:val="nil"/>
            </w:tcBorders>
            <w:shd w:val="clear" w:color="auto" w:fill="auto"/>
            <w:noWrap/>
            <w:vAlign w:val="center"/>
            <w:hideMark/>
          </w:tcPr>
          <w:p w14:paraId="1A991332" w14:textId="77777777" w:rsidR="00330370" w:rsidRPr="00330370" w:rsidRDefault="00330370" w:rsidP="00974DB9">
            <w:pPr>
              <w:spacing w:before="60" w:after="60"/>
              <w:jc w:val="center"/>
              <w:rPr>
                <w:rFonts w:ascii="Arial" w:hAnsi="Arial" w:cs="Arial"/>
                <w:b/>
                <w:bCs/>
                <w:color w:val="0F243E"/>
                <w:sz w:val="20"/>
                <w:szCs w:val="20"/>
              </w:rPr>
            </w:pPr>
            <w:r w:rsidRPr="00330370">
              <w:rPr>
                <w:rFonts w:ascii="Arial" w:hAnsi="Arial" w:cs="Arial"/>
                <w:b/>
                <w:bCs/>
                <w:color w:val="0F243E"/>
                <w:sz w:val="20"/>
                <w:szCs w:val="20"/>
              </w:rPr>
              <w:t>Variación ($)</w:t>
            </w:r>
          </w:p>
        </w:tc>
        <w:tc>
          <w:tcPr>
            <w:tcW w:w="1276" w:type="dxa"/>
            <w:tcBorders>
              <w:top w:val="nil"/>
              <w:left w:val="nil"/>
              <w:bottom w:val="nil"/>
              <w:right w:val="nil"/>
            </w:tcBorders>
            <w:shd w:val="clear" w:color="auto" w:fill="auto"/>
            <w:noWrap/>
            <w:vAlign w:val="center"/>
            <w:hideMark/>
          </w:tcPr>
          <w:p w14:paraId="7D821B09" w14:textId="77777777" w:rsidR="00330370" w:rsidRPr="00330370" w:rsidRDefault="00330370" w:rsidP="00974DB9">
            <w:pPr>
              <w:spacing w:before="60" w:after="60"/>
              <w:jc w:val="center"/>
              <w:rPr>
                <w:rFonts w:ascii="Arial" w:hAnsi="Arial" w:cs="Arial"/>
                <w:b/>
                <w:bCs/>
                <w:color w:val="0F243E"/>
                <w:sz w:val="20"/>
                <w:szCs w:val="20"/>
              </w:rPr>
            </w:pPr>
            <w:r w:rsidRPr="00330370">
              <w:rPr>
                <w:rFonts w:ascii="Arial" w:hAnsi="Arial" w:cs="Arial"/>
                <w:b/>
                <w:bCs/>
                <w:color w:val="0F243E"/>
                <w:sz w:val="20"/>
                <w:szCs w:val="20"/>
              </w:rPr>
              <w:t>-409.567</w:t>
            </w:r>
          </w:p>
        </w:tc>
      </w:tr>
      <w:tr w:rsidR="00330370" w:rsidRPr="00330370" w14:paraId="669C3F2E" w14:textId="77777777" w:rsidTr="006D4AAB">
        <w:trPr>
          <w:trHeight w:val="315"/>
          <w:jc w:val="center"/>
        </w:trPr>
        <w:tc>
          <w:tcPr>
            <w:tcW w:w="6227" w:type="dxa"/>
            <w:gridSpan w:val="4"/>
            <w:tcBorders>
              <w:top w:val="nil"/>
              <w:left w:val="nil"/>
              <w:bottom w:val="double" w:sz="6" w:space="0" w:color="4F81BD"/>
              <w:right w:val="nil"/>
            </w:tcBorders>
            <w:shd w:val="clear" w:color="auto" w:fill="auto"/>
            <w:noWrap/>
            <w:vAlign w:val="center"/>
            <w:hideMark/>
          </w:tcPr>
          <w:p w14:paraId="4C54364A" w14:textId="77777777" w:rsidR="00330370" w:rsidRPr="00330370" w:rsidRDefault="00330370" w:rsidP="00974DB9">
            <w:pPr>
              <w:spacing w:before="60" w:after="60"/>
              <w:jc w:val="center"/>
              <w:rPr>
                <w:rFonts w:ascii="Arial" w:hAnsi="Arial" w:cs="Arial"/>
                <w:b/>
                <w:bCs/>
                <w:color w:val="0F243E"/>
                <w:sz w:val="20"/>
                <w:szCs w:val="20"/>
              </w:rPr>
            </w:pPr>
            <w:r w:rsidRPr="00330370">
              <w:rPr>
                <w:rFonts w:ascii="Arial" w:hAnsi="Arial" w:cs="Arial"/>
                <w:b/>
                <w:bCs/>
                <w:color w:val="0F243E"/>
                <w:sz w:val="20"/>
                <w:szCs w:val="20"/>
              </w:rPr>
              <w:t>Variación (%)</w:t>
            </w:r>
          </w:p>
        </w:tc>
        <w:tc>
          <w:tcPr>
            <w:tcW w:w="1276" w:type="dxa"/>
            <w:tcBorders>
              <w:top w:val="nil"/>
              <w:left w:val="nil"/>
              <w:bottom w:val="double" w:sz="6" w:space="0" w:color="4F81BD"/>
              <w:right w:val="nil"/>
            </w:tcBorders>
            <w:shd w:val="clear" w:color="auto" w:fill="auto"/>
            <w:noWrap/>
            <w:vAlign w:val="center"/>
            <w:hideMark/>
          </w:tcPr>
          <w:p w14:paraId="55B39D09" w14:textId="77777777" w:rsidR="00330370" w:rsidRPr="00330370" w:rsidRDefault="00330370" w:rsidP="00974DB9">
            <w:pPr>
              <w:spacing w:before="60" w:after="60"/>
              <w:jc w:val="center"/>
              <w:rPr>
                <w:rFonts w:ascii="Arial" w:hAnsi="Arial" w:cs="Arial"/>
                <w:b/>
                <w:bCs/>
                <w:color w:val="0F243E"/>
                <w:sz w:val="20"/>
                <w:szCs w:val="20"/>
              </w:rPr>
            </w:pPr>
            <w:r w:rsidRPr="00330370">
              <w:rPr>
                <w:rFonts w:ascii="Arial" w:hAnsi="Arial" w:cs="Arial"/>
                <w:b/>
                <w:bCs/>
                <w:color w:val="0F243E"/>
                <w:sz w:val="20"/>
                <w:szCs w:val="20"/>
              </w:rPr>
              <w:t>-6%</w:t>
            </w:r>
          </w:p>
        </w:tc>
      </w:tr>
    </w:tbl>
    <w:p w14:paraId="18A626A8" w14:textId="73E96B7F" w:rsidR="00AE0E0A" w:rsidRDefault="00AE0E0A" w:rsidP="00AE0E0A">
      <w:pPr>
        <w:pStyle w:val="Prrafodelista"/>
        <w:spacing w:after="200" w:line="276" w:lineRule="auto"/>
        <w:rPr>
          <w:rFonts w:ascii="Arial" w:hAnsi="Arial" w:cs="Arial"/>
          <w:b/>
          <w:sz w:val="22"/>
          <w:szCs w:val="22"/>
        </w:rPr>
      </w:pPr>
    </w:p>
    <w:p w14:paraId="5CCDD175" w14:textId="77777777" w:rsidR="00AD7F39" w:rsidRPr="00AE0E0A" w:rsidRDefault="00AD7F39" w:rsidP="00AE0E0A">
      <w:pPr>
        <w:pStyle w:val="Prrafodelista"/>
        <w:spacing w:after="200" w:line="276" w:lineRule="auto"/>
        <w:rPr>
          <w:rFonts w:ascii="Arial" w:hAnsi="Arial" w:cs="Arial"/>
          <w:b/>
          <w:sz w:val="22"/>
          <w:szCs w:val="22"/>
        </w:rPr>
      </w:pPr>
    </w:p>
    <w:p w14:paraId="487D2076" w14:textId="3B7BD4F9" w:rsidR="0099195F" w:rsidRPr="00E63D2E" w:rsidRDefault="0099195F" w:rsidP="002B6793">
      <w:pPr>
        <w:pStyle w:val="Prrafodelista"/>
        <w:numPr>
          <w:ilvl w:val="1"/>
          <w:numId w:val="16"/>
        </w:numPr>
        <w:spacing w:after="200" w:line="276" w:lineRule="auto"/>
        <w:ind w:left="567" w:hanging="567"/>
        <w:rPr>
          <w:rFonts w:ascii="Arial" w:hAnsi="Arial" w:cs="Arial"/>
          <w:b/>
          <w:sz w:val="22"/>
          <w:szCs w:val="22"/>
        </w:rPr>
      </w:pPr>
      <w:r w:rsidRPr="00E63D2E">
        <w:rPr>
          <w:rFonts w:ascii="Arial" w:hAnsi="Arial" w:cs="Arial"/>
          <w:b/>
          <w:sz w:val="22"/>
          <w:szCs w:val="22"/>
        </w:rPr>
        <w:t>PUBLICIDAD Y PUBLICACIONES IMPRESAS</w:t>
      </w:r>
    </w:p>
    <w:p w14:paraId="278CE218" w14:textId="77777777" w:rsidR="0099195F" w:rsidRPr="00F54C8E" w:rsidRDefault="007E321E" w:rsidP="008E70E2">
      <w:pPr>
        <w:tabs>
          <w:tab w:val="left" w:pos="426"/>
        </w:tabs>
        <w:jc w:val="both"/>
        <w:rPr>
          <w:rFonts w:ascii="Arial" w:hAnsi="Arial" w:cs="Arial"/>
          <w:sz w:val="22"/>
          <w:szCs w:val="22"/>
        </w:rPr>
      </w:pPr>
      <w:r w:rsidRPr="00F54C8E">
        <w:rPr>
          <w:rFonts w:ascii="Arial" w:hAnsi="Arial" w:cs="Arial"/>
          <w:sz w:val="22"/>
          <w:szCs w:val="22"/>
        </w:rPr>
        <w:t>Según la Directiva 09 de 2018, en el numeral 5 imparte directrices que se deben contemplar en el marco de la austeridad del gasto</w:t>
      </w:r>
      <w:r w:rsidR="001A37B8" w:rsidRPr="00F54C8E">
        <w:rPr>
          <w:rFonts w:ascii="Arial" w:hAnsi="Arial" w:cs="Arial"/>
          <w:sz w:val="22"/>
          <w:szCs w:val="22"/>
        </w:rPr>
        <w:t xml:space="preserve"> frente a la publicidad y publicaciones</w:t>
      </w:r>
      <w:r w:rsidRPr="00F54C8E">
        <w:rPr>
          <w:rFonts w:ascii="Arial" w:hAnsi="Arial" w:cs="Arial"/>
          <w:sz w:val="22"/>
          <w:szCs w:val="22"/>
        </w:rPr>
        <w:t xml:space="preserve">. Esta verificación se enfocó en el numeral 5.2 así: </w:t>
      </w:r>
      <w:r w:rsidRPr="00F54C8E">
        <w:rPr>
          <w:rFonts w:ascii="Arial" w:hAnsi="Arial" w:cs="Arial"/>
          <w:i/>
          <w:sz w:val="20"/>
          <w:szCs w:val="20"/>
        </w:rPr>
        <w:t>Todo gasto de publicidad estatal, de todas las entidades de la rama ejecutiva del orden nacional, deberá enmarcarse en el uso adecuado y eficiente de los recursos públicos destinados a la contratación, con el fin de evitar su uso excesivo, controlar el gasto público y garantizar la austeridad.</w:t>
      </w:r>
      <w:r w:rsidRPr="00F54C8E">
        <w:rPr>
          <w:rFonts w:ascii="Arial" w:hAnsi="Arial" w:cs="Arial"/>
          <w:sz w:val="22"/>
          <w:szCs w:val="22"/>
        </w:rPr>
        <w:t xml:space="preserve"> </w:t>
      </w:r>
    </w:p>
    <w:p w14:paraId="62CA6D50" w14:textId="77777777" w:rsidR="007E321E" w:rsidRPr="00A003B6" w:rsidRDefault="007E321E" w:rsidP="008E70E2">
      <w:pPr>
        <w:tabs>
          <w:tab w:val="left" w:pos="426"/>
        </w:tabs>
        <w:jc w:val="both"/>
        <w:rPr>
          <w:rFonts w:ascii="Arial" w:hAnsi="Arial" w:cs="Arial"/>
          <w:sz w:val="22"/>
          <w:szCs w:val="22"/>
          <w:highlight w:val="yellow"/>
        </w:rPr>
      </w:pPr>
    </w:p>
    <w:p w14:paraId="0AD0888E" w14:textId="77777777" w:rsidR="0099195F" w:rsidRPr="001F2507" w:rsidRDefault="007E321E" w:rsidP="008E70E2">
      <w:pPr>
        <w:tabs>
          <w:tab w:val="left" w:pos="426"/>
        </w:tabs>
        <w:jc w:val="both"/>
        <w:rPr>
          <w:rFonts w:ascii="Arial" w:hAnsi="Arial" w:cs="Arial"/>
          <w:sz w:val="22"/>
          <w:szCs w:val="22"/>
        </w:rPr>
      </w:pPr>
      <w:r w:rsidRPr="001F2507">
        <w:rPr>
          <w:rFonts w:ascii="Arial" w:hAnsi="Arial" w:cs="Arial"/>
          <w:sz w:val="22"/>
          <w:szCs w:val="22"/>
        </w:rPr>
        <w:t>Por lo anterior, se verific</w:t>
      </w:r>
      <w:r w:rsidR="00780508" w:rsidRPr="001F2507">
        <w:rPr>
          <w:rFonts w:ascii="Arial" w:hAnsi="Arial" w:cs="Arial"/>
          <w:sz w:val="22"/>
          <w:szCs w:val="22"/>
        </w:rPr>
        <w:t xml:space="preserve">ó en el Plan de Compras para la vigencia 2019 y </w:t>
      </w:r>
      <w:r w:rsidR="001573AA" w:rsidRPr="001F2507">
        <w:rPr>
          <w:rFonts w:ascii="Arial" w:hAnsi="Arial" w:cs="Arial"/>
          <w:sz w:val="22"/>
          <w:szCs w:val="22"/>
        </w:rPr>
        <w:t xml:space="preserve">se consultó </w:t>
      </w:r>
      <w:r w:rsidR="00780508" w:rsidRPr="001F2507">
        <w:rPr>
          <w:rFonts w:ascii="Arial" w:hAnsi="Arial" w:cs="Arial"/>
          <w:sz w:val="22"/>
          <w:szCs w:val="22"/>
        </w:rPr>
        <w:t xml:space="preserve">las obligaciones </w:t>
      </w:r>
      <w:r w:rsidR="001573AA" w:rsidRPr="001F2507">
        <w:rPr>
          <w:rFonts w:ascii="Arial" w:hAnsi="Arial" w:cs="Arial"/>
          <w:sz w:val="22"/>
          <w:szCs w:val="22"/>
        </w:rPr>
        <w:t>registradas en el</w:t>
      </w:r>
      <w:r w:rsidR="00780508" w:rsidRPr="001F2507">
        <w:rPr>
          <w:rFonts w:ascii="Arial" w:hAnsi="Arial" w:cs="Arial"/>
          <w:sz w:val="22"/>
          <w:szCs w:val="22"/>
        </w:rPr>
        <w:t xml:space="preserve"> SIIF Nación para el trimestre objeto de análisis</w:t>
      </w:r>
      <w:r w:rsidR="001573AA" w:rsidRPr="001F2507">
        <w:rPr>
          <w:rFonts w:ascii="Arial" w:hAnsi="Arial" w:cs="Arial"/>
          <w:sz w:val="22"/>
          <w:szCs w:val="22"/>
        </w:rPr>
        <w:t>. Como resultado se</w:t>
      </w:r>
      <w:r w:rsidR="00F11030" w:rsidRPr="001F2507">
        <w:rPr>
          <w:rFonts w:ascii="Arial" w:hAnsi="Arial" w:cs="Arial"/>
          <w:sz w:val="22"/>
          <w:szCs w:val="22"/>
        </w:rPr>
        <w:t xml:space="preserve"> </w:t>
      </w:r>
      <w:r w:rsidR="0099195F" w:rsidRPr="001F2507">
        <w:rPr>
          <w:rFonts w:ascii="Arial" w:hAnsi="Arial" w:cs="Arial"/>
          <w:sz w:val="22"/>
          <w:szCs w:val="22"/>
        </w:rPr>
        <w:t xml:space="preserve">evidenció que no se </w:t>
      </w:r>
      <w:r w:rsidR="00F11030" w:rsidRPr="001F2507">
        <w:rPr>
          <w:rFonts w:ascii="Arial" w:hAnsi="Arial" w:cs="Arial"/>
          <w:sz w:val="22"/>
          <w:szCs w:val="22"/>
        </w:rPr>
        <w:t xml:space="preserve">efectuaron contrataciones </w:t>
      </w:r>
      <w:r w:rsidR="001573AA" w:rsidRPr="001F2507">
        <w:rPr>
          <w:rFonts w:ascii="Arial" w:hAnsi="Arial" w:cs="Arial"/>
          <w:sz w:val="22"/>
          <w:szCs w:val="22"/>
        </w:rPr>
        <w:t xml:space="preserve">por los conceptos de edición de </w:t>
      </w:r>
      <w:r w:rsidR="0099195F" w:rsidRPr="001F2507">
        <w:rPr>
          <w:rFonts w:ascii="Arial" w:hAnsi="Arial" w:cs="Arial"/>
          <w:sz w:val="22"/>
          <w:szCs w:val="22"/>
        </w:rPr>
        <w:t>libros, revistas, escritos y trabajos tipográficos.</w:t>
      </w:r>
    </w:p>
    <w:p w14:paraId="7D13780A" w14:textId="77777777" w:rsidR="0099195F" w:rsidRPr="00A003B6" w:rsidRDefault="0099195F" w:rsidP="008E70E2">
      <w:pPr>
        <w:tabs>
          <w:tab w:val="left" w:pos="426"/>
        </w:tabs>
        <w:jc w:val="both"/>
        <w:rPr>
          <w:rFonts w:ascii="Arial" w:hAnsi="Arial" w:cs="Arial"/>
          <w:sz w:val="18"/>
          <w:szCs w:val="22"/>
          <w:highlight w:val="yellow"/>
        </w:rPr>
      </w:pPr>
    </w:p>
    <w:p w14:paraId="6EF10A45" w14:textId="77777777" w:rsidR="00F11030" w:rsidRPr="001F2507" w:rsidRDefault="00FA6775" w:rsidP="00FF1131">
      <w:pPr>
        <w:jc w:val="both"/>
        <w:rPr>
          <w:rFonts w:ascii="Arial" w:hAnsi="Arial" w:cs="Arial"/>
          <w:sz w:val="22"/>
          <w:szCs w:val="22"/>
        </w:rPr>
      </w:pPr>
      <w:r w:rsidRPr="001F2507">
        <w:rPr>
          <w:rFonts w:ascii="Arial" w:hAnsi="Arial" w:cs="Arial"/>
          <w:sz w:val="22"/>
          <w:szCs w:val="22"/>
        </w:rPr>
        <w:t xml:space="preserve">Para el caso de otros gastos por </w:t>
      </w:r>
      <w:r w:rsidR="00CB5600" w:rsidRPr="001F2507">
        <w:rPr>
          <w:rFonts w:ascii="Arial" w:hAnsi="Arial" w:cs="Arial"/>
          <w:sz w:val="22"/>
          <w:szCs w:val="22"/>
        </w:rPr>
        <w:t xml:space="preserve">otros </w:t>
      </w:r>
      <w:r w:rsidRPr="001F2507">
        <w:rPr>
          <w:rFonts w:ascii="Arial" w:hAnsi="Arial" w:cs="Arial"/>
          <w:sz w:val="22"/>
          <w:szCs w:val="22"/>
        </w:rPr>
        <w:t xml:space="preserve">impresos y publicaciones, se observó que para la vigencia 2019, </w:t>
      </w:r>
      <w:r w:rsidR="00107936" w:rsidRPr="001F2507">
        <w:rPr>
          <w:rFonts w:ascii="Arial" w:hAnsi="Arial" w:cs="Arial"/>
          <w:sz w:val="22"/>
          <w:szCs w:val="22"/>
        </w:rPr>
        <w:t xml:space="preserve">se encuentran vigentes las siguientes contracciones: </w:t>
      </w:r>
    </w:p>
    <w:p w14:paraId="3023F5F9" w14:textId="77777777" w:rsidR="001A37B8" w:rsidRPr="00A003B6" w:rsidRDefault="001A37B8" w:rsidP="00FF1131">
      <w:pPr>
        <w:tabs>
          <w:tab w:val="left" w:pos="426"/>
        </w:tabs>
        <w:spacing w:line="168" w:lineRule="auto"/>
        <w:jc w:val="both"/>
        <w:rPr>
          <w:rFonts w:ascii="Arial" w:hAnsi="Arial" w:cs="Arial"/>
          <w:sz w:val="22"/>
          <w:szCs w:val="22"/>
          <w:highlight w:val="yellow"/>
        </w:rPr>
      </w:pPr>
    </w:p>
    <w:p w14:paraId="6EA02380" w14:textId="77777777" w:rsidR="00FA6775" w:rsidRPr="00A003B6" w:rsidRDefault="00FA6775" w:rsidP="00FF1131">
      <w:pPr>
        <w:spacing w:line="168" w:lineRule="auto"/>
        <w:jc w:val="both"/>
        <w:rPr>
          <w:rFonts w:ascii="Arial" w:hAnsi="Arial" w:cs="Arial"/>
          <w:sz w:val="18"/>
          <w:szCs w:val="22"/>
          <w:highlight w:val="yellow"/>
        </w:rPr>
      </w:pPr>
    </w:p>
    <w:tbl>
      <w:tblPr>
        <w:tblStyle w:val="Tabladelista7concolores-nfasis5"/>
        <w:tblW w:w="0" w:type="auto"/>
        <w:tblLook w:val="04A0" w:firstRow="1" w:lastRow="0" w:firstColumn="1" w:lastColumn="0" w:noHBand="0" w:noVBand="1"/>
      </w:tblPr>
      <w:tblGrid>
        <w:gridCol w:w="1276"/>
        <w:gridCol w:w="1412"/>
        <w:gridCol w:w="4294"/>
        <w:gridCol w:w="1266"/>
        <w:gridCol w:w="1440"/>
      </w:tblGrid>
      <w:tr w:rsidR="00C7615B" w:rsidRPr="001F2507" w14:paraId="14817520" w14:textId="77777777" w:rsidTr="008E70E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76" w:type="dxa"/>
            <w:tcBorders>
              <w:top w:val="double" w:sz="4" w:space="0" w:color="4F81BD" w:themeColor="accent1"/>
              <w:bottom w:val="single" w:sz="4" w:space="0" w:color="4F81BD" w:themeColor="accent1"/>
            </w:tcBorders>
            <w:vAlign w:val="center"/>
            <w:hideMark/>
          </w:tcPr>
          <w:p w14:paraId="107EE1BC" w14:textId="77777777" w:rsidR="00CB5600" w:rsidRPr="001F2507" w:rsidRDefault="00CB5600" w:rsidP="008E70E2">
            <w:pPr>
              <w:spacing w:before="80" w:after="80"/>
              <w:jc w:val="center"/>
              <w:rPr>
                <w:rFonts w:ascii="Arial" w:hAnsi="Arial" w:cs="Arial"/>
                <w:b/>
                <w:color w:val="0F243E" w:themeColor="text2" w:themeShade="80"/>
                <w:sz w:val="20"/>
                <w:szCs w:val="20"/>
              </w:rPr>
            </w:pPr>
            <w:r w:rsidRPr="001F2507">
              <w:rPr>
                <w:rFonts w:ascii="Arial" w:hAnsi="Arial" w:cs="Arial"/>
                <w:b/>
                <w:color w:val="0F243E" w:themeColor="text2" w:themeShade="80"/>
                <w:sz w:val="20"/>
                <w:szCs w:val="20"/>
              </w:rPr>
              <w:t>Número</w:t>
            </w:r>
          </w:p>
        </w:tc>
        <w:tc>
          <w:tcPr>
            <w:tcW w:w="1412" w:type="dxa"/>
            <w:tcBorders>
              <w:top w:val="double" w:sz="4" w:space="0" w:color="4F81BD" w:themeColor="accent1"/>
              <w:bottom w:val="single" w:sz="4" w:space="0" w:color="4F81BD" w:themeColor="accent1"/>
            </w:tcBorders>
            <w:vAlign w:val="center"/>
            <w:hideMark/>
          </w:tcPr>
          <w:p w14:paraId="6EA6A310" w14:textId="77777777" w:rsidR="00CB5600" w:rsidRPr="001F2507" w:rsidRDefault="00CB5600" w:rsidP="008E70E2">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1F2507">
              <w:rPr>
                <w:rFonts w:ascii="Arial" w:hAnsi="Arial" w:cs="Arial"/>
                <w:b/>
                <w:color w:val="0F243E" w:themeColor="text2" w:themeShade="80"/>
                <w:sz w:val="20"/>
                <w:szCs w:val="20"/>
              </w:rPr>
              <w:t>Contratistas</w:t>
            </w:r>
          </w:p>
        </w:tc>
        <w:tc>
          <w:tcPr>
            <w:tcW w:w="0" w:type="auto"/>
            <w:tcBorders>
              <w:top w:val="double" w:sz="4" w:space="0" w:color="4F81BD" w:themeColor="accent1"/>
              <w:bottom w:val="single" w:sz="4" w:space="0" w:color="4F81BD" w:themeColor="accent1"/>
            </w:tcBorders>
            <w:vAlign w:val="center"/>
            <w:hideMark/>
          </w:tcPr>
          <w:p w14:paraId="09CA9EBE" w14:textId="77777777" w:rsidR="00CB5600" w:rsidRPr="001F2507" w:rsidRDefault="00CB5600" w:rsidP="008E70E2">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1F2507">
              <w:rPr>
                <w:rFonts w:ascii="Arial" w:hAnsi="Arial" w:cs="Arial"/>
                <w:b/>
                <w:color w:val="0F243E" w:themeColor="text2" w:themeShade="80"/>
                <w:sz w:val="20"/>
                <w:szCs w:val="20"/>
              </w:rPr>
              <w:t>Objeto</w:t>
            </w:r>
          </w:p>
        </w:tc>
        <w:tc>
          <w:tcPr>
            <w:tcW w:w="0" w:type="auto"/>
            <w:tcBorders>
              <w:top w:val="double" w:sz="4" w:space="0" w:color="4F81BD" w:themeColor="accent1"/>
              <w:bottom w:val="single" w:sz="4" w:space="0" w:color="4F81BD" w:themeColor="accent1"/>
            </w:tcBorders>
            <w:vAlign w:val="center"/>
            <w:hideMark/>
          </w:tcPr>
          <w:p w14:paraId="3D38914D" w14:textId="77777777" w:rsidR="00CB5600" w:rsidRPr="001F2507" w:rsidRDefault="00CB5600" w:rsidP="008E70E2">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1F2507">
              <w:rPr>
                <w:rFonts w:ascii="Arial" w:hAnsi="Arial" w:cs="Arial"/>
                <w:b/>
                <w:color w:val="0F243E" w:themeColor="text2" w:themeShade="80"/>
                <w:sz w:val="20"/>
                <w:szCs w:val="20"/>
              </w:rPr>
              <w:t xml:space="preserve">Valor </w:t>
            </w:r>
            <w:r w:rsidR="00C7615B" w:rsidRPr="001F2507">
              <w:rPr>
                <w:rFonts w:ascii="Arial" w:hAnsi="Arial" w:cs="Arial"/>
                <w:b/>
                <w:color w:val="0F243E" w:themeColor="text2" w:themeShade="80"/>
                <w:sz w:val="20"/>
                <w:szCs w:val="20"/>
              </w:rPr>
              <w:t>($)</w:t>
            </w:r>
          </w:p>
        </w:tc>
        <w:tc>
          <w:tcPr>
            <w:tcW w:w="0" w:type="auto"/>
            <w:tcBorders>
              <w:top w:val="double" w:sz="4" w:space="0" w:color="4F81BD" w:themeColor="accent1"/>
              <w:bottom w:val="single" w:sz="4" w:space="0" w:color="4F81BD" w:themeColor="accent1"/>
            </w:tcBorders>
            <w:vAlign w:val="center"/>
            <w:hideMark/>
          </w:tcPr>
          <w:p w14:paraId="3E2B0C3E" w14:textId="77777777" w:rsidR="00CB5600" w:rsidRPr="001F2507" w:rsidRDefault="00CB5600" w:rsidP="008E70E2">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1F2507">
              <w:rPr>
                <w:rFonts w:ascii="Arial" w:hAnsi="Arial" w:cs="Arial"/>
                <w:b/>
                <w:color w:val="0F243E" w:themeColor="text2" w:themeShade="80"/>
                <w:sz w:val="20"/>
                <w:szCs w:val="20"/>
              </w:rPr>
              <w:t>Plazo</w:t>
            </w:r>
          </w:p>
        </w:tc>
      </w:tr>
      <w:tr w:rsidR="00C7615B" w:rsidRPr="001F2507" w14:paraId="12EC8A29" w14:textId="77777777" w:rsidTr="008E70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4F81BD" w:themeColor="accent1"/>
              <w:bottom w:val="single" w:sz="4" w:space="0" w:color="4F81BD" w:themeColor="accent1"/>
              <w:right w:val="single" w:sz="4" w:space="0" w:color="4F81BD" w:themeColor="accent1"/>
            </w:tcBorders>
            <w:vAlign w:val="center"/>
            <w:hideMark/>
          </w:tcPr>
          <w:p w14:paraId="457714DB" w14:textId="77777777" w:rsidR="00CB5600" w:rsidRPr="00FB7EA4" w:rsidRDefault="00CB5600" w:rsidP="008E70E2">
            <w:pPr>
              <w:spacing w:before="80" w:after="80"/>
              <w:jc w:val="center"/>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 xml:space="preserve">7.024-2018 </w:t>
            </w:r>
          </w:p>
        </w:tc>
        <w:tc>
          <w:tcPr>
            <w:tcW w:w="141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467F34C" w14:textId="77777777" w:rsidR="00CB5600" w:rsidRPr="00FB7EA4" w:rsidRDefault="00CB5600" w:rsidP="008E70E2">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Imprenta Nacional de Colombia</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2ED6701" w14:textId="77777777" w:rsidR="00CB5600" w:rsidRPr="00FB7EA4" w:rsidRDefault="00CB5600" w:rsidP="008E70E2">
            <w:pPr>
              <w:spacing w:before="80" w:after="80"/>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Prestar los servicios de publicación y difusión en el Diario Oficial de los diferentes actos administrativos expedidos por el Ministerio de Hacienda y Crédito Público</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8955447" w14:textId="77777777" w:rsidR="00CB5600" w:rsidRPr="00FB7EA4" w:rsidRDefault="00CB5600" w:rsidP="008E70E2">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82.403.702 </w:t>
            </w:r>
          </w:p>
        </w:tc>
        <w:tc>
          <w:tcPr>
            <w:tcW w:w="0" w:type="auto"/>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63CEE322" w14:textId="77777777" w:rsidR="00CB5600" w:rsidRPr="00FB7EA4" w:rsidRDefault="00CB5600" w:rsidP="008E70E2">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18/12/2018 al 31/12/2019</w:t>
            </w:r>
          </w:p>
        </w:tc>
      </w:tr>
      <w:tr w:rsidR="00C7615B" w:rsidRPr="00A003B6" w14:paraId="58806224" w14:textId="77777777" w:rsidTr="008E70E2">
        <w:trPr>
          <w:cantSplit/>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4F81BD" w:themeColor="accent1"/>
              <w:bottom w:val="double" w:sz="4" w:space="0" w:color="4F81BD" w:themeColor="accent1"/>
              <w:right w:val="single" w:sz="4" w:space="0" w:color="4F81BD" w:themeColor="accent1"/>
            </w:tcBorders>
            <w:vAlign w:val="center"/>
            <w:hideMark/>
          </w:tcPr>
          <w:p w14:paraId="177D1592" w14:textId="77777777" w:rsidR="00CB5600" w:rsidRPr="00FB7EA4" w:rsidRDefault="00CB5600" w:rsidP="008E70E2">
            <w:pPr>
              <w:spacing w:before="80" w:after="80"/>
              <w:jc w:val="center"/>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3.245-2019</w:t>
            </w:r>
          </w:p>
        </w:tc>
        <w:tc>
          <w:tcPr>
            <w:tcW w:w="1412" w:type="dxa"/>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34B1513D" w14:textId="77777777" w:rsidR="00CB5600" w:rsidRPr="00FB7EA4" w:rsidRDefault="00CB5600" w:rsidP="008E70E2">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Big Media Publicidad SAS</w:t>
            </w:r>
          </w:p>
        </w:tc>
        <w:tc>
          <w:tcPr>
            <w:tcW w:w="0" w:type="auto"/>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11866AC7" w14:textId="77777777" w:rsidR="00CB5600" w:rsidRPr="00FB7EA4" w:rsidRDefault="00CB5600" w:rsidP="008E70E2">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Servicio de publicación de avisos de ley, resoluciones, convocatorias, autos, prestaciones sociales, avisos informativos, y otros que requiera publicar en medio impreso de circulación nacional</w:t>
            </w:r>
          </w:p>
        </w:tc>
        <w:tc>
          <w:tcPr>
            <w:tcW w:w="0" w:type="auto"/>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6CBB110F" w14:textId="77777777" w:rsidR="00CB5600" w:rsidRPr="00FB7EA4" w:rsidRDefault="00CB5600" w:rsidP="008E70E2">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42.333.440 </w:t>
            </w:r>
          </w:p>
        </w:tc>
        <w:tc>
          <w:tcPr>
            <w:tcW w:w="0" w:type="auto"/>
            <w:tcBorders>
              <w:top w:val="single" w:sz="4" w:space="0" w:color="4F81BD" w:themeColor="accent1"/>
              <w:left w:val="single" w:sz="4" w:space="0" w:color="4F81BD" w:themeColor="accent1"/>
              <w:bottom w:val="double" w:sz="4" w:space="0" w:color="4F81BD" w:themeColor="accent1"/>
            </w:tcBorders>
            <w:vAlign w:val="center"/>
            <w:hideMark/>
          </w:tcPr>
          <w:p w14:paraId="5F8A5233" w14:textId="77777777" w:rsidR="00CB5600" w:rsidRPr="00FB7EA4" w:rsidRDefault="00CB5600" w:rsidP="008E70E2">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08/05/2019 al 30/11/2019</w:t>
            </w:r>
          </w:p>
        </w:tc>
      </w:tr>
    </w:tbl>
    <w:p w14:paraId="23B928AC" w14:textId="77777777" w:rsidR="00C63654" w:rsidRDefault="00C63654" w:rsidP="00A336F2">
      <w:pPr>
        <w:jc w:val="both"/>
        <w:rPr>
          <w:rFonts w:ascii="Arial" w:hAnsi="Arial" w:cs="Arial"/>
          <w:sz w:val="22"/>
          <w:szCs w:val="22"/>
        </w:rPr>
      </w:pPr>
    </w:p>
    <w:p w14:paraId="5041E355" w14:textId="646C832A" w:rsidR="00C977FD" w:rsidRDefault="0026607A" w:rsidP="00A336F2">
      <w:pPr>
        <w:jc w:val="both"/>
        <w:rPr>
          <w:rFonts w:ascii="Arial" w:hAnsi="Arial" w:cs="Arial"/>
          <w:sz w:val="22"/>
          <w:szCs w:val="22"/>
        </w:rPr>
      </w:pPr>
      <w:r w:rsidRPr="009E3EFC">
        <w:rPr>
          <w:rFonts w:ascii="Arial" w:hAnsi="Arial" w:cs="Arial"/>
          <w:sz w:val="22"/>
          <w:szCs w:val="22"/>
        </w:rPr>
        <w:t xml:space="preserve">De acuerdo con la información </w:t>
      </w:r>
      <w:r w:rsidR="00A336F2" w:rsidRPr="009E3EFC">
        <w:rPr>
          <w:rFonts w:ascii="Arial" w:hAnsi="Arial" w:cs="Arial"/>
          <w:sz w:val="22"/>
          <w:szCs w:val="22"/>
        </w:rPr>
        <w:t xml:space="preserve">consultada </w:t>
      </w:r>
      <w:r w:rsidR="00005276" w:rsidRPr="009E3EFC">
        <w:rPr>
          <w:rFonts w:ascii="Arial" w:hAnsi="Arial" w:cs="Arial"/>
          <w:sz w:val="22"/>
          <w:szCs w:val="22"/>
        </w:rPr>
        <w:t>en e</w:t>
      </w:r>
      <w:r w:rsidRPr="009E3EFC">
        <w:rPr>
          <w:rFonts w:ascii="Arial" w:hAnsi="Arial" w:cs="Arial"/>
          <w:sz w:val="22"/>
          <w:szCs w:val="22"/>
        </w:rPr>
        <w:t>l SIIF Naci</w:t>
      </w:r>
      <w:r w:rsidR="00005276" w:rsidRPr="009E3EFC">
        <w:rPr>
          <w:rFonts w:ascii="Arial" w:hAnsi="Arial" w:cs="Arial"/>
          <w:sz w:val="22"/>
          <w:szCs w:val="22"/>
        </w:rPr>
        <w:t>ón</w:t>
      </w:r>
      <w:r w:rsidR="00852BCF" w:rsidRPr="009E3EFC">
        <w:rPr>
          <w:rFonts w:ascii="Arial" w:hAnsi="Arial" w:cs="Arial"/>
          <w:sz w:val="22"/>
          <w:szCs w:val="22"/>
        </w:rPr>
        <w:t>,</w:t>
      </w:r>
      <w:r w:rsidR="00005276" w:rsidRPr="009E3EFC">
        <w:rPr>
          <w:rFonts w:ascii="Arial" w:hAnsi="Arial" w:cs="Arial"/>
          <w:sz w:val="22"/>
          <w:szCs w:val="22"/>
        </w:rPr>
        <w:t xml:space="preserve"> referente a las ob</w:t>
      </w:r>
      <w:r w:rsidR="00C977FD" w:rsidRPr="009E3EFC">
        <w:rPr>
          <w:rFonts w:ascii="Arial" w:hAnsi="Arial" w:cs="Arial"/>
          <w:sz w:val="22"/>
          <w:szCs w:val="22"/>
        </w:rPr>
        <w:t xml:space="preserve">ligaciones registradas para el </w:t>
      </w:r>
      <w:r w:rsidR="00005276" w:rsidRPr="009E3EFC">
        <w:rPr>
          <w:rFonts w:ascii="Arial" w:hAnsi="Arial" w:cs="Arial"/>
          <w:sz w:val="22"/>
          <w:szCs w:val="22"/>
        </w:rPr>
        <w:t xml:space="preserve">contratista Imprenta </w:t>
      </w:r>
      <w:r w:rsidR="00C977FD" w:rsidRPr="009E3EFC">
        <w:rPr>
          <w:rFonts w:ascii="Arial" w:hAnsi="Arial" w:cs="Arial"/>
          <w:sz w:val="22"/>
          <w:szCs w:val="22"/>
        </w:rPr>
        <w:t xml:space="preserve">Nacional de Colombia, se </w:t>
      </w:r>
      <w:r w:rsidR="00005276" w:rsidRPr="009E3EFC">
        <w:rPr>
          <w:rFonts w:ascii="Arial" w:hAnsi="Arial" w:cs="Arial"/>
          <w:sz w:val="22"/>
          <w:szCs w:val="22"/>
        </w:rPr>
        <w:t>determin</w:t>
      </w:r>
      <w:r w:rsidR="00C977FD" w:rsidRPr="009E3EFC">
        <w:rPr>
          <w:rFonts w:ascii="Arial" w:hAnsi="Arial" w:cs="Arial"/>
          <w:sz w:val="22"/>
          <w:szCs w:val="22"/>
        </w:rPr>
        <w:t xml:space="preserve">ó el valor del gasto para los servicios facturados </w:t>
      </w:r>
      <w:r w:rsidR="00233D31">
        <w:rPr>
          <w:rFonts w:ascii="Arial" w:hAnsi="Arial" w:cs="Arial"/>
          <w:sz w:val="22"/>
          <w:szCs w:val="22"/>
        </w:rPr>
        <w:t>para el tercer trimestre de 2019 y 2018</w:t>
      </w:r>
      <w:r w:rsidR="00C977FD" w:rsidRPr="009E3EFC">
        <w:rPr>
          <w:rFonts w:ascii="Arial" w:hAnsi="Arial" w:cs="Arial"/>
          <w:sz w:val="22"/>
          <w:szCs w:val="22"/>
        </w:rPr>
        <w:t>.</w:t>
      </w:r>
      <w:r w:rsidR="002739CA">
        <w:rPr>
          <w:rFonts w:ascii="Arial" w:hAnsi="Arial" w:cs="Arial"/>
          <w:sz w:val="22"/>
          <w:szCs w:val="22"/>
        </w:rPr>
        <w:t xml:space="preserve"> De igual forma, se verificaron las facturas expedidas por el contratista, las cuales fueron allegadas a esta Oficina por el Grupo de Gestión de Información.</w:t>
      </w:r>
      <w:r w:rsidR="00BA095F">
        <w:rPr>
          <w:rFonts w:ascii="Arial" w:hAnsi="Arial" w:cs="Arial"/>
          <w:sz w:val="22"/>
          <w:szCs w:val="22"/>
        </w:rPr>
        <w:t xml:space="preserve"> </w:t>
      </w:r>
      <w:r w:rsidR="00C977FD" w:rsidRPr="009E3EFC">
        <w:rPr>
          <w:rFonts w:ascii="Arial" w:hAnsi="Arial" w:cs="Arial"/>
          <w:sz w:val="22"/>
          <w:szCs w:val="22"/>
        </w:rPr>
        <w:t>Con</w:t>
      </w:r>
      <w:r w:rsidR="002739CA">
        <w:rPr>
          <w:rFonts w:ascii="Arial" w:hAnsi="Arial" w:cs="Arial"/>
          <w:sz w:val="22"/>
          <w:szCs w:val="22"/>
        </w:rPr>
        <w:t xml:space="preserve"> lo </w:t>
      </w:r>
      <w:r w:rsidR="00574EC6">
        <w:rPr>
          <w:rFonts w:ascii="Arial" w:hAnsi="Arial" w:cs="Arial"/>
          <w:sz w:val="22"/>
          <w:szCs w:val="22"/>
        </w:rPr>
        <w:t xml:space="preserve">anterior, </w:t>
      </w:r>
      <w:r w:rsidR="00C977FD" w:rsidRPr="009E3EFC">
        <w:rPr>
          <w:rFonts w:ascii="Arial" w:hAnsi="Arial" w:cs="Arial"/>
          <w:sz w:val="22"/>
          <w:szCs w:val="22"/>
        </w:rPr>
        <w:t>se estableci</w:t>
      </w:r>
      <w:r w:rsidR="00574EC6">
        <w:rPr>
          <w:rFonts w:ascii="Arial" w:hAnsi="Arial" w:cs="Arial"/>
          <w:sz w:val="22"/>
          <w:szCs w:val="22"/>
        </w:rPr>
        <w:t>eron</w:t>
      </w:r>
      <w:r w:rsidR="00C977FD" w:rsidRPr="009E3EFC">
        <w:rPr>
          <w:rFonts w:ascii="Arial" w:hAnsi="Arial" w:cs="Arial"/>
          <w:sz w:val="22"/>
          <w:szCs w:val="22"/>
        </w:rPr>
        <w:t xml:space="preserve"> la</w:t>
      </w:r>
      <w:r w:rsidR="00574EC6">
        <w:rPr>
          <w:rFonts w:ascii="Arial" w:hAnsi="Arial" w:cs="Arial"/>
          <w:sz w:val="22"/>
          <w:szCs w:val="22"/>
        </w:rPr>
        <w:t>s</w:t>
      </w:r>
      <w:r w:rsidR="00C977FD" w:rsidRPr="009E3EFC">
        <w:rPr>
          <w:rFonts w:ascii="Arial" w:hAnsi="Arial" w:cs="Arial"/>
          <w:sz w:val="22"/>
          <w:szCs w:val="22"/>
        </w:rPr>
        <w:t xml:space="preserve"> variaci</w:t>
      </w:r>
      <w:r w:rsidR="00574EC6">
        <w:rPr>
          <w:rFonts w:ascii="Arial" w:hAnsi="Arial" w:cs="Arial"/>
          <w:sz w:val="22"/>
          <w:szCs w:val="22"/>
        </w:rPr>
        <w:t>ones</w:t>
      </w:r>
      <w:r w:rsidR="00C977FD" w:rsidRPr="009E3EFC">
        <w:rPr>
          <w:rFonts w:ascii="Arial" w:hAnsi="Arial" w:cs="Arial"/>
          <w:sz w:val="22"/>
          <w:szCs w:val="22"/>
        </w:rPr>
        <w:t xml:space="preserve"> </w:t>
      </w:r>
      <w:r w:rsidR="00A336F2" w:rsidRPr="009E3EFC">
        <w:rPr>
          <w:rFonts w:ascii="Arial" w:hAnsi="Arial" w:cs="Arial"/>
          <w:sz w:val="22"/>
          <w:szCs w:val="22"/>
        </w:rPr>
        <w:t>del</w:t>
      </w:r>
      <w:r w:rsidR="00C977FD" w:rsidRPr="009E3EFC">
        <w:rPr>
          <w:rFonts w:ascii="Arial" w:hAnsi="Arial" w:cs="Arial"/>
          <w:sz w:val="22"/>
          <w:szCs w:val="22"/>
        </w:rPr>
        <w:t xml:space="preserve"> gasto correspondiente a los servicios de publicación y difusión en el Diario Oficial, así: </w:t>
      </w:r>
    </w:p>
    <w:p w14:paraId="31F0D25A" w14:textId="77777777" w:rsidR="00B0463C" w:rsidRPr="009E3EFC" w:rsidRDefault="00B0463C" w:rsidP="00A336F2">
      <w:pPr>
        <w:jc w:val="both"/>
        <w:rPr>
          <w:rFonts w:ascii="Arial" w:hAnsi="Arial" w:cs="Arial"/>
          <w:sz w:val="22"/>
          <w:szCs w:val="22"/>
        </w:rPr>
      </w:pPr>
    </w:p>
    <w:p w14:paraId="710E9C5F" w14:textId="77777777" w:rsidR="008F157F" w:rsidRPr="008F157F" w:rsidRDefault="008F157F" w:rsidP="0026607A">
      <w:pPr>
        <w:rPr>
          <w:rFonts w:ascii="Arial" w:hAnsi="Arial" w:cs="Arial"/>
          <w:sz w:val="22"/>
          <w:szCs w:val="22"/>
          <w:highlight w:val="yellow"/>
        </w:rPr>
      </w:pPr>
    </w:p>
    <w:tbl>
      <w:tblPr>
        <w:tblStyle w:val="Tabladecuadrcula1clara-nfasis1"/>
        <w:tblW w:w="0" w:type="auto"/>
        <w:jc w:val="center"/>
        <w:tblLook w:val="04A0" w:firstRow="1" w:lastRow="0" w:firstColumn="1" w:lastColumn="0" w:noHBand="0" w:noVBand="1"/>
      </w:tblPr>
      <w:tblGrid>
        <w:gridCol w:w="2326"/>
        <w:gridCol w:w="1936"/>
        <w:gridCol w:w="1803"/>
        <w:gridCol w:w="1795"/>
        <w:gridCol w:w="1142"/>
      </w:tblGrid>
      <w:tr w:rsidR="00477DFE" w:rsidRPr="00A003B6" w14:paraId="6FDEAEB5" w14:textId="77777777" w:rsidTr="004F45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2" w:type="dxa"/>
            <w:gridSpan w:val="5"/>
            <w:shd w:val="clear" w:color="auto" w:fill="4F81BD" w:themeFill="accent1"/>
            <w:vAlign w:val="center"/>
          </w:tcPr>
          <w:p w14:paraId="5891E3D8" w14:textId="77777777" w:rsidR="00477DFE" w:rsidRPr="001B2FD0" w:rsidRDefault="00477DFE" w:rsidP="00D0721D">
            <w:pPr>
              <w:spacing w:before="80" w:after="80"/>
              <w:jc w:val="center"/>
              <w:rPr>
                <w:rFonts w:ascii="Arial" w:hAnsi="Arial" w:cs="Arial"/>
                <w:bCs w:val="0"/>
                <w:color w:val="FFFFFF" w:themeColor="background1"/>
                <w:sz w:val="22"/>
                <w:szCs w:val="22"/>
              </w:rPr>
            </w:pPr>
            <w:r w:rsidRPr="001B2FD0">
              <w:rPr>
                <w:rFonts w:ascii="Arial" w:hAnsi="Arial" w:cs="Arial"/>
                <w:bCs w:val="0"/>
                <w:color w:val="FFFFFF" w:themeColor="background1"/>
                <w:sz w:val="22"/>
                <w:szCs w:val="22"/>
              </w:rPr>
              <w:lastRenderedPageBreak/>
              <w:t xml:space="preserve">Imprenta Nacional – </w:t>
            </w:r>
            <w:r w:rsidR="001B2FD0" w:rsidRPr="001B2FD0">
              <w:rPr>
                <w:rFonts w:ascii="Arial" w:hAnsi="Arial" w:cs="Arial"/>
                <w:bCs w:val="0"/>
                <w:color w:val="FFFFFF" w:themeColor="background1"/>
                <w:sz w:val="22"/>
                <w:szCs w:val="22"/>
              </w:rPr>
              <w:t xml:space="preserve">Contrato </w:t>
            </w:r>
            <w:r w:rsidRPr="001B2FD0">
              <w:rPr>
                <w:rFonts w:ascii="Arial" w:hAnsi="Arial" w:cs="Arial"/>
                <w:bCs w:val="0"/>
                <w:color w:val="FFFFFF" w:themeColor="background1"/>
                <w:sz w:val="22"/>
                <w:szCs w:val="22"/>
              </w:rPr>
              <w:t>7.024-2018</w:t>
            </w:r>
          </w:p>
        </w:tc>
      </w:tr>
      <w:tr w:rsidR="00477DFE" w:rsidRPr="00A003B6" w14:paraId="2E90502D" w14:textId="77777777" w:rsidTr="004F45FA">
        <w:trPr>
          <w:jc w:val="center"/>
        </w:trPr>
        <w:tc>
          <w:tcPr>
            <w:cnfStyle w:val="001000000000" w:firstRow="0" w:lastRow="0" w:firstColumn="1" w:lastColumn="0" w:oddVBand="0" w:evenVBand="0" w:oddHBand="0" w:evenHBand="0" w:firstRowFirstColumn="0" w:firstRowLastColumn="0" w:lastRowFirstColumn="0" w:lastRowLastColumn="0"/>
            <w:tcW w:w="2326" w:type="dxa"/>
            <w:vMerge w:val="restart"/>
            <w:shd w:val="clear" w:color="auto" w:fill="4F81BD" w:themeFill="accent1"/>
            <w:vAlign w:val="center"/>
            <w:hideMark/>
          </w:tcPr>
          <w:p w14:paraId="4CE13C68" w14:textId="77777777" w:rsidR="00477DFE" w:rsidRPr="001B2FD0" w:rsidRDefault="00477DFE" w:rsidP="00D0721D">
            <w:pPr>
              <w:spacing w:before="80" w:after="80"/>
              <w:jc w:val="center"/>
              <w:rPr>
                <w:rFonts w:ascii="Arial" w:hAnsi="Arial" w:cs="Arial"/>
                <w:color w:val="FFFFFF" w:themeColor="background1"/>
                <w:sz w:val="20"/>
                <w:szCs w:val="20"/>
              </w:rPr>
            </w:pPr>
            <w:r w:rsidRPr="001B2FD0">
              <w:rPr>
                <w:rFonts w:ascii="Arial" w:hAnsi="Arial" w:cs="Arial"/>
                <w:color w:val="FFFFFF" w:themeColor="background1"/>
                <w:sz w:val="20"/>
                <w:szCs w:val="20"/>
              </w:rPr>
              <w:t>Otros Gastos por Impresos y Publicaciones</w:t>
            </w:r>
          </w:p>
        </w:tc>
        <w:tc>
          <w:tcPr>
            <w:tcW w:w="3739" w:type="dxa"/>
            <w:gridSpan w:val="2"/>
            <w:shd w:val="clear" w:color="auto" w:fill="4F81BD" w:themeFill="accent1"/>
            <w:vAlign w:val="center"/>
            <w:hideMark/>
          </w:tcPr>
          <w:p w14:paraId="77D735EC" w14:textId="77777777" w:rsidR="00477DFE" w:rsidRPr="001B2FD0" w:rsidRDefault="008F157F" w:rsidP="00D0721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I</w:t>
            </w:r>
            <w:r w:rsidR="00477DFE" w:rsidRPr="001B2FD0">
              <w:rPr>
                <w:rFonts w:ascii="Arial" w:hAnsi="Arial" w:cs="Arial"/>
                <w:b/>
                <w:bCs/>
                <w:color w:val="FFFFFF" w:themeColor="background1"/>
                <w:sz w:val="20"/>
                <w:szCs w:val="20"/>
              </w:rPr>
              <w:t>II Trimestre</w:t>
            </w:r>
          </w:p>
        </w:tc>
        <w:tc>
          <w:tcPr>
            <w:tcW w:w="2937" w:type="dxa"/>
            <w:gridSpan w:val="2"/>
            <w:shd w:val="clear" w:color="auto" w:fill="4F81BD" w:themeFill="accent1"/>
            <w:vAlign w:val="center"/>
            <w:hideMark/>
          </w:tcPr>
          <w:p w14:paraId="163C9E44" w14:textId="77777777" w:rsidR="00477DFE" w:rsidRPr="001B2FD0" w:rsidRDefault="00477DFE" w:rsidP="00D0721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FD0">
              <w:rPr>
                <w:rFonts w:ascii="Arial" w:hAnsi="Arial" w:cs="Arial"/>
                <w:b/>
                <w:bCs/>
                <w:color w:val="FFFFFF" w:themeColor="background1"/>
                <w:sz w:val="20"/>
                <w:szCs w:val="20"/>
              </w:rPr>
              <w:t>Variaciones</w:t>
            </w:r>
          </w:p>
        </w:tc>
      </w:tr>
      <w:tr w:rsidR="00477DFE" w:rsidRPr="00A003B6" w14:paraId="1FDE0360" w14:textId="77777777" w:rsidTr="004F45FA">
        <w:trPr>
          <w:jc w:val="center"/>
        </w:trPr>
        <w:tc>
          <w:tcPr>
            <w:cnfStyle w:val="001000000000" w:firstRow="0" w:lastRow="0" w:firstColumn="1" w:lastColumn="0" w:oddVBand="0" w:evenVBand="0" w:oddHBand="0" w:evenHBand="0" w:firstRowFirstColumn="0" w:firstRowLastColumn="0" w:lastRowFirstColumn="0" w:lastRowLastColumn="0"/>
            <w:tcW w:w="2326" w:type="dxa"/>
            <w:vMerge/>
            <w:tcBorders>
              <w:bottom w:val="nil"/>
            </w:tcBorders>
            <w:shd w:val="clear" w:color="auto" w:fill="4F81BD" w:themeFill="accent1"/>
            <w:vAlign w:val="center"/>
            <w:hideMark/>
          </w:tcPr>
          <w:p w14:paraId="71608E09" w14:textId="77777777" w:rsidR="00477DFE" w:rsidRPr="001B2FD0" w:rsidRDefault="00477DFE" w:rsidP="00D0721D">
            <w:pPr>
              <w:spacing w:before="80" w:after="80"/>
              <w:rPr>
                <w:rFonts w:ascii="Arial" w:hAnsi="Arial" w:cs="Arial"/>
                <w:color w:val="FFFFFF" w:themeColor="background1"/>
                <w:sz w:val="20"/>
                <w:szCs w:val="20"/>
              </w:rPr>
            </w:pPr>
          </w:p>
        </w:tc>
        <w:tc>
          <w:tcPr>
            <w:tcW w:w="1936" w:type="dxa"/>
            <w:tcBorders>
              <w:bottom w:val="nil"/>
            </w:tcBorders>
            <w:shd w:val="clear" w:color="auto" w:fill="4F81BD" w:themeFill="accent1"/>
            <w:vAlign w:val="center"/>
            <w:hideMark/>
          </w:tcPr>
          <w:p w14:paraId="2035D83F" w14:textId="77777777" w:rsidR="00477DFE" w:rsidRPr="001B2FD0" w:rsidRDefault="00477DFE" w:rsidP="00D0721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FD0">
              <w:rPr>
                <w:rFonts w:ascii="Arial" w:hAnsi="Arial" w:cs="Arial"/>
                <w:b/>
                <w:bCs/>
                <w:color w:val="FFFFFF" w:themeColor="background1"/>
                <w:sz w:val="20"/>
                <w:szCs w:val="20"/>
              </w:rPr>
              <w:t>2019</w:t>
            </w:r>
          </w:p>
        </w:tc>
        <w:tc>
          <w:tcPr>
            <w:tcW w:w="1803" w:type="dxa"/>
            <w:tcBorders>
              <w:bottom w:val="nil"/>
            </w:tcBorders>
            <w:shd w:val="clear" w:color="auto" w:fill="4F81BD" w:themeFill="accent1"/>
            <w:vAlign w:val="center"/>
            <w:hideMark/>
          </w:tcPr>
          <w:p w14:paraId="4CB5AECB" w14:textId="77777777" w:rsidR="00477DFE" w:rsidRPr="001B2FD0" w:rsidRDefault="00477DFE" w:rsidP="00D0721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FD0">
              <w:rPr>
                <w:rFonts w:ascii="Arial" w:hAnsi="Arial" w:cs="Arial"/>
                <w:b/>
                <w:bCs/>
                <w:color w:val="FFFFFF" w:themeColor="background1"/>
                <w:sz w:val="20"/>
                <w:szCs w:val="20"/>
              </w:rPr>
              <w:t>2018</w:t>
            </w:r>
          </w:p>
        </w:tc>
        <w:tc>
          <w:tcPr>
            <w:tcW w:w="1795" w:type="dxa"/>
            <w:tcBorders>
              <w:bottom w:val="nil"/>
            </w:tcBorders>
            <w:shd w:val="clear" w:color="auto" w:fill="4F81BD" w:themeFill="accent1"/>
            <w:vAlign w:val="center"/>
            <w:hideMark/>
          </w:tcPr>
          <w:p w14:paraId="70FF8DA4" w14:textId="77777777" w:rsidR="00477DFE" w:rsidRPr="001B2FD0" w:rsidRDefault="00477DFE" w:rsidP="00D0721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FD0">
              <w:rPr>
                <w:rFonts w:ascii="Arial" w:hAnsi="Arial" w:cs="Arial"/>
                <w:b/>
                <w:bCs/>
                <w:color w:val="FFFFFF" w:themeColor="background1"/>
                <w:sz w:val="20"/>
                <w:szCs w:val="20"/>
              </w:rPr>
              <w:t>$</w:t>
            </w:r>
          </w:p>
        </w:tc>
        <w:tc>
          <w:tcPr>
            <w:tcW w:w="1142" w:type="dxa"/>
            <w:tcBorders>
              <w:bottom w:val="nil"/>
            </w:tcBorders>
            <w:shd w:val="clear" w:color="auto" w:fill="4F81BD" w:themeFill="accent1"/>
            <w:vAlign w:val="center"/>
            <w:hideMark/>
          </w:tcPr>
          <w:p w14:paraId="16E9BC00" w14:textId="77777777" w:rsidR="00477DFE" w:rsidRPr="001B2FD0" w:rsidRDefault="00477DFE" w:rsidP="00D0721D">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B2FD0">
              <w:rPr>
                <w:rFonts w:ascii="Arial" w:hAnsi="Arial" w:cs="Arial"/>
                <w:b/>
                <w:bCs/>
                <w:color w:val="FFFFFF" w:themeColor="background1"/>
                <w:sz w:val="20"/>
                <w:szCs w:val="20"/>
              </w:rPr>
              <w:t>%</w:t>
            </w:r>
          </w:p>
        </w:tc>
      </w:tr>
      <w:tr w:rsidR="00D0721D" w:rsidRPr="00A003B6" w14:paraId="1AAD2358" w14:textId="77777777" w:rsidTr="004F45FA">
        <w:trPr>
          <w:jc w:val="center"/>
        </w:trPr>
        <w:tc>
          <w:tcPr>
            <w:cnfStyle w:val="001000000000" w:firstRow="0" w:lastRow="0" w:firstColumn="1" w:lastColumn="0" w:oddVBand="0" w:evenVBand="0" w:oddHBand="0" w:evenHBand="0" w:firstRowFirstColumn="0" w:firstRowLastColumn="0" w:lastRowFirstColumn="0" w:lastRowLastColumn="0"/>
            <w:tcW w:w="2326" w:type="dxa"/>
            <w:tcBorders>
              <w:top w:val="nil"/>
              <w:left w:val="nil"/>
              <w:bottom w:val="nil"/>
              <w:right w:val="nil"/>
            </w:tcBorders>
            <w:vAlign w:val="center"/>
            <w:hideMark/>
          </w:tcPr>
          <w:p w14:paraId="23343645" w14:textId="77777777" w:rsidR="00D0721D" w:rsidRPr="00D0721D" w:rsidRDefault="00D0721D" w:rsidP="00D0721D">
            <w:pPr>
              <w:spacing w:before="80" w:after="80"/>
              <w:jc w:val="center"/>
              <w:rPr>
                <w:rFonts w:ascii="Arial" w:hAnsi="Arial" w:cs="Arial"/>
                <w:color w:val="0F243E" w:themeColor="text2" w:themeShade="80"/>
                <w:sz w:val="20"/>
                <w:szCs w:val="20"/>
              </w:rPr>
            </w:pPr>
            <w:r w:rsidRPr="00D0721D">
              <w:rPr>
                <w:rFonts w:ascii="Arial" w:hAnsi="Arial" w:cs="Arial"/>
                <w:color w:val="0F243E" w:themeColor="text2" w:themeShade="80"/>
                <w:sz w:val="20"/>
                <w:szCs w:val="20"/>
              </w:rPr>
              <w:t xml:space="preserve">Julio </w:t>
            </w:r>
          </w:p>
        </w:tc>
        <w:tc>
          <w:tcPr>
            <w:tcW w:w="1936" w:type="dxa"/>
            <w:tcBorders>
              <w:top w:val="nil"/>
              <w:left w:val="nil"/>
              <w:bottom w:val="nil"/>
              <w:right w:val="nil"/>
            </w:tcBorders>
            <w:vAlign w:val="center"/>
            <w:hideMark/>
          </w:tcPr>
          <w:p w14:paraId="2512B7FB" w14:textId="2ABE7841" w:rsidR="00D0721D" w:rsidRPr="00FB7EA4" w:rsidRDefault="00D0721D" w:rsidP="00A05F9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5.139.800</w:t>
            </w:r>
          </w:p>
        </w:tc>
        <w:tc>
          <w:tcPr>
            <w:tcW w:w="1803" w:type="dxa"/>
            <w:tcBorders>
              <w:top w:val="nil"/>
              <w:left w:val="nil"/>
              <w:bottom w:val="nil"/>
              <w:right w:val="nil"/>
            </w:tcBorders>
            <w:vAlign w:val="center"/>
            <w:hideMark/>
          </w:tcPr>
          <w:p w14:paraId="5A28D387" w14:textId="012C5A79" w:rsidR="00D0721D" w:rsidRPr="00FB7EA4" w:rsidRDefault="00D0721D" w:rsidP="00A05F9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7.682.500</w:t>
            </w:r>
          </w:p>
        </w:tc>
        <w:tc>
          <w:tcPr>
            <w:tcW w:w="1795" w:type="dxa"/>
            <w:tcBorders>
              <w:top w:val="nil"/>
              <w:left w:val="nil"/>
              <w:bottom w:val="nil"/>
              <w:right w:val="nil"/>
            </w:tcBorders>
            <w:vAlign w:val="center"/>
            <w:hideMark/>
          </w:tcPr>
          <w:p w14:paraId="6B47B67C" w14:textId="5B052A0C" w:rsidR="00D0721D" w:rsidRPr="00FB7EA4" w:rsidRDefault="00D0721D" w:rsidP="00A05F9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(2.542.700)</w:t>
            </w:r>
          </w:p>
        </w:tc>
        <w:tc>
          <w:tcPr>
            <w:tcW w:w="1142" w:type="dxa"/>
            <w:tcBorders>
              <w:top w:val="nil"/>
              <w:left w:val="nil"/>
              <w:bottom w:val="nil"/>
              <w:right w:val="nil"/>
            </w:tcBorders>
            <w:vAlign w:val="center"/>
            <w:hideMark/>
          </w:tcPr>
          <w:p w14:paraId="3930A816" w14:textId="77777777" w:rsidR="00D0721D" w:rsidRPr="00FB7EA4" w:rsidRDefault="00D0721D" w:rsidP="00A05F9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(33%)</w:t>
            </w:r>
          </w:p>
        </w:tc>
      </w:tr>
      <w:tr w:rsidR="00D0721D" w:rsidRPr="00A003B6" w14:paraId="3B95CCA0" w14:textId="77777777" w:rsidTr="004F45FA">
        <w:trPr>
          <w:jc w:val="center"/>
        </w:trPr>
        <w:tc>
          <w:tcPr>
            <w:cnfStyle w:val="001000000000" w:firstRow="0" w:lastRow="0" w:firstColumn="1" w:lastColumn="0" w:oddVBand="0" w:evenVBand="0" w:oddHBand="0" w:evenHBand="0" w:firstRowFirstColumn="0" w:firstRowLastColumn="0" w:lastRowFirstColumn="0" w:lastRowLastColumn="0"/>
            <w:tcW w:w="2326" w:type="dxa"/>
            <w:tcBorders>
              <w:top w:val="nil"/>
              <w:left w:val="nil"/>
              <w:bottom w:val="nil"/>
              <w:right w:val="nil"/>
            </w:tcBorders>
            <w:vAlign w:val="center"/>
            <w:hideMark/>
          </w:tcPr>
          <w:p w14:paraId="7F31A827" w14:textId="77777777" w:rsidR="00D0721D" w:rsidRPr="00D0721D" w:rsidRDefault="00D0721D" w:rsidP="00D0721D">
            <w:pPr>
              <w:spacing w:before="80" w:after="80"/>
              <w:jc w:val="center"/>
              <w:rPr>
                <w:rFonts w:ascii="Arial" w:hAnsi="Arial" w:cs="Arial"/>
                <w:color w:val="0F243E" w:themeColor="text2" w:themeShade="80"/>
                <w:sz w:val="20"/>
                <w:szCs w:val="20"/>
              </w:rPr>
            </w:pPr>
            <w:r w:rsidRPr="00D0721D">
              <w:rPr>
                <w:rFonts w:ascii="Arial" w:hAnsi="Arial" w:cs="Arial"/>
                <w:color w:val="0F243E" w:themeColor="text2" w:themeShade="80"/>
                <w:sz w:val="20"/>
                <w:szCs w:val="20"/>
              </w:rPr>
              <w:t>Agosto</w:t>
            </w:r>
          </w:p>
        </w:tc>
        <w:tc>
          <w:tcPr>
            <w:tcW w:w="1936" w:type="dxa"/>
            <w:tcBorders>
              <w:top w:val="nil"/>
              <w:left w:val="nil"/>
              <w:bottom w:val="nil"/>
              <w:right w:val="nil"/>
            </w:tcBorders>
            <w:vAlign w:val="center"/>
            <w:hideMark/>
          </w:tcPr>
          <w:p w14:paraId="2F0CE16C" w14:textId="387295CE" w:rsidR="00D0721D" w:rsidRPr="00FB7EA4" w:rsidRDefault="00D0721D" w:rsidP="00A05F9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4.822.700</w:t>
            </w:r>
          </w:p>
        </w:tc>
        <w:tc>
          <w:tcPr>
            <w:tcW w:w="1803" w:type="dxa"/>
            <w:tcBorders>
              <w:top w:val="nil"/>
              <w:left w:val="nil"/>
              <w:bottom w:val="nil"/>
              <w:right w:val="nil"/>
            </w:tcBorders>
            <w:vAlign w:val="center"/>
            <w:hideMark/>
          </w:tcPr>
          <w:p w14:paraId="1C30AC73" w14:textId="08AD3D6D" w:rsidR="00D0721D" w:rsidRPr="00FB7EA4" w:rsidRDefault="00D0721D" w:rsidP="00A05F9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2.715.200</w:t>
            </w:r>
          </w:p>
        </w:tc>
        <w:tc>
          <w:tcPr>
            <w:tcW w:w="1795" w:type="dxa"/>
            <w:tcBorders>
              <w:top w:val="nil"/>
              <w:left w:val="nil"/>
              <w:bottom w:val="nil"/>
              <w:right w:val="nil"/>
            </w:tcBorders>
            <w:vAlign w:val="center"/>
            <w:hideMark/>
          </w:tcPr>
          <w:p w14:paraId="125484CF" w14:textId="7BCF2248" w:rsidR="00D0721D" w:rsidRPr="00FB7EA4" w:rsidRDefault="00D0721D" w:rsidP="00A05F9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2.107.500</w:t>
            </w:r>
          </w:p>
        </w:tc>
        <w:tc>
          <w:tcPr>
            <w:tcW w:w="1142" w:type="dxa"/>
            <w:tcBorders>
              <w:top w:val="nil"/>
              <w:left w:val="nil"/>
              <w:bottom w:val="nil"/>
              <w:right w:val="nil"/>
            </w:tcBorders>
            <w:vAlign w:val="center"/>
            <w:hideMark/>
          </w:tcPr>
          <w:p w14:paraId="4F77A22F" w14:textId="77777777" w:rsidR="00D0721D" w:rsidRPr="00FB7EA4" w:rsidRDefault="00D0721D" w:rsidP="00A05F9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78%</w:t>
            </w:r>
          </w:p>
        </w:tc>
      </w:tr>
      <w:tr w:rsidR="00D0721D" w:rsidRPr="00A003B6" w14:paraId="4F6AA1A9" w14:textId="77777777" w:rsidTr="004F45FA">
        <w:trPr>
          <w:jc w:val="center"/>
        </w:trPr>
        <w:tc>
          <w:tcPr>
            <w:cnfStyle w:val="001000000000" w:firstRow="0" w:lastRow="0" w:firstColumn="1" w:lastColumn="0" w:oddVBand="0" w:evenVBand="0" w:oddHBand="0" w:evenHBand="0" w:firstRowFirstColumn="0" w:firstRowLastColumn="0" w:lastRowFirstColumn="0" w:lastRowLastColumn="0"/>
            <w:tcW w:w="2326" w:type="dxa"/>
            <w:tcBorders>
              <w:top w:val="nil"/>
              <w:left w:val="nil"/>
              <w:bottom w:val="nil"/>
              <w:right w:val="nil"/>
            </w:tcBorders>
            <w:vAlign w:val="center"/>
            <w:hideMark/>
          </w:tcPr>
          <w:p w14:paraId="7CD7F102" w14:textId="77777777" w:rsidR="00D0721D" w:rsidRPr="00D0721D" w:rsidRDefault="00D0721D" w:rsidP="00D0721D">
            <w:pPr>
              <w:spacing w:before="80" w:after="80"/>
              <w:jc w:val="center"/>
              <w:rPr>
                <w:rFonts w:ascii="Arial" w:hAnsi="Arial" w:cs="Arial"/>
                <w:color w:val="0F243E" w:themeColor="text2" w:themeShade="80"/>
                <w:sz w:val="20"/>
                <w:szCs w:val="20"/>
              </w:rPr>
            </w:pPr>
            <w:r w:rsidRPr="00D0721D">
              <w:rPr>
                <w:rFonts w:ascii="Arial" w:hAnsi="Arial" w:cs="Arial"/>
                <w:color w:val="0F243E" w:themeColor="text2" w:themeShade="80"/>
                <w:sz w:val="20"/>
                <w:szCs w:val="20"/>
              </w:rPr>
              <w:t>Septiembre</w:t>
            </w:r>
          </w:p>
        </w:tc>
        <w:tc>
          <w:tcPr>
            <w:tcW w:w="1936" w:type="dxa"/>
            <w:tcBorders>
              <w:top w:val="nil"/>
              <w:left w:val="nil"/>
              <w:bottom w:val="nil"/>
              <w:right w:val="nil"/>
            </w:tcBorders>
            <w:vAlign w:val="center"/>
            <w:hideMark/>
          </w:tcPr>
          <w:p w14:paraId="0345E699" w14:textId="65E0BF2E" w:rsidR="00D0721D" w:rsidRPr="00FB7EA4" w:rsidRDefault="00342CB1" w:rsidP="00A05F9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0</w:t>
            </w:r>
          </w:p>
        </w:tc>
        <w:tc>
          <w:tcPr>
            <w:tcW w:w="1803" w:type="dxa"/>
            <w:tcBorders>
              <w:top w:val="nil"/>
              <w:left w:val="nil"/>
              <w:bottom w:val="nil"/>
              <w:right w:val="nil"/>
            </w:tcBorders>
            <w:vAlign w:val="center"/>
            <w:hideMark/>
          </w:tcPr>
          <w:p w14:paraId="2BAC1B47" w14:textId="073AFA8E" w:rsidR="00D0721D" w:rsidRPr="00FB7EA4" w:rsidRDefault="00D0721D" w:rsidP="00A05F9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7.201.000</w:t>
            </w:r>
          </w:p>
        </w:tc>
        <w:tc>
          <w:tcPr>
            <w:tcW w:w="1795" w:type="dxa"/>
            <w:tcBorders>
              <w:top w:val="nil"/>
              <w:left w:val="nil"/>
              <w:bottom w:val="nil"/>
              <w:right w:val="nil"/>
            </w:tcBorders>
            <w:vAlign w:val="center"/>
            <w:hideMark/>
          </w:tcPr>
          <w:p w14:paraId="049F4645" w14:textId="2BD270A7" w:rsidR="00D0721D" w:rsidRPr="00FB7EA4" w:rsidRDefault="001E323E" w:rsidP="00A05F9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(7.201.000)</w:t>
            </w:r>
          </w:p>
        </w:tc>
        <w:tc>
          <w:tcPr>
            <w:tcW w:w="1142" w:type="dxa"/>
            <w:tcBorders>
              <w:top w:val="nil"/>
              <w:left w:val="nil"/>
              <w:bottom w:val="nil"/>
              <w:right w:val="nil"/>
            </w:tcBorders>
            <w:vAlign w:val="center"/>
            <w:hideMark/>
          </w:tcPr>
          <w:p w14:paraId="6D577684" w14:textId="41CAC729" w:rsidR="00D0721D" w:rsidRPr="00FB7EA4" w:rsidRDefault="00342CB1" w:rsidP="001E323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w:t>
            </w:r>
            <w:r w:rsidR="001E323E" w:rsidRPr="00FB7EA4">
              <w:rPr>
                <w:rFonts w:ascii="Arial" w:hAnsi="Arial" w:cs="Arial"/>
                <w:b/>
                <w:bCs/>
                <w:color w:val="0F243E" w:themeColor="text2" w:themeShade="80"/>
                <w:sz w:val="20"/>
                <w:szCs w:val="20"/>
              </w:rPr>
              <w:t>100</w:t>
            </w:r>
            <w:r w:rsidRPr="00FB7EA4">
              <w:rPr>
                <w:rFonts w:ascii="Arial" w:hAnsi="Arial" w:cs="Arial"/>
                <w:b/>
                <w:bCs/>
                <w:color w:val="0F243E" w:themeColor="text2" w:themeShade="80"/>
                <w:sz w:val="20"/>
                <w:szCs w:val="20"/>
              </w:rPr>
              <w:t>)</w:t>
            </w:r>
          </w:p>
        </w:tc>
      </w:tr>
      <w:tr w:rsidR="00D0721D" w:rsidRPr="00A003B6" w14:paraId="368EFBDE" w14:textId="77777777" w:rsidTr="004F45FA">
        <w:trPr>
          <w:jc w:val="center"/>
        </w:trPr>
        <w:tc>
          <w:tcPr>
            <w:cnfStyle w:val="001000000000" w:firstRow="0" w:lastRow="0" w:firstColumn="1" w:lastColumn="0" w:oddVBand="0" w:evenVBand="0" w:oddHBand="0" w:evenHBand="0" w:firstRowFirstColumn="0" w:firstRowLastColumn="0" w:lastRowFirstColumn="0" w:lastRowLastColumn="0"/>
            <w:tcW w:w="2326" w:type="dxa"/>
            <w:tcBorders>
              <w:top w:val="nil"/>
              <w:left w:val="nil"/>
              <w:bottom w:val="nil"/>
              <w:right w:val="nil"/>
            </w:tcBorders>
            <w:shd w:val="clear" w:color="auto" w:fill="4F81BD" w:themeFill="accent1"/>
            <w:vAlign w:val="center"/>
            <w:hideMark/>
          </w:tcPr>
          <w:p w14:paraId="48C8A60A" w14:textId="77777777" w:rsidR="00D0721D" w:rsidRPr="00D0721D" w:rsidRDefault="00D0721D" w:rsidP="00D0721D">
            <w:pPr>
              <w:spacing w:before="80" w:after="80"/>
              <w:jc w:val="center"/>
              <w:rPr>
                <w:rFonts w:ascii="Arial" w:hAnsi="Arial" w:cs="Arial"/>
                <w:color w:val="FFFFFF" w:themeColor="background1"/>
                <w:sz w:val="20"/>
                <w:szCs w:val="20"/>
              </w:rPr>
            </w:pPr>
            <w:r w:rsidRPr="00D0721D">
              <w:rPr>
                <w:rFonts w:ascii="Arial" w:hAnsi="Arial" w:cs="Arial"/>
                <w:color w:val="FFFFFF" w:themeColor="background1"/>
                <w:sz w:val="20"/>
                <w:szCs w:val="20"/>
              </w:rPr>
              <w:t xml:space="preserve">Total </w:t>
            </w:r>
          </w:p>
        </w:tc>
        <w:tc>
          <w:tcPr>
            <w:tcW w:w="1936" w:type="dxa"/>
            <w:tcBorders>
              <w:top w:val="nil"/>
              <w:left w:val="nil"/>
              <w:bottom w:val="nil"/>
              <w:right w:val="nil"/>
            </w:tcBorders>
            <w:shd w:val="clear" w:color="auto" w:fill="4F81BD" w:themeFill="accent1"/>
            <w:vAlign w:val="center"/>
            <w:hideMark/>
          </w:tcPr>
          <w:p w14:paraId="549698B6" w14:textId="0DD99D30" w:rsidR="00D0721D" w:rsidRPr="001E323E" w:rsidRDefault="001E323E" w:rsidP="001E323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1E323E">
              <w:rPr>
                <w:rFonts w:ascii="Arial" w:hAnsi="Arial" w:cs="Arial"/>
                <w:b/>
                <w:bCs/>
                <w:color w:val="FFFFFF" w:themeColor="background1"/>
                <w:sz w:val="20"/>
                <w:szCs w:val="20"/>
              </w:rPr>
              <w:t>9.962.500</w:t>
            </w:r>
          </w:p>
        </w:tc>
        <w:tc>
          <w:tcPr>
            <w:tcW w:w="1803" w:type="dxa"/>
            <w:tcBorders>
              <w:top w:val="nil"/>
              <w:left w:val="nil"/>
              <w:bottom w:val="nil"/>
              <w:right w:val="nil"/>
            </w:tcBorders>
            <w:shd w:val="clear" w:color="auto" w:fill="4F81BD" w:themeFill="accent1"/>
            <w:vAlign w:val="center"/>
            <w:hideMark/>
          </w:tcPr>
          <w:p w14:paraId="306D581B" w14:textId="77777777" w:rsidR="00D0721D" w:rsidRPr="00D0721D" w:rsidRDefault="00D0721D" w:rsidP="00A05F9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0721D">
              <w:rPr>
                <w:rFonts w:ascii="Arial" w:hAnsi="Arial" w:cs="Arial"/>
                <w:b/>
                <w:bCs/>
                <w:color w:val="FFFFFF" w:themeColor="background1"/>
                <w:sz w:val="20"/>
                <w:szCs w:val="20"/>
              </w:rPr>
              <w:t>17.598.700</w:t>
            </w:r>
          </w:p>
        </w:tc>
        <w:tc>
          <w:tcPr>
            <w:tcW w:w="1795" w:type="dxa"/>
            <w:tcBorders>
              <w:top w:val="nil"/>
              <w:left w:val="nil"/>
              <w:bottom w:val="nil"/>
              <w:right w:val="nil"/>
            </w:tcBorders>
            <w:shd w:val="clear" w:color="auto" w:fill="4F81BD" w:themeFill="accent1"/>
            <w:vAlign w:val="center"/>
            <w:hideMark/>
          </w:tcPr>
          <w:p w14:paraId="6DD9E36A" w14:textId="014C102B" w:rsidR="00D0721D" w:rsidRPr="00342CB1" w:rsidRDefault="00342CB1" w:rsidP="00342CB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42CB1">
              <w:rPr>
                <w:rFonts w:ascii="Arial" w:hAnsi="Arial" w:cs="Arial"/>
                <w:b/>
                <w:bCs/>
                <w:color w:val="FFFFFF" w:themeColor="background1"/>
                <w:sz w:val="20"/>
                <w:szCs w:val="20"/>
              </w:rPr>
              <w:t>-7.636.200</w:t>
            </w:r>
          </w:p>
        </w:tc>
        <w:tc>
          <w:tcPr>
            <w:tcW w:w="1142" w:type="dxa"/>
            <w:tcBorders>
              <w:top w:val="nil"/>
              <w:left w:val="nil"/>
              <w:bottom w:val="nil"/>
              <w:right w:val="nil"/>
            </w:tcBorders>
            <w:shd w:val="clear" w:color="auto" w:fill="4F81BD" w:themeFill="accent1"/>
            <w:vAlign w:val="center"/>
            <w:hideMark/>
          </w:tcPr>
          <w:p w14:paraId="5AF65104" w14:textId="0866D236" w:rsidR="00D0721D" w:rsidRPr="00D0721D" w:rsidRDefault="00342CB1" w:rsidP="00342CB1">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(43</w:t>
            </w:r>
            <w:r w:rsidR="00D0721D" w:rsidRPr="00D0721D">
              <w:rPr>
                <w:rFonts w:ascii="Arial" w:hAnsi="Arial" w:cs="Arial"/>
                <w:b/>
                <w:bCs/>
                <w:color w:val="FFFFFF" w:themeColor="background1"/>
                <w:sz w:val="20"/>
                <w:szCs w:val="20"/>
              </w:rPr>
              <w:t>%</w:t>
            </w:r>
            <w:r>
              <w:rPr>
                <w:rFonts w:ascii="Arial" w:hAnsi="Arial" w:cs="Arial"/>
                <w:b/>
                <w:bCs/>
                <w:color w:val="FFFFFF" w:themeColor="background1"/>
                <w:sz w:val="20"/>
                <w:szCs w:val="20"/>
              </w:rPr>
              <w:t>)</w:t>
            </w:r>
          </w:p>
        </w:tc>
      </w:tr>
    </w:tbl>
    <w:p w14:paraId="26613F54" w14:textId="77777777" w:rsidR="0026607A" w:rsidRPr="00A003B6" w:rsidRDefault="00C977FD" w:rsidP="0026607A">
      <w:pPr>
        <w:rPr>
          <w:rFonts w:ascii="Arial" w:hAnsi="Arial" w:cs="Arial"/>
          <w:sz w:val="22"/>
          <w:szCs w:val="22"/>
          <w:highlight w:val="yellow"/>
        </w:rPr>
      </w:pPr>
      <w:r w:rsidRPr="00A003B6">
        <w:rPr>
          <w:rFonts w:ascii="Arial" w:hAnsi="Arial" w:cs="Arial"/>
          <w:sz w:val="22"/>
          <w:szCs w:val="22"/>
          <w:highlight w:val="yellow"/>
        </w:rPr>
        <w:t xml:space="preserve"> </w:t>
      </w:r>
    </w:p>
    <w:p w14:paraId="0D437E7D" w14:textId="44551CD5" w:rsidR="00233D31" w:rsidRDefault="005376A1" w:rsidP="00407B9E">
      <w:pPr>
        <w:jc w:val="both"/>
        <w:rPr>
          <w:rFonts w:ascii="Arial" w:hAnsi="Arial" w:cs="Arial"/>
          <w:sz w:val="22"/>
          <w:szCs w:val="22"/>
        </w:rPr>
      </w:pPr>
      <w:r w:rsidRPr="008F157F">
        <w:rPr>
          <w:rFonts w:ascii="Arial" w:hAnsi="Arial" w:cs="Arial"/>
          <w:sz w:val="22"/>
          <w:szCs w:val="22"/>
        </w:rPr>
        <w:t>Sobre</w:t>
      </w:r>
      <w:r w:rsidR="00233D31">
        <w:rPr>
          <w:rFonts w:ascii="Arial" w:hAnsi="Arial" w:cs="Arial"/>
          <w:sz w:val="22"/>
          <w:szCs w:val="22"/>
        </w:rPr>
        <w:t xml:space="preserve"> el particular, se evidenció una </w:t>
      </w:r>
      <w:r w:rsidR="00233D31" w:rsidRPr="00233D31">
        <w:rPr>
          <w:rFonts w:ascii="Arial" w:hAnsi="Arial" w:cs="Arial"/>
          <w:b/>
          <w:sz w:val="22"/>
          <w:szCs w:val="22"/>
        </w:rPr>
        <w:t>disminución</w:t>
      </w:r>
      <w:r w:rsidR="00233D31">
        <w:rPr>
          <w:rFonts w:ascii="Arial" w:hAnsi="Arial" w:cs="Arial"/>
          <w:sz w:val="22"/>
          <w:szCs w:val="22"/>
        </w:rPr>
        <w:t xml:space="preserve"> </w:t>
      </w:r>
      <w:r w:rsidRPr="008F157F">
        <w:rPr>
          <w:rFonts w:ascii="Arial" w:hAnsi="Arial" w:cs="Arial"/>
          <w:sz w:val="22"/>
          <w:szCs w:val="22"/>
        </w:rPr>
        <w:t>en el valor facturado</w:t>
      </w:r>
      <w:r w:rsidR="00911402" w:rsidRPr="008F157F">
        <w:rPr>
          <w:rFonts w:ascii="Arial" w:hAnsi="Arial" w:cs="Arial"/>
          <w:sz w:val="22"/>
          <w:szCs w:val="22"/>
        </w:rPr>
        <w:t xml:space="preserve"> por </w:t>
      </w:r>
      <w:r w:rsidRPr="008F157F">
        <w:rPr>
          <w:rFonts w:ascii="Arial" w:hAnsi="Arial" w:cs="Arial"/>
          <w:sz w:val="22"/>
          <w:szCs w:val="22"/>
        </w:rPr>
        <w:t xml:space="preserve">Imprenta Nacional de </w:t>
      </w:r>
      <w:r w:rsidR="00233D31">
        <w:rPr>
          <w:rFonts w:ascii="Arial" w:hAnsi="Arial" w:cs="Arial"/>
          <w:sz w:val="22"/>
          <w:szCs w:val="22"/>
        </w:rPr>
        <w:t>del 43</w:t>
      </w:r>
      <w:r w:rsidR="00911402" w:rsidRPr="008F157F">
        <w:rPr>
          <w:rFonts w:ascii="Arial" w:hAnsi="Arial" w:cs="Arial"/>
          <w:sz w:val="22"/>
          <w:szCs w:val="22"/>
        </w:rPr>
        <w:t xml:space="preserve">% </w:t>
      </w:r>
      <w:r w:rsidRPr="008F157F">
        <w:rPr>
          <w:rFonts w:ascii="Arial" w:hAnsi="Arial" w:cs="Arial"/>
          <w:sz w:val="22"/>
          <w:szCs w:val="22"/>
        </w:rPr>
        <w:t>[$</w:t>
      </w:r>
      <w:r w:rsidR="00233D31">
        <w:rPr>
          <w:rFonts w:ascii="Arial" w:hAnsi="Arial" w:cs="Arial"/>
          <w:sz w:val="22"/>
          <w:szCs w:val="22"/>
        </w:rPr>
        <w:t>7.636.200</w:t>
      </w:r>
      <w:r w:rsidRPr="008F157F">
        <w:rPr>
          <w:rFonts w:ascii="Arial" w:hAnsi="Arial" w:cs="Arial"/>
          <w:sz w:val="22"/>
          <w:szCs w:val="22"/>
        </w:rPr>
        <w:t xml:space="preserve">]; </w:t>
      </w:r>
      <w:r w:rsidR="00233D31">
        <w:rPr>
          <w:rFonts w:ascii="Arial" w:hAnsi="Arial" w:cs="Arial"/>
          <w:sz w:val="22"/>
          <w:szCs w:val="22"/>
        </w:rPr>
        <w:t>Es de precisar, que para el periodo de septiembre de 2019 no se incluyó el valor del servicio toda vez que la factura de dicho periodo se encuentra en revisión por parte del Grupo de Gestión de Información y a la fecha [26/11/2019] no se ha registrado la obligación para pago</w:t>
      </w:r>
      <w:r w:rsidR="00C55DDD">
        <w:rPr>
          <w:rFonts w:ascii="Arial" w:hAnsi="Arial" w:cs="Arial"/>
          <w:sz w:val="22"/>
          <w:szCs w:val="22"/>
        </w:rPr>
        <w:t>. S</w:t>
      </w:r>
      <w:r w:rsidR="00233D31">
        <w:rPr>
          <w:rFonts w:ascii="Arial" w:hAnsi="Arial" w:cs="Arial"/>
          <w:sz w:val="22"/>
          <w:szCs w:val="22"/>
        </w:rPr>
        <w:t xml:space="preserve">in embargo, según la información remitida por la Subdirección de Servicios, el gasto correspondiente al mes de septiembre de 2019 asciende a la suma de $ </w:t>
      </w:r>
      <w:r w:rsidR="00233D31" w:rsidRPr="00233D31">
        <w:rPr>
          <w:rFonts w:ascii="Arial" w:hAnsi="Arial" w:cs="Arial"/>
          <w:sz w:val="22"/>
          <w:szCs w:val="22"/>
        </w:rPr>
        <w:t>17</w:t>
      </w:r>
      <w:r w:rsidR="00233D31">
        <w:rPr>
          <w:rFonts w:ascii="Arial" w:hAnsi="Arial" w:cs="Arial"/>
          <w:sz w:val="22"/>
          <w:szCs w:val="22"/>
        </w:rPr>
        <w:t>.</w:t>
      </w:r>
      <w:r w:rsidR="00233D31" w:rsidRPr="00233D31">
        <w:rPr>
          <w:rFonts w:ascii="Arial" w:hAnsi="Arial" w:cs="Arial"/>
          <w:sz w:val="22"/>
          <w:szCs w:val="22"/>
        </w:rPr>
        <w:t>757</w:t>
      </w:r>
      <w:r w:rsidR="00233D31">
        <w:rPr>
          <w:rFonts w:ascii="Arial" w:hAnsi="Arial" w:cs="Arial"/>
          <w:sz w:val="22"/>
          <w:szCs w:val="22"/>
        </w:rPr>
        <w:t>.</w:t>
      </w:r>
      <w:r w:rsidR="00233D31" w:rsidRPr="00233D31">
        <w:rPr>
          <w:rFonts w:ascii="Arial" w:hAnsi="Arial" w:cs="Arial"/>
          <w:sz w:val="22"/>
          <w:szCs w:val="22"/>
        </w:rPr>
        <w:t>600</w:t>
      </w:r>
      <w:r w:rsidR="00233D31">
        <w:rPr>
          <w:rFonts w:ascii="Arial" w:hAnsi="Arial" w:cs="Arial"/>
          <w:sz w:val="22"/>
          <w:szCs w:val="22"/>
        </w:rPr>
        <w:t xml:space="preserve">. </w:t>
      </w:r>
      <w:r w:rsidR="00C55DDD">
        <w:rPr>
          <w:rFonts w:ascii="Arial" w:hAnsi="Arial" w:cs="Arial"/>
          <w:sz w:val="22"/>
          <w:szCs w:val="22"/>
        </w:rPr>
        <w:t xml:space="preserve">Teniendo en cuenta dicho gasto, el resultado de las variaciones serían </w:t>
      </w:r>
      <w:r w:rsidR="00233D31" w:rsidRPr="00233D31">
        <w:rPr>
          <w:rFonts w:ascii="Arial" w:hAnsi="Arial" w:cs="Arial"/>
          <w:b/>
          <w:sz w:val="22"/>
          <w:szCs w:val="22"/>
        </w:rPr>
        <w:t>positiva</w:t>
      </w:r>
      <w:r w:rsidR="00C55DDD">
        <w:rPr>
          <w:rFonts w:ascii="Arial" w:hAnsi="Arial" w:cs="Arial"/>
          <w:b/>
          <w:sz w:val="22"/>
          <w:szCs w:val="22"/>
        </w:rPr>
        <w:t>s,</w:t>
      </w:r>
      <w:r w:rsidR="00233D31">
        <w:rPr>
          <w:rFonts w:ascii="Arial" w:hAnsi="Arial" w:cs="Arial"/>
          <w:sz w:val="22"/>
          <w:szCs w:val="22"/>
        </w:rPr>
        <w:t xml:space="preserve"> correspondiente a un </w:t>
      </w:r>
      <w:r w:rsidR="00233D31" w:rsidRPr="00A00B72">
        <w:rPr>
          <w:rFonts w:ascii="Arial" w:hAnsi="Arial" w:cs="Arial"/>
          <w:b/>
          <w:sz w:val="22"/>
          <w:szCs w:val="22"/>
        </w:rPr>
        <w:t>incremento del 58%.</w:t>
      </w:r>
      <w:r w:rsidR="00233D31">
        <w:rPr>
          <w:rFonts w:ascii="Arial" w:hAnsi="Arial" w:cs="Arial"/>
          <w:sz w:val="22"/>
          <w:szCs w:val="22"/>
        </w:rPr>
        <w:t xml:space="preserve"> </w:t>
      </w:r>
    </w:p>
    <w:p w14:paraId="0BFC25E1" w14:textId="77777777" w:rsidR="00C55DDD" w:rsidRDefault="00C55DDD" w:rsidP="00407B9E">
      <w:pPr>
        <w:jc w:val="both"/>
        <w:rPr>
          <w:rFonts w:ascii="Arial" w:hAnsi="Arial" w:cs="Arial"/>
          <w:sz w:val="22"/>
          <w:szCs w:val="22"/>
        </w:rPr>
      </w:pPr>
    </w:p>
    <w:p w14:paraId="7BC73E85" w14:textId="798EFA98" w:rsidR="0026607A" w:rsidRPr="008F157F" w:rsidRDefault="002E3534" w:rsidP="00407B9E">
      <w:pPr>
        <w:jc w:val="both"/>
        <w:rPr>
          <w:rFonts w:ascii="Arial" w:hAnsi="Arial" w:cs="Arial"/>
          <w:sz w:val="22"/>
          <w:szCs w:val="22"/>
        </w:rPr>
      </w:pPr>
      <w:r>
        <w:rPr>
          <w:rFonts w:ascii="Arial" w:hAnsi="Arial" w:cs="Arial"/>
          <w:sz w:val="22"/>
          <w:szCs w:val="22"/>
        </w:rPr>
        <w:t xml:space="preserve">Al respecto, </w:t>
      </w:r>
      <w:r w:rsidR="008F157F">
        <w:rPr>
          <w:rFonts w:ascii="Arial" w:hAnsi="Arial" w:cs="Arial"/>
          <w:sz w:val="22"/>
          <w:szCs w:val="22"/>
        </w:rPr>
        <w:t xml:space="preserve">el </w:t>
      </w:r>
      <w:r w:rsidR="00721B33">
        <w:rPr>
          <w:rFonts w:ascii="Arial" w:hAnsi="Arial" w:cs="Arial"/>
          <w:sz w:val="22"/>
          <w:szCs w:val="22"/>
        </w:rPr>
        <w:t xml:space="preserve">Coordinador del </w:t>
      </w:r>
      <w:r w:rsidR="008F157F">
        <w:rPr>
          <w:rFonts w:ascii="Arial" w:hAnsi="Arial" w:cs="Arial"/>
          <w:sz w:val="22"/>
          <w:szCs w:val="22"/>
        </w:rPr>
        <w:t xml:space="preserve">Grupo de Gestión de Información, </w:t>
      </w:r>
      <w:r w:rsidR="00115B0A">
        <w:rPr>
          <w:rFonts w:ascii="Arial" w:hAnsi="Arial" w:cs="Arial"/>
          <w:sz w:val="22"/>
          <w:szCs w:val="22"/>
        </w:rPr>
        <w:t xml:space="preserve">manifestó que </w:t>
      </w:r>
      <w:r w:rsidR="005376A1" w:rsidRPr="008F157F">
        <w:rPr>
          <w:rFonts w:ascii="Arial" w:hAnsi="Arial" w:cs="Arial"/>
          <w:sz w:val="22"/>
          <w:szCs w:val="22"/>
        </w:rPr>
        <w:t xml:space="preserve">las publicaciones se realizan </w:t>
      </w:r>
      <w:r w:rsidR="008F157F">
        <w:rPr>
          <w:rFonts w:ascii="Arial" w:hAnsi="Arial" w:cs="Arial"/>
          <w:sz w:val="22"/>
          <w:szCs w:val="22"/>
        </w:rPr>
        <w:t xml:space="preserve">según </w:t>
      </w:r>
      <w:r w:rsidR="005376A1" w:rsidRPr="008F157F">
        <w:rPr>
          <w:rFonts w:ascii="Arial" w:hAnsi="Arial" w:cs="Arial"/>
          <w:sz w:val="22"/>
          <w:szCs w:val="22"/>
        </w:rPr>
        <w:t>las necesidades del servic</w:t>
      </w:r>
      <w:r w:rsidR="00911402" w:rsidRPr="008F157F">
        <w:rPr>
          <w:rFonts w:ascii="Arial" w:hAnsi="Arial" w:cs="Arial"/>
          <w:sz w:val="22"/>
          <w:szCs w:val="22"/>
        </w:rPr>
        <w:t>io requeridas por este Ministerio, teniendo en cuent</w:t>
      </w:r>
      <w:r w:rsidR="00157EFE" w:rsidRPr="008F157F">
        <w:rPr>
          <w:rFonts w:ascii="Arial" w:hAnsi="Arial" w:cs="Arial"/>
          <w:sz w:val="22"/>
          <w:szCs w:val="22"/>
        </w:rPr>
        <w:t xml:space="preserve">a la obligatoriedad de publicar </w:t>
      </w:r>
      <w:r w:rsidR="00911402" w:rsidRPr="008F157F">
        <w:rPr>
          <w:rFonts w:ascii="Arial" w:hAnsi="Arial" w:cs="Arial"/>
          <w:sz w:val="22"/>
          <w:szCs w:val="22"/>
        </w:rPr>
        <w:t xml:space="preserve">los actos administrativos que expide esta Entidad. </w:t>
      </w:r>
    </w:p>
    <w:p w14:paraId="25B67FAF" w14:textId="77777777" w:rsidR="00B7591A" w:rsidRPr="00A003B6" w:rsidRDefault="00B7591A" w:rsidP="003D27C6">
      <w:pPr>
        <w:spacing w:line="168" w:lineRule="auto"/>
        <w:rPr>
          <w:rFonts w:ascii="Arial" w:hAnsi="Arial" w:cs="Arial"/>
          <w:sz w:val="22"/>
          <w:szCs w:val="22"/>
          <w:highlight w:val="yellow"/>
        </w:rPr>
      </w:pPr>
    </w:p>
    <w:p w14:paraId="3A6081F9" w14:textId="630C4562" w:rsidR="00B80E51" w:rsidRDefault="005A6D28" w:rsidP="00C06FE5">
      <w:pPr>
        <w:pStyle w:val="Default"/>
        <w:jc w:val="both"/>
        <w:rPr>
          <w:rFonts w:eastAsia="Times New Roman"/>
          <w:sz w:val="22"/>
          <w:szCs w:val="22"/>
          <w:lang w:eastAsia="es-CO"/>
        </w:rPr>
      </w:pPr>
      <w:r w:rsidRPr="00F23638">
        <w:rPr>
          <w:sz w:val="22"/>
          <w:szCs w:val="22"/>
        </w:rPr>
        <w:t xml:space="preserve">Con respecto al contratista </w:t>
      </w:r>
      <w:r w:rsidRPr="00F23638">
        <w:rPr>
          <w:rFonts w:eastAsia="Times New Roman"/>
          <w:sz w:val="22"/>
          <w:szCs w:val="22"/>
          <w:lang w:eastAsia="es-CO"/>
        </w:rPr>
        <w:t xml:space="preserve">Big Media Publicidad SAS, </w:t>
      </w:r>
      <w:r w:rsidR="00613A70">
        <w:rPr>
          <w:rFonts w:eastAsia="Times New Roman"/>
          <w:sz w:val="22"/>
          <w:szCs w:val="22"/>
          <w:lang w:eastAsia="es-CO"/>
        </w:rPr>
        <w:t xml:space="preserve">con base en </w:t>
      </w:r>
      <w:r w:rsidR="00EB4537">
        <w:rPr>
          <w:rFonts w:eastAsia="Times New Roman"/>
          <w:sz w:val="22"/>
          <w:szCs w:val="22"/>
          <w:lang w:eastAsia="es-CO"/>
        </w:rPr>
        <w:t xml:space="preserve">la revisión física al expediente del contrato, se observó que el contratista </w:t>
      </w:r>
      <w:r w:rsidR="000A6E52">
        <w:rPr>
          <w:rFonts w:eastAsia="Times New Roman"/>
          <w:sz w:val="22"/>
          <w:szCs w:val="22"/>
          <w:lang w:eastAsia="es-CO"/>
        </w:rPr>
        <w:t>expidió la factura No. 1947 del 10 de octubre de 2019 por valor de $ 1.447.349 correspondiente a la pauta del 1/08/2019.</w:t>
      </w:r>
      <w:r w:rsidR="00283AC9">
        <w:rPr>
          <w:rFonts w:eastAsia="Times New Roman"/>
          <w:sz w:val="22"/>
          <w:szCs w:val="22"/>
          <w:lang w:eastAsia="es-CO"/>
        </w:rPr>
        <w:t xml:space="preserve"> En este punto es im</w:t>
      </w:r>
      <w:r w:rsidR="005B0217">
        <w:rPr>
          <w:rFonts w:eastAsia="Times New Roman"/>
          <w:sz w:val="22"/>
          <w:szCs w:val="22"/>
          <w:lang w:eastAsia="es-CO"/>
        </w:rPr>
        <w:t>portante precisar, que e</w:t>
      </w:r>
      <w:r w:rsidR="00283AC9">
        <w:rPr>
          <w:rFonts w:eastAsia="Times New Roman"/>
          <w:sz w:val="22"/>
          <w:szCs w:val="22"/>
          <w:lang w:eastAsia="es-CO"/>
        </w:rPr>
        <w:t>l contrato en cuestión</w:t>
      </w:r>
      <w:r w:rsidR="005B0217">
        <w:rPr>
          <w:rFonts w:eastAsia="Times New Roman"/>
          <w:sz w:val="22"/>
          <w:szCs w:val="22"/>
          <w:lang w:eastAsia="es-CO"/>
        </w:rPr>
        <w:t xml:space="preserve"> [3.245.-2019]</w:t>
      </w:r>
      <w:r w:rsidR="00283AC9">
        <w:rPr>
          <w:rFonts w:eastAsia="Times New Roman"/>
          <w:sz w:val="22"/>
          <w:szCs w:val="22"/>
          <w:lang w:eastAsia="es-CO"/>
        </w:rPr>
        <w:t xml:space="preserve"> fue suscrito el 8 de mayo de 2019</w:t>
      </w:r>
      <w:r w:rsidR="00AE1BCD">
        <w:rPr>
          <w:rFonts w:eastAsia="Times New Roman"/>
          <w:sz w:val="22"/>
          <w:szCs w:val="22"/>
          <w:lang w:eastAsia="es-CO"/>
        </w:rPr>
        <w:t xml:space="preserve"> con plazo de ejecución </w:t>
      </w:r>
      <w:r w:rsidR="00283AC9">
        <w:rPr>
          <w:rFonts w:eastAsia="Times New Roman"/>
          <w:sz w:val="22"/>
          <w:szCs w:val="22"/>
          <w:lang w:eastAsia="es-CO"/>
        </w:rPr>
        <w:t>hasta el 30 de noviembre de 2019</w:t>
      </w:r>
      <w:r w:rsidR="003D5D51">
        <w:rPr>
          <w:rFonts w:eastAsia="Times New Roman"/>
          <w:sz w:val="22"/>
          <w:szCs w:val="22"/>
          <w:lang w:eastAsia="es-CO"/>
        </w:rPr>
        <w:t xml:space="preserve"> por valor de $ 42.333.440, </w:t>
      </w:r>
      <w:r w:rsidR="005B0217">
        <w:rPr>
          <w:rFonts w:eastAsia="Times New Roman"/>
          <w:sz w:val="22"/>
          <w:szCs w:val="22"/>
          <w:lang w:eastAsia="es-CO"/>
        </w:rPr>
        <w:t xml:space="preserve">es decir, el avance de la ejecución del contrato está en un 3.41%. </w:t>
      </w:r>
      <w:r w:rsidR="00B80E51">
        <w:rPr>
          <w:rFonts w:eastAsia="Times New Roman"/>
          <w:sz w:val="22"/>
          <w:szCs w:val="22"/>
          <w:lang w:eastAsia="es-CO"/>
        </w:rPr>
        <w:t>De acuerdo con la revisión documental del expediente del contrato se observó que el informe de supervisión allí adjunto</w:t>
      </w:r>
      <w:r w:rsidR="00613A70">
        <w:rPr>
          <w:rFonts w:eastAsia="Times New Roman"/>
          <w:sz w:val="22"/>
          <w:szCs w:val="22"/>
          <w:lang w:eastAsia="es-CO"/>
        </w:rPr>
        <w:t>,</w:t>
      </w:r>
      <w:r w:rsidR="00B80E51">
        <w:rPr>
          <w:rFonts w:eastAsia="Times New Roman"/>
          <w:sz w:val="22"/>
          <w:szCs w:val="22"/>
          <w:lang w:eastAsia="es-CO"/>
        </w:rPr>
        <w:t xml:space="preserve"> corresponde al periodo de agosto de 2019</w:t>
      </w:r>
      <w:r w:rsidR="00035E54">
        <w:rPr>
          <w:rFonts w:eastAsia="Times New Roman"/>
          <w:sz w:val="22"/>
          <w:szCs w:val="22"/>
          <w:lang w:eastAsia="es-CO"/>
        </w:rPr>
        <w:t xml:space="preserve">, </w:t>
      </w:r>
      <w:r w:rsidR="00AD7F39">
        <w:rPr>
          <w:rFonts w:eastAsia="Times New Roman"/>
          <w:sz w:val="22"/>
          <w:szCs w:val="22"/>
          <w:lang w:eastAsia="es-CO"/>
        </w:rPr>
        <w:t xml:space="preserve">en donde se </w:t>
      </w:r>
      <w:r w:rsidR="00035E54">
        <w:rPr>
          <w:rFonts w:eastAsia="Times New Roman"/>
          <w:sz w:val="22"/>
          <w:szCs w:val="22"/>
          <w:lang w:eastAsia="es-CO"/>
        </w:rPr>
        <w:t xml:space="preserve">manifiesta que el avance de la obligación </w:t>
      </w:r>
      <w:r w:rsidR="00AE1BCD">
        <w:rPr>
          <w:rFonts w:eastAsia="Times New Roman"/>
          <w:sz w:val="22"/>
          <w:szCs w:val="22"/>
          <w:lang w:eastAsia="es-CO"/>
        </w:rPr>
        <w:t>se</w:t>
      </w:r>
      <w:r w:rsidR="00035E54">
        <w:rPr>
          <w:rFonts w:eastAsia="Times New Roman"/>
          <w:sz w:val="22"/>
          <w:szCs w:val="22"/>
          <w:lang w:eastAsia="es-CO"/>
        </w:rPr>
        <w:t xml:space="preserve"> desarrolla</w:t>
      </w:r>
      <w:r w:rsidR="00B80E51">
        <w:rPr>
          <w:rFonts w:eastAsia="Times New Roman"/>
          <w:sz w:val="22"/>
          <w:szCs w:val="22"/>
          <w:lang w:eastAsia="es-CO"/>
        </w:rPr>
        <w:t xml:space="preserve"> </w:t>
      </w:r>
      <w:r w:rsidR="00035E54">
        <w:rPr>
          <w:rFonts w:eastAsia="Times New Roman"/>
          <w:sz w:val="22"/>
          <w:szCs w:val="22"/>
          <w:lang w:eastAsia="es-CO"/>
        </w:rPr>
        <w:t xml:space="preserve">con normalidad. </w:t>
      </w:r>
    </w:p>
    <w:p w14:paraId="310303AC" w14:textId="77777777" w:rsidR="00227862" w:rsidRDefault="00227862" w:rsidP="003D27C6">
      <w:pPr>
        <w:spacing w:line="168" w:lineRule="auto"/>
        <w:rPr>
          <w:sz w:val="22"/>
          <w:szCs w:val="22"/>
        </w:rPr>
      </w:pPr>
    </w:p>
    <w:p w14:paraId="4ECF1869" w14:textId="72A86D3B" w:rsidR="00CA3872" w:rsidRDefault="00227862" w:rsidP="004D400B">
      <w:pPr>
        <w:pStyle w:val="Default"/>
        <w:jc w:val="both"/>
        <w:rPr>
          <w:sz w:val="22"/>
          <w:szCs w:val="22"/>
        </w:rPr>
      </w:pPr>
      <w:r>
        <w:rPr>
          <w:sz w:val="22"/>
          <w:szCs w:val="22"/>
        </w:rPr>
        <w:t xml:space="preserve">Al respecto, </w:t>
      </w:r>
      <w:r w:rsidR="004B1449">
        <w:rPr>
          <w:sz w:val="22"/>
          <w:szCs w:val="22"/>
        </w:rPr>
        <w:t xml:space="preserve">el </w:t>
      </w:r>
      <w:r>
        <w:rPr>
          <w:sz w:val="22"/>
          <w:szCs w:val="22"/>
        </w:rPr>
        <w:t xml:space="preserve">Grupo de Gestión de Información </w:t>
      </w:r>
      <w:r w:rsidR="004B1449">
        <w:rPr>
          <w:sz w:val="22"/>
          <w:szCs w:val="22"/>
        </w:rPr>
        <w:t xml:space="preserve">informó que el 29 de noviembre de 2019 se suscribió el otrosí # 1 en donde se modificó el plazo del contrato, ampliando el mismo hasta el 31 de diciembre de 2019.  </w:t>
      </w:r>
    </w:p>
    <w:p w14:paraId="289B17E9" w14:textId="77777777" w:rsidR="00607BC4" w:rsidRDefault="00607BC4" w:rsidP="00077004">
      <w:pPr>
        <w:pStyle w:val="Default"/>
        <w:jc w:val="both"/>
        <w:rPr>
          <w:sz w:val="22"/>
          <w:szCs w:val="22"/>
        </w:rPr>
      </w:pPr>
    </w:p>
    <w:p w14:paraId="7F7F4CBA" w14:textId="1283DF2B" w:rsidR="00FF425E" w:rsidRDefault="00B7591A" w:rsidP="00077004">
      <w:pPr>
        <w:pStyle w:val="Default"/>
        <w:jc w:val="both"/>
        <w:rPr>
          <w:sz w:val="22"/>
          <w:szCs w:val="22"/>
        </w:rPr>
      </w:pPr>
      <w:r w:rsidRPr="00F23638">
        <w:rPr>
          <w:sz w:val="22"/>
          <w:szCs w:val="22"/>
        </w:rPr>
        <w:t xml:space="preserve"> </w:t>
      </w:r>
    </w:p>
    <w:p w14:paraId="681524CC" w14:textId="77777777" w:rsidR="007B5196" w:rsidRPr="00A003B6" w:rsidRDefault="007B5196" w:rsidP="00077004">
      <w:pPr>
        <w:pStyle w:val="Default"/>
        <w:jc w:val="both"/>
        <w:rPr>
          <w:sz w:val="22"/>
          <w:szCs w:val="22"/>
          <w:highlight w:val="yellow"/>
        </w:rPr>
      </w:pPr>
    </w:p>
    <w:p w14:paraId="51AF6DD6" w14:textId="1FE70731" w:rsidR="00FF425E" w:rsidRPr="00646A4E" w:rsidRDefault="00FF425E" w:rsidP="00646A4E">
      <w:pPr>
        <w:pStyle w:val="Prrafodelista"/>
        <w:numPr>
          <w:ilvl w:val="0"/>
          <w:numId w:val="8"/>
        </w:numPr>
        <w:ind w:left="284" w:hanging="284"/>
        <w:contextualSpacing w:val="0"/>
        <w:rPr>
          <w:rFonts w:ascii="Arial" w:hAnsi="Arial" w:cs="Arial"/>
          <w:b/>
          <w:sz w:val="22"/>
          <w:szCs w:val="22"/>
        </w:rPr>
      </w:pPr>
      <w:r w:rsidRPr="00646A4E">
        <w:rPr>
          <w:rFonts w:ascii="Arial" w:hAnsi="Arial" w:cs="Arial"/>
          <w:b/>
          <w:sz w:val="22"/>
          <w:szCs w:val="22"/>
        </w:rPr>
        <w:t xml:space="preserve">PAPELERÍA Y TELEFONÍA </w:t>
      </w:r>
    </w:p>
    <w:p w14:paraId="12CD425B" w14:textId="77777777" w:rsidR="00646A4E" w:rsidRDefault="00646A4E" w:rsidP="00646A4E">
      <w:pPr>
        <w:rPr>
          <w:rFonts w:ascii="Arial" w:hAnsi="Arial" w:cs="Arial"/>
          <w:sz w:val="22"/>
          <w:szCs w:val="22"/>
        </w:rPr>
      </w:pPr>
    </w:p>
    <w:p w14:paraId="1E91D98B" w14:textId="486982D7" w:rsidR="00FF425E" w:rsidRPr="00646A4E" w:rsidRDefault="00FF425E" w:rsidP="00F52217">
      <w:pPr>
        <w:jc w:val="both"/>
        <w:rPr>
          <w:rFonts w:ascii="Arial" w:hAnsi="Arial" w:cs="Arial"/>
          <w:sz w:val="22"/>
          <w:szCs w:val="22"/>
        </w:rPr>
      </w:pPr>
      <w:r w:rsidRPr="00646A4E">
        <w:rPr>
          <w:rFonts w:ascii="Arial" w:hAnsi="Arial" w:cs="Arial"/>
          <w:sz w:val="22"/>
          <w:szCs w:val="22"/>
        </w:rPr>
        <w:t xml:space="preserve">La Directiva Presidencial 09 de 2018, en el numeral 6 estableció los siguientes lineamientos de austeridad </w:t>
      </w:r>
      <w:r w:rsidR="000F2A04" w:rsidRPr="00646A4E">
        <w:rPr>
          <w:rFonts w:ascii="Arial" w:hAnsi="Arial" w:cs="Arial"/>
          <w:sz w:val="22"/>
          <w:szCs w:val="22"/>
        </w:rPr>
        <w:t xml:space="preserve">relacionados con los gastos de papelería y telefonía, así:  </w:t>
      </w:r>
    </w:p>
    <w:p w14:paraId="5C537AA4" w14:textId="77777777" w:rsidR="000F2A04" w:rsidRPr="00646A4E" w:rsidRDefault="000F2A04" w:rsidP="00F52217">
      <w:pPr>
        <w:jc w:val="both"/>
        <w:rPr>
          <w:rFonts w:ascii="Arial" w:hAnsi="Arial" w:cs="Arial"/>
          <w:sz w:val="22"/>
          <w:szCs w:val="22"/>
        </w:rPr>
      </w:pPr>
    </w:p>
    <w:p w14:paraId="0994DAEB" w14:textId="77777777" w:rsidR="000F2A04" w:rsidRPr="00646A4E" w:rsidRDefault="000F2A04" w:rsidP="00F52217">
      <w:pPr>
        <w:pStyle w:val="Prrafodelista"/>
        <w:numPr>
          <w:ilvl w:val="0"/>
          <w:numId w:val="9"/>
        </w:numPr>
        <w:spacing w:after="120"/>
        <w:ind w:left="284" w:hanging="281"/>
        <w:contextualSpacing w:val="0"/>
        <w:rPr>
          <w:rFonts w:ascii="Arial" w:hAnsi="Arial" w:cs="Arial"/>
          <w:color w:val="000000"/>
          <w:sz w:val="22"/>
          <w:szCs w:val="22"/>
        </w:rPr>
      </w:pPr>
      <w:r w:rsidRPr="00646A4E">
        <w:rPr>
          <w:rFonts w:ascii="Arial" w:hAnsi="Arial" w:cs="Arial"/>
          <w:color w:val="000000"/>
          <w:sz w:val="22"/>
          <w:szCs w:val="22"/>
        </w:rPr>
        <w:t>Utilizar medios digitales, de manera preferente, y evitar impresiones. En caso de realizar impresiones, racionalizar el uso de papel y de tinta.</w:t>
      </w:r>
    </w:p>
    <w:p w14:paraId="2E9F2E15" w14:textId="77777777" w:rsidR="000F2A04" w:rsidRPr="00646A4E" w:rsidRDefault="000F2A04" w:rsidP="00F52217">
      <w:pPr>
        <w:pStyle w:val="Prrafodelista"/>
        <w:numPr>
          <w:ilvl w:val="0"/>
          <w:numId w:val="9"/>
        </w:numPr>
        <w:spacing w:after="120"/>
        <w:ind w:left="284" w:hanging="284"/>
        <w:contextualSpacing w:val="0"/>
        <w:rPr>
          <w:rFonts w:ascii="Arial" w:hAnsi="Arial" w:cs="Arial"/>
          <w:color w:val="000000"/>
          <w:sz w:val="22"/>
          <w:szCs w:val="22"/>
        </w:rPr>
      </w:pPr>
      <w:r w:rsidRPr="00646A4E">
        <w:rPr>
          <w:rFonts w:ascii="Arial" w:hAnsi="Arial" w:cs="Arial"/>
          <w:color w:val="000000"/>
          <w:sz w:val="22"/>
          <w:szCs w:val="22"/>
        </w:rPr>
        <w:t>Racionalizar llamadas telefónicas internacionales, nacionales y a celulares y privilegiar sistemas basados en protocolo de internet.</w:t>
      </w:r>
    </w:p>
    <w:p w14:paraId="2BB7A4C3" w14:textId="762A90ED" w:rsidR="000F2A04" w:rsidRPr="007B5196" w:rsidRDefault="000F2A04" w:rsidP="00F52217">
      <w:pPr>
        <w:pStyle w:val="Prrafodelista"/>
        <w:numPr>
          <w:ilvl w:val="0"/>
          <w:numId w:val="9"/>
        </w:numPr>
        <w:ind w:left="284" w:hanging="284"/>
        <w:rPr>
          <w:rFonts w:ascii="Arial" w:hAnsi="Arial" w:cs="Arial"/>
          <w:sz w:val="22"/>
          <w:szCs w:val="22"/>
        </w:rPr>
      </w:pPr>
      <w:r w:rsidRPr="00646A4E">
        <w:rPr>
          <w:rFonts w:ascii="Arial" w:hAnsi="Arial" w:cs="Arial"/>
          <w:color w:val="000000"/>
          <w:sz w:val="22"/>
          <w:szCs w:val="22"/>
        </w:rPr>
        <w:t>Reducir el consumo, reutilizar y reciclar implementos de oficina</w:t>
      </w:r>
    </w:p>
    <w:p w14:paraId="5A06CB9B" w14:textId="616B41BC" w:rsidR="007B5196" w:rsidRDefault="007B5196" w:rsidP="007B5196">
      <w:pPr>
        <w:rPr>
          <w:rFonts w:ascii="Arial" w:hAnsi="Arial" w:cs="Arial"/>
          <w:sz w:val="22"/>
          <w:szCs w:val="22"/>
        </w:rPr>
      </w:pPr>
    </w:p>
    <w:p w14:paraId="6AC5C24E" w14:textId="77777777" w:rsidR="007B5196" w:rsidRPr="007B5196" w:rsidRDefault="007B5196" w:rsidP="007B5196">
      <w:pPr>
        <w:rPr>
          <w:rFonts w:ascii="Arial" w:hAnsi="Arial" w:cs="Arial"/>
          <w:sz w:val="22"/>
          <w:szCs w:val="22"/>
        </w:rPr>
      </w:pPr>
    </w:p>
    <w:p w14:paraId="3F388B1B" w14:textId="77777777" w:rsidR="00855434" w:rsidRPr="00646A4E" w:rsidRDefault="00855434" w:rsidP="00EA11E8">
      <w:pPr>
        <w:jc w:val="both"/>
        <w:rPr>
          <w:rFonts w:ascii="Arial" w:hAnsi="Arial" w:cs="Arial"/>
          <w:sz w:val="22"/>
          <w:szCs w:val="22"/>
        </w:rPr>
      </w:pPr>
      <w:r w:rsidRPr="00646A4E">
        <w:rPr>
          <w:rFonts w:ascii="Arial" w:hAnsi="Arial" w:cs="Arial"/>
          <w:sz w:val="22"/>
          <w:szCs w:val="22"/>
        </w:rPr>
        <w:lastRenderedPageBreak/>
        <w:t xml:space="preserve">De igual forma, </w:t>
      </w:r>
      <w:r w:rsidR="00CF6A3A" w:rsidRPr="00646A4E">
        <w:rPr>
          <w:rFonts w:ascii="Arial" w:hAnsi="Arial" w:cs="Arial"/>
          <w:sz w:val="22"/>
          <w:szCs w:val="22"/>
        </w:rPr>
        <w:t xml:space="preserve">en el artículo 81, numeral 3 de </w:t>
      </w:r>
      <w:r w:rsidRPr="00646A4E">
        <w:rPr>
          <w:rFonts w:ascii="Arial" w:hAnsi="Arial" w:cs="Arial"/>
          <w:sz w:val="22"/>
          <w:szCs w:val="22"/>
        </w:rPr>
        <w:t>la Ley 1940 de 2018 definió la siguiente directriz dentro del marco del plan de austeridad</w:t>
      </w:r>
      <w:r w:rsidR="00E33633" w:rsidRPr="00646A4E">
        <w:rPr>
          <w:rFonts w:ascii="Arial" w:hAnsi="Arial" w:cs="Arial"/>
          <w:sz w:val="22"/>
          <w:szCs w:val="22"/>
        </w:rPr>
        <w:t xml:space="preserve">: </w:t>
      </w:r>
      <w:r w:rsidRPr="00646A4E">
        <w:rPr>
          <w:rFonts w:ascii="Arial" w:hAnsi="Arial" w:cs="Arial"/>
          <w:i/>
          <w:color w:val="161616"/>
          <w:sz w:val="22"/>
          <w:szCs w:val="22"/>
        </w:rPr>
        <w:t>Contratar planes corporativos de telefonía móvil y conmutada que permitan</w:t>
      </w:r>
      <w:r w:rsidR="00E33633" w:rsidRPr="00646A4E">
        <w:rPr>
          <w:rFonts w:ascii="Arial" w:hAnsi="Arial" w:cs="Arial"/>
          <w:i/>
          <w:color w:val="161616"/>
          <w:sz w:val="22"/>
          <w:szCs w:val="22"/>
        </w:rPr>
        <w:t xml:space="preserve"> </w:t>
      </w:r>
      <w:r w:rsidRPr="00646A4E">
        <w:rPr>
          <w:rFonts w:ascii="Arial" w:hAnsi="Arial" w:cs="Arial"/>
          <w:i/>
          <w:color w:val="161616"/>
          <w:sz w:val="22"/>
          <w:szCs w:val="22"/>
        </w:rPr>
        <w:t>lograr ahorros del</w:t>
      </w:r>
      <w:r w:rsidR="00E33633" w:rsidRPr="00646A4E">
        <w:rPr>
          <w:rFonts w:ascii="Arial" w:hAnsi="Arial" w:cs="Arial"/>
          <w:i/>
          <w:color w:val="161616"/>
          <w:sz w:val="22"/>
          <w:szCs w:val="22"/>
        </w:rPr>
        <w:t xml:space="preserve"> </w:t>
      </w:r>
      <w:r w:rsidRPr="00646A4E">
        <w:rPr>
          <w:rFonts w:ascii="Arial" w:hAnsi="Arial" w:cs="Arial"/>
          <w:i/>
          <w:color w:val="161616"/>
          <w:sz w:val="22"/>
          <w:szCs w:val="22"/>
        </w:rPr>
        <w:t>15% respecto del consumo del año anterior. No se podrá adquirir nuevos equipos</w:t>
      </w:r>
      <w:r w:rsidR="00E33633" w:rsidRPr="00646A4E">
        <w:rPr>
          <w:rFonts w:ascii="Arial" w:hAnsi="Arial" w:cs="Arial"/>
          <w:i/>
          <w:color w:val="161616"/>
          <w:sz w:val="22"/>
          <w:szCs w:val="22"/>
        </w:rPr>
        <w:t xml:space="preserve"> </w:t>
      </w:r>
      <w:r w:rsidRPr="00646A4E">
        <w:rPr>
          <w:rFonts w:ascii="Arial" w:hAnsi="Arial" w:cs="Arial"/>
          <w:i/>
          <w:color w:val="161616"/>
          <w:sz w:val="22"/>
          <w:szCs w:val="22"/>
        </w:rPr>
        <w:t>de telefonía</w:t>
      </w:r>
      <w:r w:rsidR="00E33633" w:rsidRPr="00646A4E">
        <w:rPr>
          <w:rFonts w:ascii="Arial" w:hAnsi="Arial" w:cs="Arial"/>
          <w:i/>
          <w:color w:val="161616"/>
          <w:sz w:val="22"/>
          <w:szCs w:val="22"/>
        </w:rPr>
        <w:t xml:space="preserve"> </w:t>
      </w:r>
      <w:r w:rsidRPr="00646A4E">
        <w:rPr>
          <w:rFonts w:ascii="Arial" w:hAnsi="Arial" w:cs="Arial"/>
          <w:i/>
          <w:color w:val="161616"/>
          <w:sz w:val="22"/>
          <w:szCs w:val="22"/>
        </w:rPr>
        <w:t>celular, salvo que las reposiciones de los equipos no representen costos adicionales</w:t>
      </w:r>
      <w:r w:rsidRPr="00646A4E">
        <w:rPr>
          <w:rFonts w:ascii="Arial" w:hAnsi="Arial" w:cs="Arial"/>
          <w:color w:val="161616"/>
          <w:sz w:val="22"/>
          <w:szCs w:val="22"/>
        </w:rPr>
        <w:t>.</w:t>
      </w:r>
    </w:p>
    <w:p w14:paraId="773D6279" w14:textId="77777777" w:rsidR="00855434" w:rsidRPr="00646A4E" w:rsidRDefault="00855434" w:rsidP="00591EA4">
      <w:pPr>
        <w:spacing w:line="168" w:lineRule="auto"/>
        <w:rPr>
          <w:rFonts w:ascii="Arial" w:hAnsi="Arial" w:cs="Arial"/>
          <w:b/>
          <w:sz w:val="22"/>
          <w:szCs w:val="22"/>
        </w:rPr>
      </w:pPr>
    </w:p>
    <w:p w14:paraId="08F7A9BB" w14:textId="77777777" w:rsidR="009C4E81" w:rsidRPr="00646A4E" w:rsidRDefault="009C4E81" w:rsidP="00BD7AD1">
      <w:pPr>
        <w:jc w:val="both"/>
        <w:rPr>
          <w:rFonts w:ascii="Arial" w:hAnsi="Arial" w:cs="Arial"/>
          <w:sz w:val="22"/>
          <w:szCs w:val="22"/>
        </w:rPr>
      </w:pPr>
      <w:r w:rsidRPr="00646A4E">
        <w:rPr>
          <w:rFonts w:ascii="Arial" w:hAnsi="Arial" w:cs="Arial"/>
          <w:sz w:val="22"/>
          <w:szCs w:val="22"/>
        </w:rPr>
        <w:t>Teniendo en cuenta lo antes mencionado, se presenta el análisis realizado a los conceptos indicados:</w:t>
      </w:r>
    </w:p>
    <w:p w14:paraId="20372275" w14:textId="77777777" w:rsidR="00FF425E" w:rsidRPr="00646A4E" w:rsidRDefault="00FF425E" w:rsidP="00591EA4">
      <w:pPr>
        <w:spacing w:line="168" w:lineRule="auto"/>
        <w:rPr>
          <w:rFonts w:ascii="Arial" w:hAnsi="Arial" w:cs="Arial"/>
          <w:b/>
          <w:sz w:val="22"/>
          <w:szCs w:val="22"/>
        </w:rPr>
      </w:pPr>
    </w:p>
    <w:p w14:paraId="5A20AF37" w14:textId="77777777" w:rsidR="00BA5103" w:rsidRPr="00646A4E" w:rsidRDefault="00BA5103" w:rsidP="008E2B19">
      <w:pPr>
        <w:rPr>
          <w:rFonts w:ascii="Arial" w:hAnsi="Arial" w:cs="Arial"/>
          <w:b/>
          <w:sz w:val="22"/>
          <w:szCs w:val="22"/>
        </w:rPr>
      </w:pPr>
    </w:p>
    <w:p w14:paraId="32EEBF0D" w14:textId="65D4EBB4" w:rsidR="00527C13" w:rsidRPr="002B6793" w:rsidRDefault="000C38F1" w:rsidP="002B6793">
      <w:pPr>
        <w:pStyle w:val="Prrafodelista"/>
        <w:numPr>
          <w:ilvl w:val="1"/>
          <w:numId w:val="24"/>
        </w:numPr>
        <w:tabs>
          <w:tab w:val="left" w:pos="567"/>
        </w:tabs>
        <w:ind w:left="284" w:hanging="284"/>
        <w:rPr>
          <w:rFonts w:ascii="Arial" w:hAnsi="Arial" w:cs="Arial"/>
          <w:b/>
          <w:sz w:val="22"/>
          <w:szCs w:val="22"/>
        </w:rPr>
      </w:pPr>
      <w:r w:rsidRPr="002B6793">
        <w:rPr>
          <w:rFonts w:ascii="Arial" w:hAnsi="Arial" w:cs="Arial"/>
          <w:b/>
          <w:sz w:val="22"/>
          <w:szCs w:val="22"/>
        </w:rPr>
        <w:t>SERVICIOS DIGITALES Y CENTRO DE FOTOCOPIADO</w:t>
      </w:r>
    </w:p>
    <w:p w14:paraId="0C24290C" w14:textId="77777777" w:rsidR="00B83072" w:rsidRPr="00934EC6" w:rsidRDefault="00B83072" w:rsidP="00B83072">
      <w:pPr>
        <w:pStyle w:val="Prrafodelista"/>
        <w:ind w:left="426"/>
        <w:contextualSpacing w:val="0"/>
        <w:jc w:val="left"/>
        <w:rPr>
          <w:rFonts w:ascii="Arial" w:hAnsi="Arial" w:cs="Arial"/>
          <w:b/>
          <w:sz w:val="22"/>
          <w:szCs w:val="22"/>
        </w:rPr>
      </w:pPr>
    </w:p>
    <w:p w14:paraId="6247643C" w14:textId="08241FBB" w:rsidR="000D6841" w:rsidRPr="00934EC6" w:rsidRDefault="005E78C1" w:rsidP="00BD7AD1">
      <w:pPr>
        <w:widowControl w:val="0"/>
        <w:jc w:val="both"/>
        <w:rPr>
          <w:rFonts w:ascii="Arial" w:hAnsi="Arial" w:cs="Arial"/>
          <w:sz w:val="22"/>
          <w:szCs w:val="22"/>
        </w:rPr>
      </w:pPr>
      <w:r w:rsidRPr="00934EC6">
        <w:rPr>
          <w:rFonts w:ascii="Arial" w:hAnsi="Arial" w:cs="Arial"/>
          <w:sz w:val="22"/>
          <w:szCs w:val="22"/>
        </w:rPr>
        <w:t>A 3</w:t>
      </w:r>
      <w:r w:rsidR="0025069E" w:rsidRPr="00934EC6">
        <w:rPr>
          <w:rFonts w:ascii="Arial" w:hAnsi="Arial" w:cs="Arial"/>
          <w:sz w:val="22"/>
          <w:szCs w:val="22"/>
        </w:rPr>
        <w:t>0</w:t>
      </w:r>
      <w:r w:rsidRPr="00934EC6">
        <w:rPr>
          <w:rFonts w:ascii="Arial" w:hAnsi="Arial" w:cs="Arial"/>
          <w:sz w:val="22"/>
          <w:szCs w:val="22"/>
        </w:rPr>
        <w:t xml:space="preserve"> de </w:t>
      </w:r>
      <w:r w:rsidR="00934EC6">
        <w:rPr>
          <w:rFonts w:ascii="Arial" w:hAnsi="Arial" w:cs="Arial"/>
          <w:sz w:val="22"/>
          <w:szCs w:val="22"/>
        </w:rPr>
        <w:t xml:space="preserve">septiembre </w:t>
      </w:r>
      <w:r w:rsidR="007F0CA9" w:rsidRPr="00934EC6">
        <w:rPr>
          <w:rFonts w:ascii="Arial" w:hAnsi="Arial" w:cs="Arial"/>
          <w:sz w:val="22"/>
          <w:szCs w:val="22"/>
        </w:rPr>
        <w:t>d</w:t>
      </w:r>
      <w:r w:rsidRPr="00934EC6">
        <w:rPr>
          <w:rFonts w:ascii="Arial" w:hAnsi="Arial" w:cs="Arial"/>
          <w:sz w:val="22"/>
          <w:szCs w:val="22"/>
        </w:rPr>
        <w:t>e 201</w:t>
      </w:r>
      <w:r w:rsidR="007F0CA9" w:rsidRPr="00934EC6">
        <w:rPr>
          <w:rFonts w:ascii="Arial" w:hAnsi="Arial" w:cs="Arial"/>
          <w:sz w:val="22"/>
          <w:szCs w:val="22"/>
        </w:rPr>
        <w:t>9</w:t>
      </w:r>
      <w:r w:rsidRPr="00934EC6">
        <w:rPr>
          <w:rFonts w:ascii="Arial" w:hAnsi="Arial" w:cs="Arial"/>
          <w:sz w:val="22"/>
          <w:szCs w:val="22"/>
        </w:rPr>
        <w:t>, s</w:t>
      </w:r>
      <w:r w:rsidR="00934EC6">
        <w:rPr>
          <w:rFonts w:ascii="Arial" w:hAnsi="Arial" w:cs="Arial"/>
          <w:sz w:val="22"/>
          <w:szCs w:val="22"/>
        </w:rPr>
        <w:t xml:space="preserve">e encontraba </w:t>
      </w:r>
      <w:r w:rsidR="00D24DC0" w:rsidRPr="00934EC6">
        <w:rPr>
          <w:rFonts w:ascii="Arial" w:hAnsi="Arial" w:cs="Arial"/>
          <w:sz w:val="22"/>
          <w:szCs w:val="22"/>
        </w:rPr>
        <w:t>vigente el contrato 3.448 – 2014</w:t>
      </w:r>
      <w:r w:rsidRPr="00934EC6">
        <w:rPr>
          <w:rFonts w:ascii="Arial" w:hAnsi="Arial" w:cs="Arial"/>
          <w:sz w:val="22"/>
          <w:szCs w:val="22"/>
        </w:rPr>
        <w:t xml:space="preserve"> [fecha de terminación según otrosí </w:t>
      </w:r>
      <w:r w:rsidR="007F0CA9" w:rsidRPr="00934EC6">
        <w:rPr>
          <w:rFonts w:ascii="Arial" w:hAnsi="Arial" w:cs="Arial"/>
          <w:sz w:val="22"/>
          <w:szCs w:val="22"/>
        </w:rPr>
        <w:t xml:space="preserve">No. </w:t>
      </w:r>
      <w:r w:rsidR="00934EC6">
        <w:rPr>
          <w:rFonts w:ascii="Arial" w:hAnsi="Arial" w:cs="Arial"/>
          <w:sz w:val="22"/>
          <w:szCs w:val="22"/>
        </w:rPr>
        <w:t>8</w:t>
      </w:r>
      <w:r w:rsidRPr="00934EC6">
        <w:rPr>
          <w:rFonts w:ascii="Arial" w:hAnsi="Arial" w:cs="Arial"/>
          <w:sz w:val="22"/>
          <w:szCs w:val="22"/>
        </w:rPr>
        <w:t xml:space="preserve"> </w:t>
      </w:r>
      <w:r w:rsidR="00934EC6">
        <w:rPr>
          <w:rFonts w:ascii="Arial" w:hAnsi="Arial" w:cs="Arial"/>
          <w:sz w:val="22"/>
          <w:szCs w:val="22"/>
        </w:rPr>
        <w:t>hasta el 30 de septiembre de 2019</w:t>
      </w:r>
      <w:r w:rsidRPr="00934EC6">
        <w:rPr>
          <w:rFonts w:ascii="Arial" w:hAnsi="Arial" w:cs="Arial"/>
          <w:sz w:val="22"/>
          <w:szCs w:val="22"/>
        </w:rPr>
        <w:t xml:space="preserve">] </w:t>
      </w:r>
      <w:r w:rsidR="00D24DC0" w:rsidRPr="00934EC6">
        <w:rPr>
          <w:rFonts w:ascii="Arial" w:hAnsi="Arial" w:cs="Arial"/>
          <w:sz w:val="22"/>
          <w:szCs w:val="22"/>
        </w:rPr>
        <w:t>suscrito con</w:t>
      </w:r>
      <w:r w:rsidR="00F110C7" w:rsidRPr="00934EC6">
        <w:rPr>
          <w:rFonts w:ascii="Arial" w:hAnsi="Arial" w:cs="Arial"/>
          <w:sz w:val="22"/>
          <w:szCs w:val="22"/>
        </w:rPr>
        <w:t xml:space="preserve"> U</w:t>
      </w:r>
      <w:r w:rsidR="001209AC" w:rsidRPr="00934EC6">
        <w:rPr>
          <w:rFonts w:ascii="Arial" w:hAnsi="Arial" w:cs="Arial"/>
          <w:sz w:val="22"/>
          <w:szCs w:val="22"/>
        </w:rPr>
        <w:t>nión Temporal Comware – BPM con el objetivo de</w:t>
      </w:r>
      <w:r w:rsidR="002B19F9" w:rsidRPr="00934EC6">
        <w:rPr>
          <w:rFonts w:ascii="Arial" w:hAnsi="Arial" w:cs="Arial"/>
          <w:sz w:val="22"/>
          <w:szCs w:val="22"/>
        </w:rPr>
        <w:t xml:space="preserve"> «</w:t>
      </w:r>
      <w:r w:rsidR="00676829" w:rsidRPr="00934EC6">
        <w:rPr>
          <w:rFonts w:ascii="Arial" w:hAnsi="Arial" w:cs="Arial"/>
          <w:i/>
          <w:sz w:val="22"/>
          <w:szCs w:val="22"/>
        </w:rPr>
        <w:t>Prestar el servicio tercerizado de operación, gestión y modernización de los servicios tecnológicos del Ministerio de Hacienda y Crédito Público</w:t>
      </w:r>
      <m:oMath>
        <m:r>
          <w:rPr>
            <w:rFonts w:ascii="Cambria Math" w:hAnsi="Cambria Math" w:cs="Arial"/>
            <w:sz w:val="22"/>
            <w:szCs w:val="22"/>
          </w:rPr>
          <m:t>»</m:t>
        </m:r>
      </m:oMath>
      <w:r w:rsidR="001209AC" w:rsidRPr="00934EC6">
        <w:rPr>
          <w:rFonts w:ascii="Arial" w:hAnsi="Arial" w:cs="Arial"/>
          <w:sz w:val="22"/>
          <w:szCs w:val="22"/>
        </w:rPr>
        <w:t>,</w:t>
      </w:r>
      <w:r w:rsidR="00676829" w:rsidRPr="00934EC6">
        <w:rPr>
          <w:rFonts w:ascii="Arial" w:hAnsi="Arial" w:cs="Arial"/>
          <w:sz w:val="22"/>
          <w:szCs w:val="22"/>
        </w:rPr>
        <w:t xml:space="preserve"> </w:t>
      </w:r>
      <w:r w:rsidR="001209AC" w:rsidRPr="00934EC6">
        <w:rPr>
          <w:rFonts w:ascii="Arial" w:hAnsi="Arial" w:cs="Arial"/>
          <w:sz w:val="22"/>
          <w:szCs w:val="22"/>
        </w:rPr>
        <w:t>el cual incluye los servicios digitales compuestos por las multifuncionales que permiten imprimir a color, blanco y negro, copiar,</w:t>
      </w:r>
      <w:r w:rsidR="002861A5" w:rsidRPr="00934EC6">
        <w:rPr>
          <w:rFonts w:ascii="Arial" w:hAnsi="Arial" w:cs="Arial"/>
          <w:sz w:val="22"/>
          <w:szCs w:val="22"/>
        </w:rPr>
        <w:t xml:space="preserve"> y fax;</w:t>
      </w:r>
      <w:r w:rsidR="001209AC" w:rsidRPr="00934EC6">
        <w:rPr>
          <w:rFonts w:ascii="Arial" w:hAnsi="Arial" w:cs="Arial"/>
          <w:sz w:val="22"/>
          <w:szCs w:val="22"/>
        </w:rPr>
        <w:t xml:space="preserve"> y </w:t>
      </w:r>
      <w:r w:rsidR="007F0CA9" w:rsidRPr="00934EC6">
        <w:rPr>
          <w:rFonts w:ascii="Arial" w:hAnsi="Arial" w:cs="Arial"/>
          <w:sz w:val="22"/>
          <w:szCs w:val="22"/>
        </w:rPr>
        <w:t>un centro de fotocopiado masivo.</w:t>
      </w:r>
    </w:p>
    <w:p w14:paraId="67DD3872" w14:textId="77777777" w:rsidR="00460A97" w:rsidRPr="00934EC6" w:rsidRDefault="00460A97" w:rsidP="00BD7AD1">
      <w:pPr>
        <w:rPr>
          <w:rFonts w:ascii="Arial" w:hAnsi="Arial" w:cs="Arial"/>
          <w:sz w:val="22"/>
          <w:szCs w:val="22"/>
        </w:rPr>
      </w:pPr>
    </w:p>
    <w:p w14:paraId="2CCB67C6" w14:textId="77777777" w:rsidR="0025069E" w:rsidRPr="00934EC6" w:rsidRDefault="000D6841" w:rsidP="00BD7AD1">
      <w:pPr>
        <w:widowControl w:val="0"/>
        <w:jc w:val="both"/>
        <w:rPr>
          <w:rFonts w:ascii="Arial" w:hAnsi="Arial" w:cs="Arial"/>
          <w:sz w:val="22"/>
          <w:szCs w:val="22"/>
        </w:rPr>
      </w:pPr>
      <w:r w:rsidRPr="00934EC6">
        <w:rPr>
          <w:rFonts w:ascii="Arial" w:hAnsi="Arial" w:cs="Arial"/>
          <w:sz w:val="22"/>
          <w:szCs w:val="22"/>
        </w:rPr>
        <w:t>Con el propósito de revisar el comportamiento del consumo de papel</w:t>
      </w:r>
      <w:r w:rsidR="00924996" w:rsidRPr="00934EC6">
        <w:rPr>
          <w:rFonts w:ascii="Arial" w:hAnsi="Arial" w:cs="Arial"/>
          <w:sz w:val="22"/>
          <w:szCs w:val="22"/>
        </w:rPr>
        <w:t xml:space="preserve"> </w:t>
      </w:r>
      <w:r w:rsidRPr="00934EC6">
        <w:rPr>
          <w:rFonts w:ascii="Arial" w:hAnsi="Arial" w:cs="Arial"/>
          <w:sz w:val="22"/>
          <w:szCs w:val="22"/>
        </w:rPr>
        <w:t>[servicios digitales</w:t>
      </w:r>
      <w:r w:rsidR="00924996" w:rsidRPr="00934EC6">
        <w:rPr>
          <w:rFonts w:ascii="Arial" w:hAnsi="Arial" w:cs="Arial"/>
          <w:sz w:val="22"/>
          <w:szCs w:val="22"/>
        </w:rPr>
        <w:t xml:space="preserve">] para el periodo objeto de análisis, se consultó la información en el aplicativo de Estadísticas de Consumo de Papel – MHCP diseñado por la Dirección de Tecnología para tal fin, el cual se encuentra publicado en la página de la intranet de este Ministerio. </w:t>
      </w:r>
    </w:p>
    <w:p w14:paraId="1258E229" w14:textId="77777777" w:rsidR="00BD7AD1" w:rsidRPr="00934EC6" w:rsidRDefault="00BD7AD1" w:rsidP="00BD7AD1">
      <w:pPr>
        <w:widowControl w:val="0"/>
        <w:jc w:val="both"/>
        <w:rPr>
          <w:rFonts w:ascii="Arial" w:hAnsi="Arial" w:cs="Arial"/>
          <w:sz w:val="22"/>
          <w:szCs w:val="22"/>
        </w:rPr>
      </w:pPr>
    </w:p>
    <w:p w14:paraId="76E90074" w14:textId="06234BF2" w:rsidR="00BD7AD1" w:rsidRDefault="00BD7AD1" w:rsidP="00BD7AD1">
      <w:pPr>
        <w:widowControl w:val="0"/>
        <w:jc w:val="both"/>
        <w:rPr>
          <w:rFonts w:ascii="Arial" w:hAnsi="Arial" w:cs="Arial"/>
          <w:sz w:val="22"/>
          <w:szCs w:val="22"/>
        </w:rPr>
      </w:pPr>
      <w:r w:rsidRPr="00934EC6">
        <w:rPr>
          <w:rFonts w:ascii="Arial" w:hAnsi="Arial" w:cs="Arial"/>
          <w:sz w:val="22"/>
          <w:szCs w:val="22"/>
        </w:rPr>
        <w:t xml:space="preserve">Con base en la información consultada, se comparó lo correspondiente al </w:t>
      </w:r>
      <w:r w:rsidR="00ED34C3">
        <w:rPr>
          <w:rFonts w:ascii="Arial" w:hAnsi="Arial" w:cs="Arial"/>
          <w:sz w:val="22"/>
          <w:szCs w:val="22"/>
        </w:rPr>
        <w:t xml:space="preserve">tercer </w:t>
      </w:r>
      <w:r w:rsidRPr="00934EC6">
        <w:rPr>
          <w:rFonts w:ascii="Arial" w:hAnsi="Arial" w:cs="Arial"/>
          <w:sz w:val="22"/>
          <w:szCs w:val="22"/>
        </w:rPr>
        <w:t xml:space="preserve">trimestre de 2019 frente al mismo periodo de la vigencia 2018. De lo anterior, se obtuvo el siguiente resultado:  </w:t>
      </w:r>
    </w:p>
    <w:p w14:paraId="13253CB0" w14:textId="77777777" w:rsidR="00661C39" w:rsidRPr="00934EC6" w:rsidRDefault="00661C39" w:rsidP="00BD7AD1">
      <w:pPr>
        <w:widowControl w:val="0"/>
        <w:jc w:val="both"/>
        <w:rPr>
          <w:rFonts w:ascii="Arial" w:hAnsi="Arial" w:cs="Arial"/>
          <w:sz w:val="22"/>
          <w:szCs w:val="22"/>
        </w:rPr>
      </w:pPr>
    </w:p>
    <w:p w14:paraId="5DE63792" w14:textId="3539EC16" w:rsidR="006244FA" w:rsidRDefault="0000198A" w:rsidP="00BD7AD1">
      <w:pPr>
        <w:widowControl w:val="0"/>
        <w:jc w:val="both"/>
        <w:rPr>
          <w:rFonts w:ascii="Arial" w:hAnsi="Arial" w:cs="Arial"/>
          <w:sz w:val="22"/>
          <w:szCs w:val="22"/>
          <w:highlight w:val="yellow"/>
        </w:rPr>
      </w:pPr>
      <w:r w:rsidRPr="006244FA">
        <w:rPr>
          <w:rFonts w:ascii="Calibri" w:hAnsi="Calibri" w:cs="Calibri"/>
          <w:noProof/>
          <w:color w:val="000000"/>
          <w:sz w:val="22"/>
          <w:szCs w:val="22"/>
        </w:rPr>
        <w:drawing>
          <wp:anchor distT="0" distB="0" distL="114300" distR="114300" simplePos="0" relativeHeight="251972608" behindDoc="0" locked="0" layoutInCell="1" allowOverlap="1" wp14:anchorId="614E0A1F" wp14:editId="7110AE91">
            <wp:simplePos x="0" y="0"/>
            <wp:positionH relativeFrom="margin">
              <wp:posOffset>3195320</wp:posOffset>
            </wp:positionH>
            <wp:positionV relativeFrom="paragraph">
              <wp:posOffset>192405</wp:posOffset>
            </wp:positionV>
            <wp:extent cx="3009900" cy="2847975"/>
            <wp:effectExtent l="0" t="0" r="0" b="0"/>
            <wp:wrapNone/>
            <wp:docPr id="12" name="Gráfico 1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3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tbl>
      <w:tblPr>
        <w:tblW w:w="4952" w:type="dxa"/>
        <w:tblCellMar>
          <w:left w:w="70" w:type="dxa"/>
          <w:right w:w="70" w:type="dxa"/>
        </w:tblCellMar>
        <w:tblLook w:val="04A0" w:firstRow="1" w:lastRow="0" w:firstColumn="1" w:lastColumn="0" w:noHBand="0" w:noVBand="1"/>
      </w:tblPr>
      <w:tblGrid>
        <w:gridCol w:w="1124"/>
        <w:gridCol w:w="993"/>
        <w:gridCol w:w="992"/>
        <w:gridCol w:w="850"/>
        <w:gridCol w:w="993"/>
      </w:tblGrid>
      <w:tr w:rsidR="006244FA" w:rsidRPr="006244FA" w14:paraId="22C1DABD" w14:textId="77777777" w:rsidTr="002B6793">
        <w:trPr>
          <w:trHeight w:val="1109"/>
        </w:trPr>
        <w:tc>
          <w:tcPr>
            <w:tcW w:w="1124" w:type="dxa"/>
            <w:vMerge w:val="restart"/>
            <w:tcBorders>
              <w:top w:val="single" w:sz="8" w:space="0" w:color="B8CCE4"/>
              <w:left w:val="single" w:sz="8" w:space="0" w:color="B8CCE4"/>
              <w:bottom w:val="single" w:sz="8" w:space="0" w:color="B8CCE4"/>
              <w:right w:val="single" w:sz="8" w:space="0" w:color="B8CCE4"/>
            </w:tcBorders>
            <w:shd w:val="clear" w:color="000000" w:fill="4F81BD"/>
            <w:vAlign w:val="center"/>
            <w:hideMark/>
          </w:tcPr>
          <w:p w14:paraId="09E74179" w14:textId="77777777" w:rsidR="006244FA" w:rsidRPr="006244FA" w:rsidRDefault="006244FA" w:rsidP="00607BC4">
            <w:pPr>
              <w:jc w:val="center"/>
              <w:rPr>
                <w:rFonts w:ascii="Arial" w:hAnsi="Arial" w:cs="Arial"/>
                <w:b/>
                <w:bCs/>
                <w:color w:val="FFFFFF"/>
                <w:sz w:val="18"/>
                <w:szCs w:val="18"/>
              </w:rPr>
            </w:pPr>
            <w:r w:rsidRPr="006244FA">
              <w:rPr>
                <w:rFonts w:ascii="Arial" w:hAnsi="Arial" w:cs="Arial"/>
                <w:b/>
                <w:bCs/>
                <w:color w:val="FFFFFF"/>
                <w:sz w:val="18"/>
                <w:szCs w:val="18"/>
              </w:rPr>
              <w:t>Concepto</w:t>
            </w:r>
          </w:p>
        </w:tc>
        <w:tc>
          <w:tcPr>
            <w:tcW w:w="1985" w:type="dxa"/>
            <w:gridSpan w:val="2"/>
            <w:tcBorders>
              <w:top w:val="single" w:sz="8" w:space="0" w:color="B8CCE4"/>
              <w:left w:val="nil"/>
              <w:bottom w:val="single" w:sz="12" w:space="0" w:color="95B3D7"/>
              <w:right w:val="single" w:sz="8" w:space="0" w:color="B8CCE4"/>
            </w:tcBorders>
            <w:shd w:val="clear" w:color="000000" w:fill="4F81BD"/>
            <w:vAlign w:val="center"/>
            <w:hideMark/>
          </w:tcPr>
          <w:p w14:paraId="07C77C41" w14:textId="77777777" w:rsidR="006244FA" w:rsidRPr="006244FA" w:rsidRDefault="006244FA" w:rsidP="00607BC4">
            <w:pPr>
              <w:jc w:val="center"/>
              <w:rPr>
                <w:rFonts w:ascii="Arial" w:hAnsi="Arial" w:cs="Arial"/>
                <w:b/>
                <w:bCs/>
                <w:color w:val="FFFFFF"/>
                <w:sz w:val="18"/>
                <w:szCs w:val="18"/>
              </w:rPr>
            </w:pPr>
            <w:r w:rsidRPr="006244FA">
              <w:rPr>
                <w:rFonts w:ascii="Arial" w:hAnsi="Arial" w:cs="Arial"/>
                <w:b/>
                <w:bCs/>
                <w:color w:val="FFFFFF"/>
                <w:sz w:val="18"/>
                <w:szCs w:val="18"/>
              </w:rPr>
              <w:t>Consumo total de papel (hojas)</w:t>
            </w:r>
          </w:p>
        </w:tc>
        <w:tc>
          <w:tcPr>
            <w:tcW w:w="1843" w:type="dxa"/>
            <w:gridSpan w:val="2"/>
            <w:tcBorders>
              <w:top w:val="single" w:sz="8" w:space="0" w:color="B8CCE4"/>
              <w:left w:val="nil"/>
              <w:bottom w:val="single" w:sz="12" w:space="0" w:color="95B3D7"/>
              <w:right w:val="single" w:sz="8" w:space="0" w:color="B8CCE4"/>
            </w:tcBorders>
            <w:shd w:val="clear" w:color="000000" w:fill="4F81BD"/>
            <w:vAlign w:val="center"/>
            <w:hideMark/>
          </w:tcPr>
          <w:p w14:paraId="0AF66D0F" w14:textId="77777777" w:rsidR="006244FA" w:rsidRPr="006244FA" w:rsidRDefault="006244FA" w:rsidP="00607BC4">
            <w:pPr>
              <w:jc w:val="center"/>
              <w:rPr>
                <w:rFonts w:ascii="Arial" w:hAnsi="Arial" w:cs="Arial"/>
                <w:b/>
                <w:bCs/>
                <w:color w:val="FFFFFF"/>
                <w:sz w:val="18"/>
                <w:szCs w:val="18"/>
              </w:rPr>
            </w:pPr>
            <w:r w:rsidRPr="006244FA">
              <w:rPr>
                <w:rFonts w:ascii="Arial" w:hAnsi="Arial" w:cs="Arial"/>
                <w:b/>
                <w:bCs/>
                <w:color w:val="FFFFFF"/>
                <w:sz w:val="18"/>
                <w:szCs w:val="18"/>
              </w:rPr>
              <w:t>Variaciones</w:t>
            </w:r>
          </w:p>
        </w:tc>
      </w:tr>
      <w:tr w:rsidR="006244FA" w:rsidRPr="006244FA" w14:paraId="46DE48DB" w14:textId="77777777" w:rsidTr="006244FA">
        <w:trPr>
          <w:trHeight w:val="1288"/>
        </w:trPr>
        <w:tc>
          <w:tcPr>
            <w:tcW w:w="1124" w:type="dxa"/>
            <w:vMerge/>
            <w:tcBorders>
              <w:top w:val="single" w:sz="8" w:space="0" w:color="B8CCE4"/>
              <w:left w:val="single" w:sz="8" w:space="0" w:color="B8CCE4"/>
              <w:bottom w:val="single" w:sz="8" w:space="0" w:color="B8CCE4"/>
              <w:right w:val="single" w:sz="8" w:space="0" w:color="B8CCE4"/>
            </w:tcBorders>
            <w:vAlign w:val="center"/>
            <w:hideMark/>
          </w:tcPr>
          <w:p w14:paraId="01F15330" w14:textId="77777777" w:rsidR="006244FA" w:rsidRPr="006244FA" w:rsidRDefault="006244FA" w:rsidP="00607BC4">
            <w:pPr>
              <w:rPr>
                <w:rFonts w:ascii="Arial" w:hAnsi="Arial" w:cs="Arial"/>
                <w:b/>
                <w:bCs/>
                <w:color w:val="FFFFFF"/>
                <w:sz w:val="18"/>
                <w:szCs w:val="18"/>
              </w:rPr>
            </w:pPr>
          </w:p>
        </w:tc>
        <w:tc>
          <w:tcPr>
            <w:tcW w:w="993" w:type="dxa"/>
            <w:tcBorders>
              <w:top w:val="nil"/>
              <w:left w:val="nil"/>
              <w:bottom w:val="single" w:sz="8" w:space="0" w:color="B8CCE4"/>
              <w:right w:val="single" w:sz="8" w:space="0" w:color="B8CCE4"/>
            </w:tcBorders>
            <w:shd w:val="clear" w:color="000000" w:fill="4F81BD"/>
            <w:vAlign w:val="center"/>
            <w:hideMark/>
          </w:tcPr>
          <w:p w14:paraId="221119B4" w14:textId="209423AF" w:rsidR="006244FA" w:rsidRPr="006244FA" w:rsidRDefault="006244FA" w:rsidP="00607BC4">
            <w:pPr>
              <w:jc w:val="center"/>
              <w:rPr>
                <w:rFonts w:ascii="Arial" w:hAnsi="Arial" w:cs="Arial"/>
                <w:b/>
                <w:bCs/>
                <w:color w:val="FFFFFF"/>
                <w:sz w:val="18"/>
                <w:szCs w:val="18"/>
              </w:rPr>
            </w:pPr>
            <w:r w:rsidRPr="006244FA">
              <w:rPr>
                <w:rFonts w:ascii="Arial" w:hAnsi="Arial" w:cs="Arial"/>
                <w:b/>
                <w:bCs/>
                <w:color w:val="FFFFFF"/>
                <w:sz w:val="18"/>
                <w:szCs w:val="18"/>
              </w:rPr>
              <w:t>II</w:t>
            </w:r>
            <w:r>
              <w:rPr>
                <w:rFonts w:ascii="Arial" w:hAnsi="Arial" w:cs="Arial"/>
                <w:b/>
                <w:bCs/>
                <w:color w:val="FFFFFF"/>
                <w:sz w:val="18"/>
                <w:szCs w:val="18"/>
              </w:rPr>
              <w:t>I</w:t>
            </w:r>
            <w:r w:rsidRPr="006244FA">
              <w:rPr>
                <w:rFonts w:ascii="Arial" w:hAnsi="Arial" w:cs="Arial"/>
                <w:b/>
                <w:bCs/>
                <w:color w:val="FFFFFF"/>
                <w:sz w:val="18"/>
                <w:szCs w:val="18"/>
              </w:rPr>
              <w:t xml:space="preserve"> Trimestre 2019</w:t>
            </w:r>
          </w:p>
        </w:tc>
        <w:tc>
          <w:tcPr>
            <w:tcW w:w="992" w:type="dxa"/>
            <w:tcBorders>
              <w:top w:val="nil"/>
              <w:left w:val="nil"/>
              <w:bottom w:val="single" w:sz="8" w:space="0" w:color="B8CCE4"/>
              <w:right w:val="single" w:sz="8" w:space="0" w:color="B8CCE4"/>
            </w:tcBorders>
            <w:shd w:val="clear" w:color="000000" w:fill="4F81BD"/>
            <w:vAlign w:val="center"/>
            <w:hideMark/>
          </w:tcPr>
          <w:p w14:paraId="0513C9E4" w14:textId="79EA6972" w:rsidR="006244FA" w:rsidRPr="006244FA" w:rsidRDefault="006244FA" w:rsidP="00607BC4">
            <w:pPr>
              <w:jc w:val="center"/>
              <w:rPr>
                <w:rFonts w:ascii="Arial" w:hAnsi="Arial" w:cs="Arial"/>
                <w:b/>
                <w:bCs/>
                <w:color w:val="FFFFFF"/>
                <w:sz w:val="18"/>
                <w:szCs w:val="18"/>
              </w:rPr>
            </w:pPr>
            <w:r w:rsidRPr="006244FA">
              <w:rPr>
                <w:rFonts w:ascii="Arial" w:hAnsi="Arial" w:cs="Arial"/>
                <w:b/>
                <w:bCs/>
                <w:color w:val="FFFFFF"/>
                <w:sz w:val="18"/>
                <w:szCs w:val="18"/>
              </w:rPr>
              <w:t>II</w:t>
            </w:r>
            <w:r>
              <w:rPr>
                <w:rFonts w:ascii="Arial" w:hAnsi="Arial" w:cs="Arial"/>
                <w:b/>
                <w:bCs/>
                <w:color w:val="FFFFFF"/>
                <w:sz w:val="18"/>
                <w:szCs w:val="18"/>
              </w:rPr>
              <w:t>I</w:t>
            </w:r>
            <w:r w:rsidRPr="006244FA">
              <w:rPr>
                <w:rFonts w:ascii="Arial" w:hAnsi="Arial" w:cs="Arial"/>
                <w:b/>
                <w:bCs/>
                <w:color w:val="FFFFFF"/>
                <w:sz w:val="18"/>
                <w:szCs w:val="18"/>
              </w:rPr>
              <w:t xml:space="preserve"> Trimestre 2018</w:t>
            </w:r>
          </w:p>
        </w:tc>
        <w:tc>
          <w:tcPr>
            <w:tcW w:w="850" w:type="dxa"/>
            <w:tcBorders>
              <w:top w:val="nil"/>
              <w:left w:val="nil"/>
              <w:bottom w:val="single" w:sz="8" w:space="0" w:color="B8CCE4"/>
              <w:right w:val="single" w:sz="8" w:space="0" w:color="B8CCE4"/>
            </w:tcBorders>
            <w:shd w:val="clear" w:color="000000" w:fill="4F81BD"/>
            <w:vAlign w:val="center"/>
            <w:hideMark/>
          </w:tcPr>
          <w:p w14:paraId="6334DC7C" w14:textId="77777777" w:rsidR="006244FA" w:rsidRPr="006244FA" w:rsidRDefault="006244FA" w:rsidP="00607BC4">
            <w:pPr>
              <w:jc w:val="center"/>
              <w:rPr>
                <w:rFonts w:ascii="Arial" w:hAnsi="Arial" w:cs="Arial"/>
                <w:b/>
                <w:bCs/>
                <w:color w:val="FFFFFF"/>
                <w:sz w:val="18"/>
                <w:szCs w:val="18"/>
              </w:rPr>
            </w:pPr>
            <w:r w:rsidRPr="006244FA">
              <w:rPr>
                <w:rFonts w:ascii="Arial" w:hAnsi="Arial" w:cs="Arial"/>
                <w:b/>
                <w:bCs/>
                <w:color w:val="FFFFFF"/>
                <w:sz w:val="18"/>
                <w:szCs w:val="18"/>
              </w:rPr>
              <w:t>#</w:t>
            </w:r>
          </w:p>
        </w:tc>
        <w:tc>
          <w:tcPr>
            <w:tcW w:w="993" w:type="dxa"/>
            <w:tcBorders>
              <w:top w:val="nil"/>
              <w:left w:val="nil"/>
              <w:bottom w:val="single" w:sz="8" w:space="0" w:color="B8CCE4"/>
              <w:right w:val="single" w:sz="8" w:space="0" w:color="B8CCE4"/>
            </w:tcBorders>
            <w:shd w:val="clear" w:color="000000" w:fill="4F81BD"/>
            <w:vAlign w:val="center"/>
            <w:hideMark/>
          </w:tcPr>
          <w:p w14:paraId="7DFB64C6" w14:textId="77777777" w:rsidR="006244FA" w:rsidRPr="006244FA" w:rsidRDefault="006244FA" w:rsidP="00607BC4">
            <w:pPr>
              <w:jc w:val="center"/>
              <w:rPr>
                <w:rFonts w:ascii="Arial" w:hAnsi="Arial" w:cs="Arial"/>
                <w:b/>
                <w:bCs/>
                <w:color w:val="FFFFFF"/>
                <w:sz w:val="18"/>
                <w:szCs w:val="18"/>
              </w:rPr>
            </w:pPr>
            <w:r w:rsidRPr="006244FA">
              <w:rPr>
                <w:rFonts w:ascii="Arial" w:hAnsi="Arial" w:cs="Arial"/>
                <w:b/>
                <w:bCs/>
                <w:color w:val="FFFFFF"/>
                <w:sz w:val="18"/>
                <w:szCs w:val="18"/>
              </w:rPr>
              <w:t>%</w:t>
            </w:r>
          </w:p>
        </w:tc>
      </w:tr>
      <w:tr w:rsidR="006244FA" w:rsidRPr="006244FA" w14:paraId="22C74A47" w14:textId="77777777" w:rsidTr="00E26AB8">
        <w:trPr>
          <w:trHeight w:val="1859"/>
        </w:trPr>
        <w:tc>
          <w:tcPr>
            <w:tcW w:w="1124" w:type="dxa"/>
            <w:tcBorders>
              <w:top w:val="nil"/>
              <w:left w:val="single" w:sz="8" w:space="0" w:color="B8CCE4"/>
              <w:bottom w:val="single" w:sz="8" w:space="0" w:color="B8CCE4"/>
              <w:right w:val="single" w:sz="8" w:space="0" w:color="B8CCE4"/>
            </w:tcBorders>
            <w:shd w:val="clear" w:color="auto" w:fill="auto"/>
            <w:vAlign w:val="center"/>
            <w:hideMark/>
          </w:tcPr>
          <w:p w14:paraId="589DDBA3" w14:textId="77777777" w:rsidR="006244FA" w:rsidRPr="006244FA" w:rsidRDefault="006244FA" w:rsidP="00607BC4">
            <w:pPr>
              <w:jc w:val="center"/>
              <w:rPr>
                <w:rFonts w:ascii="Arial" w:hAnsi="Arial" w:cs="Arial"/>
                <w:b/>
                <w:bCs/>
                <w:color w:val="0F243E"/>
                <w:sz w:val="18"/>
                <w:szCs w:val="18"/>
              </w:rPr>
            </w:pPr>
            <w:r w:rsidRPr="006244FA">
              <w:rPr>
                <w:rFonts w:ascii="Arial" w:hAnsi="Arial" w:cs="Arial"/>
                <w:b/>
                <w:bCs/>
                <w:color w:val="0F243E"/>
                <w:sz w:val="18"/>
                <w:szCs w:val="18"/>
              </w:rPr>
              <w:t>Servicios Digitales</w:t>
            </w:r>
          </w:p>
        </w:tc>
        <w:tc>
          <w:tcPr>
            <w:tcW w:w="993" w:type="dxa"/>
            <w:tcBorders>
              <w:top w:val="nil"/>
              <w:left w:val="nil"/>
              <w:bottom w:val="single" w:sz="8" w:space="0" w:color="B8CCE4"/>
              <w:right w:val="single" w:sz="8" w:space="0" w:color="B8CCE4"/>
            </w:tcBorders>
            <w:shd w:val="clear" w:color="auto" w:fill="auto"/>
            <w:vAlign w:val="center"/>
            <w:hideMark/>
          </w:tcPr>
          <w:p w14:paraId="3AFFF380" w14:textId="77777777" w:rsidR="006244FA" w:rsidRPr="006244FA" w:rsidRDefault="006244FA" w:rsidP="00607BC4">
            <w:pPr>
              <w:jc w:val="center"/>
              <w:rPr>
                <w:rFonts w:ascii="Arial" w:hAnsi="Arial" w:cs="Arial"/>
                <w:color w:val="0F243E"/>
                <w:sz w:val="18"/>
                <w:szCs w:val="18"/>
              </w:rPr>
            </w:pPr>
            <w:r w:rsidRPr="006244FA">
              <w:rPr>
                <w:rFonts w:ascii="Arial" w:hAnsi="Arial" w:cs="Arial"/>
                <w:color w:val="0F243E"/>
                <w:sz w:val="18"/>
                <w:szCs w:val="18"/>
              </w:rPr>
              <w:t>719.495</w:t>
            </w:r>
          </w:p>
        </w:tc>
        <w:tc>
          <w:tcPr>
            <w:tcW w:w="992" w:type="dxa"/>
            <w:tcBorders>
              <w:top w:val="nil"/>
              <w:left w:val="nil"/>
              <w:bottom w:val="single" w:sz="8" w:space="0" w:color="B8CCE4"/>
              <w:right w:val="single" w:sz="8" w:space="0" w:color="B8CCE4"/>
            </w:tcBorders>
            <w:shd w:val="clear" w:color="auto" w:fill="auto"/>
            <w:vAlign w:val="center"/>
            <w:hideMark/>
          </w:tcPr>
          <w:p w14:paraId="082D55F0" w14:textId="77777777" w:rsidR="006244FA" w:rsidRPr="006244FA" w:rsidRDefault="006244FA" w:rsidP="00607BC4">
            <w:pPr>
              <w:jc w:val="center"/>
              <w:rPr>
                <w:rFonts w:ascii="Arial" w:hAnsi="Arial" w:cs="Arial"/>
                <w:color w:val="0F243E"/>
                <w:sz w:val="18"/>
                <w:szCs w:val="18"/>
              </w:rPr>
            </w:pPr>
            <w:r w:rsidRPr="006244FA">
              <w:rPr>
                <w:rFonts w:ascii="Arial" w:hAnsi="Arial" w:cs="Arial"/>
                <w:color w:val="0F243E"/>
                <w:sz w:val="18"/>
                <w:szCs w:val="18"/>
              </w:rPr>
              <w:t>747.824</w:t>
            </w:r>
          </w:p>
        </w:tc>
        <w:tc>
          <w:tcPr>
            <w:tcW w:w="850" w:type="dxa"/>
            <w:tcBorders>
              <w:top w:val="nil"/>
              <w:left w:val="nil"/>
              <w:bottom w:val="single" w:sz="8" w:space="0" w:color="B8CCE4"/>
              <w:right w:val="single" w:sz="8" w:space="0" w:color="B8CCE4"/>
            </w:tcBorders>
            <w:shd w:val="clear" w:color="auto" w:fill="auto"/>
            <w:vAlign w:val="center"/>
            <w:hideMark/>
          </w:tcPr>
          <w:p w14:paraId="4E4682E5" w14:textId="052A6583" w:rsidR="006244FA" w:rsidRPr="006244FA" w:rsidRDefault="006244FA" w:rsidP="00607BC4">
            <w:pPr>
              <w:jc w:val="center"/>
              <w:rPr>
                <w:rFonts w:ascii="Arial" w:hAnsi="Arial" w:cs="Arial"/>
                <w:color w:val="0F243E"/>
                <w:sz w:val="18"/>
                <w:szCs w:val="18"/>
              </w:rPr>
            </w:pPr>
            <w:r>
              <w:rPr>
                <w:rFonts w:ascii="Arial" w:hAnsi="Arial" w:cs="Arial"/>
                <w:color w:val="0F243E"/>
                <w:sz w:val="18"/>
                <w:szCs w:val="18"/>
              </w:rPr>
              <w:t>(</w:t>
            </w:r>
            <w:r w:rsidRPr="006244FA">
              <w:rPr>
                <w:rFonts w:ascii="Arial" w:hAnsi="Arial" w:cs="Arial"/>
                <w:color w:val="0F243E"/>
                <w:sz w:val="18"/>
                <w:szCs w:val="18"/>
              </w:rPr>
              <w:t>28.329</w:t>
            </w:r>
            <w:r>
              <w:rPr>
                <w:rFonts w:ascii="Arial" w:hAnsi="Arial" w:cs="Arial"/>
                <w:color w:val="0F243E"/>
                <w:sz w:val="18"/>
                <w:szCs w:val="18"/>
              </w:rPr>
              <w:t>)</w:t>
            </w:r>
          </w:p>
        </w:tc>
        <w:tc>
          <w:tcPr>
            <w:tcW w:w="993" w:type="dxa"/>
            <w:tcBorders>
              <w:top w:val="nil"/>
              <w:left w:val="nil"/>
              <w:bottom w:val="single" w:sz="8" w:space="0" w:color="B8CCE4"/>
              <w:right w:val="single" w:sz="8" w:space="0" w:color="B8CCE4"/>
            </w:tcBorders>
            <w:shd w:val="clear" w:color="auto" w:fill="auto"/>
            <w:vAlign w:val="center"/>
            <w:hideMark/>
          </w:tcPr>
          <w:p w14:paraId="02187991" w14:textId="3228684E" w:rsidR="006244FA" w:rsidRPr="006244FA" w:rsidRDefault="006244FA" w:rsidP="00607BC4">
            <w:pPr>
              <w:jc w:val="center"/>
              <w:rPr>
                <w:rFonts w:ascii="Arial" w:hAnsi="Arial" w:cs="Arial"/>
                <w:color w:val="0F243E"/>
                <w:sz w:val="18"/>
                <w:szCs w:val="18"/>
              </w:rPr>
            </w:pPr>
            <w:r>
              <w:rPr>
                <w:rFonts w:ascii="Arial" w:hAnsi="Arial" w:cs="Arial"/>
                <w:color w:val="0F243E"/>
                <w:sz w:val="18"/>
                <w:szCs w:val="18"/>
              </w:rPr>
              <w:t>(4%)</w:t>
            </w:r>
          </w:p>
        </w:tc>
      </w:tr>
    </w:tbl>
    <w:p w14:paraId="4D9BDB9D" w14:textId="613B2651" w:rsidR="006244FA" w:rsidRDefault="006244FA" w:rsidP="00BD7AD1">
      <w:pPr>
        <w:widowControl w:val="0"/>
        <w:jc w:val="both"/>
        <w:rPr>
          <w:rFonts w:ascii="Arial" w:hAnsi="Arial" w:cs="Arial"/>
          <w:sz w:val="22"/>
          <w:szCs w:val="22"/>
          <w:highlight w:val="yellow"/>
        </w:rPr>
      </w:pPr>
    </w:p>
    <w:p w14:paraId="729B7133" w14:textId="5F66218F" w:rsidR="0030077F" w:rsidRDefault="0030077F" w:rsidP="0030077F">
      <w:pPr>
        <w:spacing w:after="200"/>
        <w:jc w:val="both"/>
        <w:rPr>
          <w:rFonts w:ascii="Arial" w:hAnsi="Arial" w:cs="Arial"/>
          <w:sz w:val="22"/>
          <w:szCs w:val="22"/>
        </w:rPr>
      </w:pPr>
      <w:r w:rsidRPr="00B82F2D">
        <w:rPr>
          <w:rFonts w:ascii="Arial" w:hAnsi="Arial" w:cs="Arial"/>
          <w:sz w:val="22"/>
          <w:szCs w:val="22"/>
        </w:rPr>
        <w:t xml:space="preserve">De igual forma, se comparó el comportamiento del </w:t>
      </w:r>
      <w:r w:rsidR="00DE6143" w:rsidRPr="00B82F2D">
        <w:rPr>
          <w:rFonts w:ascii="Arial" w:hAnsi="Arial" w:cs="Arial"/>
          <w:sz w:val="22"/>
          <w:szCs w:val="22"/>
        </w:rPr>
        <w:t>tercer trimestre</w:t>
      </w:r>
      <w:r w:rsidRPr="00B82F2D">
        <w:rPr>
          <w:rFonts w:ascii="Arial" w:hAnsi="Arial" w:cs="Arial"/>
          <w:sz w:val="22"/>
          <w:szCs w:val="22"/>
        </w:rPr>
        <w:t xml:space="preserve"> de 2019 frente al inmediatamente anterior, con el fin de analizar la tendencia del consumo, en el cual se observó que los servicios digitales presentaron una tendencia </w:t>
      </w:r>
      <w:r w:rsidR="00B82F2D" w:rsidRPr="00B82F2D">
        <w:rPr>
          <w:rFonts w:ascii="Arial" w:hAnsi="Arial" w:cs="Arial"/>
          <w:sz w:val="22"/>
          <w:szCs w:val="22"/>
        </w:rPr>
        <w:t xml:space="preserve">decreciente, toda vez que se presentó una disminución de 5.944 </w:t>
      </w:r>
      <w:r w:rsidRPr="00B82F2D">
        <w:rPr>
          <w:rFonts w:ascii="Arial" w:hAnsi="Arial" w:cs="Arial"/>
          <w:sz w:val="22"/>
          <w:szCs w:val="22"/>
        </w:rPr>
        <w:t xml:space="preserve">unidades, representando un </w:t>
      </w:r>
      <w:r w:rsidR="00B82F2D" w:rsidRPr="00B82F2D">
        <w:rPr>
          <w:rFonts w:ascii="Arial" w:hAnsi="Arial" w:cs="Arial"/>
          <w:sz w:val="22"/>
          <w:szCs w:val="22"/>
        </w:rPr>
        <w:t>-</w:t>
      </w:r>
      <w:r w:rsidRPr="00B82F2D">
        <w:rPr>
          <w:rFonts w:ascii="Arial" w:hAnsi="Arial" w:cs="Arial"/>
          <w:sz w:val="22"/>
          <w:szCs w:val="22"/>
        </w:rPr>
        <w:t xml:space="preserve">1%.  </w:t>
      </w:r>
    </w:p>
    <w:tbl>
      <w:tblPr>
        <w:tblW w:w="0" w:type="auto"/>
        <w:tblCellMar>
          <w:left w:w="70" w:type="dxa"/>
          <w:right w:w="70" w:type="dxa"/>
        </w:tblCellMar>
        <w:tblLook w:val="04A0" w:firstRow="1" w:lastRow="0" w:firstColumn="1" w:lastColumn="0" w:noHBand="0" w:noVBand="1"/>
      </w:tblPr>
      <w:tblGrid>
        <w:gridCol w:w="2241"/>
        <w:gridCol w:w="1774"/>
      </w:tblGrid>
      <w:tr w:rsidR="00AE2089" w:rsidRPr="00AE2089" w14:paraId="145BB302" w14:textId="77777777" w:rsidTr="00AE2089">
        <w:trPr>
          <w:cantSplit/>
          <w:trHeight w:val="767"/>
        </w:trPr>
        <w:tc>
          <w:tcPr>
            <w:tcW w:w="0" w:type="auto"/>
            <w:tcBorders>
              <w:top w:val="single" w:sz="8" w:space="0" w:color="B8CCE4"/>
              <w:left w:val="nil"/>
              <w:bottom w:val="nil"/>
              <w:right w:val="single" w:sz="8" w:space="0" w:color="B8CCE4"/>
            </w:tcBorders>
            <w:shd w:val="clear" w:color="000000" w:fill="4F81BD"/>
            <w:vAlign w:val="center"/>
            <w:hideMark/>
          </w:tcPr>
          <w:p w14:paraId="7F03F76D" w14:textId="77777777" w:rsidR="00AE2089" w:rsidRPr="00AE2089" w:rsidRDefault="00AE2089" w:rsidP="00607BC4">
            <w:pPr>
              <w:spacing w:before="40" w:after="80"/>
              <w:jc w:val="center"/>
              <w:rPr>
                <w:rFonts w:ascii="Arial" w:hAnsi="Arial" w:cs="Arial"/>
                <w:color w:val="FFFFFF"/>
                <w:sz w:val="20"/>
                <w:szCs w:val="20"/>
              </w:rPr>
            </w:pPr>
            <w:r w:rsidRPr="00AE2089">
              <w:rPr>
                <w:rFonts w:ascii="Arial" w:hAnsi="Arial" w:cs="Arial"/>
                <w:color w:val="FFFFFF"/>
                <w:sz w:val="20"/>
                <w:szCs w:val="20"/>
              </w:rPr>
              <w:lastRenderedPageBreak/>
              <w:t>Periodo</w:t>
            </w:r>
          </w:p>
        </w:tc>
        <w:tc>
          <w:tcPr>
            <w:tcW w:w="0" w:type="auto"/>
            <w:tcBorders>
              <w:top w:val="single" w:sz="8" w:space="0" w:color="B8CCE4"/>
              <w:left w:val="nil"/>
              <w:bottom w:val="nil"/>
              <w:right w:val="single" w:sz="8" w:space="0" w:color="B8CCE4"/>
            </w:tcBorders>
            <w:shd w:val="clear" w:color="000000" w:fill="4F81BD"/>
            <w:vAlign w:val="center"/>
            <w:hideMark/>
          </w:tcPr>
          <w:p w14:paraId="56381FB6" w14:textId="77777777" w:rsidR="00AE2089" w:rsidRPr="00AE2089" w:rsidRDefault="00AE2089" w:rsidP="00607BC4">
            <w:pPr>
              <w:spacing w:before="40" w:after="80"/>
              <w:jc w:val="center"/>
              <w:rPr>
                <w:rFonts w:ascii="Arial" w:hAnsi="Arial" w:cs="Arial"/>
                <w:color w:val="FFFFFF"/>
                <w:sz w:val="20"/>
                <w:szCs w:val="20"/>
              </w:rPr>
            </w:pPr>
            <w:r w:rsidRPr="00AE2089">
              <w:rPr>
                <w:rFonts w:ascii="Arial" w:hAnsi="Arial" w:cs="Arial"/>
                <w:color w:val="FFFFFF"/>
                <w:sz w:val="20"/>
                <w:szCs w:val="20"/>
              </w:rPr>
              <w:t>Servicios Digitales</w:t>
            </w:r>
          </w:p>
        </w:tc>
      </w:tr>
      <w:tr w:rsidR="00AE2089" w:rsidRPr="00AE2089" w14:paraId="68624C4E" w14:textId="77777777" w:rsidTr="00661C39">
        <w:trPr>
          <w:cantSplit/>
          <w:trHeight w:val="646"/>
        </w:trPr>
        <w:tc>
          <w:tcPr>
            <w:tcW w:w="0" w:type="auto"/>
            <w:tcBorders>
              <w:top w:val="nil"/>
              <w:left w:val="nil"/>
              <w:bottom w:val="nil"/>
              <w:right w:val="nil"/>
            </w:tcBorders>
            <w:shd w:val="clear" w:color="auto" w:fill="auto"/>
            <w:vAlign w:val="center"/>
            <w:hideMark/>
          </w:tcPr>
          <w:p w14:paraId="1CEF0EEC" w14:textId="77777777" w:rsidR="00AE2089" w:rsidRPr="00AE2089" w:rsidRDefault="00AE2089" w:rsidP="00607BC4">
            <w:pPr>
              <w:spacing w:before="40" w:after="80"/>
              <w:jc w:val="center"/>
              <w:rPr>
                <w:rFonts w:ascii="Arial" w:hAnsi="Arial" w:cs="Arial"/>
                <w:b/>
                <w:bCs/>
                <w:color w:val="0F243E"/>
                <w:sz w:val="20"/>
                <w:szCs w:val="20"/>
              </w:rPr>
            </w:pPr>
            <w:r w:rsidRPr="00AE2089">
              <w:rPr>
                <w:rFonts w:ascii="Arial" w:hAnsi="Arial" w:cs="Arial"/>
                <w:b/>
                <w:bCs/>
                <w:color w:val="0F243E"/>
                <w:sz w:val="20"/>
                <w:szCs w:val="20"/>
              </w:rPr>
              <w:t>II Trimestre de 2019</w:t>
            </w:r>
          </w:p>
        </w:tc>
        <w:tc>
          <w:tcPr>
            <w:tcW w:w="0" w:type="auto"/>
            <w:tcBorders>
              <w:top w:val="nil"/>
              <w:left w:val="nil"/>
              <w:bottom w:val="nil"/>
              <w:right w:val="nil"/>
            </w:tcBorders>
            <w:shd w:val="clear" w:color="auto" w:fill="auto"/>
            <w:noWrap/>
            <w:vAlign w:val="center"/>
            <w:hideMark/>
          </w:tcPr>
          <w:p w14:paraId="1A1C3A3F" w14:textId="77777777" w:rsidR="00AE2089" w:rsidRPr="00AE2089" w:rsidRDefault="00AE2089" w:rsidP="00607BC4">
            <w:pPr>
              <w:spacing w:before="40" w:after="80"/>
              <w:jc w:val="center"/>
              <w:rPr>
                <w:rFonts w:ascii="Arial" w:hAnsi="Arial" w:cs="Arial"/>
                <w:color w:val="0F243E"/>
                <w:sz w:val="20"/>
                <w:szCs w:val="20"/>
              </w:rPr>
            </w:pPr>
            <w:r w:rsidRPr="00AE2089">
              <w:rPr>
                <w:rFonts w:ascii="Arial" w:hAnsi="Arial" w:cs="Arial"/>
                <w:color w:val="0F243E"/>
                <w:sz w:val="20"/>
                <w:szCs w:val="20"/>
              </w:rPr>
              <w:t>725.439</w:t>
            </w:r>
          </w:p>
        </w:tc>
      </w:tr>
      <w:tr w:rsidR="00AE2089" w:rsidRPr="00AE2089" w14:paraId="2D83B93C" w14:textId="77777777" w:rsidTr="00661C39">
        <w:trPr>
          <w:cantSplit/>
          <w:trHeight w:val="683"/>
        </w:trPr>
        <w:tc>
          <w:tcPr>
            <w:tcW w:w="0" w:type="auto"/>
            <w:tcBorders>
              <w:top w:val="nil"/>
              <w:left w:val="nil"/>
              <w:bottom w:val="double" w:sz="6" w:space="0" w:color="4F81BD"/>
              <w:right w:val="nil"/>
            </w:tcBorders>
            <w:shd w:val="clear" w:color="auto" w:fill="auto"/>
            <w:vAlign w:val="center"/>
            <w:hideMark/>
          </w:tcPr>
          <w:p w14:paraId="1E1643A0" w14:textId="76063125" w:rsidR="00AE2089" w:rsidRPr="00AE2089" w:rsidRDefault="00AE2089" w:rsidP="00607BC4">
            <w:pPr>
              <w:spacing w:before="40" w:after="80"/>
              <w:jc w:val="center"/>
              <w:rPr>
                <w:rFonts w:ascii="Arial" w:hAnsi="Arial" w:cs="Arial"/>
                <w:b/>
                <w:bCs/>
                <w:color w:val="0F243E"/>
                <w:sz w:val="20"/>
                <w:szCs w:val="20"/>
              </w:rPr>
            </w:pPr>
            <w:r w:rsidRPr="00AE2089">
              <w:rPr>
                <w:rFonts w:ascii="Arial" w:hAnsi="Arial" w:cs="Arial"/>
                <w:b/>
                <w:bCs/>
                <w:color w:val="0F243E"/>
                <w:sz w:val="20"/>
                <w:szCs w:val="20"/>
              </w:rPr>
              <w:t>III Trimestre de 2019</w:t>
            </w:r>
          </w:p>
        </w:tc>
        <w:tc>
          <w:tcPr>
            <w:tcW w:w="0" w:type="auto"/>
            <w:tcBorders>
              <w:top w:val="nil"/>
              <w:left w:val="nil"/>
              <w:bottom w:val="double" w:sz="6" w:space="0" w:color="4F81BD"/>
              <w:right w:val="nil"/>
            </w:tcBorders>
            <w:shd w:val="clear" w:color="auto" w:fill="auto"/>
            <w:vAlign w:val="center"/>
            <w:hideMark/>
          </w:tcPr>
          <w:p w14:paraId="572D0B31" w14:textId="744D2057" w:rsidR="00AE2089" w:rsidRPr="00AE2089" w:rsidRDefault="00AE2089" w:rsidP="00607BC4">
            <w:pPr>
              <w:spacing w:before="40" w:after="80"/>
              <w:jc w:val="center"/>
              <w:rPr>
                <w:rFonts w:ascii="Arial" w:hAnsi="Arial" w:cs="Arial"/>
                <w:color w:val="0F243E"/>
                <w:sz w:val="20"/>
                <w:szCs w:val="20"/>
              </w:rPr>
            </w:pPr>
            <w:r w:rsidRPr="00AE2089">
              <w:rPr>
                <w:rFonts w:ascii="Arial" w:hAnsi="Arial" w:cs="Arial"/>
                <w:color w:val="0F243E"/>
                <w:sz w:val="20"/>
                <w:szCs w:val="20"/>
              </w:rPr>
              <w:t>719.495</w:t>
            </w:r>
          </w:p>
        </w:tc>
      </w:tr>
      <w:tr w:rsidR="00AE2089" w:rsidRPr="00AE2089" w14:paraId="4AE57A0E" w14:textId="77777777" w:rsidTr="00AE2089">
        <w:trPr>
          <w:cantSplit/>
        </w:trPr>
        <w:tc>
          <w:tcPr>
            <w:tcW w:w="0" w:type="auto"/>
            <w:tcBorders>
              <w:top w:val="nil"/>
              <w:left w:val="nil"/>
              <w:bottom w:val="nil"/>
              <w:right w:val="nil"/>
            </w:tcBorders>
            <w:shd w:val="clear" w:color="auto" w:fill="auto"/>
            <w:noWrap/>
            <w:vAlign w:val="center"/>
            <w:hideMark/>
          </w:tcPr>
          <w:p w14:paraId="3165F915" w14:textId="3AF3F8D2" w:rsidR="00AE2089" w:rsidRPr="00AE2089" w:rsidRDefault="00607BC4" w:rsidP="00607BC4">
            <w:pPr>
              <w:spacing w:before="40" w:after="80"/>
              <w:rPr>
                <w:rFonts w:ascii="Arial" w:hAnsi="Arial" w:cs="Arial"/>
                <w:b/>
                <w:bCs/>
                <w:color w:val="0F243E"/>
                <w:sz w:val="20"/>
                <w:szCs w:val="20"/>
              </w:rPr>
            </w:pPr>
            <w:r w:rsidRPr="00AE2089">
              <w:rPr>
                <w:rFonts w:ascii="Arial" w:hAnsi="Arial" w:cs="Arial"/>
                <w:b/>
                <w:bCs/>
                <w:color w:val="0F243E"/>
                <w:sz w:val="20"/>
                <w:szCs w:val="20"/>
              </w:rPr>
              <w:t>Variación en</w:t>
            </w:r>
            <w:r w:rsidR="00AE2089" w:rsidRPr="00AE2089">
              <w:rPr>
                <w:rFonts w:ascii="Arial" w:hAnsi="Arial" w:cs="Arial"/>
                <w:b/>
                <w:bCs/>
                <w:color w:val="0F243E"/>
                <w:sz w:val="20"/>
                <w:szCs w:val="20"/>
              </w:rPr>
              <w:t xml:space="preserve"> Cantidad</w:t>
            </w:r>
          </w:p>
        </w:tc>
        <w:tc>
          <w:tcPr>
            <w:tcW w:w="0" w:type="auto"/>
            <w:tcBorders>
              <w:top w:val="nil"/>
              <w:left w:val="nil"/>
              <w:bottom w:val="nil"/>
              <w:right w:val="nil"/>
            </w:tcBorders>
            <w:shd w:val="clear" w:color="auto" w:fill="auto"/>
            <w:noWrap/>
            <w:vAlign w:val="center"/>
            <w:hideMark/>
          </w:tcPr>
          <w:p w14:paraId="30116825" w14:textId="3E0558DA" w:rsidR="00AE2089" w:rsidRPr="00AE2089" w:rsidRDefault="004D0A49" w:rsidP="00607BC4">
            <w:pPr>
              <w:spacing w:before="40" w:after="80"/>
              <w:jc w:val="center"/>
              <w:rPr>
                <w:rFonts w:ascii="Arial" w:hAnsi="Arial" w:cs="Arial"/>
                <w:b/>
                <w:bCs/>
                <w:color w:val="0F243E"/>
                <w:sz w:val="20"/>
                <w:szCs w:val="20"/>
              </w:rPr>
            </w:pPr>
            <w:r>
              <w:rPr>
                <w:rFonts w:ascii="Arial" w:hAnsi="Arial" w:cs="Arial"/>
                <w:b/>
                <w:bCs/>
                <w:color w:val="0F243E"/>
                <w:sz w:val="20"/>
                <w:szCs w:val="20"/>
              </w:rPr>
              <w:t>(</w:t>
            </w:r>
            <w:r w:rsidR="00AE2089" w:rsidRPr="00AE2089">
              <w:rPr>
                <w:rFonts w:ascii="Arial" w:hAnsi="Arial" w:cs="Arial"/>
                <w:b/>
                <w:bCs/>
                <w:color w:val="0F243E"/>
                <w:sz w:val="20"/>
                <w:szCs w:val="20"/>
              </w:rPr>
              <w:t>5.944</w:t>
            </w:r>
            <w:r>
              <w:rPr>
                <w:rFonts w:ascii="Arial" w:hAnsi="Arial" w:cs="Arial"/>
                <w:b/>
                <w:bCs/>
                <w:color w:val="0F243E"/>
                <w:sz w:val="20"/>
                <w:szCs w:val="20"/>
              </w:rPr>
              <w:t>)</w:t>
            </w:r>
          </w:p>
        </w:tc>
      </w:tr>
      <w:tr w:rsidR="00AE2089" w:rsidRPr="00AE2089" w14:paraId="6305FC11" w14:textId="77777777" w:rsidTr="00661C39">
        <w:trPr>
          <w:cantSplit/>
          <w:trHeight w:val="303"/>
        </w:trPr>
        <w:tc>
          <w:tcPr>
            <w:tcW w:w="0" w:type="auto"/>
            <w:tcBorders>
              <w:top w:val="nil"/>
              <w:left w:val="nil"/>
              <w:bottom w:val="double" w:sz="6" w:space="0" w:color="4F81BD"/>
              <w:right w:val="nil"/>
            </w:tcBorders>
            <w:shd w:val="clear" w:color="auto" w:fill="auto"/>
            <w:noWrap/>
            <w:vAlign w:val="center"/>
            <w:hideMark/>
          </w:tcPr>
          <w:p w14:paraId="6088399C" w14:textId="77777777" w:rsidR="00AE2089" w:rsidRPr="00AE2089" w:rsidRDefault="00AE2089" w:rsidP="00607BC4">
            <w:pPr>
              <w:spacing w:before="40" w:after="80"/>
              <w:rPr>
                <w:rFonts w:ascii="Arial" w:hAnsi="Arial" w:cs="Arial"/>
                <w:b/>
                <w:bCs/>
                <w:color w:val="0F243E"/>
                <w:sz w:val="20"/>
                <w:szCs w:val="20"/>
              </w:rPr>
            </w:pPr>
            <w:r w:rsidRPr="00AE2089">
              <w:rPr>
                <w:rFonts w:ascii="Arial" w:hAnsi="Arial" w:cs="Arial"/>
                <w:b/>
                <w:bCs/>
                <w:color w:val="0F243E"/>
                <w:sz w:val="20"/>
                <w:szCs w:val="20"/>
              </w:rPr>
              <w:t>Variación</w:t>
            </w:r>
          </w:p>
        </w:tc>
        <w:tc>
          <w:tcPr>
            <w:tcW w:w="0" w:type="auto"/>
            <w:tcBorders>
              <w:top w:val="nil"/>
              <w:left w:val="nil"/>
              <w:bottom w:val="double" w:sz="6" w:space="0" w:color="4F81BD"/>
              <w:right w:val="nil"/>
            </w:tcBorders>
            <w:shd w:val="clear" w:color="auto" w:fill="auto"/>
            <w:noWrap/>
            <w:vAlign w:val="center"/>
            <w:hideMark/>
          </w:tcPr>
          <w:p w14:paraId="6516FD4C" w14:textId="3ABD5CC7" w:rsidR="00AE2089" w:rsidRPr="00AE2089" w:rsidRDefault="004D0A49" w:rsidP="00607BC4">
            <w:pPr>
              <w:spacing w:before="40" w:after="80"/>
              <w:jc w:val="center"/>
              <w:rPr>
                <w:rFonts w:ascii="Arial" w:hAnsi="Arial" w:cs="Arial"/>
                <w:b/>
                <w:bCs/>
                <w:color w:val="0F243E"/>
                <w:sz w:val="20"/>
                <w:szCs w:val="20"/>
              </w:rPr>
            </w:pPr>
            <w:r>
              <w:rPr>
                <w:rFonts w:ascii="Arial" w:hAnsi="Arial" w:cs="Arial"/>
                <w:b/>
                <w:bCs/>
                <w:color w:val="0F243E"/>
                <w:sz w:val="20"/>
                <w:szCs w:val="20"/>
              </w:rPr>
              <w:t>(</w:t>
            </w:r>
            <w:r w:rsidR="00AE2089" w:rsidRPr="00AE2089">
              <w:rPr>
                <w:rFonts w:ascii="Arial" w:hAnsi="Arial" w:cs="Arial"/>
                <w:b/>
                <w:bCs/>
                <w:color w:val="0F243E"/>
                <w:sz w:val="20"/>
                <w:szCs w:val="20"/>
              </w:rPr>
              <w:t>1%</w:t>
            </w:r>
            <w:r>
              <w:rPr>
                <w:rFonts w:ascii="Arial" w:hAnsi="Arial" w:cs="Arial"/>
                <w:b/>
                <w:bCs/>
                <w:color w:val="0F243E"/>
                <w:sz w:val="20"/>
                <w:szCs w:val="20"/>
              </w:rPr>
              <w:t>)</w:t>
            </w:r>
          </w:p>
        </w:tc>
      </w:tr>
    </w:tbl>
    <w:p w14:paraId="41DDA5AD" w14:textId="3E8E6F97" w:rsidR="00607BC4" w:rsidRDefault="00E26AB8" w:rsidP="00557B02">
      <w:pPr>
        <w:widowControl w:val="0"/>
        <w:jc w:val="both"/>
        <w:rPr>
          <w:rFonts w:ascii="Arial" w:hAnsi="Arial" w:cs="Arial"/>
          <w:sz w:val="22"/>
          <w:szCs w:val="22"/>
        </w:rPr>
      </w:pPr>
      <w:r w:rsidRPr="00AE2089">
        <w:rPr>
          <w:rFonts w:ascii="Arial" w:hAnsi="Arial" w:cs="Arial"/>
          <w:noProof/>
          <w:color w:val="000000" w:themeColor="text1"/>
          <w:sz w:val="18"/>
          <w:szCs w:val="18"/>
        </w:rPr>
        <w:drawing>
          <wp:anchor distT="0" distB="0" distL="114300" distR="114300" simplePos="0" relativeHeight="251978752" behindDoc="0" locked="0" layoutInCell="1" allowOverlap="1" wp14:anchorId="45378C08" wp14:editId="23B7556A">
            <wp:simplePos x="0" y="0"/>
            <wp:positionH relativeFrom="margin">
              <wp:posOffset>2604770</wp:posOffset>
            </wp:positionH>
            <wp:positionV relativeFrom="paragraph">
              <wp:posOffset>-1855470</wp:posOffset>
            </wp:positionV>
            <wp:extent cx="3467100" cy="1895475"/>
            <wp:effectExtent l="0" t="0" r="0" b="0"/>
            <wp:wrapNone/>
            <wp:docPr id="15" name="Gráfico 1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9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14:paraId="7AA9FCA5" w14:textId="77777777" w:rsidR="00661C39" w:rsidRDefault="00661C39" w:rsidP="00661C39">
      <w:pPr>
        <w:widowControl w:val="0"/>
        <w:spacing w:line="168" w:lineRule="auto"/>
        <w:jc w:val="both"/>
        <w:rPr>
          <w:rFonts w:ascii="Arial" w:hAnsi="Arial" w:cs="Arial"/>
          <w:sz w:val="22"/>
          <w:szCs w:val="22"/>
        </w:rPr>
      </w:pPr>
    </w:p>
    <w:p w14:paraId="6CACD0D2" w14:textId="0D2FB7C7" w:rsidR="001524BB" w:rsidRPr="00DD7202" w:rsidRDefault="00557B02" w:rsidP="00557B02">
      <w:pPr>
        <w:widowControl w:val="0"/>
        <w:jc w:val="both"/>
        <w:rPr>
          <w:rFonts w:ascii="Arial" w:hAnsi="Arial" w:cs="Arial"/>
          <w:sz w:val="22"/>
          <w:szCs w:val="22"/>
        </w:rPr>
      </w:pPr>
      <w:r w:rsidRPr="00DD7202">
        <w:rPr>
          <w:rFonts w:ascii="Arial" w:hAnsi="Arial" w:cs="Arial"/>
          <w:sz w:val="22"/>
          <w:szCs w:val="22"/>
        </w:rPr>
        <w:t>Ahora bien, según el consumo mensual de los servicios digitales los cuales so</w:t>
      </w:r>
      <w:r w:rsidR="003773B0">
        <w:rPr>
          <w:rFonts w:ascii="Arial" w:hAnsi="Arial" w:cs="Arial"/>
          <w:sz w:val="22"/>
          <w:szCs w:val="22"/>
        </w:rPr>
        <w:t>n medidos por el número de hojas utilizadas. De lo anterior, se observó un comportamiento fluctuante de crecimiento y decrecimiento, tal como se puede observar</w:t>
      </w:r>
      <w:r w:rsidR="00256F66">
        <w:rPr>
          <w:rFonts w:ascii="Arial" w:hAnsi="Arial" w:cs="Arial"/>
          <w:sz w:val="22"/>
          <w:szCs w:val="22"/>
        </w:rPr>
        <w:t xml:space="preserve"> en la </w:t>
      </w:r>
      <w:r w:rsidR="0051637C">
        <w:rPr>
          <w:rFonts w:ascii="Arial" w:hAnsi="Arial" w:cs="Arial"/>
          <w:sz w:val="22"/>
          <w:szCs w:val="22"/>
        </w:rPr>
        <w:t>gráfica expuesta. El</w:t>
      </w:r>
      <w:r w:rsidR="003773B0">
        <w:rPr>
          <w:rFonts w:ascii="Arial" w:hAnsi="Arial" w:cs="Arial"/>
          <w:sz w:val="22"/>
          <w:szCs w:val="22"/>
        </w:rPr>
        <w:t xml:space="preserve"> consumo del mes de mayo comparado con el mes de junio presentó una disminución del 20%, sin embargo, entre junio y julio se observó una tendencia creciente, </w:t>
      </w:r>
      <w:r w:rsidR="0051637C">
        <w:rPr>
          <w:rFonts w:ascii="Arial" w:hAnsi="Arial" w:cs="Arial"/>
          <w:sz w:val="22"/>
          <w:szCs w:val="22"/>
        </w:rPr>
        <w:t xml:space="preserve">lo que permite deducir </w:t>
      </w:r>
      <w:r w:rsidR="003773B0">
        <w:rPr>
          <w:rFonts w:ascii="Arial" w:hAnsi="Arial" w:cs="Arial"/>
          <w:sz w:val="22"/>
          <w:szCs w:val="22"/>
        </w:rPr>
        <w:t xml:space="preserve">que para el tercer trimestre de 2019 la tendencia del consumo estuvo estable. </w:t>
      </w:r>
    </w:p>
    <w:p w14:paraId="3CD3EC8B" w14:textId="77777777" w:rsidR="00BD335C" w:rsidRPr="00DD7202" w:rsidRDefault="00BD335C" w:rsidP="00557B02">
      <w:pPr>
        <w:widowControl w:val="0"/>
        <w:jc w:val="both"/>
        <w:rPr>
          <w:rFonts w:ascii="Arial" w:hAnsi="Arial" w:cs="Arial"/>
          <w:sz w:val="22"/>
          <w:szCs w:val="22"/>
        </w:rPr>
      </w:pPr>
    </w:p>
    <w:p w14:paraId="29266BD6" w14:textId="07ECBBAB" w:rsidR="00B0746C" w:rsidRPr="00A003B6" w:rsidRDefault="00DD7202" w:rsidP="00992416">
      <w:pPr>
        <w:widowControl w:val="0"/>
        <w:rPr>
          <w:rFonts w:ascii="Arial" w:hAnsi="Arial" w:cs="Arial"/>
          <w:sz w:val="22"/>
          <w:szCs w:val="22"/>
          <w:highlight w:val="yellow"/>
        </w:rPr>
      </w:pPr>
      <w:r>
        <w:rPr>
          <w:noProof/>
        </w:rPr>
        <w:drawing>
          <wp:inline distT="0" distB="0" distL="0" distR="0" wp14:anchorId="1FE850FC" wp14:editId="78CCBB60">
            <wp:extent cx="6134100" cy="1933575"/>
            <wp:effectExtent l="0" t="0" r="0" b="0"/>
            <wp:docPr id="35" name="Gráfico 3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D8C357" w14:textId="10269BF8" w:rsidR="00FB3A1C" w:rsidRPr="007C2B7C" w:rsidRDefault="00271333" w:rsidP="0058466A">
      <w:pPr>
        <w:widowControl w:val="0"/>
        <w:jc w:val="both"/>
        <w:rPr>
          <w:rFonts w:ascii="Arial" w:hAnsi="Arial" w:cs="Arial"/>
          <w:sz w:val="22"/>
          <w:szCs w:val="22"/>
        </w:rPr>
      </w:pPr>
      <w:r>
        <w:rPr>
          <w:rFonts w:ascii="Arial" w:hAnsi="Arial" w:cs="Arial"/>
          <w:sz w:val="22"/>
          <w:szCs w:val="22"/>
        </w:rPr>
        <w:t>A</w:t>
      </w:r>
      <w:r w:rsidR="002D4ED4" w:rsidRPr="007C2B7C">
        <w:rPr>
          <w:rFonts w:ascii="Arial" w:hAnsi="Arial" w:cs="Arial"/>
          <w:sz w:val="22"/>
          <w:szCs w:val="22"/>
        </w:rPr>
        <w:t xml:space="preserve"> nivel de dependencias, </w:t>
      </w:r>
      <w:r w:rsidR="00C35E6D" w:rsidRPr="007C2B7C">
        <w:rPr>
          <w:rFonts w:ascii="Arial" w:hAnsi="Arial" w:cs="Arial"/>
          <w:sz w:val="22"/>
          <w:szCs w:val="22"/>
        </w:rPr>
        <w:t xml:space="preserve">a </w:t>
      </w:r>
      <w:r w:rsidR="002D4ED4" w:rsidRPr="007C2B7C">
        <w:rPr>
          <w:rFonts w:ascii="Arial" w:hAnsi="Arial" w:cs="Arial"/>
          <w:sz w:val="22"/>
          <w:szCs w:val="22"/>
        </w:rPr>
        <w:t xml:space="preserve">continuación, </w:t>
      </w:r>
      <w:r w:rsidR="001B3830" w:rsidRPr="007C2B7C">
        <w:rPr>
          <w:rFonts w:ascii="Arial" w:hAnsi="Arial" w:cs="Arial"/>
          <w:sz w:val="22"/>
          <w:szCs w:val="22"/>
        </w:rPr>
        <w:t>se presentan</w:t>
      </w:r>
      <w:r w:rsidR="00C35E6D" w:rsidRPr="007C2B7C">
        <w:rPr>
          <w:rFonts w:ascii="Arial" w:hAnsi="Arial" w:cs="Arial"/>
          <w:sz w:val="22"/>
          <w:szCs w:val="22"/>
        </w:rPr>
        <w:t xml:space="preserve"> </w:t>
      </w:r>
      <w:r w:rsidR="002D6E50" w:rsidRPr="007C2B7C">
        <w:rPr>
          <w:rFonts w:ascii="Arial" w:hAnsi="Arial" w:cs="Arial"/>
          <w:sz w:val="22"/>
          <w:szCs w:val="22"/>
        </w:rPr>
        <w:t xml:space="preserve">las </w:t>
      </w:r>
      <w:r w:rsidR="00143949" w:rsidRPr="007C2B7C">
        <w:rPr>
          <w:rFonts w:ascii="Arial" w:hAnsi="Arial" w:cs="Arial"/>
          <w:sz w:val="22"/>
          <w:szCs w:val="22"/>
        </w:rPr>
        <w:t>que</w:t>
      </w:r>
      <w:r w:rsidR="00C35E6D" w:rsidRPr="007C2B7C">
        <w:rPr>
          <w:rFonts w:ascii="Arial" w:hAnsi="Arial" w:cs="Arial"/>
          <w:sz w:val="22"/>
          <w:szCs w:val="22"/>
        </w:rPr>
        <w:t xml:space="preserve"> registraron mayores consumos de </w:t>
      </w:r>
      <w:r w:rsidR="002A086A" w:rsidRPr="007C2B7C">
        <w:rPr>
          <w:rFonts w:ascii="Arial" w:hAnsi="Arial" w:cs="Arial"/>
          <w:sz w:val="22"/>
          <w:szCs w:val="22"/>
        </w:rPr>
        <w:t>servicios digitales</w:t>
      </w:r>
      <w:r w:rsidR="00A11CCB" w:rsidRPr="007C2B7C">
        <w:rPr>
          <w:rFonts w:ascii="Arial" w:hAnsi="Arial" w:cs="Arial"/>
          <w:sz w:val="22"/>
          <w:szCs w:val="22"/>
        </w:rPr>
        <w:t xml:space="preserve"> en el </w:t>
      </w:r>
      <w:r w:rsidR="007C2B7C">
        <w:rPr>
          <w:rFonts w:ascii="Arial" w:hAnsi="Arial" w:cs="Arial"/>
          <w:sz w:val="22"/>
          <w:szCs w:val="22"/>
        </w:rPr>
        <w:t xml:space="preserve">tercer </w:t>
      </w:r>
      <w:r w:rsidR="00A11CCB" w:rsidRPr="007C2B7C">
        <w:rPr>
          <w:rFonts w:ascii="Arial" w:hAnsi="Arial" w:cs="Arial"/>
          <w:sz w:val="22"/>
          <w:szCs w:val="22"/>
        </w:rPr>
        <w:t xml:space="preserve">trimestre de 2019 </w:t>
      </w:r>
      <w:r w:rsidR="002A086A" w:rsidRPr="007C2B7C">
        <w:rPr>
          <w:rFonts w:ascii="Arial" w:hAnsi="Arial" w:cs="Arial"/>
          <w:sz w:val="22"/>
          <w:szCs w:val="22"/>
        </w:rPr>
        <w:t xml:space="preserve">medidos en número de </w:t>
      </w:r>
      <w:r w:rsidR="00A11CCB" w:rsidRPr="007C2B7C">
        <w:rPr>
          <w:rFonts w:ascii="Arial" w:hAnsi="Arial" w:cs="Arial"/>
          <w:sz w:val="22"/>
          <w:szCs w:val="22"/>
        </w:rPr>
        <w:t>hojas, las</w:t>
      </w:r>
      <w:r w:rsidR="007B5FEF" w:rsidRPr="007C2B7C">
        <w:rPr>
          <w:rFonts w:ascii="Arial" w:hAnsi="Arial" w:cs="Arial"/>
          <w:sz w:val="22"/>
          <w:szCs w:val="22"/>
        </w:rPr>
        <w:t xml:space="preserve"> cuales representan el </w:t>
      </w:r>
      <w:r w:rsidR="007C2B7C">
        <w:rPr>
          <w:rFonts w:ascii="Arial" w:hAnsi="Arial" w:cs="Arial"/>
          <w:sz w:val="22"/>
          <w:szCs w:val="22"/>
        </w:rPr>
        <w:t>80</w:t>
      </w:r>
      <w:r w:rsidR="007B5FEF" w:rsidRPr="007C2B7C">
        <w:rPr>
          <w:rFonts w:ascii="Arial" w:hAnsi="Arial" w:cs="Arial"/>
          <w:sz w:val="22"/>
          <w:szCs w:val="22"/>
        </w:rPr>
        <w:t xml:space="preserve">% del total del consumo </w:t>
      </w:r>
      <w:r w:rsidR="0041106B" w:rsidRPr="007C2B7C">
        <w:rPr>
          <w:rFonts w:ascii="Arial" w:hAnsi="Arial" w:cs="Arial"/>
          <w:sz w:val="22"/>
          <w:szCs w:val="22"/>
        </w:rPr>
        <w:t xml:space="preserve">para dicho periodo. </w:t>
      </w:r>
      <w:r w:rsidR="00FC25E0" w:rsidRPr="007C2B7C">
        <w:rPr>
          <w:rFonts w:ascii="Arial" w:hAnsi="Arial" w:cs="Arial"/>
          <w:sz w:val="22"/>
          <w:szCs w:val="22"/>
        </w:rPr>
        <w:t>Con</w:t>
      </w:r>
      <w:r w:rsidR="00A11CCB" w:rsidRPr="007C2B7C">
        <w:rPr>
          <w:rFonts w:ascii="Arial" w:hAnsi="Arial" w:cs="Arial"/>
          <w:sz w:val="22"/>
          <w:szCs w:val="22"/>
        </w:rPr>
        <w:t xml:space="preserve"> base en los</w:t>
      </w:r>
      <w:r w:rsidR="00FC25E0" w:rsidRPr="007C2B7C">
        <w:rPr>
          <w:rFonts w:ascii="Arial" w:hAnsi="Arial" w:cs="Arial"/>
          <w:sz w:val="22"/>
          <w:szCs w:val="22"/>
        </w:rPr>
        <w:t xml:space="preserve"> consumos registrados para las dependencias selec</w:t>
      </w:r>
      <w:r w:rsidR="00A11CCB" w:rsidRPr="007C2B7C">
        <w:rPr>
          <w:rFonts w:ascii="Arial" w:hAnsi="Arial" w:cs="Arial"/>
          <w:sz w:val="22"/>
          <w:szCs w:val="22"/>
        </w:rPr>
        <w:t>cionadas, se establecieron</w:t>
      </w:r>
      <w:r w:rsidR="00FC25E0" w:rsidRPr="007C2B7C">
        <w:rPr>
          <w:rFonts w:ascii="Arial" w:hAnsi="Arial" w:cs="Arial"/>
          <w:sz w:val="22"/>
          <w:szCs w:val="22"/>
        </w:rPr>
        <w:t xml:space="preserve"> las variaciones correspondientes al </w:t>
      </w:r>
      <w:r w:rsidR="00F744FF">
        <w:rPr>
          <w:rFonts w:ascii="Arial" w:hAnsi="Arial" w:cs="Arial"/>
          <w:sz w:val="22"/>
          <w:szCs w:val="22"/>
        </w:rPr>
        <w:t xml:space="preserve">tercer </w:t>
      </w:r>
      <w:r w:rsidR="00F744FF" w:rsidRPr="007C2B7C">
        <w:rPr>
          <w:rFonts w:ascii="Arial" w:hAnsi="Arial" w:cs="Arial"/>
          <w:sz w:val="22"/>
          <w:szCs w:val="22"/>
        </w:rPr>
        <w:t>trimestre</w:t>
      </w:r>
      <w:r w:rsidR="00FC25E0" w:rsidRPr="007C2B7C">
        <w:rPr>
          <w:rFonts w:ascii="Arial" w:hAnsi="Arial" w:cs="Arial"/>
          <w:sz w:val="22"/>
          <w:szCs w:val="22"/>
        </w:rPr>
        <w:t xml:space="preserve"> de 2019 comparado con el mismo trimestre de 2018, así: </w:t>
      </w:r>
    </w:p>
    <w:p w14:paraId="37CA8C4A" w14:textId="77777777" w:rsidR="00E779E5" w:rsidRPr="00A003B6" w:rsidRDefault="00E779E5" w:rsidP="0058466A">
      <w:pPr>
        <w:widowControl w:val="0"/>
        <w:jc w:val="both"/>
        <w:rPr>
          <w:rFonts w:ascii="Arial" w:hAnsi="Arial" w:cs="Arial"/>
          <w:sz w:val="22"/>
          <w:szCs w:val="22"/>
          <w:highlight w:val="yellow"/>
        </w:rPr>
      </w:pPr>
    </w:p>
    <w:tbl>
      <w:tblPr>
        <w:tblStyle w:val="Tabladecuadrcula1clara-nfasis1"/>
        <w:tblW w:w="0" w:type="auto"/>
        <w:tblLayout w:type="fixed"/>
        <w:tblLook w:val="04A0" w:firstRow="1" w:lastRow="0" w:firstColumn="1" w:lastColumn="0" w:noHBand="0" w:noVBand="1"/>
      </w:tblPr>
      <w:tblGrid>
        <w:gridCol w:w="988"/>
        <w:gridCol w:w="708"/>
        <w:gridCol w:w="851"/>
        <w:gridCol w:w="992"/>
        <w:gridCol w:w="851"/>
        <w:gridCol w:w="850"/>
        <w:gridCol w:w="851"/>
        <w:gridCol w:w="708"/>
        <w:gridCol w:w="993"/>
        <w:gridCol w:w="992"/>
        <w:gridCol w:w="894"/>
      </w:tblGrid>
      <w:tr w:rsidR="00F744FF" w:rsidRPr="00F744FF" w14:paraId="5DCBFDDC" w14:textId="77777777" w:rsidTr="00F744F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8" w:type="dxa"/>
            <w:vMerge w:val="restart"/>
            <w:shd w:val="clear" w:color="auto" w:fill="4F81BD" w:themeFill="accent1"/>
            <w:vAlign w:val="center"/>
            <w:hideMark/>
          </w:tcPr>
          <w:p w14:paraId="7074C8BF" w14:textId="77777777" w:rsidR="00F744FF" w:rsidRPr="00F744FF" w:rsidRDefault="00F744FF" w:rsidP="00C5137E">
            <w:pPr>
              <w:spacing w:before="80" w:after="60"/>
              <w:jc w:val="center"/>
              <w:rPr>
                <w:rFonts w:ascii="Arial" w:hAnsi="Arial" w:cs="Arial"/>
                <w:color w:val="FFFFFF" w:themeColor="background1"/>
                <w:sz w:val="16"/>
                <w:szCs w:val="16"/>
              </w:rPr>
            </w:pPr>
            <w:r w:rsidRPr="00F744FF">
              <w:rPr>
                <w:rFonts w:ascii="Arial" w:hAnsi="Arial" w:cs="Arial"/>
                <w:color w:val="FFFFFF" w:themeColor="background1"/>
                <w:sz w:val="16"/>
                <w:szCs w:val="16"/>
              </w:rPr>
              <w:t>Dirección</w:t>
            </w:r>
          </w:p>
        </w:tc>
        <w:tc>
          <w:tcPr>
            <w:tcW w:w="2551" w:type="dxa"/>
            <w:gridSpan w:val="3"/>
            <w:shd w:val="clear" w:color="auto" w:fill="4F81BD" w:themeFill="accent1"/>
            <w:vAlign w:val="center"/>
            <w:hideMark/>
          </w:tcPr>
          <w:p w14:paraId="4B464DBC" w14:textId="6FEEF28E" w:rsidR="00F744FF" w:rsidRPr="00F744FF" w:rsidRDefault="00F744FF" w:rsidP="00C5137E">
            <w:pPr>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I</w:t>
            </w:r>
            <w:r w:rsidRPr="00F744FF">
              <w:rPr>
                <w:rFonts w:ascii="Arial" w:hAnsi="Arial" w:cs="Arial"/>
                <w:color w:val="FFFFFF" w:themeColor="background1"/>
                <w:sz w:val="16"/>
                <w:szCs w:val="16"/>
              </w:rPr>
              <w:t>II Trimestre de 2019</w:t>
            </w:r>
          </w:p>
        </w:tc>
        <w:tc>
          <w:tcPr>
            <w:tcW w:w="851" w:type="dxa"/>
            <w:vMerge w:val="restart"/>
            <w:shd w:val="clear" w:color="auto" w:fill="4F81BD" w:themeFill="accent1"/>
            <w:vAlign w:val="center"/>
            <w:hideMark/>
          </w:tcPr>
          <w:p w14:paraId="6320F2FF" w14:textId="77777777" w:rsidR="00F744FF" w:rsidRPr="00F744FF" w:rsidRDefault="00F744FF" w:rsidP="00C5137E">
            <w:pPr>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F744FF">
              <w:rPr>
                <w:rFonts w:ascii="Arial" w:hAnsi="Arial" w:cs="Arial"/>
                <w:color w:val="FFFFFF" w:themeColor="background1"/>
                <w:sz w:val="16"/>
                <w:szCs w:val="16"/>
              </w:rPr>
              <w:t xml:space="preserve">Total </w:t>
            </w:r>
          </w:p>
        </w:tc>
        <w:tc>
          <w:tcPr>
            <w:tcW w:w="2409" w:type="dxa"/>
            <w:gridSpan w:val="3"/>
            <w:shd w:val="clear" w:color="auto" w:fill="4F81BD" w:themeFill="accent1"/>
            <w:vAlign w:val="center"/>
            <w:hideMark/>
          </w:tcPr>
          <w:p w14:paraId="02170857" w14:textId="14B18BCE" w:rsidR="00F744FF" w:rsidRPr="00F744FF" w:rsidRDefault="00F744FF" w:rsidP="00C5137E">
            <w:pPr>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I</w:t>
            </w:r>
            <w:r w:rsidRPr="00F744FF">
              <w:rPr>
                <w:rFonts w:ascii="Arial" w:hAnsi="Arial" w:cs="Arial"/>
                <w:color w:val="FFFFFF" w:themeColor="background1"/>
                <w:sz w:val="16"/>
                <w:szCs w:val="16"/>
              </w:rPr>
              <w:t>II Trimestre de 2018</w:t>
            </w:r>
          </w:p>
        </w:tc>
        <w:tc>
          <w:tcPr>
            <w:tcW w:w="993" w:type="dxa"/>
            <w:vMerge w:val="restart"/>
            <w:shd w:val="clear" w:color="auto" w:fill="4F81BD" w:themeFill="accent1"/>
            <w:vAlign w:val="center"/>
            <w:hideMark/>
          </w:tcPr>
          <w:p w14:paraId="48A7B411" w14:textId="77777777" w:rsidR="00F744FF" w:rsidRPr="00F744FF" w:rsidRDefault="00F744FF" w:rsidP="00C5137E">
            <w:pPr>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F744FF">
              <w:rPr>
                <w:rFonts w:ascii="Arial" w:hAnsi="Arial" w:cs="Arial"/>
                <w:color w:val="FFFFFF" w:themeColor="background1"/>
                <w:sz w:val="16"/>
                <w:szCs w:val="16"/>
              </w:rPr>
              <w:t xml:space="preserve">Total </w:t>
            </w:r>
          </w:p>
        </w:tc>
        <w:tc>
          <w:tcPr>
            <w:tcW w:w="1886" w:type="dxa"/>
            <w:gridSpan w:val="2"/>
            <w:shd w:val="clear" w:color="auto" w:fill="4F81BD" w:themeFill="accent1"/>
            <w:vAlign w:val="center"/>
            <w:hideMark/>
          </w:tcPr>
          <w:p w14:paraId="61037C7F" w14:textId="087C8C93" w:rsidR="00F744FF" w:rsidRPr="00F744FF" w:rsidRDefault="00F744FF" w:rsidP="00F744FF">
            <w:pPr>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6"/>
                <w:szCs w:val="16"/>
              </w:rPr>
            </w:pPr>
            <w:r w:rsidRPr="00F744FF">
              <w:rPr>
                <w:rFonts w:ascii="Arial" w:hAnsi="Arial" w:cs="Arial"/>
                <w:color w:val="FFFFFF" w:themeColor="background1"/>
                <w:sz w:val="16"/>
                <w:szCs w:val="16"/>
              </w:rPr>
              <w:t>Variación</w:t>
            </w:r>
          </w:p>
        </w:tc>
      </w:tr>
      <w:tr w:rsidR="00F744FF" w:rsidRPr="00F744FF" w14:paraId="721D07CE" w14:textId="77777777" w:rsidTr="00F744FF">
        <w:trPr>
          <w:cantSplit/>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4F81BD" w:themeFill="accent1"/>
            <w:vAlign w:val="center"/>
            <w:hideMark/>
          </w:tcPr>
          <w:p w14:paraId="75D6C612" w14:textId="77777777" w:rsidR="00F744FF" w:rsidRPr="00F744FF" w:rsidRDefault="00F744FF" w:rsidP="00F744FF">
            <w:pPr>
              <w:spacing w:before="80" w:after="60"/>
              <w:rPr>
                <w:rFonts w:ascii="Arial" w:hAnsi="Arial" w:cs="Arial"/>
                <w:color w:val="FFFFFF" w:themeColor="background1"/>
                <w:sz w:val="16"/>
                <w:szCs w:val="16"/>
              </w:rPr>
            </w:pPr>
          </w:p>
        </w:tc>
        <w:tc>
          <w:tcPr>
            <w:tcW w:w="708" w:type="dxa"/>
            <w:shd w:val="clear" w:color="auto" w:fill="4F81BD" w:themeFill="accent1"/>
            <w:vAlign w:val="center"/>
            <w:hideMark/>
          </w:tcPr>
          <w:p w14:paraId="4B79A8FC" w14:textId="764DDDD7" w:rsidR="00F744FF" w:rsidRPr="00F744FF"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Pr>
                <w:rFonts w:ascii="Arial" w:hAnsi="Arial" w:cs="Arial"/>
                <w:b/>
                <w:bCs/>
                <w:color w:val="FFFFFF" w:themeColor="background1"/>
                <w:sz w:val="16"/>
                <w:szCs w:val="16"/>
              </w:rPr>
              <w:t>Jul</w:t>
            </w:r>
          </w:p>
        </w:tc>
        <w:tc>
          <w:tcPr>
            <w:tcW w:w="851" w:type="dxa"/>
            <w:shd w:val="clear" w:color="auto" w:fill="4F81BD" w:themeFill="accent1"/>
            <w:vAlign w:val="center"/>
            <w:hideMark/>
          </w:tcPr>
          <w:p w14:paraId="15549C8C" w14:textId="7CD02799" w:rsidR="00F744FF" w:rsidRPr="00F744FF"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Pr>
                <w:rFonts w:ascii="Arial" w:hAnsi="Arial" w:cs="Arial"/>
                <w:b/>
                <w:bCs/>
                <w:color w:val="FFFFFF" w:themeColor="background1"/>
                <w:sz w:val="16"/>
                <w:szCs w:val="16"/>
              </w:rPr>
              <w:t>Ago</w:t>
            </w:r>
          </w:p>
        </w:tc>
        <w:tc>
          <w:tcPr>
            <w:tcW w:w="992" w:type="dxa"/>
            <w:shd w:val="clear" w:color="auto" w:fill="4F81BD" w:themeFill="accent1"/>
            <w:vAlign w:val="center"/>
            <w:hideMark/>
          </w:tcPr>
          <w:p w14:paraId="6A0667E5" w14:textId="375B6340" w:rsidR="00F744FF" w:rsidRPr="00F744FF"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Pr>
                <w:rFonts w:ascii="Arial" w:hAnsi="Arial" w:cs="Arial"/>
                <w:b/>
                <w:bCs/>
                <w:color w:val="FFFFFF" w:themeColor="background1"/>
                <w:sz w:val="16"/>
                <w:szCs w:val="16"/>
              </w:rPr>
              <w:t>Sep</w:t>
            </w:r>
          </w:p>
        </w:tc>
        <w:tc>
          <w:tcPr>
            <w:tcW w:w="851" w:type="dxa"/>
            <w:vMerge/>
            <w:shd w:val="clear" w:color="auto" w:fill="4F81BD" w:themeFill="accent1"/>
            <w:vAlign w:val="center"/>
            <w:hideMark/>
          </w:tcPr>
          <w:p w14:paraId="12CCAF82" w14:textId="77777777" w:rsidR="00F744FF" w:rsidRPr="00F744FF" w:rsidRDefault="00F744FF" w:rsidP="00F744F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p>
        </w:tc>
        <w:tc>
          <w:tcPr>
            <w:tcW w:w="850" w:type="dxa"/>
            <w:shd w:val="clear" w:color="auto" w:fill="4F81BD" w:themeFill="accent1"/>
            <w:vAlign w:val="center"/>
            <w:hideMark/>
          </w:tcPr>
          <w:p w14:paraId="5175D69B" w14:textId="725C28DA" w:rsidR="00F744FF" w:rsidRPr="00F744FF"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Pr>
                <w:rFonts w:ascii="Arial" w:hAnsi="Arial" w:cs="Arial"/>
                <w:b/>
                <w:bCs/>
                <w:color w:val="FFFFFF" w:themeColor="background1"/>
                <w:sz w:val="16"/>
                <w:szCs w:val="16"/>
              </w:rPr>
              <w:t>Jul</w:t>
            </w:r>
          </w:p>
        </w:tc>
        <w:tc>
          <w:tcPr>
            <w:tcW w:w="851" w:type="dxa"/>
            <w:shd w:val="clear" w:color="auto" w:fill="4F81BD" w:themeFill="accent1"/>
            <w:vAlign w:val="center"/>
            <w:hideMark/>
          </w:tcPr>
          <w:p w14:paraId="30B6E3FB" w14:textId="6B32A1AB" w:rsidR="00F744FF" w:rsidRPr="00F744FF"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Pr>
                <w:rFonts w:ascii="Arial" w:hAnsi="Arial" w:cs="Arial"/>
                <w:b/>
                <w:bCs/>
                <w:color w:val="FFFFFF" w:themeColor="background1"/>
                <w:sz w:val="16"/>
                <w:szCs w:val="16"/>
              </w:rPr>
              <w:t>Ago</w:t>
            </w:r>
          </w:p>
        </w:tc>
        <w:tc>
          <w:tcPr>
            <w:tcW w:w="708" w:type="dxa"/>
            <w:shd w:val="clear" w:color="auto" w:fill="4F81BD" w:themeFill="accent1"/>
            <w:vAlign w:val="center"/>
            <w:hideMark/>
          </w:tcPr>
          <w:p w14:paraId="7354EEB2" w14:textId="5BBE8AA8" w:rsidR="00F744FF" w:rsidRPr="00F744FF"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Pr>
                <w:rFonts w:ascii="Arial" w:hAnsi="Arial" w:cs="Arial"/>
                <w:b/>
                <w:bCs/>
                <w:color w:val="FFFFFF" w:themeColor="background1"/>
                <w:sz w:val="16"/>
                <w:szCs w:val="16"/>
              </w:rPr>
              <w:t>Sep</w:t>
            </w:r>
          </w:p>
        </w:tc>
        <w:tc>
          <w:tcPr>
            <w:tcW w:w="993" w:type="dxa"/>
            <w:vMerge/>
            <w:shd w:val="clear" w:color="auto" w:fill="4F81BD" w:themeFill="accent1"/>
            <w:vAlign w:val="center"/>
            <w:hideMark/>
          </w:tcPr>
          <w:p w14:paraId="1C560CB1" w14:textId="77777777" w:rsidR="00F744FF" w:rsidRPr="00F744FF" w:rsidRDefault="00F744FF" w:rsidP="00F744F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p>
        </w:tc>
        <w:tc>
          <w:tcPr>
            <w:tcW w:w="992" w:type="dxa"/>
            <w:shd w:val="clear" w:color="auto" w:fill="4F81BD" w:themeFill="accent1"/>
            <w:vAlign w:val="center"/>
            <w:hideMark/>
          </w:tcPr>
          <w:p w14:paraId="2C3196AD" w14:textId="77777777" w:rsidR="00F744FF" w:rsidRPr="00F744FF"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sidRPr="00F744FF">
              <w:rPr>
                <w:rFonts w:ascii="Arial" w:hAnsi="Arial" w:cs="Arial"/>
                <w:b/>
                <w:bCs/>
                <w:color w:val="FFFFFF" w:themeColor="background1"/>
                <w:sz w:val="16"/>
                <w:szCs w:val="16"/>
              </w:rPr>
              <w:t>Cantidad</w:t>
            </w:r>
          </w:p>
        </w:tc>
        <w:tc>
          <w:tcPr>
            <w:tcW w:w="894" w:type="dxa"/>
            <w:shd w:val="clear" w:color="auto" w:fill="4F81BD" w:themeFill="accent1"/>
            <w:vAlign w:val="center"/>
            <w:hideMark/>
          </w:tcPr>
          <w:p w14:paraId="056E436B" w14:textId="77777777" w:rsidR="00F744FF" w:rsidRPr="00F744FF"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r w:rsidRPr="00F744FF">
              <w:rPr>
                <w:rFonts w:ascii="Arial" w:hAnsi="Arial" w:cs="Arial"/>
                <w:b/>
                <w:bCs/>
                <w:color w:val="FFFFFF" w:themeColor="background1"/>
                <w:sz w:val="16"/>
                <w:szCs w:val="16"/>
              </w:rPr>
              <w:t>%</w:t>
            </w:r>
          </w:p>
        </w:tc>
      </w:tr>
      <w:tr w:rsidR="00F744FF" w:rsidRPr="00F744FF" w14:paraId="39B4A7DC" w14:textId="77777777" w:rsidTr="00D75C2E">
        <w:trPr>
          <w:cantSplit/>
        </w:trPr>
        <w:tc>
          <w:tcPr>
            <w:cnfStyle w:val="001000000000" w:firstRow="0" w:lastRow="0" w:firstColumn="1" w:lastColumn="0" w:oddVBand="0" w:evenVBand="0" w:oddHBand="0" w:evenHBand="0" w:firstRowFirstColumn="0" w:firstRowLastColumn="0" w:lastRowFirstColumn="0" w:lastRowLastColumn="0"/>
            <w:tcW w:w="988" w:type="dxa"/>
            <w:noWrap/>
            <w:vAlign w:val="bottom"/>
            <w:hideMark/>
          </w:tcPr>
          <w:p w14:paraId="5EC162EB" w14:textId="50BEA2DD" w:rsidR="00F744FF" w:rsidRPr="00FB7EA4" w:rsidRDefault="00F744FF" w:rsidP="00F744FF">
            <w:pPr>
              <w:spacing w:before="80" w:after="60"/>
              <w:rPr>
                <w:rFonts w:ascii="Arial" w:hAnsi="Arial" w:cs="Arial"/>
                <w:color w:val="0F243E" w:themeColor="text2" w:themeShade="80"/>
                <w:sz w:val="16"/>
                <w:szCs w:val="16"/>
              </w:rPr>
            </w:pPr>
            <w:r w:rsidRPr="00FB7EA4">
              <w:rPr>
                <w:rFonts w:ascii="Arial" w:hAnsi="Arial" w:cs="Arial"/>
                <w:color w:val="0F243E" w:themeColor="text2" w:themeShade="80"/>
                <w:sz w:val="16"/>
                <w:szCs w:val="16"/>
              </w:rPr>
              <w:t>DA</w:t>
            </w:r>
          </w:p>
        </w:tc>
        <w:tc>
          <w:tcPr>
            <w:tcW w:w="708" w:type="dxa"/>
            <w:vAlign w:val="bottom"/>
          </w:tcPr>
          <w:p w14:paraId="3BFCBF97" w14:textId="181EACD5"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56.038 </w:t>
            </w:r>
          </w:p>
        </w:tc>
        <w:tc>
          <w:tcPr>
            <w:tcW w:w="851" w:type="dxa"/>
            <w:vAlign w:val="bottom"/>
          </w:tcPr>
          <w:p w14:paraId="6A4EE51C" w14:textId="43E52822"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55.390 </w:t>
            </w:r>
          </w:p>
        </w:tc>
        <w:tc>
          <w:tcPr>
            <w:tcW w:w="992" w:type="dxa"/>
            <w:vAlign w:val="bottom"/>
          </w:tcPr>
          <w:p w14:paraId="6FB85A88" w14:textId="3C952127"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53.148 </w:t>
            </w:r>
          </w:p>
        </w:tc>
        <w:tc>
          <w:tcPr>
            <w:tcW w:w="851" w:type="dxa"/>
            <w:vAlign w:val="center"/>
          </w:tcPr>
          <w:p w14:paraId="0E75FAD0" w14:textId="1912ABFB"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164.576 </w:t>
            </w:r>
          </w:p>
        </w:tc>
        <w:tc>
          <w:tcPr>
            <w:tcW w:w="850" w:type="dxa"/>
            <w:vAlign w:val="bottom"/>
          </w:tcPr>
          <w:p w14:paraId="5F23A426" w14:textId="640006CE"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55.068 </w:t>
            </w:r>
          </w:p>
        </w:tc>
        <w:tc>
          <w:tcPr>
            <w:tcW w:w="851" w:type="dxa"/>
            <w:vAlign w:val="bottom"/>
          </w:tcPr>
          <w:p w14:paraId="755D348C" w14:textId="7FD63848"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63.560 </w:t>
            </w:r>
          </w:p>
        </w:tc>
        <w:tc>
          <w:tcPr>
            <w:tcW w:w="708" w:type="dxa"/>
            <w:vAlign w:val="bottom"/>
          </w:tcPr>
          <w:p w14:paraId="13B5CA89" w14:textId="67D3EF66"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59.110 </w:t>
            </w:r>
          </w:p>
        </w:tc>
        <w:tc>
          <w:tcPr>
            <w:tcW w:w="993" w:type="dxa"/>
            <w:vAlign w:val="center"/>
          </w:tcPr>
          <w:p w14:paraId="40279DFF" w14:textId="23FDC46F"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177.738 </w:t>
            </w:r>
          </w:p>
        </w:tc>
        <w:tc>
          <w:tcPr>
            <w:tcW w:w="992" w:type="dxa"/>
            <w:vAlign w:val="center"/>
          </w:tcPr>
          <w:p w14:paraId="4AE50A44" w14:textId="3089D946"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(13.162) </w:t>
            </w:r>
          </w:p>
        </w:tc>
        <w:tc>
          <w:tcPr>
            <w:tcW w:w="894" w:type="dxa"/>
            <w:vAlign w:val="center"/>
          </w:tcPr>
          <w:p w14:paraId="4FC7A93F" w14:textId="1C8DD4C0" w:rsidR="00F744FF" w:rsidRPr="00FB7EA4"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(7,4%)</w:t>
            </w:r>
          </w:p>
        </w:tc>
      </w:tr>
      <w:tr w:rsidR="00F744FF" w:rsidRPr="00F744FF" w14:paraId="47AF4746" w14:textId="77777777" w:rsidTr="00D75C2E">
        <w:trPr>
          <w:cantSplit/>
        </w:trPr>
        <w:tc>
          <w:tcPr>
            <w:cnfStyle w:val="001000000000" w:firstRow="0" w:lastRow="0" w:firstColumn="1" w:lastColumn="0" w:oddVBand="0" w:evenVBand="0" w:oddHBand="0" w:evenHBand="0" w:firstRowFirstColumn="0" w:firstRowLastColumn="0" w:lastRowFirstColumn="0" w:lastRowLastColumn="0"/>
            <w:tcW w:w="988" w:type="dxa"/>
            <w:noWrap/>
            <w:vAlign w:val="bottom"/>
            <w:hideMark/>
          </w:tcPr>
          <w:p w14:paraId="629871D2" w14:textId="4EADE95E" w:rsidR="00F744FF" w:rsidRPr="00FB7EA4" w:rsidRDefault="00F744FF" w:rsidP="00F744FF">
            <w:pPr>
              <w:spacing w:before="80" w:after="60"/>
              <w:rPr>
                <w:rFonts w:ascii="Arial" w:hAnsi="Arial" w:cs="Arial"/>
                <w:color w:val="0F243E" w:themeColor="text2" w:themeShade="80"/>
                <w:sz w:val="16"/>
                <w:szCs w:val="16"/>
              </w:rPr>
            </w:pPr>
            <w:r w:rsidRPr="00FB7EA4">
              <w:rPr>
                <w:rFonts w:ascii="Arial" w:hAnsi="Arial" w:cs="Arial"/>
                <w:color w:val="0F243E" w:themeColor="text2" w:themeShade="80"/>
                <w:sz w:val="16"/>
                <w:szCs w:val="16"/>
              </w:rPr>
              <w:t>SJ</w:t>
            </w:r>
          </w:p>
        </w:tc>
        <w:tc>
          <w:tcPr>
            <w:tcW w:w="708" w:type="dxa"/>
            <w:vAlign w:val="bottom"/>
          </w:tcPr>
          <w:p w14:paraId="0D536966" w14:textId="40AB4E78"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39.188 </w:t>
            </w:r>
          </w:p>
        </w:tc>
        <w:tc>
          <w:tcPr>
            <w:tcW w:w="851" w:type="dxa"/>
            <w:vAlign w:val="bottom"/>
          </w:tcPr>
          <w:p w14:paraId="53FF14F1" w14:textId="7B2E6E70"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37.754 </w:t>
            </w:r>
          </w:p>
        </w:tc>
        <w:tc>
          <w:tcPr>
            <w:tcW w:w="992" w:type="dxa"/>
            <w:vAlign w:val="bottom"/>
          </w:tcPr>
          <w:p w14:paraId="7BD345CD" w14:textId="789C1410"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38.774 </w:t>
            </w:r>
          </w:p>
        </w:tc>
        <w:tc>
          <w:tcPr>
            <w:tcW w:w="851" w:type="dxa"/>
            <w:vAlign w:val="center"/>
          </w:tcPr>
          <w:p w14:paraId="7329CB05" w14:textId="442BEE3C"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115.716 </w:t>
            </w:r>
          </w:p>
        </w:tc>
        <w:tc>
          <w:tcPr>
            <w:tcW w:w="850" w:type="dxa"/>
            <w:vAlign w:val="bottom"/>
          </w:tcPr>
          <w:p w14:paraId="255E8145" w14:textId="4D9AC5AF"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35.116 </w:t>
            </w:r>
          </w:p>
        </w:tc>
        <w:tc>
          <w:tcPr>
            <w:tcW w:w="851" w:type="dxa"/>
            <w:vAlign w:val="bottom"/>
          </w:tcPr>
          <w:p w14:paraId="3591F0AF" w14:textId="5AA885AB"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36.891 </w:t>
            </w:r>
          </w:p>
        </w:tc>
        <w:tc>
          <w:tcPr>
            <w:tcW w:w="708" w:type="dxa"/>
            <w:vAlign w:val="bottom"/>
          </w:tcPr>
          <w:p w14:paraId="3ACB4164" w14:textId="50253892"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39.749 </w:t>
            </w:r>
          </w:p>
        </w:tc>
        <w:tc>
          <w:tcPr>
            <w:tcW w:w="993" w:type="dxa"/>
            <w:vAlign w:val="center"/>
          </w:tcPr>
          <w:p w14:paraId="22986EAC" w14:textId="1E7A2024"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111.756 </w:t>
            </w:r>
          </w:p>
        </w:tc>
        <w:tc>
          <w:tcPr>
            <w:tcW w:w="992" w:type="dxa"/>
            <w:vAlign w:val="center"/>
          </w:tcPr>
          <w:p w14:paraId="4CDA920D" w14:textId="5694D7CB"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3.960 </w:t>
            </w:r>
          </w:p>
        </w:tc>
        <w:tc>
          <w:tcPr>
            <w:tcW w:w="894" w:type="dxa"/>
            <w:vAlign w:val="center"/>
          </w:tcPr>
          <w:p w14:paraId="7821E731" w14:textId="0015BF06" w:rsidR="00F744FF" w:rsidRPr="00FB7EA4"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3,5%</w:t>
            </w:r>
          </w:p>
        </w:tc>
      </w:tr>
      <w:tr w:rsidR="00F744FF" w:rsidRPr="00F744FF" w14:paraId="7777752A" w14:textId="77777777" w:rsidTr="00362EFE">
        <w:trPr>
          <w:cantSplit/>
        </w:trPr>
        <w:tc>
          <w:tcPr>
            <w:cnfStyle w:val="001000000000" w:firstRow="0" w:lastRow="0" w:firstColumn="1" w:lastColumn="0" w:oddVBand="0" w:evenVBand="0" w:oddHBand="0" w:evenHBand="0" w:firstRowFirstColumn="0" w:firstRowLastColumn="0" w:lastRowFirstColumn="0" w:lastRowLastColumn="0"/>
            <w:tcW w:w="988" w:type="dxa"/>
            <w:shd w:val="clear" w:color="auto" w:fill="B8CCE4" w:themeFill="accent1" w:themeFillTint="66"/>
            <w:noWrap/>
            <w:vAlign w:val="bottom"/>
            <w:hideMark/>
          </w:tcPr>
          <w:p w14:paraId="2A4E27AA" w14:textId="745752FA" w:rsidR="00F744FF" w:rsidRPr="00FB7EA4" w:rsidRDefault="00F744FF" w:rsidP="00F744FF">
            <w:pPr>
              <w:spacing w:before="80" w:after="60"/>
              <w:rPr>
                <w:rFonts w:ascii="Arial" w:hAnsi="Arial" w:cs="Arial"/>
                <w:color w:val="0F243E" w:themeColor="text2" w:themeShade="80"/>
                <w:sz w:val="16"/>
                <w:szCs w:val="16"/>
              </w:rPr>
            </w:pPr>
            <w:r w:rsidRPr="00FB7EA4">
              <w:rPr>
                <w:rFonts w:ascii="Arial" w:hAnsi="Arial" w:cs="Arial"/>
                <w:color w:val="0F243E" w:themeColor="text2" w:themeShade="80"/>
                <w:sz w:val="16"/>
                <w:szCs w:val="16"/>
              </w:rPr>
              <w:t>OBP</w:t>
            </w:r>
          </w:p>
        </w:tc>
        <w:tc>
          <w:tcPr>
            <w:tcW w:w="708" w:type="dxa"/>
            <w:shd w:val="clear" w:color="auto" w:fill="B8CCE4" w:themeFill="accent1" w:themeFillTint="66"/>
            <w:vAlign w:val="bottom"/>
          </w:tcPr>
          <w:p w14:paraId="1354796E" w14:textId="720526A8"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25.652 </w:t>
            </w:r>
          </w:p>
        </w:tc>
        <w:tc>
          <w:tcPr>
            <w:tcW w:w="851" w:type="dxa"/>
            <w:shd w:val="clear" w:color="auto" w:fill="B8CCE4" w:themeFill="accent1" w:themeFillTint="66"/>
            <w:vAlign w:val="bottom"/>
          </w:tcPr>
          <w:p w14:paraId="2AC32E2E" w14:textId="42BAA49D"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26.872 </w:t>
            </w:r>
          </w:p>
        </w:tc>
        <w:tc>
          <w:tcPr>
            <w:tcW w:w="992" w:type="dxa"/>
            <w:shd w:val="clear" w:color="auto" w:fill="B8CCE4" w:themeFill="accent1" w:themeFillTint="66"/>
            <w:vAlign w:val="bottom"/>
          </w:tcPr>
          <w:p w14:paraId="1CCF5D8D" w14:textId="2C6A47F7"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34.669 </w:t>
            </w:r>
          </w:p>
        </w:tc>
        <w:tc>
          <w:tcPr>
            <w:tcW w:w="851" w:type="dxa"/>
            <w:shd w:val="clear" w:color="auto" w:fill="B8CCE4" w:themeFill="accent1" w:themeFillTint="66"/>
            <w:vAlign w:val="center"/>
          </w:tcPr>
          <w:p w14:paraId="5A449E99" w14:textId="2EBBB1E0"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87.193 </w:t>
            </w:r>
          </w:p>
        </w:tc>
        <w:tc>
          <w:tcPr>
            <w:tcW w:w="850" w:type="dxa"/>
            <w:shd w:val="clear" w:color="auto" w:fill="B8CCE4" w:themeFill="accent1" w:themeFillTint="66"/>
            <w:vAlign w:val="bottom"/>
          </w:tcPr>
          <w:p w14:paraId="15852C26" w14:textId="66179AEF"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21.285 </w:t>
            </w:r>
          </w:p>
        </w:tc>
        <w:tc>
          <w:tcPr>
            <w:tcW w:w="851" w:type="dxa"/>
            <w:shd w:val="clear" w:color="auto" w:fill="B8CCE4" w:themeFill="accent1" w:themeFillTint="66"/>
            <w:vAlign w:val="bottom"/>
          </w:tcPr>
          <w:p w14:paraId="30FB7C1B" w14:textId="17FF7F1A"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21.193 </w:t>
            </w:r>
          </w:p>
        </w:tc>
        <w:tc>
          <w:tcPr>
            <w:tcW w:w="708" w:type="dxa"/>
            <w:shd w:val="clear" w:color="auto" w:fill="B8CCE4" w:themeFill="accent1" w:themeFillTint="66"/>
            <w:vAlign w:val="bottom"/>
          </w:tcPr>
          <w:p w14:paraId="3AD4EA88" w14:textId="2A6240B8"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19.788 </w:t>
            </w:r>
          </w:p>
        </w:tc>
        <w:tc>
          <w:tcPr>
            <w:tcW w:w="993" w:type="dxa"/>
            <w:shd w:val="clear" w:color="auto" w:fill="B8CCE4" w:themeFill="accent1" w:themeFillTint="66"/>
            <w:vAlign w:val="center"/>
          </w:tcPr>
          <w:p w14:paraId="15362B44" w14:textId="6FD64544"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62.266 </w:t>
            </w:r>
          </w:p>
        </w:tc>
        <w:tc>
          <w:tcPr>
            <w:tcW w:w="992" w:type="dxa"/>
            <w:shd w:val="clear" w:color="auto" w:fill="B8CCE4" w:themeFill="accent1" w:themeFillTint="66"/>
            <w:vAlign w:val="center"/>
          </w:tcPr>
          <w:p w14:paraId="5A268A98" w14:textId="6193AADD"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24.927 </w:t>
            </w:r>
          </w:p>
        </w:tc>
        <w:tc>
          <w:tcPr>
            <w:tcW w:w="894" w:type="dxa"/>
            <w:shd w:val="clear" w:color="auto" w:fill="B8CCE4" w:themeFill="accent1" w:themeFillTint="66"/>
            <w:vAlign w:val="center"/>
          </w:tcPr>
          <w:p w14:paraId="139FE095" w14:textId="215532D8" w:rsidR="00F744FF" w:rsidRPr="00FB7EA4"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40,0%</w:t>
            </w:r>
          </w:p>
        </w:tc>
      </w:tr>
      <w:tr w:rsidR="00F744FF" w:rsidRPr="00F744FF" w14:paraId="0A5D25C5" w14:textId="77777777" w:rsidTr="00D75C2E">
        <w:trPr>
          <w:cantSplit/>
        </w:trPr>
        <w:tc>
          <w:tcPr>
            <w:cnfStyle w:val="001000000000" w:firstRow="0" w:lastRow="0" w:firstColumn="1" w:lastColumn="0" w:oddVBand="0" w:evenVBand="0" w:oddHBand="0" w:evenHBand="0" w:firstRowFirstColumn="0" w:firstRowLastColumn="0" w:lastRowFirstColumn="0" w:lastRowLastColumn="0"/>
            <w:tcW w:w="988" w:type="dxa"/>
            <w:vAlign w:val="center"/>
            <w:hideMark/>
          </w:tcPr>
          <w:p w14:paraId="3CD6BF93" w14:textId="78BBD9BD" w:rsidR="00F744FF" w:rsidRPr="00FB7EA4" w:rsidRDefault="00F744FF" w:rsidP="00F744FF">
            <w:pPr>
              <w:spacing w:before="80" w:after="60"/>
              <w:rPr>
                <w:rFonts w:ascii="Arial" w:hAnsi="Arial" w:cs="Arial"/>
                <w:color w:val="0F243E" w:themeColor="text2" w:themeShade="80"/>
                <w:sz w:val="16"/>
                <w:szCs w:val="16"/>
              </w:rPr>
            </w:pPr>
            <w:r w:rsidRPr="00FB7EA4">
              <w:rPr>
                <w:rFonts w:ascii="Arial" w:hAnsi="Arial" w:cs="Arial"/>
                <w:color w:val="0F243E" w:themeColor="text2" w:themeShade="80"/>
                <w:sz w:val="16"/>
                <w:szCs w:val="16"/>
              </w:rPr>
              <w:t>DGCPTN</w:t>
            </w:r>
          </w:p>
        </w:tc>
        <w:tc>
          <w:tcPr>
            <w:tcW w:w="708" w:type="dxa"/>
            <w:vAlign w:val="bottom"/>
          </w:tcPr>
          <w:p w14:paraId="158032DC" w14:textId="4DB55528"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20.168 </w:t>
            </w:r>
          </w:p>
        </w:tc>
        <w:tc>
          <w:tcPr>
            <w:tcW w:w="851" w:type="dxa"/>
            <w:vAlign w:val="bottom"/>
          </w:tcPr>
          <w:p w14:paraId="722BEE32" w14:textId="6D661190"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18.064 </w:t>
            </w:r>
          </w:p>
        </w:tc>
        <w:tc>
          <w:tcPr>
            <w:tcW w:w="992" w:type="dxa"/>
            <w:vAlign w:val="bottom"/>
          </w:tcPr>
          <w:p w14:paraId="1A5DF0EC" w14:textId="7A77D511"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18.060 </w:t>
            </w:r>
          </w:p>
        </w:tc>
        <w:tc>
          <w:tcPr>
            <w:tcW w:w="851" w:type="dxa"/>
            <w:vAlign w:val="center"/>
          </w:tcPr>
          <w:p w14:paraId="20F051D9" w14:textId="27A65173"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56.292 </w:t>
            </w:r>
          </w:p>
        </w:tc>
        <w:tc>
          <w:tcPr>
            <w:tcW w:w="850" w:type="dxa"/>
            <w:noWrap/>
            <w:vAlign w:val="bottom"/>
          </w:tcPr>
          <w:p w14:paraId="3E80A994" w14:textId="58817ABE"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21.129 </w:t>
            </w:r>
          </w:p>
        </w:tc>
        <w:tc>
          <w:tcPr>
            <w:tcW w:w="851" w:type="dxa"/>
            <w:noWrap/>
            <w:vAlign w:val="bottom"/>
          </w:tcPr>
          <w:p w14:paraId="68F671FF" w14:textId="0FD56850"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24.004 </w:t>
            </w:r>
          </w:p>
        </w:tc>
        <w:tc>
          <w:tcPr>
            <w:tcW w:w="708" w:type="dxa"/>
            <w:vAlign w:val="bottom"/>
          </w:tcPr>
          <w:p w14:paraId="51803EAB" w14:textId="1D4CF351"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20.339 </w:t>
            </w:r>
          </w:p>
        </w:tc>
        <w:tc>
          <w:tcPr>
            <w:tcW w:w="993" w:type="dxa"/>
            <w:vAlign w:val="center"/>
          </w:tcPr>
          <w:p w14:paraId="3FF109B3" w14:textId="7BE5A839"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65.472 </w:t>
            </w:r>
          </w:p>
        </w:tc>
        <w:tc>
          <w:tcPr>
            <w:tcW w:w="992" w:type="dxa"/>
            <w:vAlign w:val="center"/>
          </w:tcPr>
          <w:p w14:paraId="1D0E013B" w14:textId="57131C4B"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(9.180 )</w:t>
            </w:r>
          </w:p>
        </w:tc>
        <w:tc>
          <w:tcPr>
            <w:tcW w:w="894" w:type="dxa"/>
            <w:vAlign w:val="center"/>
          </w:tcPr>
          <w:p w14:paraId="3D51E8CF" w14:textId="594F1681" w:rsidR="00F744FF" w:rsidRPr="00FB7EA4"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(14,0%)</w:t>
            </w:r>
          </w:p>
        </w:tc>
      </w:tr>
      <w:tr w:rsidR="00F744FF" w:rsidRPr="00F744FF" w14:paraId="0338DD3D" w14:textId="77777777" w:rsidTr="00D75C2E">
        <w:trPr>
          <w:cantSplit/>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327E9E81" w14:textId="7A829850" w:rsidR="00F744FF" w:rsidRPr="00FB7EA4" w:rsidRDefault="00F744FF" w:rsidP="00F744FF">
            <w:pPr>
              <w:spacing w:before="80" w:after="60"/>
              <w:rPr>
                <w:rFonts w:ascii="Arial" w:hAnsi="Arial" w:cs="Arial"/>
                <w:color w:val="0F243E" w:themeColor="text2" w:themeShade="80"/>
                <w:sz w:val="16"/>
                <w:szCs w:val="16"/>
              </w:rPr>
            </w:pPr>
            <w:r w:rsidRPr="00FB7EA4">
              <w:rPr>
                <w:rFonts w:ascii="Arial" w:hAnsi="Arial" w:cs="Arial"/>
                <w:color w:val="0F243E" w:themeColor="text2" w:themeShade="80"/>
                <w:sz w:val="16"/>
                <w:szCs w:val="16"/>
              </w:rPr>
              <w:t>DGRESS</w:t>
            </w:r>
          </w:p>
        </w:tc>
        <w:tc>
          <w:tcPr>
            <w:tcW w:w="708" w:type="dxa"/>
            <w:noWrap/>
            <w:vAlign w:val="bottom"/>
          </w:tcPr>
          <w:p w14:paraId="3E938D96" w14:textId="38816B02"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15.007 </w:t>
            </w:r>
          </w:p>
        </w:tc>
        <w:tc>
          <w:tcPr>
            <w:tcW w:w="851" w:type="dxa"/>
            <w:noWrap/>
            <w:vAlign w:val="bottom"/>
          </w:tcPr>
          <w:p w14:paraId="3DAB7B59" w14:textId="49320D14"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18.657 </w:t>
            </w:r>
          </w:p>
        </w:tc>
        <w:tc>
          <w:tcPr>
            <w:tcW w:w="992" w:type="dxa"/>
            <w:noWrap/>
            <w:vAlign w:val="bottom"/>
          </w:tcPr>
          <w:p w14:paraId="76A7E696" w14:textId="382F3BA9"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12.877 </w:t>
            </w:r>
          </w:p>
        </w:tc>
        <w:tc>
          <w:tcPr>
            <w:tcW w:w="851" w:type="dxa"/>
            <w:vAlign w:val="center"/>
          </w:tcPr>
          <w:p w14:paraId="2245FFDB" w14:textId="12C6AE6A"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46.541 </w:t>
            </w:r>
          </w:p>
        </w:tc>
        <w:tc>
          <w:tcPr>
            <w:tcW w:w="850" w:type="dxa"/>
            <w:vAlign w:val="bottom"/>
          </w:tcPr>
          <w:p w14:paraId="727535AB" w14:textId="0CFFDD95"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24.277 </w:t>
            </w:r>
          </w:p>
        </w:tc>
        <w:tc>
          <w:tcPr>
            <w:tcW w:w="851" w:type="dxa"/>
            <w:vAlign w:val="bottom"/>
          </w:tcPr>
          <w:p w14:paraId="1598DB68" w14:textId="1CDD081C"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18.417 </w:t>
            </w:r>
          </w:p>
        </w:tc>
        <w:tc>
          <w:tcPr>
            <w:tcW w:w="708" w:type="dxa"/>
            <w:vAlign w:val="bottom"/>
          </w:tcPr>
          <w:p w14:paraId="2425E90B" w14:textId="3A83A26F"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22.217 </w:t>
            </w:r>
          </w:p>
        </w:tc>
        <w:tc>
          <w:tcPr>
            <w:tcW w:w="993" w:type="dxa"/>
            <w:vAlign w:val="center"/>
          </w:tcPr>
          <w:p w14:paraId="5D6A10AE" w14:textId="4F6A0852"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64.911 </w:t>
            </w:r>
          </w:p>
        </w:tc>
        <w:tc>
          <w:tcPr>
            <w:tcW w:w="992" w:type="dxa"/>
            <w:vAlign w:val="center"/>
          </w:tcPr>
          <w:p w14:paraId="490EBA34" w14:textId="1B2E2465" w:rsidR="00F744FF" w:rsidRPr="00FB7EA4" w:rsidRDefault="00FB10AE"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w:t>
            </w:r>
            <w:r w:rsidR="00F744FF" w:rsidRPr="00FB7EA4">
              <w:rPr>
                <w:rFonts w:ascii="Arial" w:hAnsi="Arial" w:cs="Arial"/>
                <w:color w:val="0F243E" w:themeColor="text2" w:themeShade="80"/>
                <w:sz w:val="16"/>
                <w:szCs w:val="16"/>
              </w:rPr>
              <w:t>18.370</w:t>
            </w:r>
            <w:r w:rsidRPr="00FB7EA4">
              <w:rPr>
                <w:rFonts w:ascii="Arial" w:hAnsi="Arial" w:cs="Arial"/>
                <w:color w:val="0F243E" w:themeColor="text2" w:themeShade="80"/>
                <w:sz w:val="16"/>
                <w:szCs w:val="16"/>
              </w:rPr>
              <w:t>)</w:t>
            </w:r>
            <w:r w:rsidR="00F744FF" w:rsidRPr="00FB7EA4">
              <w:rPr>
                <w:rFonts w:ascii="Arial" w:hAnsi="Arial" w:cs="Arial"/>
                <w:color w:val="0F243E" w:themeColor="text2" w:themeShade="80"/>
                <w:sz w:val="16"/>
                <w:szCs w:val="16"/>
              </w:rPr>
              <w:t xml:space="preserve"> </w:t>
            </w:r>
          </w:p>
        </w:tc>
        <w:tc>
          <w:tcPr>
            <w:tcW w:w="894" w:type="dxa"/>
            <w:vAlign w:val="center"/>
          </w:tcPr>
          <w:p w14:paraId="550A324F" w14:textId="6285AD73" w:rsidR="00F744FF" w:rsidRPr="00FB7EA4" w:rsidRDefault="00FB10AE"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w:t>
            </w:r>
            <w:r w:rsidR="00F744FF" w:rsidRPr="00FB7EA4">
              <w:rPr>
                <w:rFonts w:ascii="Arial" w:hAnsi="Arial" w:cs="Arial"/>
                <w:color w:val="0F243E" w:themeColor="text2" w:themeShade="80"/>
                <w:sz w:val="16"/>
                <w:szCs w:val="16"/>
              </w:rPr>
              <w:t>28,3%</w:t>
            </w:r>
            <w:r w:rsidRPr="00FB7EA4">
              <w:rPr>
                <w:rFonts w:ascii="Arial" w:hAnsi="Arial" w:cs="Arial"/>
                <w:color w:val="0F243E" w:themeColor="text2" w:themeShade="80"/>
                <w:sz w:val="16"/>
                <w:szCs w:val="16"/>
              </w:rPr>
              <w:t>)</w:t>
            </w:r>
          </w:p>
        </w:tc>
      </w:tr>
      <w:tr w:rsidR="00F744FF" w:rsidRPr="00F744FF" w14:paraId="6A344D36" w14:textId="77777777" w:rsidTr="00362EFE">
        <w:trPr>
          <w:cantSplit/>
        </w:trPr>
        <w:tc>
          <w:tcPr>
            <w:cnfStyle w:val="001000000000" w:firstRow="0" w:lastRow="0" w:firstColumn="1" w:lastColumn="0" w:oddVBand="0" w:evenVBand="0" w:oddHBand="0" w:evenHBand="0" w:firstRowFirstColumn="0" w:firstRowLastColumn="0" w:lastRowFirstColumn="0" w:lastRowLastColumn="0"/>
            <w:tcW w:w="988" w:type="dxa"/>
            <w:shd w:val="clear" w:color="auto" w:fill="B8CCE4" w:themeFill="accent1" w:themeFillTint="66"/>
            <w:noWrap/>
            <w:vAlign w:val="bottom"/>
            <w:hideMark/>
          </w:tcPr>
          <w:p w14:paraId="378C2D26" w14:textId="27DF8D0A" w:rsidR="00F744FF" w:rsidRPr="00FB7EA4" w:rsidRDefault="00F744FF" w:rsidP="00F744FF">
            <w:pPr>
              <w:spacing w:before="80" w:after="60"/>
              <w:rPr>
                <w:rFonts w:ascii="Arial" w:hAnsi="Arial" w:cs="Arial"/>
                <w:color w:val="0F243E" w:themeColor="text2" w:themeShade="80"/>
                <w:sz w:val="16"/>
                <w:szCs w:val="16"/>
              </w:rPr>
            </w:pPr>
            <w:r w:rsidRPr="00FB7EA4">
              <w:rPr>
                <w:rFonts w:ascii="Arial" w:hAnsi="Arial" w:cs="Arial"/>
                <w:color w:val="0F243E" w:themeColor="text2" w:themeShade="80"/>
                <w:sz w:val="16"/>
                <w:szCs w:val="16"/>
              </w:rPr>
              <w:t>DM</w:t>
            </w:r>
          </w:p>
        </w:tc>
        <w:tc>
          <w:tcPr>
            <w:tcW w:w="708" w:type="dxa"/>
            <w:shd w:val="clear" w:color="auto" w:fill="B8CCE4" w:themeFill="accent1" w:themeFillTint="66"/>
            <w:noWrap/>
            <w:vAlign w:val="bottom"/>
          </w:tcPr>
          <w:p w14:paraId="17ACE94B" w14:textId="763E260A"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4.766 </w:t>
            </w:r>
          </w:p>
        </w:tc>
        <w:tc>
          <w:tcPr>
            <w:tcW w:w="851" w:type="dxa"/>
            <w:shd w:val="clear" w:color="auto" w:fill="B8CCE4" w:themeFill="accent1" w:themeFillTint="66"/>
            <w:noWrap/>
            <w:vAlign w:val="bottom"/>
          </w:tcPr>
          <w:p w14:paraId="5F7EAE99" w14:textId="3005939B"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15.475 </w:t>
            </w:r>
          </w:p>
        </w:tc>
        <w:tc>
          <w:tcPr>
            <w:tcW w:w="992" w:type="dxa"/>
            <w:shd w:val="clear" w:color="auto" w:fill="B8CCE4" w:themeFill="accent1" w:themeFillTint="66"/>
            <w:noWrap/>
            <w:vAlign w:val="bottom"/>
          </w:tcPr>
          <w:p w14:paraId="19FD00F2" w14:textId="51772BBD"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11.649 </w:t>
            </w:r>
          </w:p>
        </w:tc>
        <w:tc>
          <w:tcPr>
            <w:tcW w:w="851" w:type="dxa"/>
            <w:shd w:val="clear" w:color="auto" w:fill="B8CCE4" w:themeFill="accent1" w:themeFillTint="66"/>
            <w:vAlign w:val="center"/>
          </w:tcPr>
          <w:p w14:paraId="1A1A03D5" w14:textId="129BE531"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31.890 </w:t>
            </w:r>
          </w:p>
        </w:tc>
        <w:tc>
          <w:tcPr>
            <w:tcW w:w="850" w:type="dxa"/>
            <w:shd w:val="clear" w:color="auto" w:fill="B8CCE4" w:themeFill="accent1" w:themeFillTint="66"/>
            <w:vAlign w:val="bottom"/>
          </w:tcPr>
          <w:p w14:paraId="7311B387" w14:textId="261F4894"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5.723 </w:t>
            </w:r>
          </w:p>
        </w:tc>
        <w:tc>
          <w:tcPr>
            <w:tcW w:w="851" w:type="dxa"/>
            <w:shd w:val="clear" w:color="auto" w:fill="B8CCE4" w:themeFill="accent1" w:themeFillTint="66"/>
            <w:vAlign w:val="bottom"/>
          </w:tcPr>
          <w:p w14:paraId="0921483E" w14:textId="104D48DD"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8.818 </w:t>
            </w:r>
          </w:p>
        </w:tc>
        <w:tc>
          <w:tcPr>
            <w:tcW w:w="708" w:type="dxa"/>
            <w:shd w:val="clear" w:color="auto" w:fill="B8CCE4" w:themeFill="accent1" w:themeFillTint="66"/>
            <w:vAlign w:val="bottom"/>
          </w:tcPr>
          <w:p w14:paraId="5CDD3249" w14:textId="12AD873A"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12.496 </w:t>
            </w:r>
          </w:p>
        </w:tc>
        <w:tc>
          <w:tcPr>
            <w:tcW w:w="993" w:type="dxa"/>
            <w:shd w:val="clear" w:color="auto" w:fill="B8CCE4" w:themeFill="accent1" w:themeFillTint="66"/>
            <w:vAlign w:val="center"/>
          </w:tcPr>
          <w:p w14:paraId="2CDF0A77" w14:textId="597B34E3"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27.037 </w:t>
            </w:r>
          </w:p>
        </w:tc>
        <w:tc>
          <w:tcPr>
            <w:tcW w:w="992" w:type="dxa"/>
            <w:shd w:val="clear" w:color="auto" w:fill="B8CCE4" w:themeFill="accent1" w:themeFillTint="66"/>
            <w:vAlign w:val="center"/>
          </w:tcPr>
          <w:p w14:paraId="03A138F2" w14:textId="34DC9E9B"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4.853 </w:t>
            </w:r>
          </w:p>
        </w:tc>
        <w:tc>
          <w:tcPr>
            <w:tcW w:w="894" w:type="dxa"/>
            <w:shd w:val="clear" w:color="auto" w:fill="B8CCE4" w:themeFill="accent1" w:themeFillTint="66"/>
            <w:vAlign w:val="center"/>
          </w:tcPr>
          <w:p w14:paraId="5B125ADA" w14:textId="63074BDA" w:rsidR="00F744FF" w:rsidRPr="00FB7EA4"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17,9%</w:t>
            </w:r>
          </w:p>
        </w:tc>
      </w:tr>
      <w:tr w:rsidR="00F744FF" w:rsidRPr="00F744FF" w14:paraId="1891F06B" w14:textId="77777777" w:rsidTr="00D75C2E">
        <w:trPr>
          <w:cantSplit/>
        </w:trPr>
        <w:tc>
          <w:tcPr>
            <w:cnfStyle w:val="001000000000" w:firstRow="0" w:lastRow="0" w:firstColumn="1" w:lastColumn="0" w:oddVBand="0" w:evenVBand="0" w:oddHBand="0" w:evenHBand="0" w:firstRowFirstColumn="0" w:firstRowLastColumn="0" w:lastRowFirstColumn="0" w:lastRowLastColumn="0"/>
            <w:tcW w:w="988" w:type="dxa"/>
            <w:vAlign w:val="bottom"/>
            <w:hideMark/>
          </w:tcPr>
          <w:p w14:paraId="7382FFA8" w14:textId="1C38887F" w:rsidR="00F744FF" w:rsidRPr="00FB7EA4" w:rsidRDefault="00F744FF" w:rsidP="00F744FF">
            <w:pPr>
              <w:spacing w:before="80" w:after="60"/>
              <w:rPr>
                <w:rFonts w:ascii="Arial" w:hAnsi="Arial" w:cs="Arial"/>
                <w:color w:val="0F243E" w:themeColor="text2" w:themeShade="80"/>
                <w:sz w:val="16"/>
                <w:szCs w:val="16"/>
              </w:rPr>
            </w:pPr>
            <w:r w:rsidRPr="00FB7EA4">
              <w:rPr>
                <w:rFonts w:ascii="Arial" w:hAnsi="Arial" w:cs="Arial"/>
                <w:color w:val="0F243E" w:themeColor="text2" w:themeShade="80"/>
                <w:sz w:val="16"/>
                <w:szCs w:val="16"/>
              </w:rPr>
              <w:t>SG</w:t>
            </w:r>
          </w:p>
        </w:tc>
        <w:tc>
          <w:tcPr>
            <w:tcW w:w="708" w:type="dxa"/>
            <w:vAlign w:val="bottom"/>
          </w:tcPr>
          <w:p w14:paraId="0396D795" w14:textId="7064B7CB"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9.759 </w:t>
            </w:r>
          </w:p>
        </w:tc>
        <w:tc>
          <w:tcPr>
            <w:tcW w:w="851" w:type="dxa"/>
            <w:vAlign w:val="bottom"/>
          </w:tcPr>
          <w:p w14:paraId="4CD912DF" w14:textId="36C2F3C0"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9.263 </w:t>
            </w:r>
          </w:p>
        </w:tc>
        <w:tc>
          <w:tcPr>
            <w:tcW w:w="992" w:type="dxa"/>
            <w:vAlign w:val="bottom"/>
          </w:tcPr>
          <w:p w14:paraId="3EB5C124" w14:textId="52F3EC74"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8.816 </w:t>
            </w:r>
          </w:p>
        </w:tc>
        <w:tc>
          <w:tcPr>
            <w:tcW w:w="851" w:type="dxa"/>
            <w:vAlign w:val="center"/>
          </w:tcPr>
          <w:p w14:paraId="5DBF4A88" w14:textId="4146B738"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27.838 </w:t>
            </w:r>
          </w:p>
        </w:tc>
        <w:tc>
          <w:tcPr>
            <w:tcW w:w="850" w:type="dxa"/>
            <w:vAlign w:val="bottom"/>
          </w:tcPr>
          <w:p w14:paraId="0E9B360D" w14:textId="4B9E86C9"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11.574 </w:t>
            </w:r>
          </w:p>
        </w:tc>
        <w:tc>
          <w:tcPr>
            <w:tcW w:w="851" w:type="dxa"/>
            <w:vAlign w:val="bottom"/>
          </w:tcPr>
          <w:p w14:paraId="737540C0" w14:textId="46F23F34"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12.465 </w:t>
            </w:r>
          </w:p>
        </w:tc>
        <w:tc>
          <w:tcPr>
            <w:tcW w:w="708" w:type="dxa"/>
            <w:vAlign w:val="bottom"/>
          </w:tcPr>
          <w:p w14:paraId="7441F025" w14:textId="4F64EC05"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8.262 </w:t>
            </w:r>
          </w:p>
        </w:tc>
        <w:tc>
          <w:tcPr>
            <w:tcW w:w="993" w:type="dxa"/>
            <w:vAlign w:val="center"/>
          </w:tcPr>
          <w:p w14:paraId="20A6B8F3" w14:textId="0D5BA1E1"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32.301 </w:t>
            </w:r>
          </w:p>
        </w:tc>
        <w:tc>
          <w:tcPr>
            <w:tcW w:w="992" w:type="dxa"/>
            <w:vAlign w:val="center"/>
          </w:tcPr>
          <w:p w14:paraId="3711FF58" w14:textId="4D4218E7" w:rsidR="00F744FF" w:rsidRPr="00FB7EA4" w:rsidRDefault="00FB10AE"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w:t>
            </w:r>
            <w:r w:rsidR="00F744FF" w:rsidRPr="00FB7EA4">
              <w:rPr>
                <w:rFonts w:ascii="Arial" w:hAnsi="Arial" w:cs="Arial"/>
                <w:color w:val="0F243E" w:themeColor="text2" w:themeShade="80"/>
                <w:sz w:val="16"/>
                <w:szCs w:val="16"/>
              </w:rPr>
              <w:t>4.463</w:t>
            </w:r>
            <w:r w:rsidRPr="00FB7EA4">
              <w:rPr>
                <w:rFonts w:ascii="Arial" w:hAnsi="Arial" w:cs="Arial"/>
                <w:color w:val="0F243E" w:themeColor="text2" w:themeShade="80"/>
                <w:sz w:val="16"/>
                <w:szCs w:val="16"/>
              </w:rPr>
              <w:t>)</w:t>
            </w:r>
            <w:r w:rsidR="00F744FF" w:rsidRPr="00FB7EA4">
              <w:rPr>
                <w:rFonts w:ascii="Arial" w:hAnsi="Arial" w:cs="Arial"/>
                <w:color w:val="0F243E" w:themeColor="text2" w:themeShade="80"/>
                <w:sz w:val="16"/>
                <w:szCs w:val="16"/>
              </w:rPr>
              <w:t xml:space="preserve"> </w:t>
            </w:r>
          </w:p>
        </w:tc>
        <w:tc>
          <w:tcPr>
            <w:tcW w:w="894" w:type="dxa"/>
            <w:vAlign w:val="center"/>
          </w:tcPr>
          <w:p w14:paraId="487DAE3B" w14:textId="7DA6FCA0" w:rsidR="00F744FF" w:rsidRPr="00FB7EA4" w:rsidRDefault="00FB10AE"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w:t>
            </w:r>
            <w:r w:rsidR="00F744FF" w:rsidRPr="00FB7EA4">
              <w:rPr>
                <w:rFonts w:ascii="Arial" w:hAnsi="Arial" w:cs="Arial"/>
                <w:color w:val="0F243E" w:themeColor="text2" w:themeShade="80"/>
                <w:sz w:val="16"/>
                <w:szCs w:val="16"/>
              </w:rPr>
              <w:t>13,8%</w:t>
            </w:r>
            <w:r w:rsidRPr="00FB7EA4">
              <w:rPr>
                <w:rFonts w:ascii="Arial" w:hAnsi="Arial" w:cs="Arial"/>
                <w:color w:val="0F243E" w:themeColor="text2" w:themeShade="80"/>
                <w:sz w:val="16"/>
                <w:szCs w:val="16"/>
              </w:rPr>
              <w:t>)</w:t>
            </w:r>
          </w:p>
        </w:tc>
      </w:tr>
      <w:tr w:rsidR="00F744FF" w:rsidRPr="00A003B6" w14:paraId="205D1A20" w14:textId="77777777" w:rsidTr="00D75C2E">
        <w:trPr>
          <w:cantSplit/>
        </w:trPr>
        <w:tc>
          <w:tcPr>
            <w:cnfStyle w:val="001000000000" w:firstRow="0" w:lastRow="0" w:firstColumn="1" w:lastColumn="0" w:oddVBand="0" w:evenVBand="0" w:oddHBand="0" w:evenHBand="0" w:firstRowFirstColumn="0" w:firstRowLastColumn="0" w:lastRowFirstColumn="0" w:lastRowLastColumn="0"/>
            <w:tcW w:w="988" w:type="dxa"/>
            <w:noWrap/>
            <w:vAlign w:val="bottom"/>
            <w:hideMark/>
          </w:tcPr>
          <w:p w14:paraId="31C0EA53" w14:textId="08494EEF" w:rsidR="00F744FF" w:rsidRPr="00FB7EA4" w:rsidRDefault="00F744FF" w:rsidP="00F744FF">
            <w:pPr>
              <w:spacing w:before="80" w:after="60"/>
              <w:rPr>
                <w:rFonts w:ascii="Arial" w:hAnsi="Arial" w:cs="Arial"/>
                <w:color w:val="0F243E" w:themeColor="text2" w:themeShade="80"/>
                <w:sz w:val="16"/>
                <w:szCs w:val="16"/>
              </w:rPr>
            </w:pPr>
            <w:r w:rsidRPr="00FB7EA4">
              <w:rPr>
                <w:rFonts w:ascii="Arial" w:hAnsi="Arial" w:cs="Arial"/>
                <w:color w:val="0F243E" w:themeColor="text2" w:themeShade="80"/>
                <w:sz w:val="16"/>
                <w:szCs w:val="16"/>
              </w:rPr>
              <w:t>OAJ</w:t>
            </w:r>
          </w:p>
        </w:tc>
        <w:tc>
          <w:tcPr>
            <w:tcW w:w="708" w:type="dxa"/>
            <w:vAlign w:val="bottom"/>
          </w:tcPr>
          <w:p w14:paraId="50EA477F" w14:textId="02422DA6"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6.985 </w:t>
            </w:r>
          </w:p>
        </w:tc>
        <w:tc>
          <w:tcPr>
            <w:tcW w:w="851" w:type="dxa"/>
            <w:vAlign w:val="bottom"/>
          </w:tcPr>
          <w:p w14:paraId="46C5A8B4" w14:textId="50EE0915"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7.927 </w:t>
            </w:r>
          </w:p>
        </w:tc>
        <w:tc>
          <w:tcPr>
            <w:tcW w:w="992" w:type="dxa"/>
            <w:vAlign w:val="bottom"/>
          </w:tcPr>
          <w:p w14:paraId="27E5EBDE" w14:textId="6F94F766"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8.762 </w:t>
            </w:r>
          </w:p>
        </w:tc>
        <w:tc>
          <w:tcPr>
            <w:tcW w:w="851" w:type="dxa"/>
            <w:vAlign w:val="center"/>
          </w:tcPr>
          <w:p w14:paraId="3A965B65" w14:textId="5E789626"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23.674 </w:t>
            </w:r>
          </w:p>
        </w:tc>
        <w:tc>
          <w:tcPr>
            <w:tcW w:w="850" w:type="dxa"/>
            <w:vAlign w:val="bottom"/>
          </w:tcPr>
          <w:p w14:paraId="353D10ED" w14:textId="22CCA84F"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5.041 </w:t>
            </w:r>
          </w:p>
        </w:tc>
        <w:tc>
          <w:tcPr>
            <w:tcW w:w="851" w:type="dxa"/>
            <w:vAlign w:val="bottom"/>
          </w:tcPr>
          <w:p w14:paraId="02BF28C5" w14:textId="723A7E79"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8.256 </w:t>
            </w:r>
          </w:p>
        </w:tc>
        <w:tc>
          <w:tcPr>
            <w:tcW w:w="708" w:type="dxa"/>
            <w:vAlign w:val="bottom"/>
          </w:tcPr>
          <w:p w14:paraId="7A8BCAC8" w14:textId="30B2BE04"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13.253 </w:t>
            </w:r>
          </w:p>
        </w:tc>
        <w:tc>
          <w:tcPr>
            <w:tcW w:w="993" w:type="dxa"/>
            <w:vAlign w:val="center"/>
          </w:tcPr>
          <w:p w14:paraId="5FEF43DB" w14:textId="008C2723"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26.550 </w:t>
            </w:r>
          </w:p>
        </w:tc>
        <w:tc>
          <w:tcPr>
            <w:tcW w:w="992" w:type="dxa"/>
            <w:vAlign w:val="center"/>
          </w:tcPr>
          <w:p w14:paraId="790B1A5F" w14:textId="68F0A4E2" w:rsidR="00F744FF" w:rsidRPr="00FB7EA4" w:rsidRDefault="00FB10AE"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w:t>
            </w:r>
            <w:r w:rsidR="00F744FF" w:rsidRPr="00FB7EA4">
              <w:rPr>
                <w:rFonts w:ascii="Arial" w:hAnsi="Arial" w:cs="Arial"/>
                <w:color w:val="0F243E" w:themeColor="text2" w:themeShade="80"/>
                <w:sz w:val="16"/>
                <w:szCs w:val="16"/>
              </w:rPr>
              <w:t xml:space="preserve"> 2.876</w:t>
            </w:r>
            <w:r w:rsidRPr="00FB7EA4">
              <w:rPr>
                <w:rFonts w:ascii="Arial" w:hAnsi="Arial" w:cs="Arial"/>
                <w:color w:val="0F243E" w:themeColor="text2" w:themeShade="80"/>
                <w:sz w:val="16"/>
                <w:szCs w:val="16"/>
              </w:rPr>
              <w:t>)</w:t>
            </w:r>
            <w:r w:rsidR="00F744FF" w:rsidRPr="00FB7EA4">
              <w:rPr>
                <w:rFonts w:ascii="Arial" w:hAnsi="Arial" w:cs="Arial"/>
                <w:color w:val="0F243E" w:themeColor="text2" w:themeShade="80"/>
                <w:sz w:val="16"/>
                <w:szCs w:val="16"/>
              </w:rPr>
              <w:t xml:space="preserve"> </w:t>
            </w:r>
          </w:p>
        </w:tc>
        <w:tc>
          <w:tcPr>
            <w:tcW w:w="894" w:type="dxa"/>
            <w:vAlign w:val="center"/>
          </w:tcPr>
          <w:p w14:paraId="39FFAB58" w14:textId="435D3B51" w:rsidR="00F744FF" w:rsidRPr="00FB7EA4" w:rsidRDefault="00FB10AE"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w:t>
            </w:r>
            <w:r w:rsidR="00F744FF" w:rsidRPr="00FB7EA4">
              <w:rPr>
                <w:rFonts w:ascii="Arial" w:hAnsi="Arial" w:cs="Arial"/>
                <w:color w:val="0F243E" w:themeColor="text2" w:themeShade="80"/>
                <w:sz w:val="16"/>
                <w:szCs w:val="16"/>
              </w:rPr>
              <w:t>10,8%</w:t>
            </w:r>
            <w:r w:rsidRPr="00FB7EA4">
              <w:rPr>
                <w:rFonts w:ascii="Arial" w:hAnsi="Arial" w:cs="Arial"/>
                <w:color w:val="0F243E" w:themeColor="text2" w:themeShade="80"/>
                <w:sz w:val="16"/>
                <w:szCs w:val="16"/>
              </w:rPr>
              <w:t>)</w:t>
            </w:r>
          </w:p>
        </w:tc>
      </w:tr>
      <w:tr w:rsidR="00F744FF" w:rsidRPr="00A003B6" w14:paraId="062B6C99" w14:textId="77777777" w:rsidTr="00362EFE">
        <w:trPr>
          <w:cantSplit/>
        </w:trPr>
        <w:tc>
          <w:tcPr>
            <w:cnfStyle w:val="001000000000" w:firstRow="0" w:lastRow="0" w:firstColumn="1" w:lastColumn="0" w:oddVBand="0" w:evenVBand="0" w:oddHBand="0" w:evenHBand="0" w:firstRowFirstColumn="0" w:firstRowLastColumn="0" w:lastRowFirstColumn="0" w:lastRowLastColumn="0"/>
            <w:tcW w:w="988" w:type="dxa"/>
            <w:shd w:val="clear" w:color="auto" w:fill="B8CCE4" w:themeFill="accent1" w:themeFillTint="66"/>
            <w:noWrap/>
            <w:vAlign w:val="bottom"/>
          </w:tcPr>
          <w:p w14:paraId="016249D3" w14:textId="1CF3F2A5" w:rsidR="00F744FF" w:rsidRPr="00FB7EA4" w:rsidRDefault="00F744FF" w:rsidP="00F744FF">
            <w:pPr>
              <w:spacing w:before="80" w:after="60"/>
              <w:rPr>
                <w:rFonts w:ascii="Arial" w:hAnsi="Arial" w:cs="Arial"/>
                <w:color w:val="0F243E" w:themeColor="text2" w:themeShade="80"/>
                <w:sz w:val="16"/>
                <w:szCs w:val="16"/>
              </w:rPr>
            </w:pPr>
            <w:r w:rsidRPr="00FB7EA4">
              <w:rPr>
                <w:rFonts w:ascii="Arial" w:hAnsi="Arial" w:cs="Arial"/>
                <w:color w:val="0F243E" w:themeColor="text2" w:themeShade="80"/>
                <w:sz w:val="16"/>
                <w:szCs w:val="16"/>
              </w:rPr>
              <w:t>SGSJ</w:t>
            </w:r>
          </w:p>
        </w:tc>
        <w:tc>
          <w:tcPr>
            <w:tcW w:w="708" w:type="dxa"/>
            <w:shd w:val="clear" w:color="auto" w:fill="B8CCE4" w:themeFill="accent1" w:themeFillTint="66"/>
            <w:vAlign w:val="bottom"/>
          </w:tcPr>
          <w:p w14:paraId="32B6D16F" w14:textId="261F2F1D"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7.856 </w:t>
            </w:r>
          </w:p>
        </w:tc>
        <w:tc>
          <w:tcPr>
            <w:tcW w:w="851" w:type="dxa"/>
            <w:shd w:val="clear" w:color="auto" w:fill="B8CCE4" w:themeFill="accent1" w:themeFillTint="66"/>
            <w:vAlign w:val="bottom"/>
          </w:tcPr>
          <w:p w14:paraId="2A8D687E" w14:textId="7F8E2C53"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7.252 </w:t>
            </w:r>
          </w:p>
        </w:tc>
        <w:tc>
          <w:tcPr>
            <w:tcW w:w="992" w:type="dxa"/>
            <w:shd w:val="clear" w:color="auto" w:fill="B8CCE4" w:themeFill="accent1" w:themeFillTint="66"/>
            <w:vAlign w:val="bottom"/>
          </w:tcPr>
          <w:p w14:paraId="0DEE6E99" w14:textId="78B19156"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6.111 </w:t>
            </w:r>
          </w:p>
        </w:tc>
        <w:tc>
          <w:tcPr>
            <w:tcW w:w="851" w:type="dxa"/>
            <w:shd w:val="clear" w:color="auto" w:fill="B8CCE4" w:themeFill="accent1" w:themeFillTint="66"/>
            <w:vAlign w:val="center"/>
          </w:tcPr>
          <w:p w14:paraId="0F15A3FC" w14:textId="58606F7F"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21.219 </w:t>
            </w:r>
          </w:p>
        </w:tc>
        <w:tc>
          <w:tcPr>
            <w:tcW w:w="850" w:type="dxa"/>
            <w:shd w:val="clear" w:color="auto" w:fill="B8CCE4" w:themeFill="accent1" w:themeFillTint="66"/>
            <w:vAlign w:val="bottom"/>
          </w:tcPr>
          <w:p w14:paraId="4C40C5D0" w14:textId="498F2624"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5.906 </w:t>
            </w:r>
          </w:p>
        </w:tc>
        <w:tc>
          <w:tcPr>
            <w:tcW w:w="851" w:type="dxa"/>
            <w:shd w:val="clear" w:color="auto" w:fill="B8CCE4" w:themeFill="accent1" w:themeFillTint="66"/>
            <w:vAlign w:val="bottom"/>
          </w:tcPr>
          <w:p w14:paraId="6BF194CA" w14:textId="7BBDE5E3"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5.080 </w:t>
            </w:r>
          </w:p>
        </w:tc>
        <w:tc>
          <w:tcPr>
            <w:tcW w:w="708" w:type="dxa"/>
            <w:shd w:val="clear" w:color="auto" w:fill="B8CCE4" w:themeFill="accent1" w:themeFillTint="66"/>
            <w:vAlign w:val="bottom"/>
          </w:tcPr>
          <w:p w14:paraId="2DE5F1D6" w14:textId="0AD6298D"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5.238 </w:t>
            </w:r>
          </w:p>
        </w:tc>
        <w:tc>
          <w:tcPr>
            <w:tcW w:w="993" w:type="dxa"/>
            <w:shd w:val="clear" w:color="auto" w:fill="B8CCE4" w:themeFill="accent1" w:themeFillTint="66"/>
            <w:vAlign w:val="center"/>
          </w:tcPr>
          <w:p w14:paraId="697B5A4F" w14:textId="486BDE26"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16.224 </w:t>
            </w:r>
          </w:p>
        </w:tc>
        <w:tc>
          <w:tcPr>
            <w:tcW w:w="992" w:type="dxa"/>
            <w:shd w:val="clear" w:color="auto" w:fill="B8CCE4" w:themeFill="accent1" w:themeFillTint="66"/>
            <w:vAlign w:val="center"/>
          </w:tcPr>
          <w:p w14:paraId="3C44720D" w14:textId="664A06B7" w:rsidR="00F744FF" w:rsidRPr="00FB7EA4" w:rsidRDefault="00F744FF" w:rsidP="007456FD">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 xml:space="preserve"> 4.995 </w:t>
            </w:r>
          </w:p>
        </w:tc>
        <w:tc>
          <w:tcPr>
            <w:tcW w:w="894" w:type="dxa"/>
            <w:shd w:val="clear" w:color="auto" w:fill="B8CCE4" w:themeFill="accent1" w:themeFillTint="66"/>
            <w:vAlign w:val="center"/>
          </w:tcPr>
          <w:p w14:paraId="28D81F09" w14:textId="5BC5981F" w:rsidR="00F744FF" w:rsidRPr="00FB7EA4" w:rsidRDefault="00F744FF" w:rsidP="00F744F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6"/>
                <w:szCs w:val="16"/>
              </w:rPr>
            </w:pPr>
            <w:r w:rsidRPr="00FB7EA4">
              <w:rPr>
                <w:rFonts w:ascii="Arial" w:hAnsi="Arial" w:cs="Arial"/>
                <w:color w:val="0F243E" w:themeColor="text2" w:themeShade="80"/>
                <w:sz w:val="16"/>
                <w:szCs w:val="16"/>
              </w:rPr>
              <w:t>30,8%</w:t>
            </w:r>
          </w:p>
        </w:tc>
      </w:tr>
    </w:tbl>
    <w:p w14:paraId="15A257D6" w14:textId="01C0777F" w:rsidR="00B81960" w:rsidRPr="007456FD" w:rsidRDefault="00B81960" w:rsidP="00BA1C24">
      <w:pPr>
        <w:widowControl w:val="0"/>
        <w:jc w:val="both"/>
        <w:rPr>
          <w:rFonts w:ascii="Arial" w:hAnsi="Arial" w:cs="Arial"/>
          <w:sz w:val="22"/>
          <w:szCs w:val="22"/>
        </w:rPr>
      </w:pPr>
      <w:r w:rsidRPr="007456FD">
        <w:rPr>
          <w:rFonts w:ascii="Arial" w:hAnsi="Arial" w:cs="Arial"/>
          <w:sz w:val="22"/>
          <w:szCs w:val="22"/>
        </w:rPr>
        <w:lastRenderedPageBreak/>
        <w:t>Como resultado de las variaciones antes relacionadas, se observó que la</w:t>
      </w:r>
      <w:r w:rsidR="00EC0CE8">
        <w:rPr>
          <w:rFonts w:ascii="Arial" w:hAnsi="Arial" w:cs="Arial"/>
          <w:sz w:val="22"/>
          <w:szCs w:val="22"/>
        </w:rPr>
        <w:t xml:space="preserve"> Oficina de Bonos Pensionales, Subdirección de Gobierno, Seguridad y Justicia y el Despacho del Ministro, </w:t>
      </w:r>
      <w:r w:rsidR="001D61AA" w:rsidRPr="007456FD">
        <w:rPr>
          <w:rFonts w:ascii="Arial" w:hAnsi="Arial" w:cs="Arial"/>
          <w:sz w:val="22"/>
          <w:szCs w:val="22"/>
        </w:rPr>
        <w:t xml:space="preserve">fueron las dependencias con mayor variación </w:t>
      </w:r>
      <w:r w:rsidR="0040540C" w:rsidRPr="007456FD">
        <w:rPr>
          <w:rFonts w:ascii="Arial" w:hAnsi="Arial" w:cs="Arial"/>
          <w:sz w:val="22"/>
          <w:szCs w:val="22"/>
        </w:rPr>
        <w:t xml:space="preserve">positiva </w:t>
      </w:r>
      <w:r w:rsidR="001D61AA" w:rsidRPr="007456FD">
        <w:rPr>
          <w:rFonts w:ascii="Arial" w:hAnsi="Arial" w:cs="Arial"/>
          <w:sz w:val="22"/>
          <w:szCs w:val="22"/>
        </w:rPr>
        <w:t xml:space="preserve">para el </w:t>
      </w:r>
      <w:r w:rsidR="00EC0CE8">
        <w:rPr>
          <w:rFonts w:ascii="Arial" w:hAnsi="Arial" w:cs="Arial"/>
          <w:sz w:val="22"/>
          <w:szCs w:val="22"/>
        </w:rPr>
        <w:t xml:space="preserve">tercer </w:t>
      </w:r>
      <w:r w:rsidR="001D61AA" w:rsidRPr="007456FD">
        <w:rPr>
          <w:rFonts w:ascii="Arial" w:hAnsi="Arial" w:cs="Arial"/>
          <w:sz w:val="22"/>
          <w:szCs w:val="22"/>
        </w:rPr>
        <w:t>trimestre de 2019 comparado con el mi</w:t>
      </w:r>
      <w:r w:rsidR="00F04C59" w:rsidRPr="007456FD">
        <w:rPr>
          <w:rFonts w:ascii="Arial" w:hAnsi="Arial" w:cs="Arial"/>
          <w:sz w:val="22"/>
          <w:szCs w:val="22"/>
        </w:rPr>
        <w:t xml:space="preserve">smo periodo de la vigencia 2018, obteniendo un incremento </w:t>
      </w:r>
      <w:r w:rsidR="00804339" w:rsidRPr="007456FD">
        <w:rPr>
          <w:rFonts w:ascii="Arial" w:hAnsi="Arial" w:cs="Arial"/>
          <w:sz w:val="22"/>
          <w:szCs w:val="22"/>
        </w:rPr>
        <w:t xml:space="preserve">en el consumo de papel </w:t>
      </w:r>
      <w:r w:rsidR="00F04C59" w:rsidRPr="007456FD">
        <w:rPr>
          <w:rFonts w:ascii="Arial" w:hAnsi="Arial" w:cs="Arial"/>
          <w:sz w:val="22"/>
          <w:szCs w:val="22"/>
        </w:rPr>
        <w:t xml:space="preserve">de </w:t>
      </w:r>
      <w:r w:rsidR="00EC0CE8">
        <w:rPr>
          <w:rFonts w:ascii="Arial" w:hAnsi="Arial" w:cs="Arial"/>
          <w:sz w:val="22"/>
          <w:szCs w:val="22"/>
        </w:rPr>
        <w:t>40</w:t>
      </w:r>
      <w:r w:rsidR="00F04C59" w:rsidRPr="007456FD">
        <w:rPr>
          <w:rFonts w:ascii="Arial" w:hAnsi="Arial" w:cs="Arial"/>
          <w:sz w:val="22"/>
          <w:szCs w:val="22"/>
        </w:rPr>
        <w:t xml:space="preserve">% y </w:t>
      </w:r>
      <w:r w:rsidR="00EC0CE8">
        <w:rPr>
          <w:rFonts w:ascii="Arial" w:hAnsi="Arial" w:cs="Arial"/>
          <w:sz w:val="22"/>
          <w:szCs w:val="22"/>
        </w:rPr>
        <w:t>30,81</w:t>
      </w:r>
      <w:r w:rsidR="00F04C59" w:rsidRPr="007456FD">
        <w:rPr>
          <w:rFonts w:ascii="Arial" w:hAnsi="Arial" w:cs="Arial"/>
          <w:sz w:val="22"/>
          <w:szCs w:val="22"/>
        </w:rPr>
        <w:t xml:space="preserve">% </w:t>
      </w:r>
      <w:r w:rsidR="00EC0CE8">
        <w:rPr>
          <w:rFonts w:ascii="Arial" w:hAnsi="Arial" w:cs="Arial"/>
          <w:sz w:val="22"/>
          <w:szCs w:val="22"/>
        </w:rPr>
        <w:t xml:space="preserve">y 17,9 </w:t>
      </w:r>
      <w:r w:rsidR="00F04C59" w:rsidRPr="007456FD">
        <w:rPr>
          <w:rFonts w:ascii="Arial" w:hAnsi="Arial" w:cs="Arial"/>
          <w:sz w:val="22"/>
          <w:szCs w:val="22"/>
        </w:rPr>
        <w:t xml:space="preserve">respectivamente. </w:t>
      </w:r>
      <w:r w:rsidR="001D61AA" w:rsidRPr="007456FD">
        <w:rPr>
          <w:rFonts w:ascii="Arial" w:hAnsi="Arial" w:cs="Arial"/>
          <w:sz w:val="22"/>
          <w:szCs w:val="22"/>
        </w:rPr>
        <w:t xml:space="preserve"> </w:t>
      </w:r>
      <w:r w:rsidR="003471BD" w:rsidRPr="007456FD">
        <w:rPr>
          <w:rFonts w:ascii="Arial" w:hAnsi="Arial" w:cs="Arial"/>
          <w:sz w:val="22"/>
          <w:szCs w:val="22"/>
        </w:rPr>
        <w:t xml:space="preserve"> </w:t>
      </w:r>
    </w:p>
    <w:p w14:paraId="101057E7" w14:textId="77777777" w:rsidR="001D61AA" w:rsidRPr="00A003B6" w:rsidRDefault="001D61AA" w:rsidP="00E06067">
      <w:pPr>
        <w:widowControl w:val="0"/>
        <w:spacing w:line="168" w:lineRule="auto"/>
        <w:jc w:val="both"/>
        <w:rPr>
          <w:rFonts w:ascii="Arial" w:hAnsi="Arial" w:cs="Arial"/>
          <w:sz w:val="22"/>
          <w:szCs w:val="22"/>
          <w:highlight w:val="yellow"/>
        </w:rPr>
      </w:pPr>
    </w:p>
    <w:p w14:paraId="5E09045F" w14:textId="3927B16D" w:rsidR="001D61AA" w:rsidRDefault="001D61AA" w:rsidP="00BA1C24">
      <w:pPr>
        <w:widowControl w:val="0"/>
        <w:jc w:val="both"/>
        <w:rPr>
          <w:rFonts w:ascii="Arial" w:hAnsi="Arial" w:cs="Arial"/>
          <w:sz w:val="22"/>
          <w:szCs w:val="22"/>
        </w:rPr>
      </w:pPr>
      <w:r w:rsidRPr="00F45730">
        <w:rPr>
          <w:rFonts w:ascii="Arial" w:hAnsi="Arial" w:cs="Arial"/>
          <w:sz w:val="22"/>
          <w:szCs w:val="22"/>
        </w:rPr>
        <w:t xml:space="preserve">Ahora bien, las dependencias con mayores consumos </w:t>
      </w:r>
      <w:r w:rsidR="00D45534" w:rsidRPr="00F45730">
        <w:rPr>
          <w:rFonts w:ascii="Arial" w:hAnsi="Arial" w:cs="Arial"/>
          <w:sz w:val="22"/>
          <w:szCs w:val="22"/>
        </w:rPr>
        <w:t xml:space="preserve">de papel </w:t>
      </w:r>
      <w:r w:rsidRPr="00F45730">
        <w:rPr>
          <w:rFonts w:ascii="Arial" w:hAnsi="Arial" w:cs="Arial"/>
          <w:sz w:val="22"/>
          <w:szCs w:val="22"/>
        </w:rPr>
        <w:t xml:space="preserve">en el </w:t>
      </w:r>
      <w:r w:rsidR="00F45730">
        <w:rPr>
          <w:rFonts w:ascii="Arial" w:hAnsi="Arial" w:cs="Arial"/>
          <w:sz w:val="22"/>
          <w:szCs w:val="22"/>
        </w:rPr>
        <w:t xml:space="preserve">tercer </w:t>
      </w:r>
      <w:r w:rsidRPr="00F45730">
        <w:rPr>
          <w:rFonts w:ascii="Arial" w:hAnsi="Arial" w:cs="Arial"/>
          <w:sz w:val="22"/>
          <w:szCs w:val="22"/>
        </w:rPr>
        <w:t>trimestre de 2019</w:t>
      </w:r>
      <w:r w:rsidR="0035238E" w:rsidRPr="00F45730">
        <w:rPr>
          <w:rFonts w:ascii="Arial" w:hAnsi="Arial" w:cs="Arial"/>
          <w:sz w:val="22"/>
          <w:szCs w:val="22"/>
        </w:rPr>
        <w:t xml:space="preserve"> y el mismo </w:t>
      </w:r>
      <w:r w:rsidRPr="00F45730">
        <w:rPr>
          <w:rFonts w:ascii="Arial" w:hAnsi="Arial" w:cs="Arial"/>
          <w:sz w:val="22"/>
          <w:szCs w:val="22"/>
        </w:rPr>
        <w:t xml:space="preserve">trimestre </w:t>
      </w:r>
      <w:r w:rsidR="0035238E" w:rsidRPr="00F45730">
        <w:rPr>
          <w:rFonts w:ascii="Arial" w:hAnsi="Arial" w:cs="Arial"/>
          <w:sz w:val="22"/>
          <w:szCs w:val="22"/>
        </w:rPr>
        <w:t>del 2018</w:t>
      </w:r>
      <w:r w:rsidRPr="00F45730">
        <w:rPr>
          <w:rFonts w:ascii="Arial" w:hAnsi="Arial" w:cs="Arial"/>
          <w:sz w:val="22"/>
          <w:szCs w:val="22"/>
        </w:rPr>
        <w:t xml:space="preserve">, fueron en su orden la Dirección Administrativa, la Subdirección Jurídica y la </w:t>
      </w:r>
      <w:r w:rsidR="00D83D22" w:rsidRPr="00F45730">
        <w:rPr>
          <w:rFonts w:ascii="Arial" w:hAnsi="Arial" w:cs="Arial"/>
          <w:sz w:val="22"/>
          <w:szCs w:val="22"/>
        </w:rPr>
        <w:t>Oficina de Bonos Pensionales</w:t>
      </w:r>
      <w:r w:rsidR="00A46149">
        <w:rPr>
          <w:rFonts w:ascii="Arial" w:hAnsi="Arial" w:cs="Arial"/>
          <w:sz w:val="22"/>
          <w:szCs w:val="22"/>
        </w:rPr>
        <w:t xml:space="preserve">. </w:t>
      </w:r>
      <w:r w:rsidR="0035238E" w:rsidRPr="00F45730">
        <w:rPr>
          <w:rFonts w:ascii="Arial" w:hAnsi="Arial" w:cs="Arial"/>
          <w:sz w:val="22"/>
          <w:szCs w:val="22"/>
        </w:rPr>
        <w:t xml:space="preserve">El consumo para el </w:t>
      </w:r>
      <w:r w:rsidR="00A46149">
        <w:rPr>
          <w:rFonts w:ascii="Arial" w:hAnsi="Arial" w:cs="Arial"/>
          <w:sz w:val="22"/>
          <w:szCs w:val="22"/>
        </w:rPr>
        <w:t xml:space="preserve">tercer </w:t>
      </w:r>
      <w:r w:rsidR="0035238E" w:rsidRPr="00F45730">
        <w:rPr>
          <w:rFonts w:ascii="Arial" w:hAnsi="Arial" w:cs="Arial"/>
          <w:sz w:val="22"/>
          <w:szCs w:val="22"/>
        </w:rPr>
        <w:t xml:space="preserve">trimestre de 2019 para </w:t>
      </w:r>
      <w:r w:rsidR="00D45534" w:rsidRPr="00F45730">
        <w:rPr>
          <w:rFonts w:ascii="Arial" w:hAnsi="Arial" w:cs="Arial"/>
          <w:sz w:val="22"/>
          <w:szCs w:val="22"/>
        </w:rPr>
        <w:t xml:space="preserve">dichas dependencias fue: </w:t>
      </w:r>
      <w:r w:rsidR="00A97854">
        <w:rPr>
          <w:rFonts w:ascii="Arial" w:hAnsi="Arial" w:cs="Arial"/>
          <w:sz w:val="22"/>
          <w:szCs w:val="22"/>
        </w:rPr>
        <w:t>164</w:t>
      </w:r>
      <w:r w:rsidR="0028154A" w:rsidRPr="00F45730">
        <w:rPr>
          <w:rFonts w:ascii="Arial" w:hAnsi="Arial" w:cs="Arial"/>
          <w:sz w:val="22"/>
          <w:szCs w:val="22"/>
        </w:rPr>
        <w:t>.</w:t>
      </w:r>
      <w:r w:rsidR="00A97854">
        <w:rPr>
          <w:rFonts w:ascii="Arial" w:hAnsi="Arial" w:cs="Arial"/>
          <w:sz w:val="22"/>
          <w:szCs w:val="22"/>
        </w:rPr>
        <w:t>576</w:t>
      </w:r>
      <w:r w:rsidR="0028154A" w:rsidRPr="00F45730">
        <w:rPr>
          <w:rFonts w:ascii="Arial" w:hAnsi="Arial" w:cs="Arial"/>
          <w:sz w:val="22"/>
          <w:szCs w:val="22"/>
        </w:rPr>
        <w:t xml:space="preserve"> </w:t>
      </w:r>
      <w:r w:rsidR="0035238E" w:rsidRPr="00F45730">
        <w:rPr>
          <w:rFonts w:ascii="Arial" w:hAnsi="Arial" w:cs="Arial"/>
          <w:sz w:val="22"/>
          <w:szCs w:val="22"/>
        </w:rPr>
        <w:t>[</w:t>
      </w:r>
      <w:r w:rsidR="00A97854">
        <w:rPr>
          <w:rFonts w:ascii="Arial" w:hAnsi="Arial" w:cs="Arial"/>
          <w:sz w:val="22"/>
          <w:szCs w:val="22"/>
        </w:rPr>
        <w:t>29</w:t>
      </w:r>
      <w:r w:rsidR="0035238E" w:rsidRPr="00F45730">
        <w:rPr>
          <w:rFonts w:ascii="Arial" w:hAnsi="Arial" w:cs="Arial"/>
          <w:sz w:val="22"/>
          <w:szCs w:val="22"/>
        </w:rPr>
        <w:t xml:space="preserve">%], </w:t>
      </w:r>
      <w:r w:rsidR="0028154A" w:rsidRPr="00F45730">
        <w:rPr>
          <w:rFonts w:ascii="Arial" w:hAnsi="Arial" w:cs="Arial"/>
          <w:sz w:val="22"/>
          <w:szCs w:val="22"/>
        </w:rPr>
        <w:t>11</w:t>
      </w:r>
      <w:r w:rsidR="00A97854">
        <w:rPr>
          <w:rFonts w:ascii="Arial" w:hAnsi="Arial" w:cs="Arial"/>
          <w:sz w:val="22"/>
          <w:szCs w:val="22"/>
        </w:rPr>
        <w:t>5</w:t>
      </w:r>
      <w:r w:rsidR="0028154A" w:rsidRPr="00F45730">
        <w:rPr>
          <w:rFonts w:ascii="Arial" w:hAnsi="Arial" w:cs="Arial"/>
          <w:sz w:val="22"/>
          <w:szCs w:val="22"/>
        </w:rPr>
        <w:t>.</w:t>
      </w:r>
      <w:r w:rsidR="00A97854">
        <w:rPr>
          <w:rFonts w:ascii="Arial" w:hAnsi="Arial" w:cs="Arial"/>
          <w:sz w:val="22"/>
          <w:szCs w:val="22"/>
        </w:rPr>
        <w:t>716</w:t>
      </w:r>
      <w:r w:rsidR="0035238E" w:rsidRPr="00F45730">
        <w:rPr>
          <w:rFonts w:ascii="Arial" w:hAnsi="Arial" w:cs="Arial"/>
          <w:sz w:val="22"/>
          <w:szCs w:val="22"/>
        </w:rPr>
        <w:t xml:space="preserve"> [</w:t>
      </w:r>
      <w:r w:rsidR="00A97854">
        <w:rPr>
          <w:rFonts w:ascii="Arial" w:hAnsi="Arial" w:cs="Arial"/>
          <w:sz w:val="22"/>
          <w:szCs w:val="22"/>
        </w:rPr>
        <w:t>20</w:t>
      </w:r>
      <w:r w:rsidR="0035238E" w:rsidRPr="00F45730">
        <w:rPr>
          <w:rFonts w:ascii="Arial" w:hAnsi="Arial" w:cs="Arial"/>
          <w:sz w:val="22"/>
          <w:szCs w:val="22"/>
        </w:rPr>
        <w:t xml:space="preserve">%] y </w:t>
      </w:r>
      <w:r w:rsidR="00A97854">
        <w:rPr>
          <w:rFonts w:ascii="Arial" w:hAnsi="Arial" w:cs="Arial"/>
          <w:sz w:val="22"/>
          <w:szCs w:val="22"/>
        </w:rPr>
        <w:t>87.193</w:t>
      </w:r>
      <w:r w:rsidR="0028154A" w:rsidRPr="00F45730">
        <w:rPr>
          <w:rFonts w:ascii="Arial" w:hAnsi="Arial" w:cs="Arial"/>
          <w:sz w:val="22"/>
          <w:szCs w:val="22"/>
        </w:rPr>
        <w:t xml:space="preserve"> </w:t>
      </w:r>
      <w:r w:rsidR="0035238E" w:rsidRPr="00F45730">
        <w:rPr>
          <w:rFonts w:ascii="Arial" w:hAnsi="Arial" w:cs="Arial"/>
          <w:sz w:val="22"/>
          <w:szCs w:val="22"/>
        </w:rPr>
        <w:t>[</w:t>
      </w:r>
      <w:r w:rsidR="0028154A" w:rsidRPr="00F45730">
        <w:rPr>
          <w:rFonts w:ascii="Arial" w:hAnsi="Arial" w:cs="Arial"/>
          <w:sz w:val="22"/>
          <w:szCs w:val="22"/>
        </w:rPr>
        <w:t>1</w:t>
      </w:r>
      <w:r w:rsidR="00A97854">
        <w:rPr>
          <w:rFonts w:ascii="Arial" w:hAnsi="Arial" w:cs="Arial"/>
          <w:sz w:val="22"/>
          <w:szCs w:val="22"/>
        </w:rPr>
        <w:t>5</w:t>
      </w:r>
      <w:r w:rsidR="00D45534" w:rsidRPr="00F45730">
        <w:rPr>
          <w:rFonts w:ascii="Arial" w:hAnsi="Arial" w:cs="Arial"/>
          <w:sz w:val="22"/>
          <w:szCs w:val="22"/>
        </w:rPr>
        <w:t xml:space="preserve">%], respectivamente. </w:t>
      </w:r>
    </w:p>
    <w:p w14:paraId="64668AA5" w14:textId="0082D731" w:rsidR="00F5750F" w:rsidRDefault="00F5750F" w:rsidP="00BA1C24">
      <w:pPr>
        <w:widowControl w:val="0"/>
        <w:jc w:val="both"/>
        <w:rPr>
          <w:rFonts w:ascii="Arial" w:hAnsi="Arial" w:cs="Arial"/>
          <w:sz w:val="22"/>
          <w:szCs w:val="22"/>
        </w:rPr>
      </w:pPr>
    </w:p>
    <w:p w14:paraId="1AF986FB" w14:textId="4C5DC60E" w:rsidR="00344F32" w:rsidRDefault="00917B03" w:rsidP="00BA1C24">
      <w:pPr>
        <w:widowControl w:val="0"/>
        <w:jc w:val="both"/>
        <w:rPr>
          <w:rFonts w:ascii="Arial" w:hAnsi="Arial" w:cs="Arial"/>
          <w:sz w:val="22"/>
          <w:szCs w:val="22"/>
          <w:highlight w:val="yellow"/>
        </w:rPr>
      </w:pPr>
      <w:r>
        <w:rPr>
          <w:noProof/>
        </w:rPr>
        <w:drawing>
          <wp:inline distT="0" distB="0" distL="0" distR="0" wp14:anchorId="50164CDD" wp14:editId="2FD023B4">
            <wp:extent cx="6172200" cy="2847975"/>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963FFB0" w14:textId="5FCB35D4" w:rsidR="00CA3FE3" w:rsidRPr="00CA3FE3" w:rsidRDefault="00CA3FE3" w:rsidP="00BA1C24">
      <w:pPr>
        <w:widowControl w:val="0"/>
        <w:jc w:val="both"/>
        <w:rPr>
          <w:rFonts w:ascii="Arial" w:hAnsi="Arial" w:cs="Arial"/>
          <w:sz w:val="22"/>
          <w:szCs w:val="22"/>
        </w:rPr>
      </w:pPr>
      <w:r w:rsidRPr="00CA3FE3">
        <w:rPr>
          <w:rFonts w:ascii="Arial" w:hAnsi="Arial" w:cs="Arial"/>
          <w:sz w:val="22"/>
          <w:szCs w:val="22"/>
        </w:rPr>
        <w:t>En lo referente al costo del consumo de hojas para el tercer tri</w:t>
      </w:r>
      <w:r>
        <w:rPr>
          <w:rFonts w:ascii="Arial" w:hAnsi="Arial" w:cs="Arial"/>
          <w:sz w:val="22"/>
          <w:szCs w:val="22"/>
        </w:rPr>
        <w:t>mestre de 2019 comparado con mismo periodo de 2018, se presentó una variación negativa correspondiente a</w:t>
      </w:r>
      <w:r w:rsidR="001B16D8">
        <w:rPr>
          <w:rFonts w:ascii="Arial" w:hAnsi="Arial" w:cs="Arial"/>
          <w:sz w:val="22"/>
          <w:szCs w:val="22"/>
        </w:rPr>
        <w:t xml:space="preserve"> una </w:t>
      </w:r>
      <w:r>
        <w:rPr>
          <w:rFonts w:ascii="Arial" w:hAnsi="Arial" w:cs="Arial"/>
          <w:sz w:val="22"/>
          <w:szCs w:val="22"/>
        </w:rPr>
        <w:t>dis</w:t>
      </w:r>
      <w:r w:rsidR="001B16D8">
        <w:rPr>
          <w:rFonts w:ascii="Arial" w:hAnsi="Arial" w:cs="Arial"/>
          <w:sz w:val="22"/>
          <w:szCs w:val="22"/>
        </w:rPr>
        <w:t>minución de $</w:t>
      </w:r>
      <w:r>
        <w:rPr>
          <w:rFonts w:ascii="Arial" w:hAnsi="Arial" w:cs="Arial"/>
          <w:sz w:val="22"/>
          <w:szCs w:val="22"/>
        </w:rPr>
        <w:t xml:space="preserve">5.492.512, representando el 5%. </w:t>
      </w:r>
    </w:p>
    <w:p w14:paraId="129D61EC" w14:textId="10764B6A" w:rsidR="00CA3FE3" w:rsidRDefault="00CA3FE3" w:rsidP="00BA1C24">
      <w:pPr>
        <w:widowControl w:val="0"/>
        <w:jc w:val="both"/>
        <w:rPr>
          <w:rFonts w:ascii="Arial" w:hAnsi="Arial" w:cs="Arial"/>
          <w:sz w:val="22"/>
          <w:szCs w:val="22"/>
          <w:highlight w:val="yellow"/>
        </w:rPr>
      </w:pPr>
    </w:p>
    <w:tbl>
      <w:tblPr>
        <w:tblW w:w="0" w:type="auto"/>
        <w:jc w:val="center"/>
        <w:tblCellMar>
          <w:left w:w="70" w:type="dxa"/>
          <w:right w:w="70" w:type="dxa"/>
        </w:tblCellMar>
        <w:tblLook w:val="04A0" w:firstRow="1" w:lastRow="0" w:firstColumn="1" w:lastColumn="0" w:noHBand="0" w:noVBand="1"/>
      </w:tblPr>
      <w:tblGrid>
        <w:gridCol w:w="1230"/>
        <w:gridCol w:w="2119"/>
        <w:gridCol w:w="2119"/>
        <w:gridCol w:w="1097"/>
        <w:gridCol w:w="496"/>
      </w:tblGrid>
      <w:tr w:rsidR="00CA3FE3" w:rsidRPr="00CA3FE3" w14:paraId="00AD78D6" w14:textId="77777777" w:rsidTr="00CA3FE3">
        <w:trPr>
          <w:cantSplit/>
          <w:jc w:val="center"/>
        </w:trPr>
        <w:tc>
          <w:tcPr>
            <w:tcW w:w="0" w:type="auto"/>
            <w:gridSpan w:val="5"/>
            <w:tcBorders>
              <w:top w:val="single" w:sz="8" w:space="0" w:color="B8CCE4"/>
              <w:left w:val="single" w:sz="8" w:space="0" w:color="B8CCE4"/>
              <w:bottom w:val="single" w:sz="12" w:space="0" w:color="95B3D7"/>
              <w:right w:val="single" w:sz="8" w:space="0" w:color="B8CCE4"/>
            </w:tcBorders>
            <w:shd w:val="clear" w:color="000000" w:fill="4F81BD"/>
            <w:vAlign w:val="center"/>
            <w:hideMark/>
          </w:tcPr>
          <w:p w14:paraId="5E551257" w14:textId="13C6792B" w:rsidR="00CA3FE3" w:rsidRPr="00CA3FE3" w:rsidRDefault="00CA3FE3" w:rsidP="00CA3FE3">
            <w:pPr>
              <w:spacing w:before="60" w:after="60"/>
              <w:jc w:val="center"/>
              <w:rPr>
                <w:rFonts w:ascii="Arial" w:hAnsi="Arial" w:cs="Arial"/>
                <w:b/>
                <w:bCs/>
                <w:color w:val="FFFFFF"/>
                <w:sz w:val="20"/>
                <w:szCs w:val="20"/>
              </w:rPr>
            </w:pPr>
            <w:r w:rsidRPr="00CA3FE3">
              <w:rPr>
                <w:rFonts w:ascii="Arial" w:hAnsi="Arial" w:cs="Arial"/>
                <w:b/>
                <w:bCs/>
                <w:color w:val="FFFFFF" w:themeColor="background1"/>
                <w:sz w:val="20"/>
                <w:szCs w:val="20"/>
              </w:rPr>
              <w:t xml:space="preserve">Costo Comparativo </w:t>
            </w:r>
            <w:r>
              <w:rPr>
                <w:rFonts w:ascii="Arial" w:hAnsi="Arial" w:cs="Arial"/>
                <w:b/>
                <w:bCs/>
                <w:color w:val="FFFFFF" w:themeColor="background1"/>
                <w:sz w:val="20"/>
                <w:szCs w:val="20"/>
              </w:rPr>
              <w:t xml:space="preserve">del Tercer </w:t>
            </w:r>
            <w:r w:rsidRPr="00CA3FE3">
              <w:rPr>
                <w:rFonts w:ascii="Arial" w:hAnsi="Arial" w:cs="Arial"/>
                <w:b/>
                <w:bCs/>
                <w:color w:val="FFFFFF" w:themeColor="background1"/>
                <w:sz w:val="20"/>
                <w:szCs w:val="20"/>
              </w:rPr>
              <w:t>Trimestre</w:t>
            </w:r>
            <w:r>
              <w:rPr>
                <w:rFonts w:ascii="Arial" w:hAnsi="Arial" w:cs="Arial"/>
                <w:b/>
                <w:bCs/>
                <w:color w:val="FFFFFF" w:themeColor="background1"/>
                <w:sz w:val="20"/>
                <w:szCs w:val="20"/>
              </w:rPr>
              <w:t xml:space="preserve"> 2019-2018</w:t>
            </w:r>
            <w:r w:rsidRPr="00CA3FE3">
              <w:rPr>
                <w:rFonts w:ascii="Arial" w:hAnsi="Arial" w:cs="Arial"/>
                <w:b/>
                <w:bCs/>
                <w:color w:val="FFFFFF" w:themeColor="background1"/>
                <w:sz w:val="20"/>
                <w:szCs w:val="20"/>
              </w:rPr>
              <w:t xml:space="preserve"> ($)</w:t>
            </w:r>
          </w:p>
        </w:tc>
      </w:tr>
      <w:tr w:rsidR="00CA3FE3" w:rsidRPr="00CA3FE3" w14:paraId="4BB4C79B" w14:textId="77777777" w:rsidTr="00CA3FE3">
        <w:trPr>
          <w:cantSplit/>
          <w:jc w:val="center"/>
        </w:trPr>
        <w:tc>
          <w:tcPr>
            <w:tcW w:w="0" w:type="auto"/>
            <w:vMerge w:val="restart"/>
            <w:tcBorders>
              <w:top w:val="nil"/>
              <w:left w:val="single" w:sz="8" w:space="0" w:color="B8CCE4"/>
              <w:bottom w:val="nil"/>
              <w:right w:val="single" w:sz="8" w:space="0" w:color="B8CCE4"/>
            </w:tcBorders>
            <w:shd w:val="clear" w:color="000000" w:fill="4F81BD"/>
            <w:vAlign w:val="center"/>
            <w:hideMark/>
          </w:tcPr>
          <w:p w14:paraId="1A016C6E" w14:textId="77777777" w:rsidR="00CA3FE3" w:rsidRPr="00CA3FE3" w:rsidRDefault="00CA3FE3" w:rsidP="00CA3FE3">
            <w:pPr>
              <w:spacing w:before="60" w:after="60"/>
              <w:jc w:val="center"/>
              <w:rPr>
                <w:rFonts w:ascii="Arial" w:hAnsi="Arial" w:cs="Arial"/>
                <w:b/>
                <w:bCs/>
                <w:color w:val="FFFFFF"/>
                <w:sz w:val="20"/>
                <w:szCs w:val="20"/>
              </w:rPr>
            </w:pPr>
            <w:r w:rsidRPr="00CA3FE3">
              <w:rPr>
                <w:rFonts w:ascii="Arial" w:hAnsi="Arial" w:cs="Arial"/>
                <w:b/>
                <w:bCs/>
                <w:color w:val="FFFFFF" w:themeColor="background1"/>
                <w:sz w:val="20"/>
                <w:szCs w:val="20"/>
              </w:rPr>
              <w:t>Periodo</w:t>
            </w:r>
          </w:p>
        </w:tc>
        <w:tc>
          <w:tcPr>
            <w:tcW w:w="0" w:type="auto"/>
            <w:vMerge w:val="restart"/>
            <w:tcBorders>
              <w:top w:val="nil"/>
              <w:left w:val="single" w:sz="8" w:space="0" w:color="B8CCE4"/>
              <w:bottom w:val="nil"/>
              <w:right w:val="single" w:sz="8" w:space="0" w:color="B8CCE4"/>
            </w:tcBorders>
            <w:shd w:val="clear" w:color="000000" w:fill="4F81BD"/>
            <w:vAlign w:val="center"/>
            <w:hideMark/>
          </w:tcPr>
          <w:p w14:paraId="43A984C4" w14:textId="77777777" w:rsidR="00CA3FE3" w:rsidRPr="00CA3FE3" w:rsidRDefault="00CA3FE3" w:rsidP="00CA3FE3">
            <w:pPr>
              <w:spacing w:before="60" w:after="60"/>
              <w:jc w:val="center"/>
              <w:rPr>
                <w:rFonts w:ascii="Arial" w:hAnsi="Arial" w:cs="Arial"/>
                <w:b/>
                <w:bCs/>
                <w:color w:val="FFFFFF"/>
                <w:sz w:val="20"/>
                <w:szCs w:val="20"/>
              </w:rPr>
            </w:pPr>
            <w:r w:rsidRPr="00CA3FE3">
              <w:rPr>
                <w:rFonts w:ascii="Arial" w:hAnsi="Arial" w:cs="Arial"/>
                <w:b/>
                <w:bCs/>
                <w:color w:val="FFFFFF" w:themeColor="background1"/>
                <w:sz w:val="20"/>
                <w:szCs w:val="20"/>
              </w:rPr>
              <w:t xml:space="preserve"> III Trimestre de 2019 </w:t>
            </w:r>
          </w:p>
        </w:tc>
        <w:tc>
          <w:tcPr>
            <w:tcW w:w="0" w:type="auto"/>
            <w:vMerge w:val="restart"/>
            <w:tcBorders>
              <w:top w:val="nil"/>
              <w:left w:val="single" w:sz="8" w:space="0" w:color="B8CCE4"/>
              <w:bottom w:val="nil"/>
              <w:right w:val="single" w:sz="8" w:space="0" w:color="B8CCE4"/>
            </w:tcBorders>
            <w:shd w:val="clear" w:color="000000" w:fill="4F81BD"/>
            <w:vAlign w:val="center"/>
            <w:hideMark/>
          </w:tcPr>
          <w:p w14:paraId="59571926" w14:textId="77777777" w:rsidR="00CA3FE3" w:rsidRPr="00CA3FE3" w:rsidRDefault="00CA3FE3" w:rsidP="00CA3FE3">
            <w:pPr>
              <w:spacing w:before="60" w:after="60"/>
              <w:jc w:val="center"/>
              <w:rPr>
                <w:rFonts w:ascii="Arial" w:hAnsi="Arial" w:cs="Arial"/>
                <w:b/>
                <w:bCs/>
                <w:color w:val="FFFFFF"/>
                <w:sz w:val="20"/>
                <w:szCs w:val="20"/>
              </w:rPr>
            </w:pPr>
            <w:r w:rsidRPr="00CA3FE3">
              <w:rPr>
                <w:rFonts w:ascii="Arial" w:hAnsi="Arial" w:cs="Arial"/>
                <w:b/>
                <w:bCs/>
                <w:color w:val="FFFFFF" w:themeColor="background1"/>
                <w:sz w:val="20"/>
                <w:szCs w:val="20"/>
              </w:rPr>
              <w:t xml:space="preserve"> III Trimestre de 2018 </w:t>
            </w:r>
          </w:p>
        </w:tc>
        <w:tc>
          <w:tcPr>
            <w:tcW w:w="0" w:type="auto"/>
            <w:gridSpan w:val="2"/>
            <w:tcBorders>
              <w:top w:val="single" w:sz="12" w:space="0" w:color="95B3D7"/>
              <w:left w:val="nil"/>
              <w:bottom w:val="single" w:sz="8" w:space="0" w:color="B8CCE4"/>
              <w:right w:val="single" w:sz="8" w:space="0" w:color="B8CCE4"/>
            </w:tcBorders>
            <w:shd w:val="clear" w:color="000000" w:fill="4F81BD"/>
            <w:vAlign w:val="center"/>
            <w:hideMark/>
          </w:tcPr>
          <w:p w14:paraId="7D6CA2F7" w14:textId="77777777" w:rsidR="00CA3FE3" w:rsidRPr="00CA3FE3" w:rsidRDefault="00CA3FE3" w:rsidP="00CA3FE3">
            <w:pPr>
              <w:spacing w:before="60" w:after="60"/>
              <w:jc w:val="center"/>
              <w:rPr>
                <w:rFonts w:ascii="Arial" w:hAnsi="Arial" w:cs="Arial"/>
                <w:b/>
                <w:bCs/>
                <w:color w:val="FFFFFF"/>
                <w:sz w:val="20"/>
                <w:szCs w:val="20"/>
              </w:rPr>
            </w:pPr>
            <w:r w:rsidRPr="00CA3FE3">
              <w:rPr>
                <w:rFonts w:ascii="Arial" w:hAnsi="Arial" w:cs="Arial"/>
                <w:b/>
                <w:bCs/>
                <w:color w:val="FFFFFF" w:themeColor="background1"/>
                <w:sz w:val="20"/>
                <w:szCs w:val="20"/>
              </w:rPr>
              <w:t>Variaciones</w:t>
            </w:r>
          </w:p>
        </w:tc>
      </w:tr>
      <w:tr w:rsidR="00CA3FE3" w:rsidRPr="00CA3FE3" w14:paraId="48387977" w14:textId="77777777" w:rsidTr="00CA3FE3">
        <w:trPr>
          <w:cantSplit/>
          <w:jc w:val="center"/>
        </w:trPr>
        <w:tc>
          <w:tcPr>
            <w:tcW w:w="0" w:type="auto"/>
            <w:vMerge/>
            <w:tcBorders>
              <w:top w:val="nil"/>
              <w:left w:val="single" w:sz="8" w:space="0" w:color="B8CCE4"/>
              <w:bottom w:val="nil"/>
              <w:right w:val="single" w:sz="8" w:space="0" w:color="B8CCE4"/>
            </w:tcBorders>
            <w:vAlign w:val="center"/>
            <w:hideMark/>
          </w:tcPr>
          <w:p w14:paraId="715A521B" w14:textId="77777777" w:rsidR="00CA3FE3" w:rsidRPr="00CA3FE3" w:rsidRDefault="00CA3FE3" w:rsidP="00CA3FE3">
            <w:pPr>
              <w:spacing w:before="60" w:after="60"/>
              <w:rPr>
                <w:rFonts w:ascii="Arial" w:hAnsi="Arial" w:cs="Arial"/>
                <w:b/>
                <w:bCs/>
                <w:color w:val="FFFFFF"/>
                <w:sz w:val="20"/>
                <w:szCs w:val="20"/>
              </w:rPr>
            </w:pPr>
          </w:p>
        </w:tc>
        <w:tc>
          <w:tcPr>
            <w:tcW w:w="0" w:type="auto"/>
            <w:vMerge/>
            <w:tcBorders>
              <w:top w:val="nil"/>
              <w:left w:val="single" w:sz="8" w:space="0" w:color="B8CCE4"/>
              <w:bottom w:val="nil"/>
              <w:right w:val="single" w:sz="8" w:space="0" w:color="B8CCE4"/>
            </w:tcBorders>
            <w:vAlign w:val="center"/>
            <w:hideMark/>
          </w:tcPr>
          <w:p w14:paraId="310CDCFB" w14:textId="77777777" w:rsidR="00CA3FE3" w:rsidRPr="00CA3FE3" w:rsidRDefault="00CA3FE3" w:rsidP="00CA3FE3">
            <w:pPr>
              <w:spacing w:before="60" w:after="60"/>
              <w:rPr>
                <w:rFonts w:ascii="Arial" w:hAnsi="Arial" w:cs="Arial"/>
                <w:b/>
                <w:bCs/>
                <w:color w:val="FFFFFF"/>
                <w:sz w:val="20"/>
                <w:szCs w:val="20"/>
              </w:rPr>
            </w:pPr>
          </w:p>
        </w:tc>
        <w:tc>
          <w:tcPr>
            <w:tcW w:w="0" w:type="auto"/>
            <w:vMerge/>
            <w:tcBorders>
              <w:top w:val="nil"/>
              <w:left w:val="single" w:sz="8" w:space="0" w:color="B8CCE4"/>
              <w:bottom w:val="nil"/>
              <w:right w:val="single" w:sz="8" w:space="0" w:color="B8CCE4"/>
            </w:tcBorders>
            <w:vAlign w:val="center"/>
            <w:hideMark/>
          </w:tcPr>
          <w:p w14:paraId="558656BC" w14:textId="77777777" w:rsidR="00CA3FE3" w:rsidRPr="00CA3FE3" w:rsidRDefault="00CA3FE3" w:rsidP="00CA3FE3">
            <w:pPr>
              <w:spacing w:before="60" w:after="60"/>
              <w:rPr>
                <w:rFonts w:ascii="Arial" w:hAnsi="Arial" w:cs="Arial"/>
                <w:b/>
                <w:bCs/>
                <w:color w:val="FFFFFF"/>
                <w:sz w:val="20"/>
                <w:szCs w:val="20"/>
              </w:rPr>
            </w:pPr>
          </w:p>
        </w:tc>
        <w:tc>
          <w:tcPr>
            <w:tcW w:w="0" w:type="auto"/>
            <w:tcBorders>
              <w:top w:val="nil"/>
              <w:left w:val="nil"/>
              <w:bottom w:val="nil"/>
              <w:right w:val="single" w:sz="8" w:space="0" w:color="B8CCE4"/>
            </w:tcBorders>
            <w:shd w:val="clear" w:color="000000" w:fill="4F81BD"/>
            <w:vAlign w:val="center"/>
            <w:hideMark/>
          </w:tcPr>
          <w:p w14:paraId="1DBA4410" w14:textId="77777777" w:rsidR="00CA3FE3" w:rsidRPr="00CA3FE3" w:rsidRDefault="00CA3FE3" w:rsidP="00CA3FE3">
            <w:pPr>
              <w:spacing w:before="60" w:after="60"/>
              <w:jc w:val="center"/>
              <w:rPr>
                <w:rFonts w:ascii="Arial" w:hAnsi="Arial" w:cs="Arial"/>
                <w:b/>
                <w:bCs/>
                <w:color w:val="FFFFFF"/>
                <w:sz w:val="20"/>
                <w:szCs w:val="20"/>
              </w:rPr>
            </w:pPr>
            <w:r w:rsidRPr="00CA3FE3">
              <w:rPr>
                <w:rFonts w:ascii="Arial" w:hAnsi="Arial" w:cs="Arial"/>
                <w:b/>
                <w:bCs/>
                <w:color w:val="FFFFFF" w:themeColor="background1"/>
                <w:sz w:val="20"/>
                <w:szCs w:val="20"/>
              </w:rPr>
              <w:t>($)</w:t>
            </w:r>
          </w:p>
        </w:tc>
        <w:tc>
          <w:tcPr>
            <w:tcW w:w="0" w:type="auto"/>
            <w:tcBorders>
              <w:top w:val="nil"/>
              <w:left w:val="nil"/>
              <w:bottom w:val="nil"/>
              <w:right w:val="single" w:sz="8" w:space="0" w:color="B8CCE4"/>
            </w:tcBorders>
            <w:shd w:val="clear" w:color="000000" w:fill="4F81BD"/>
            <w:vAlign w:val="center"/>
            <w:hideMark/>
          </w:tcPr>
          <w:p w14:paraId="0DD1E485" w14:textId="77777777" w:rsidR="00CA3FE3" w:rsidRPr="00CA3FE3" w:rsidRDefault="00CA3FE3" w:rsidP="00CA3FE3">
            <w:pPr>
              <w:spacing w:before="60" w:after="60"/>
              <w:jc w:val="center"/>
              <w:rPr>
                <w:rFonts w:ascii="Arial" w:hAnsi="Arial" w:cs="Arial"/>
                <w:b/>
                <w:bCs/>
                <w:color w:val="FFFFFF"/>
                <w:sz w:val="20"/>
                <w:szCs w:val="20"/>
              </w:rPr>
            </w:pPr>
            <w:r w:rsidRPr="00CA3FE3">
              <w:rPr>
                <w:rFonts w:ascii="Arial" w:hAnsi="Arial" w:cs="Arial"/>
                <w:b/>
                <w:bCs/>
                <w:color w:val="FFFFFF" w:themeColor="background1"/>
                <w:sz w:val="20"/>
                <w:szCs w:val="20"/>
              </w:rPr>
              <w:t>%</w:t>
            </w:r>
          </w:p>
        </w:tc>
      </w:tr>
      <w:tr w:rsidR="00CA3FE3" w:rsidRPr="00CA3FE3" w14:paraId="1E7B40A4" w14:textId="77777777" w:rsidTr="00CA3FE3">
        <w:trPr>
          <w:cantSplit/>
          <w:jc w:val="center"/>
        </w:trPr>
        <w:tc>
          <w:tcPr>
            <w:tcW w:w="0" w:type="auto"/>
            <w:tcBorders>
              <w:top w:val="nil"/>
              <w:left w:val="nil"/>
              <w:bottom w:val="nil"/>
              <w:right w:val="nil"/>
            </w:tcBorders>
            <w:shd w:val="clear" w:color="auto" w:fill="auto"/>
            <w:noWrap/>
            <w:vAlign w:val="center"/>
            <w:hideMark/>
          </w:tcPr>
          <w:p w14:paraId="39989815" w14:textId="77777777" w:rsidR="00CA3FE3" w:rsidRPr="008B005D" w:rsidRDefault="00CA3FE3" w:rsidP="00CA3FE3">
            <w:pPr>
              <w:spacing w:before="60" w:after="60"/>
              <w:jc w:val="center"/>
              <w:rPr>
                <w:rFonts w:ascii="Arial" w:hAnsi="Arial" w:cs="Arial"/>
                <w:b/>
                <w:color w:val="0F243E" w:themeColor="text2" w:themeShade="80"/>
                <w:sz w:val="20"/>
                <w:szCs w:val="20"/>
              </w:rPr>
            </w:pPr>
            <w:r w:rsidRPr="008B005D">
              <w:rPr>
                <w:rFonts w:ascii="Arial" w:hAnsi="Arial" w:cs="Arial"/>
                <w:b/>
                <w:color w:val="0F243E" w:themeColor="text2" w:themeShade="80"/>
                <w:sz w:val="20"/>
                <w:szCs w:val="20"/>
              </w:rPr>
              <w:t xml:space="preserve">Julio </w:t>
            </w:r>
          </w:p>
        </w:tc>
        <w:tc>
          <w:tcPr>
            <w:tcW w:w="0" w:type="auto"/>
            <w:tcBorders>
              <w:top w:val="nil"/>
              <w:left w:val="nil"/>
              <w:bottom w:val="nil"/>
              <w:right w:val="nil"/>
            </w:tcBorders>
            <w:shd w:val="clear" w:color="auto" w:fill="auto"/>
            <w:noWrap/>
            <w:vAlign w:val="center"/>
            <w:hideMark/>
          </w:tcPr>
          <w:p w14:paraId="2E0F2CE8" w14:textId="77777777" w:rsidR="00CA3FE3" w:rsidRPr="00CA3FE3" w:rsidRDefault="00CA3FE3" w:rsidP="00CA3FE3">
            <w:pPr>
              <w:spacing w:before="60" w:after="60"/>
              <w:jc w:val="right"/>
              <w:rPr>
                <w:rFonts w:ascii="Arial" w:hAnsi="Arial" w:cs="Arial"/>
                <w:color w:val="0F243E" w:themeColor="text2" w:themeShade="80"/>
                <w:sz w:val="20"/>
                <w:szCs w:val="20"/>
              </w:rPr>
            </w:pPr>
            <w:r w:rsidRPr="00CA3FE3">
              <w:rPr>
                <w:rFonts w:ascii="Arial" w:hAnsi="Arial" w:cs="Arial"/>
                <w:color w:val="0F243E" w:themeColor="text2" w:themeShade="80"/>
                <w:sz w:val="20"/>
                <w:szCs w:val="20"/>
              </w:rPr>
              <w:t>35.442.902</w:t>
            </w:r>
          </w:p>
        </w:tc>
        <w:tc>
          <w:tcPr>
            <w:tcW w:w="0" w:type="auto"/>
            <w:tcBorders>
              <w:top w:val="nil"/>
              <w:left w:val="nil"/>
              <w:bottom w:val="nil"/>
              <w:right w:val="nil"/>
            </w:tcBorders>
            <w:shd w:val="clear" w:color="auto" w:fill="auto"/>
            <w:noWrap/>
            <w:vAlign w:val="center"/>
            <w:hideMark/>
          </w:tcPr>
          <w:p w14:paraId="173A7A81" w14:textId="77777777" w:rsidR="00CA3FE3" w:rsidRPr="00CA3FE3" w:rsidRDefault="00CA3FE3" w:rsidP="00CA3FE3">
            <w:pPr>
              <w:spacing w:before="60" w:after="60"/>
              <w:jc w:val="right"/>
              <w:rPr>
                <w:rFonts w:ascii="Arial" w:hAnsi="Arial" w:cs="Arial"/>
                <w:color w:val="0F243E" w:themeColor="text2" w:themeShade="80"/>
                <w:sz w:val="20"/>
                <w:szCs w:val="20"/>
              </w:rPr>
            </w:pPr>
            <w:r w:rsidRPr="00CA3FE3">
              <w:rPr>
                <w:rFonts w:ascii="Arial" w:hAnsi="Arial" w:cs="Arial"/>
                <w:color w:val="0F243E" w:themeColor="text2" w:themeShade="80"/>
                <w:sz w:val="20"/>
                <w:szCs w:val="20"/>
              </w:rPr>
              <w:t>36.934.818</w:t>
            </w:r>
          </w:p>
        </w:tc>
        <w:tc>
          <w:tcPr>
            <w:tcW w:w="0" w:type="auto"/>
            <w:tcBorders>
              <w:top w:val="nil"/>
              <w:left w:val="nil"/>
              <w:bottom w:val="nil"/>
              <w:right w:val="nil"/>
            </w:tcBorders>
            <w:shd w:val="clear" w:color="auto" w:fill="auto"/>
            <w:noWrap/>
            <w:vAlign w:val="center"/>
            <w:hideMark/>
          </w:tcPr>
          <w:p w14:paraId="397A5F83" w14:textId="77777777" w:rsidR="00CA3FE3" w:rsidRPr="00CA3FE3" w:rsidRDefault="00CA3FE3" w:rsidP="00CA3FE3">
            <w:pPr>
              <w:spacing w:before="60" w:after="60"/>
              <w:jc w:val="right"/>
              <w:rPr>
                <w:rFonts w:ascii="Arial" w:hAnsi="Arial" w:cs="Arial"/>
                <w:color w:val="0F243E" w:themeColor="text2" w:themeShade="80"/>
                <w:sz w:val="20"/>
                <w:szCs w:val="20"/>
              </w:rPr>
            </w:pPr>
            <w:r w:rsidRPr="00CA3FE3">
              <w:rPr>
                <w:rFonts w:ascii="Arial" w:hAnsi="Arial" w:cs="Arial"/>
                <w:color w:val="0F243E" w:themeColor="text2" w:themeShade="80"/>
                <w:sz w:val="20"/>
                <w:szCs w:val="20"/>
              </w:rPr>
              <w:t>-1.491.916</w:t>
            </w:r>
          </w:p>
        </w:tc>
        <w:tc>
          <w:tcPr>
            <w:tcW w:w="0" w:type="auto"/>
            <w:tcBorders>
              <w:top w:val="nil"/>
              <w:left w:val="nil"/>
              <w:bottom w:val="nil"/>
              <w:right w:val="nil"/>
            </w:tcBorders>
            <w:shd w:val="clear" w:color="auto" w:fill="auto"/>
            <w:noWrap/>
            <w:vAlign w:val="center"/>
            <w:hideMark/>
          </w:tcPr>
          <w:p w14:paraId="26AEE45B" w14:textId="77777777" w:rsidR="00CA3FE3" w:rsidRPr="00CA3FE3" w:rsidRDefault="00CA3FE3" w:rsidP="00CA3FE3">
            <w:pPr>
              <w:spacing w:before="60" w:after="60"/>
              <w:jc w:val="center"/>
              <w:rPr>
                <w:rFonts w:ascii="Arial" w:hAnsi="Arial" w:cs="Arial"/>
                <w:color w:val="0F243E" w:themeColor="text2" w:themeShade="80"/>
                <w:sz w:val="20"/>
                <w:szCs w:val="20"/>
              </w:rPr>
            </w:pPr>
            <w:r w:rsidRPr="00CA3FE3">
              <w:rPr>
                <w:rFonts w:ascii="Arial" w:hAnsi="Arial" w:cs="Arial"/>
                <w:color w:val="0F243E" w:themeColor="text2" w:themeShade="80"/>
                <w:sz w:val="20"/>
                <w:szCs w:val="20"/>
              </w:rPr>
              <w:t>-4%</w:t>
            </w:r>
          </w:p>
        </w:tc>
      </w:tr>
      <w:tr w:rsidR="00CA3FE3" w:rsidRPr="00CA3FE3" w14:paraId="5285ACEE" w14:textId="77777777" w:rsidTr="00CA3FE3">
        <w:trPr>
          <w:cantSplit/>
          <w:jc w:val="center"/>
        </w:trPr>
        <w:tc>
          <w:tcPr>
            <w:tcW w:w="0" w:type="auto"/>
            <w:tcBorders>
              <w:top w:val="nil"/>
              <w:left w:val="nil"/>
              <w:bottom w:val="nil"/>
              <w:right w:val="nil"/>
            </w:tcBorders>
            <w:shd w:val="clear" w:color="auto" w:fill="auto"/>
            <w:noWrap/>
            <w:vAlign w:val="center"/>
            <w:hideMark/>
          </w:tcPr>
          <w:p w14:paraId="796B9549" w14:textId="77777777" w:rsidR="00CA3FE3" w:rsidRPr="008B005D" w:rsidRDefault="00CA3FE3" w:rsidP="00CA3FE3">
            <w:pPr>
              <w:spacing w:before="60" w:after="60"/>
              <w:jc w:val="center"/>
              <w:rPr>
                <w:rFonts w:ascii="Arial" w:hAnsi="Arial" w:cs="Arial"/>
                <w:b/>
                <w:color w:val="0F243E" w:themeColor="text2" w:themeShade="80"/>
                <w:sz w:val="20"/>
                <w:szCs w:val="20"/>
              </w:rPr>
            </w:pPr>
            <w:r w:rsidRPr="008B005D">
              <w:rPr>
                <w:rFonts w:ascii="Arial" w:hAnsi="Arial" w:cs="Arial"/>
                <w:b/>
                <w:color w:val="0F243E" w:themeColor="text2" w:themeShade="80"/>
                <w:sz w:val="20"/>
                <w:szCs w:val="20"/>
              </w:rPr>
              <w:t xml:space="preserve">Agosto </w:t>
            </w:r>
          </w:p>
        </w:tc>
        <w:tc>
          <w:tcPr>
            <w:tcW w:w="0" w:type="auto"/>
            <w:tcBorders>
              <w:top w:val="nil"/>
              <w:left w:val="nil"/>
              <w:bottom w:val="nil"/>
              <w:right w:val="nil"/>
            </w:tcBorders>
            <w:shd w:val="clear" w:color="auto" w:fill="auto"/>
            <w:noWrap/>
            <w:vAlign w:val="center"/>
            <w:hideMark/>
          </w:tcPr>
          <w:p w14:paraId="2F4B1D30" w14:textId="77777777" w:rsidR="00CA3FE3" w:rsidRPr="00CA3FE3" w:rsidRDefault="00CA3FE3" w:rsidP="00CA3FE3">
            <w:pPr>
              <w:spacing w:before="60" w:after="60"/>
              <w:jc w:val="right"/>
              <w:rPr>
                <w:rFonts w:ascii="Arial" w:hAnsi="Arial" w:cs="Arial"/>
                <w:color w:val="0F243E" w:themeColor="text2" w:themeShade="80"/>
                <w:sz w:val="20"/>
                <w:szCs w:val="20"/>
              </w:rPr>
            </w:pPr>
            <w:r w:rsidRPr="00CA3FE3">
              <w:rPr>
                <w:rFonts w:ascii="Arial" w:hAnsi="Arial" w:cs="Arial"/>
                <w:color w:val="0F243E" w:themeColor="text2" w:themeShade="80"/>
                <w:sz w:val="20"/>
                <w:szCs w:val="20"/>
              </w:rPr>
              <w:t>36.161.114</w:t>
            </w:r>
          </w:p>
        </w:tc>
        <w:tc>
          <w:tcPr>
            <w:tcW w:w="0" w:type="auto"/>
            <w:tcBorders>
              <w:top w:val="nil"/>
              <w:left w:val="nil"/>
              <w:bottom w:val="nil"/>
              <w:right w:val="nil"/>
            </w:tcBorders>
            <w:shd w:val="clear" w:color="auto" w:fill="auto"/>
            <w:noWrap/>
            <w:vAlign w:val="center"/>
            <w:hideMark/>
          </w:tcPr>
          <w:p w14:paraId="6FAB8417" w14:textId="77777777" w:rsidR="00CA3FE3" w:rsidRPr="00CA3FE3" w:rsidRDefault="00CA3FE3" w:rsidP="00CA3FE3">
            <w:pPr>
              <w:spacing w:before="60" w:after="60"/>
              <w:jc w:val="right"/>
              <w:rPr>
                <w:rFonts w:ascii="Arial" w:hAnsi="Arial" w:cs="Arial"/>
                <w:color w:val="0F243E" w:themeColor="text2" w:themeShade="80"/>
                <w:sz w:val="20"/>
                <w:szCs w:val="20"/>
              </w:rPr>
            </w:pPr>
            <w:r w:rsidRPr="00CA3FE3">
              <w:rPr>
                <w:rFonts w:ascii="Arial" w:hAnsi="Arial" w:cs="Arial"/>
                <w:color w:val="0F243E" w:themeColor="text2" w:themeShade="80"/>
                <w:sz w:val="20"/>
                <w:szCs w:val="20"/>
              </w:rPr>
              <w:t>37.401.564</w:t>
            </w:r>
          </w:p>
        </w:tc>
        <w:tc>
          <w:tcPr>
            <w:tcW w:w="0" w:type="auto"/>
            <w:tcBorders>
              <w:top w:val="nil"/>
              <w:left w:val="nil"/>
              <w:bottom w:val="nil"/>
              <w:right w:val="nil"/>
            </w:tcBorders>
            <w:shd w:val="clear" w:color="auto" w:fill="auto"/>
            <w:noWrap/>
            <w:vAlign w:val="center"/>
            <w:hideMark/>
          </w:tcPr>
          <w:p w14:paraId="21F75567" w14:textId="77777777" w:rsidR="00CA3FE3" w:rsidRPr="00CA3FE3" w:rsidRDefault="00CA3FE3" w:rsidP="00CA3FE3">
            <w:pPr>
              <w:spacing w:before="60" w:after="60"/>
              <w:jc w:val="right"/>
              <w:rPr>
                <w:rFonts w:ascii="Arial" w:hAnsi="Arial" w:cs="Arial"/>
                <w:color w:val="0F243E" w:themeColor="text2" w:themeShade="80"/>
                <w:sz w:val="20"/>
                <w:szCs w:val="20"/>
              </w:rPr>
            </w:pPr>
            <w:r w:rsidRPr="00CA3FE3">
              <w:rPr>
                <w:rFonts w:ascii="Arial" w:hAnsi="Arial" w:cs="Arial"/>
                <w:color w:val="0F243E" w:themeColor="text2" w:themeShade="80"/>
                <w:sz w:val="20"/>
                <w:szCs w:val="20"/>
              </w:rPr>
              <w:t>-1.240.450</w:t>
            </w:r>
          </w:p>
        </w:tc>
        <w:tc>
          <w:tcPr>
            <w:tcW w:w="0" w:type="auto"/>
            <w:tcBorders>
              <w:top w:val="nil"/>
              <w:left w:val="nil"/>
              <w:bottom w:val="nil"/>
              <w:right w:val="nil"/>
            </w:tcBorders>
            <w:shd w:val="clear" w:color="auto" w:fill="auto"/>
            <w:noWrap/>
            <w:vAlign w:val="center"/>
            <w:hideMark/>
          </w:tcPr>
          <w:p w14:paraId="28940B63" w14:textId="77777777" w:rsidR="00CA3FE3" w:rsidRPr="00CA3FE3" w:rsidRDefault="00CA3FE3" w:rsidP="00CA3FE3">
            <w:pPr>
              <w:spacing w:before="60" w:after="60"/>
              <w:jc w:val="center"/>
              <w:rPr>
                <w:rFonts w:ascii="Arial" w:hAnsi="Arial" w:cs="Arial"/>
                <w:color w:val="0F243E" w:themeColor="text2" w:themeShade="80"/>
                <w:sz w:val="20"/>
                <w:szCs w:val="20"/>
              </w:rPr>
            </w:pPr>
            <w:r w:rsidRPr="00CA3FE3">
              <w:rPr>
                <w:rFonts w:ascii="Arial" w:hAnsi="Arial" w:cs="Arial"/>
                <w:color w:val="0F243E" w:themeColor="text2" w:themeShade="80"/>
                <w:sz w:val="20"/>
                <w:szCs w:val="20"/>
              </w:rPr>
              <w:t>-3%</w:t>
            </w:r>
          </w:p>
        </w:tc>
      </w:tr>
      <w:tr w:rsidR="00CA3FE3" w:rsidRPr="00CA3FE3" w14:paraId="3B2E2065" w14:textId="77777777" w:rsidTr="00CA3FE3">
        <w:trPr>
          <w:cantSplit/>
          <w:jc w:val="center"/>
        </w:trPr>
        <w:tc>
          <w:tcPr>
            <w:tcW w:w="0" w:type="auto"/>
            <w:tcBorders>
              <w:top w:val="nil"/>
              <w:left w:val="nil"/>
              <w:bottom w:val="double" w:sz="6" w:space="0" w:color="4F81BD"/>
              <w:right w:val="nil"/>
            </w:tcBorders>
            <w:shd w:val="clear" w:color="auto" w:fill="auto"/>
            <w:noWrap/>
            <w:vAlign w:val="center"/>
            <w:hideMark/>
          </w:tcPr>
          <w:p w14:paraId="6D4809BD" w14:textId="77777777" w:rsidR="00CA3FE3" w:rsidRPr="008B005D" w:rsidRDefault="00CA3FE3" w:rsidP="00CA3FE3">
            <w:pPr>
              <w:spacing w:before="60" w:after="60"/>
              <w:jc w:val="center"/>
              <w:rPr>
                <w:rFonts w:ascii="Arial" w:hAnsi="Arial" w:cs="Arial"/>
                <w:b/>
                <w:color w:val="0F243E" w:themeColor="text2" w:themeShade="80"/>
                <w:sz w:val="20"/>
                <w:szCs w:val="20"/>
              </w:rPr>
            </w:pPr>
            <w:r w:rsidRPr="008B005D">
              <w:rPr>
                <w:rFonts w:ascii="Arial" w:hAnsi="Arial" w:cs="Arial"/>
                <w:b/>
                <w:color w:val="0F243E" w:themeColor="text2" w:themeShade="80"/>
                <w:sz w:val="20"/>
                <w:szCs w:val="20"/>
              </w:rPr>
              <w:t xml:space="preserve">Septiembre </w:t>
            </w:r>
          </w:p>
        </w:tc>
        <w:tc>
          <w:tcPr>
            <w:tcW w:w="0" w:type="auto"/>
            <w:tcBorders>
              <w:top w:val="nil"/>
              <w:left w:val="nil"/>
              <w:bottom w:val="double" w:sz="6" w:space="0" w:color="4F81BD"/>
              <w:right w:val="nil"/>
            </w:tcBorders>
            <w:shd w:val="clear" w:color="auto" w:fill="auto"/>
            <w:noWrap/>
            <w:vAlign w:val="center"/>
            <w:hideMark/>
          </w:tcPr>
          <w:p w14:paraId="7FAA8B59" w14:textId="77777777" w:rsidR="00CA3FE3" w:rsidRPr="00CA3FE3" w:rsidRDefault="00CA3FE3" w:rsidP="00CA3FE3">
            <w:pPr>
              <w:spacing w:before="60" w:after="60"/>
              <w:jc w:val="right"/>
              <w:rPr>
                <w:rFonts w:ascii="Arial" w:hAnsi="Arial" w:cs="Arial"/>
                <w:color w:val="0F243E" w:themeColor="text2" w:themeShade="80"/>
                <w:sz w:val="20"/>
                <w:szCs w:val="20"/>
              </w:rPr>
            </w:pPr>
            <w:r w:rsidRPr="00CA3FE3">
              <w:rPr>
                <w:rFonts w:ascii="Arial" w:hAnsi="Arial" w:cs="Arial"/>
                <w:color w:val="0F243E" w:themeColor="text2" w:themeShade="80"/>
                <w:sz w:val="20"/>
                <w:szCs w:val="20"/>
              </w:rPr>
              <w:t>35.030.642</w:t>
            </w:r>
          </w:p>
        </w:tc>
        <w:tc>
          <w:tcPr>
            <w:tcW w:w="0" w:type="auto"/>
            <w:tcBorders>
              <w:top w:val="nil"/>
              <w:left w:val="nil"/>
              <w:bottom w:val="double" w:sz="4" w:space="0" w:color="4F81BD" w:themeColor="accent1"/>
              <w:right w:val="nil"/>
            </w:tcBorders>
            <w:shd w:val="clear" w:color="auto" w:fill="auto"/>
            <w:noWrap/>
            <w:vAlign w:val="center"/>
            <w:hideMark/>
          </w:tcPr>
          <w:p w14:paraId="4CB0C08E" w14:textId="77777777" w:rsidR="00CA3FE3" w:rsidRPr="00CA3FE3" w:rsidRDefault="00CA3FE3" w:rsidP="00CA3FE3">
            <w:pPr>
              <w:spacing w:before="60" w:after="60"/>
              <w:jc w:val="right"/>
              <w:rPr>
                <w:rFonts w:ascii="Arial" w:hAnsi="Arial" w:cs="Arial"/>
                <w:color w:val="0F243E" w:themeColor="text2" w:themeShade="80"/>
                <w:sz w:val="20"/>
                <w:szCs w:val="20"/>
              </w:rPr>
            </w:pPr>
            <w:r w:rsidRPr="00CA3FE3">
              <w:rPr>
                <w:rFonts w:ascii="Arial" w:hAnsi="Arial" w:cs="Arial"/>
                <w:color w:val="0F243E" w:themeColor="text2" w:themeShade="80"/>
                <w:sz w:val="20"/>
                <w:szCs w:val="20"/>
              </w:rPr>
              <w:t>37.790.788</w:t>
            </w:r>
          </w:p>
        </w:tc>
        <w:tc>
          <w:tcPr>
            <w:tcW w:w="0" w:type="auto"/>
            <w:tcBorders>
              <w:top w:val="nil"/>
              <w:left w:val="nil"/>
              <w:bottom w:val="double" w:sz="4" w:space="0" w:color="4F81BD" w:themeColor="accent1"/>
              <w:right w:val="nil"/>
            </w:tcBorders>
            <w:shd w:val="clear" w:color="auto" w:fill="auto"/>
            <w:noWrap/>
            <w:vAlign w:val="center"/>
            <w:hideMark/>
          </w:tcPr>
          <w:p w14:paraId="33D7DEBB" w14:textId="77777777" w:rsidR="00CA3FE3" w:rsidRPr="00CA3FE3" w:rsidRDefault="00CA3FE3" w:rsidP="00CA3FE3">
            <w:pPr>
              <w:spacing w:before="60" w:after="60"/>
              <w:jc w:val="right"/>
              <w:rPr>
                <w:rFonts w:ascii="Arial" w:hAnsi="Arial" w:cs="Arial"/>
                <w:color w:val="0F243E" w:themeColor="text2" w:themeShade="80"/>
                <w:sz w:val="20"/>
                <w:szCs w:val="20"/>
              </w:rPr>
            </w:pPr>
            <w:r w:rsidRPr="00CA3FE3">
              <w:rPr>
                <w:rFonts w:ascii="Arial" w:hAnsi="Arial" w:cs="Arial"/>
                <w:color w:val="0F243E" w:themeColor="text2" w:themeShade="80"/>
                <w:sz w:val="20"/>
                <w:szCs w:val="20"/>
              </w:rPr>
              <w:t>-2.760.146</w:t>
            </w:r>
          </w:p>
        </w:tc>
        <w:tc>
          <w:tcPr>
            <w:tcW w:w="0" w:type="auto"/>
            <w:tcBorders>
              <w:top w:val="nil"/>
              <w:left w:val="nil"/>
              <w:bottom w:val="double" w:sz="4" w:space="0" w:color="4F81BD" w:themeColor="accent1"/>
              <w:right w:val="nil"/>
            </w:tcBorders>
            <w:shd w:val="clear" w:color="auto" w:fill="auto"/>
            <w:noWrap/>
            <w:vAlign w:val="center"/>
            <w:hideMark/>
          </w:tcPr>
          <w:p w14:paraId="7B8868EC" w14:textId="77777777" w:rsidR="00CA3FE3" w:rsidRPr="00CA3FE3" w:rsidRDefault="00CA3FE3" w:rsidP="00CA3FE3">
            <w:pPr>
              <w:spacing w:before="60" w:after="60"/>
              <w:jc w:val="center"/>
              <w:rPr>
                <w:rFonts w:ascii="Arial" w:hAnsi="Arial" w:cs="Arial"/>
                <w:color w:val="0F243E" w:themeColor="text2" w:themeShade="80"/>
                <w:sz w:val="20"/>
                <w:szCs w:val="20"/>
              </w:rPr>
            </w:pPr>
            <w:r w:rsidRPr="00CA3FE3">
              <w:rPr>
                <w:rFonts w:ascii="Arial" w:hAnsi="Arial" w:cs="Arial"/>
                <w:color w:val="0F243E" w:themeColor="text2" w:themeShade="80"/>
                <w:sz w:val="20"/>
                <w:szCs w:val="20"/>
              </w:rPr>
              <w:t>-7%</w:t>
            </w:r>
          </w:p>
        </w:tc>
      </w:tr>
      <w:tr w:rsidR="00CA3FE3" w:rsidRPr="00CA3FE3" w14:paraId="0A84DE0E" w14:textId="77777777" w:rsidTr="00CA3FE3">
        <w:trPr>
          <w:cantSplit/>
          <w:jc w:val="center"/>
        </w:trPr>
        <w:tc>
          <w:tcPr>
            <w:tcW w:w="0" w:type="auto"/>
            <w:tcBorders>
              <w:top w:val="nil"/>
              <w:left w:val="nil"/>
              <w:bottom w:val="double" w:sz="6" w:space="0" w:color="4F81BD"/>
              <w:right w:val="nil"/>
            </w:tcBorders>
            <w:shd w:val="clear" w:color="auto" w:fill="auto"/>
            <w:noWrap/>
            <w:vAlign w:val="center"/>
            <w:hideMark/>
          </w:tcPr>
          <w:p w14:paraId="739D8380" w14:textId="77777777" w:rsidR="00CA3FE3" w:rsidRPr="00CA3FE3" w:rsidRDefault="00CA3FE3" w:rsidP="00CA3FE3">
            <w:pPr>
              <w:spacing w:before="60" w:after="60"/>
              <w:jc w:val="center"/>
              <w:rPr>
                <w:rFonts w:ascii="Arial" w:hAnsi="Arial" w:cs="Arial"/>
                <w:b/>
                <w:bCs/>
                <w:color w:val="0F243E" w:themeColor="text2" w:themeShade="80"/>
                <w:sz w:val="20"/>
                <w:szCs w:val="20"/>
              </w:rPr>
            </w:pPr>
            <w:r w:rsidRPr="00CA3FE3">
              <w:rPr>
                <w:rFonts w:ascii="Arial" w:hAnsi="Arial" w:cs="Arial"/>
                <w:b/>
                <w:bCs/>
                <w:color w:val="0F243E" w:themeColor="text2" w:themeShade="80"/>
                <w:sz w:val="20"/>
                <w:szCs w:val="20"/>
              </w:rPr>
              <w:t>Total</w:t>
            </w:r>
          </w:p>
        </w:tc>
        <w:tc>
          <w:tcPr>
            <w:tcW w:w="0" w:type="auto"/>
            <w:tcBorders>
              <w:top w:val="nil"/>
              <w:left w:val="nil"/>
              <w:bottom w:val="double" w:sz="6" w:space="0" w:color="4F81BD"/>
              <w:right w:val="nil"/>
            </w:tcBorders>
            <w:shd w:val="clear" w:color="auto" w:fill="auto"/>
            <w:noWrap/>
            <w:vAlign w:val="center"/>
            <w:hideMark/>
          </w:tcPr>
          <w:p w14:paraId="7CCACA45" w14:textId="77777777" w:rsidR="00CA3FE3" w:rsidRPr="00CA3FE3" w:rsidRDefault="00CA3FE3" w:rsidP="00CA3FE3">
            <w:pPr>
              <w:spacing w:before="60" w:after="60"/>
              <w:jc w:val="right"/>
              <w:rPr>
                <w:rFonts w:ascii="Arial" w:hAnsi="Arial" w:cs="Arial"/>
                <w:b/>
                <w:bCs/>
                <w:color w:val="0F243E" w:themeColor="text2" w:themeShade="80"/>
                <w:sz w:val="20"/>
                <w:szCs w:val="20"/>
              </w:rPr>
            </w:pPr>
            <w:r w:rsidRPr="00CA3FE3">
              <w:rPr>
                <w:rFonts w:ascii="Arial" w:hAnsi="Arial" w:cs="Arial"/>
                <w:b/>
                <w:bCs/>
                <w:color w:val="0F243E" w:themeColor="text2" w:themeShade="80"/>
                <w:sz w:val="20"/>
                <w:szCs w:val="20"/>
              </w:rPr>
              <w:t>106.634.658</w:t>
            </w:r>
          </w:p>
        </w:tc>
        <w:tc>
          <w:tcPr>
            <w:tcW w:w="0" w:type="auto"/>
            <w:tcBorders>
              <w:top w:val="nil"/>
              <w:left w:val="nil"/>
              <w:bottom w:val="double" w:sz="6" w:space="0" w:color="4F81BD"/>
              <w:right w:val="nil"/>
            </w:tcBorders>
            <w:shd w:val="clear" w:color="auto" w:fill="auto"/>
            <w:noWrap/>
            <w:vAlign w:val="center"/>
            <w:hideMark/>
          </w:tcPr>
          <w:p w14:paraId="0ABEB42D" w14:textId="77777777" w:rsidR="00CA3FE3" w:rsidRPr="00CA3FE3" w:rsidRDefault="00CA3FE3" w:rsidP="00CA3FE3">
            <w:pPr>
              <w:spacing w:before="60" w:after="60"/>
              <w:jc w:val="right"/>
              <w:rPr>
                <w:rFonts w:ascii="Arial" w:hAnsi="Arial" w:cs="Arial"/>
                <w:b/>
                <w:bCs/>
                <w:color w:val="0F243E" w:themeColor="text2" w:themeShade="80"/>
                <w:sz w:val="20"/>
                <w:szCs w:val="20"/>
              </w:rPr>
            </w:pPr>
            <w:r w:rsidRPr="00CA3FE3">
              <w:rPr>
                <w:rFonts w:ascii="Arial" w:hAnsi="Arial" w:cs="Arial"/>
                <w:b/>
                <w:bCs/>
                <w:color w:val="0F243E" w:themeColor="text2" w:themeShade="80"/>
                <w:sz w:val="20"/>
                <w:szCs w:val="20"/>
              </w:rPr>
              <w:t>112.127.170</w:t>
            </w:r>
          </w:p>
        </w:tc>
        <w:tc>
          <w:tcPr>
            <w:tcW w:w="0" w:type="auto"/>
            <w:tcBorders>
              <w:top w:val="nil"/>
              <w:left w:val="nil"/>
              <w:bottom w:val="double" w:sz="4" w:space="0" w:color="4F81BD" w:themeColor="accent1"/>
              <w:right w:val="nil"/>
            </w:tcBorders>
            <w:shd w:val="clear" w:color="auto" w:fill="auto"/>
            <w:noWrap/>
            <w:vAlign w:val="center"/>
            <w:hideMark/>
          </w:tcPr>
          <w:p w14:paraId="5112E69B" w14:textId="77777777" w:rsidR="00CA3FE3" w:rsidRPr="00CA3FE3" w:rsidRDefault="00CA3FE3" w:rsidP="00CA3FE3">
            <w:pPr>
              <w:spacing w:before="60" w:after="60"/>
              <w:jc w:val="right"/>
              <w:rPr>
                <w:rFonts w:ascii="Arial" w:hAnsi="Arial" w:cs="Arial"/>
                <w:b/>
                <w:bCs/>
                <w:color w:val="0F243E" w:themeColor="text2" w:themeShade="80"/>
                <w:sz w:val="20"/>
                <w:szCs w:val="20"/>
              </w:rPr>
            </w:pPr>
            <w:r w:rsidRPr="00CA3FE3">
              <w:rPr>
                <w:rFonts w:ascii="Arial" w:hAnsi="Arial" w:cs="Arial"/>
                <w:b/>
                <w:bCs/>
                <w:color w:val="0F243E" w:themeColor="text2" w:themeShade="80"/>
                <w:sz w:val="20"/>
                <w:szCs w:val="20"/>
              </w:rPr>
              <w:t>-5.492.512</w:t>
            </w:r>
          </w:p>
        </w:tc>
        <w:tc>
          <w:tcPr>
            <w:tcW w:w="0" w:type="auto"/>
            <w:tcBorders>
              <w:top w:val="nil"/>
              <w:left w:val="nil"/>
              <w:bottom w:val="double" w:sz="4" w:space="0" w:color="4F81BD" w:themeColor="accent1"/>
              <w:right w:val="nil"/>
            </w:tcBorders>
            <w:shd w:val="clear" w:color="auto" w:fill="auto"/>
            <w:noWrap/>
            <w:vAlign w:val="center"/>
            <w:hideMark/>
          </w:tcPr>
          <w:p w14:paraId="5D25B45B" w14:textId="77777777" w:rsidR="00CA3FE3" w:rsidRPr="00CA3FE3" w:rsidRDefault="00CA3FE3" w:rsidP="00CA3FE3">
            <w:pPr>
              <w:spacing w:before="60" w:after="60"/>
              <w:jc w:val="center"/>
              <w:rPr>
                <w:rFonts w:ascii="Arial" w:hAnsi="Arial" w:cs="Arial"/>
                <w:color w:val="0F243E" w:themeColor="text2" w:themeShade="80"/>
                <w:sz w:val="20"/>
                <w:szCs w:val="20"/>
              </w:rPr>
            </w:pPr>
            <w:r w:rsidRPr="00CA3FE3">
              <w:rPr>
                <w:rFonts w:ascii="Arial" w:hAnsi="Arial" w:cs="Arial"/>
                <w:color w:val="0F243E" w:themeColor="text2" w:themeShade="80"/>
                <w:sz w:val="20"/>
                <w:szCs w:val="20"/>
              </w:rPr>
              <w:t>-5%</w:t>
            </w:r>
          </w:p>
        </w:tc>
      </w:tr>
    </w:tbl>
    <w:p w14:paraId="57AC0275" w14:textId="380F78B9" w:rsidR="000330F1" w:rsidRDefault="000330F1" w:rsidP="000330F1">
      <w:pPr>
        <w:widowControl w:val="0"/>
        <w:ind w:left="709" w:hanging="709"/>
        <w:rPr>
          <w:rFonts w:ascii="Arial" w:hAnsi="Arial" w:cs="Arial"/>
          <w:noProof/>
          <w:sz w:val="22"/>
          <w:szCs w:val="22"/>
        </w:rPr>
      </w:pPr>
    </w:p>
    <w:p w14:paraId="34E5B7BA" w14:textId="77777777" w:rsidR="001757DD" w:rsidRPr="00892E42" w:rsidRDefault="001757DD" w:rsidP="000330F1">
      <w:pPr>
        <w:widowControl w:val="0"/>
        <w:ind w:left="709" w:hanging="709"/>
        <w:rPr>
          <w:rFonts w:ascii="Arial" w:hAnsi="Arial" w:cs="Arial"/>
          <w:noProof/>
          <w:sz w:val="22"/>
          <w:szCs w:val="22"/>
        </w:rPr>
      </w:pPr>
    </w:p>
    <w:p w14:paraId="7CE7263B" w14:textId="6559B7D0" w:rsidR="00A362C1" w:rsidRPr="002B6793" w:rsidRDefault="000C38F1" w:rsidP="002B6793">
      <w:pPr>
        <w:pStyle w:val="Prrafodelista"/>
        <w:numPr>
          <w:ilvl w:val="1"/>
          <w:numId w:val="24"/>
        </w:numPr>
        <w:spacing w:after="40"/>
        <w:ind w:left="567" w:hanging="567"/>
        <w:rPr>
          <w:rFonts w:ascii="Arial" w:hAnsi="Arial" w:cs="Arial"/>
          <w:b/>
          <w:color w:val="000000"/>
          <w:sz w:val="22"/>
          <w:szCs w:val="22"/>
        </w:rPr>
      </w:pPr>
      <w:r w:rsidRPr="002B6793">
        <w:rPr>
          <w:rFonts w:ascii="Arial" w:hAnsi="Arial" w:cs="Arial"/>
          <w:b/>
          <w:color w:val="000000"/>
          <w:sz w:val="22"/>
          <w:szCs w:val="22"/>
        </w:rPr>
        <w:t>PAPELERÍA, ÚTILES DE ESCRITORIO Y OFICINA</w:t>
      </w:r>
    </w:p>
    <w:p w14:paraId="4AB29C92" w14:textId="77777777" w:rsidR="00A362C1" w:rsidRPr="00892E42" w:rsidRDefault="00A362C1" w:rsidP="00A362C1">
      <w:pPr>
        <w:spacing w:after="40"/>
        <w:rPr>
          <w:rFonts w:ascii="Arial" w:hAnsi="Arial" w:cs="Arial"/>
          <w:b/>
          <w:color w:val="000000"/>
          <w:sz w:val="22"/>
          <w:szCs w:val="22"/>
        </w:rPr>
      </w:pPr>
    </w:p>
    <w:p w14:paraId="53E5BB08" w14:textId="4ABA206B" w:rsidR="008F13D4" w:rsidRPr="00892E42" w:rsidRDefault="00822B66" w:rsidP="00736A95">
      <w:pPr>
        <w:spacing w:after="40"/>
        <w:jc w:val="both"/>
        <w:rPr>
          <w:rFonts w:ascii="Arial" w:hAnsi="Arial" w:cs="Arial"/>
          <w:color w:val="000000"/>
          <w:sz w:val="22"/>
          <w:szCs w:val="22"/>
        </w:rPr>
      </w:pPr>
      <w:r w:rsidRPr="00892E42">
        <w:rPr>
          <w:rFonts w:ascii="Arial" w:hAnsi="Arial" w:cs="Arial"/>
          <w:color w:val="000000"/>
          <w:sz w:val="22"/>
          <w:szCs w:val="22"/>
        </w:rPr>
        <w:t>El Ministerio de Hacienda y Crédito Público, actualmente tiene suscrito el contrato 2.002-2019 con el Grupo Los Lagos SAS por la suma de $ 70.000.000 con vigencia</w:t>
      </w:r>
      <w:r w:rsidR="004D6EFE" w:rsidRPr="00892E42">
        <w:rPr>
          <w:rFonts w:ascii="Arial" w:hAnsi="Arial" w:cs="Arial"/>
          <w:color w:val="000000"/>
          <w:sz w:val="22"/>
          <w:szCs w:val="22"/>
        </w:rPr>
        <w:t xml:space="preserve"> desde el 9 de abril de 2019</w:t>
      </w:r>
      <w:r w:rsidRPr="00892E42">
        <w:rPr>
          <w:rFonts w:ascii="Arial" w:hAnsi="Arial" w:cs="Arial"/>
          <w:color w:val="000000"/>
          <w:sz w:val="22"/>
          <w:szCs w:val="22"/>
        </w:rPr>
        <w:t xml:space="preserve"> hasta el 31 de diciembre de 2019, el cual tiene por objeto el suministro de elementos, útiles y bienes de oficina, papelería e insumos de impresión. </w:t>
      </w:r>
      <w:r w:rsidR="00C27001" w:rsidRPr="00892E42">
        <w:rPr>
          <w:rFonts w:ascii="Arial" w:hAnsi="Arial" w:cs="Arial"/>
          <w:color w:val="000000"/>
          <w:sz w:val="22"/>
          <w:szCs w:val="22"/>
        </w:rPr>
        <w:t xml:space="preserve">Con respecto al valor contratado para el suministro de papelería para la vigencia 2019 comparado con la vigencia 2018, </w:t>
      </w:r>
      <w:r w:rsidR="008F13D4" w:rsidRPr="00892E42">
        <w:rPr>
          <w:rFonts w:ascii="Arial" w:hAnsi="Arial" w:cs="Arial"/>
          <w:color w:val="000000"/>
          <w:sz w:val="22"/>
          <w:szCs w:val="22"/>
        </w:rPr>
        <w:t>se observ</w:t>
      </w:r>
      <w:r w:rsidR="009F5823" w:rsidRPr="00892E42">
        <w:rPr>
          <w:rFonts w:ascii="Arial" w:hAnsi="Arial" w:cs="Arial"/>
          <w:color w:val="000000"/>
          <w:sz w:val="22"/>
          <w:szCs w:val="22"/>
        </w:rPr>
        <w:t>ó una disminución de $8.000.000 [10%]</w:t>
      </w:r>
      <w:r w:rsidR="00C27001" w:rsidRPr="00892E42">
        <w:rPr>
          <w:rFonts w:ascii="Arial" w:hAnsi="Arial" w:cs="Arial"/>
          <w:color w:val="000000"/>
          <w:sz w:val="22"/>
          <w:szCs w:val="22"/>
        </w:rPr>
        <w:t>.</w:t>
      </w:r>
    </w:p>
    <w:tbl>
      <w:tblPr>
        <w:tblStyle w:val="Tabladecuadrcula1clara-nfasis1"/>
        <w:tblW w:w="0" w:type="auto"/>
        <w:jc w:val="center"/>
        <w:tblLook w:val="04A0" w:firstRow="1" w:lastRow="0" w:firstColumn="1" w:lastColumn="0" w:noHBand="0" w:noVBand="1"/>
      </w:tblPr>
      <w:tblGrid>
        <w:gridCol w:w="1484"/>
        <w:gridCol w:w="2150"/>
        <w:gridCol w:w="2207"/>
        <w:gridCol w:w="1884"/>
        <w:gridCol w:w="1250"/>
      </w:tblGrid>
      <w:tr w:rsidR="004D6EFE" w:rsidRPr="00892E42" w14:paraId="6FCE7755" w14:textId="77777777" w:rsidTr="0035313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noWrap/>
            <w:hideMark/>
          </w:tcPr>
          <w:p w14:paraId="03190FF8" w14:textId="77777777" w:rsidR="004D6EFE" w:rsidRPr="00892E42" w:rsidRDefault="004D6EFE" w:rsidP="001C5DFD">
            <w:pPr>
              <w:spacing w:before="120" w:after="120"/>
              <w:jc w:val="center"/>
              <w:rPr>
                <w:rFonts w:ascii="Arial" w:hAnsi="Arial" w:cs="Arial"/>
                <w:color w:val="FFFFFF" w:themeColor="background1"/>
                <w:sz w:val="20"/>
                <w:szCs w:val="20"/>
              </w:rPr>
            </w:pPr>
            <w:r w:rsidRPr="00892E42">
              <w:rPr>
                <w:rFonts w:ascii="Arial" w:hAnsi="Arial" w:cs="Arial"/>
                <w:color w:val="FFFFFF" w:themeColor="background1"/>
                <w:sz w:val="20"/>
                <w:szCs w:val="20"/>
              </w:rPr>
              <w:lastRenderedPageBreak/>
              <w:t>Periodo</w:t>
            </w:r>
          </w:p>
        </w:tc>
        <w:tc>
          <w:tcPr>
            <w:tcW w:w="0" w:type="auto"/>
            <w:tcBorders>
              <w:bottom w:val="nil"/>
            </w:tcBorders>
            <w:shd w:val="clear" w:color="auto" w:fill="4F81BD" w:themeFill="accent1"/>
            <w:noWrap/>
            <w:hideMark/>
          </w:tcPr>
          <w:p w14:paraId="73865849" w14:textId="77777777" w:rsidR="004D6EFE" w:rsidRPr="00892E42" w:rsidRDefault="004D6EFE" w:rsidP="001C5DF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92E42">
              <w:rPr>
                <w:rFonts w:ascii="Arial" w:hAnsi="Arial" w:cs="Arial"/>
                <w:color w:val="FFFFFF" w:themeColor="background1"/>
                <w:sz w:val="20"/>
                <w:szCs w:val="20"/>
              </w:rPr>
              <w:t>Número de Contrato</w:t>
            </w:r>
          </w:p>
        </w:tc>
        <w:tc>
          <w:tcPr>
            <w:tcW w:w="0" w:type="auto"/>
            <w:tcBorders>
              <w:bottom w:val="nil"/>
            </w:tcBorders>
            <w:shd w:val="clear" w:color="auto" w:fill="4F81BD" w:themeFill="accent1"/>
            <w:noWrap/>
            <w:hideMark/>
          </w:tcPr>
          <w:p w14:paraId="03F5D566" w14:textId="77777777" w:rsidR="004D6EFE" w:rsidRPr="00892E42" w:rsidRDefault="004D6EFE" w:rsidP="001C5DF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92E42">
              <w:rPr>
                <w:rFonts w:ascii="Arial" w:hAnsi="Arial" w:cs="Arial"/>
                <w:color w:val="FFFFFF" w:themeColor="background1"/>
                <w:sz w:val="20"/>
                <w:szCs w:val="20"/>
              </w:rPr>
              <w:t>Proveedor</w:t>
            </w:r>
          </w:p>
        </w:tc>
        <w:tc>
          <w:tcPr>
            <w:tcW w:w="0" w:type="auto"/>
            <w:tcBorders>
              <w:bottom w:val="nil"/>
            </w:tcBorders>
            <w:shd w:val="clear" w:color="auto" w:fill="4F81BD" w:themeFill="accent1"/>
            <w:noWrap/>
            <w:hideMark/>
          </w:tcPr>
          <w:p w14:paraId="09084B40" w14:textId="77777777" w:rsidR="004D6EFE" w:rsidRPr="00892E42" w:rsidRDefault="004D6EFE" w:rsidP="001C5DF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92E42">
              <w:rPr>
                <w:rFonts w:ascii="Arial" w:hAnsi="Arial" w:cs="Arial"/>
                <w:color w:val="FFFFFF" w:themeColor="background1"/>
                <w:sz w:val="20"/>
                <w:szCs w:val="20"/>
              </w:rPr>
              <w:t xml:space="preserve">Valor ($) </w:t>
            </w:r>
          </w:p>
        </w:tc>
        <w:tc>
          <w:tcPr>
            <w:tcW w:w="0" w:type="auto"/>
            <w:tcBorders>
              <w:bottom w:val="nil"/>
            </w:tcBorders>
            <w:shd w:val="clear" w:color="auto" w:fill="4F81BD" w:themeFill="accent1"/>
            <w:noWrap/>
            <w:hideMark/>
          </w:tcPr>
          <w:p w14:paraId="1E3B9BA3" w14:textId="77777777" w:rsidR="004D6EFE" w:rsidRPr="00892E42" w:rsidRDefault="004D6EFE" w:rsidP="001C5DF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92E42">
              <w:rPr>
                <w:rFonts w:ascii="Arial" w:hAnsi="Arial" w:cs="Arial"/>
                <w:color w:val="FFFFFF" w:themeColor="background1"/>
                <w:sz w:val="20"/>
                <w:szCs w:val="20"/>
              </w:rPr>
              <w:t xml:space="preserve">Plazo </w:t>
            </w:r>
          </w:p>
        </w:tc>
      </w:tr>
      <w:tr w:rsidR="004D6EFE" w:rsidRPr="00892E42" w14:paraId="6EF83028" w14:textId="77777777" w:rsidTr="00FB7EA4">
        <w:trPr>
          <w:trHeight w:val="65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5EC4DDC8" w14:textId="77777777" w:rsidR="004D6EFE" w:rsidRPr="00FB7EA4" w:rsidRDefault="004D6EFE" w:rsidP="001C5DFD">
            <w:pPr>
              <w:spacing w:before="120" w:after="120"/>
              <w:jc w:val="center"/>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Vigencia 2019</w:t>
            </w:r>
          </w:p>
        </w:tc>
        <w:tc>
          <w:tcPr>
            <w:tcW w:w="0" w:type="auto"/>
            <w:tcBorders>
              <w:top w:val="nil"/>
              <w:left w:val="nil"/>
              <w:bottom w:val="nil"/>
              <w:right w:val="nil"/>
            </w:tcBorders>
            <w:noWrap/>
            <w:hideMark/>
          </w:tcPr>
          <w:p w14:paraId="417D1CB2" w14:textId="77777777" w:rsidR="004D6EFE" w:rsidRPr="00FB7EA4"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2.002-2019</w:t>
            </w:r>
          </w:p>
        </w:tc>
        <w:tc>
          <w:tcPr>
            <w:tcW w:w="0" w:type="auto"/>
            <w:tcBorders>
              <w:top w:val="nil"/>
              <w:left w:val="nil"/>
              <w:bottom w:val="nil"/>
              <w:right w:val="nil"/>
            </w:tcBorders>
            <w:noWrap/>
            <w:hideMark/>
          </w:tcPr>
          <w:p w14:paraId="77C2A6BC" w14:textId="77777777" w:rsidR="004D6EFE" w:rsidRPr="00FB7EA4"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Grupo Los Lagos SAS </w:t>
            </w:r>
          </w:p>
        </w:tc>
        <w:tc>
          <w:tcPr>
            <w:tcW w:w="0" w:type="auto"/>
            <w:tcBorders>
              <w:top w:val="nil"/>
              <w:left w:val="nil"/>
              <w:bottom w:val="nil"/>
              <w:right w:val="nil"/>
            </w:tcBorders>
            <w:noWrap/>
            <w:hideMark/>
          </w:tcPr>
          <w:p w14:paraId="018384D8" w14:textId="77777777" w:rsidR="004D6EFE" w:rsidRPr="00FB7EA4"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70.000.000 </w:t>
            </w:r>
          </w:p>
        </w:tc>
        <w:tc>
          <w:tcPr>
            <w:tcW w:w="0" w:type="auto"/>
            <w:tcBorders>
              <w:top w:val="nil"/>
              <w:left w:val="nil"/>
              <w:bottom w:val="nil"/>
              <w:right w:val="nil"/>
            </w:tcBorders>
            <w:noWrap/>
            <w:hideMark/>
          </w:tcPr>
          <w:p w14:paraId="2D8C0067" w14:textId="77777777" w:rsidR="004D6EFE" w:rsidRPr="00FB7EA4"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8,87 meses</w:t>
            </w:r>
          </w:p>
        </w:tc>
      </w:tr>
      <w:tr w:rsidR="004D6EFE" w:rsidRPr="00892E42" w14:paraId="47FCBD24" w14:textId="77777777" w:rsidTr="0035313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hideMark/>
          </w:tcPr>
          <w:p w14:paraId="425C5179" w14:textId="77777777" w:rsidR="004D6EFE" w:rsidRPr="00FB7EA4" w:rsidRDefault="004D6EFE" w:rsidP="001C5DFD">
            <w:pPr>
              <w:spacing w:before="120" w:after="120"/>
              <w:jc w:val="center"/>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Vigencia 2018</w:t>
            </w:r>
          </w:p>
        </w:tc>
        <w:tc>
          <w:tcPr>
            <w:tcW w:w="0" w:type="auto"/>
            <w:tcBorders>
              <w:top w:val="nil"/>
              <w:left w:val="nil"/>
              <w:bottom w:val="double" w:sz="4" w:space="0" w:color="4F81BD" w:themeColor="accent1"/>
              <w:right w:val="nil"/>
            </w:tcBorders>
            <w:noWrap/>
            <w:hideMark/>
          </w:tcPr>
          <w:p w14:paraId="6AAE7695" w14:textId="77777777" w:rsidR="004D6EFE" w:rsidRPr="00FB7EA4"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2.002-2018</w:t>
            </w:r>
          </w:p>
        </w:tc>
        <w:tc>
          <w:tcPr>
            <w:tcW w:w="0" w:type="auto"/>
            <w:tcBorders>
              <w:top w:val="nil"/>
              <w:left w:val="nil"/>
              <w:bottom w:val="double" w:sz="4" w:space="0" w:color="4F81BD" w:themeColor="accent1"/>
              <w:right w:val="nil"/>
            </w:tcBorders>
            <w:noWrap/>
            <w:hideMark/>
          </w:tcPr>
          <w:p w14:paraId="420813FC" w14:textId="77777777" w:rsidR="004D6EFE" w:rsidRPr="00FB7EA4"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Papelería Andes Ltda.</w:t>
            </w:r>
          </w:p>
        </w:tc>
        <w:tc>
          <w:tcPr>
            <w:tcW w:w="0" w:type="auto"/>
            <w:tcBorders>
              <w:top w:val="nil"/>
              <w:left w:val="nil"/>
              <w:bottom w:val="double" w:sz="4" w:space="0" w:color="4F81BD" w:themeColor="accent1"/>
              <w:right w:val="nil"/>
            </w:tcBorders>
            <w:noWrap/>
            <w:hideMark/>
          </w:tcPr>
          <w:p w14:paraId="4AF38CED" w14:textId="77777777" w:rsidR="004D6EFE" w:rsidRPr="00FB7EA4"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78.000.000 </w:t>
            </w:r>
          </w:p>
        </w:tc>
        <w:tc>
          <w:tcPr>
            <w:tcW w:w="0" w:type="auto"/>
            <w:tcBorders>
              <w:top w:val="nil"/>
              <w:left w:val="nil"/>
              <w:bottom w:val="nil"/>
              <w:right w:val="nil"/>
            </w:tcBorders>
            <w:noWrap/>
            <w:hideMark/>
          </w:tcPr>
          <w:p w14:paraId="7C724CE4" w14:textId="77777777" w:rsidR="004D6EFE" w:rsidRPr="00FB7EA4"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9 meses</w:t>
            </w:r>
          </w:p>
        </w:tc>
      </w:tr>
      <w:tr w:rsidR="004D6EFE" w:rsidRPr="00892E42" w14:paraId="25E06F22" w14:textId="77777777" w:rsidTr="000330F1">
        <w:trPr>
          <w:trHeight w:val="539"/>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noWrap/>
            <w:hideMark/>
          </w:tcPr>
          <w:p w14:paraId="45F0E0B9" w14:textId="77777777" w:rsidR="004D6EFE" w:rsidRPr="00FB7EA4" w:rsidRDefault="004D6EFE" w:rsidP="001C5DFD">
            <w:pPr>
              <w:spacing w:before="120" w:after="12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Variación ($) </w:t>
            </w:r>
          </w:p>
        </w:tc>
        <w:tc>
          <w:tcPr>
            <w:tcW w:w="0" w:type="auto"/>
            <w:gridSpan w:val="2"/>
            <w:tcBorders>
              <w:top w:val="double" w:sz="4" w:space="0" w:color="4F81BD" w:themeColor="accent1"/>
              <w:left w:val="nil"/>
              <w:bottom w:val="nil"/>
              <w:right w:val="nil"/>
            </w:tcBorders>
            <w:noWrap/>
            <w:hideMark/>
          </w:tcPr>
          <w:p w14:paraId="44EA0075" w14:textId="77777777" w:rsidR="004D6EFE" w:rsidRPr="00FB7EA4"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w:t>
            </w:r>
          </w:p>
        </w:tc>
        <w:tc>
          <w:tcPr>
            <w:tcW w:w="0" w:type="auto"/>
            <w:tcBorders>
              <w:top w:val="double" w:sz="4" w:space="0" w:color="4F81BD" w:themeColor="accent1"/>
              <w:left w:val="nil"/>
              <w:bottom w:val="nil"/>
              <w:right w:val="nil"/>
            </w:tcBorders>
            <w:noWrap/>
            <w:hideMark/>
          </w:tcPr>
          <w:p w14:paraId="60206DE1" w14:textId="77777777" w:rsidR="004D6EFE" w:rsidRPr="00FB7EA4"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(8.000.000)</w:t>
            </w:r>
          </w:p>
        </w:tc>
        <w:tc>
          <w:tcPr>
            <w:tcW w:w="0" w:type="auto"/>
            <w:tcBorders>
              <w:top w:val="double" w:sz="4" w:space="0" w:color="4F81BD" w:themeColor="accent1"/>
              <w:left w:val="nil"/>
              <w:bottom w:val="nil"/>
              <w:right w:val="nil"/>
            </w:tcBorders>
            <w:noWrap/>
            <w:hideMark/>
          </w:tcPr>
          <w:p w14:paraId="572447B9" w14:textId="77777777" w:rsidR="004D6EFE" w:rsidRPr="00FB7EA4" w:rsidRDefault="004D6EFE" w:rsidP="001C5DF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w:t>
            </w:r>
          </w:p>
        </w:tc>
      </w:tr>
      <w:tr w:rsidR="004D6EFE" w:rsidRPr="00A003B6" w14:paraId="265F6CC9" w14:textId="77777777" w:rsidTr="00353130">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hideMark/>
          </w:tcPr>
          <w:p w14:paraId="2E14268C" w14:textId="77777777" w:rsidR="004D6EFE" w:rsidRPr="00FB7EA4" w:rsidRDefault="004D6EFE" w:rsidP="001C5DFD">
            <w:pPr>
              <w:spacing w:before="120" w:after="120"/>
              <w:rPr>
                <w:rFonts w:ascii="Arial" w:hAnsi="Arial" w:cs="Arial"/>
                <w:color w:val="0F243E" w:themeColor="text2" w:themeShade="80"/>
                <w:sz w:val="20"/>
                <w:szCs w:val="20"/>
              </w:rPr>
            </w:pPr>
            <w:r w:rsidRPr="00FB7EA4">
              <w:rPr>
                <w:rFonts w:ascii="Arial" w:hAnsi="Arial" w:cs="Arial"/>
                <w:color w:val="0F243E" w:themeColor="text2" w:themeShade="80"/>
                <w:sz w:val="20"/>
                <w:szCs w:val="20"/>
              </w:rPr>
              <w:t>Variación (%)</w:t>
            </w:r>
          </w:p>
        </w:tc>
        <w:tc>
          <w:tcPr>
            <w:tcW w:w="0" w:type="auto"/>
            <w:gridSpan w:val="2"/>
            <w:tcBorders>
              <w:top w:val="nil"/>
              <w:left w:val="nil"/>
              <w:bottom w:val="double" w:sz="4" w:space="0" w:color="4F81BD" w:themeColor="accent1"/>
              <w:right w:val="nil"/>
            </w:tcBorders>
            <w:noWrap/>
            <w:hideMark/>
          </w:tcPr>
          <w:p w14:paraId="56178F5E" w14:textId="77777777" w:rsidR="004D6EFE" w:rsidRPr="00FB7EA4"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w:t>
            </w:r>
          </w:p>
        </w:tc>
        <w:tc>
          <w:tcPr>
            <w:tcW w:w="0" w:type="auto"/>
            <w:tcBorders>
              <w:top w:val="nil"/>
              <w:left w:val="nil"/>
              <w:bottom w:val="double" w:sz="4" w:space="0" w:color="4F81BD" w:themeColor="accent1"/>
              <w:right w:val="nil"/>
            </w:tcBorders>
            <w:noWrap/>
            <w:hideMark/>
          </w:tcPr>
          <w:p w14:paraId="60E3E010" w14:textId="77777777" w:rsidR="004D6EFE" w:rsidRPr="00FB7EA4" w:rsidRDefault="004D6EFE" w:rsidP="001C5DF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(10%)</w:t>
            </w:r>
          </w:p>
        </w:tc>
        <w:tc>
          <w:tcPr>
            <w:tcW w:w="0" w:type="auto"/>
            <w:tcBorders>
              <w:top w:val="nil"/>
              <w:left w:val="nil"/>
              <w:bottom w:val="double" w:sz="4" w:space="0" w:color="4F81BD" w:themeColor="accent1"/>
              <w:right w:val="nil"/>
            </w:tcBorders>
            <w:noWrap/>
            <w:hideMark/>
          </w:tcPr>
          <w:p w14:paraId="2117BAA1" w14:textId="77777777" w:rsidR="004D6EFE" w:rsidRPr="00FB7EA4" w:rsidRDefault="004D6EFE" w:rsidP="001C5DF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w:t>
            </w:r>
          </w:p>
        </w:tc>
      </w:tr>
    </w:tbl>
    <w:p w14:paraId="35DD1AA2" w14:textId="77777777" w:rsidR="00353130" w:rsidRPr="00A003B6" w:rsidRDefault="00353130" w:rsidP="00353130">
      <w:pPr>
        <w:spacing w:after="40"/>
        <w:jc w:val="both"/>
        <w:rPr>
          <w:rFonts w:ascii="Arial" w:hAnsi="Arial" w:cs="Arial"/>
          <w:color w:val="000000"/>
          <w:sz w:val="22"/>
          <w:szCs w:val="22"/>
          <w:highlight w:val="yellow"/>
        </w:rPr>
      </w:pPr>
    </w:p>
    <w:p w14:paraId="4CBF7446" w14:textId="54EA6F1E" w:rsidR="00E60C97" w:rsidRDefault="001D693E" w:rsidP="00353130">
      <w:pPr>
        <w:spacing w:after="40"/>
        <w:jc w:val="both"/>
        <w:rPr>
          <w:rFonts w:ascii="Arial" w:hAnsi="Arial" w:cs="Arial"/>
          <w:color w:val="000000" w:themeColor="text1"/>
          <w:sz w:val="22"/>
          <w:szCs w:val="22"/>
        </w:rPr>
      </w:pPr>
      <w:r w:rsidRPr="00892E42">
        <w:rPr>
          <w:rFonts w:ascii="Arial" w:hAnsi="Arial" w:cs="Arial"/>
          <w:color w:val="000000" w:themeColor="text1"/>
          <w:sz w:val="22"/>
          <w:szCs w:val="22"/>
        </w:rPr>
        <w:t>De acuerdo con lo informado por el Grupo de Logística y Suministros, p</w:t>
      </w:r>
      <w:r w:rsidR="00446535" w:rsidRPr="00892E42">
        <w:rPr>
          <w:rFonts w:ascii="Arial" w:hAnsi="Arial" w:cs="Arial"/>
          <w:color w:val="000000" w:themeColor="text1"/>
          <w:sz w:val="22"/>
          <w:szCs w:val="22"/>
        </w:rPr>
        <w:t>ar</w:t>
      </w:r>
      <w:r w:rsidRPr="00892E42">
        <w:rPr>
          <w:rFonts w:ascii="Arial" w:hAnsi="Arial" w:cs="Arial"/>
          <w:color w:val="000000" w:themeColor="text1"/>
          <w:sz w:val="22"/>
          <w:szCs w:val="22"/>
        </w:rPr>
        <w:t xml:space="preserve">a el segundo trimestre de 2019 </w:t>
      </w:r>
      <w:r w:rsidR="00446535" w:rsidRPr="00892E42">
        <w:rPr>
          <w:rFonts w:ascii="Arial" w:hAnsi="Arial" w:cs="Arial"/>
          <w:color w:val="000000" w:themeColor="text1"/>
          <w:sz w:val="22"/>
          <w:szCs w:val="22"/>
        </w:rPr>
        <w:t>no se ha</w:t>
      </w:r>
      <w:r w:rsidR="00DB264E">
        <w:rPr>
          <w:rFonts w:ascii="Arial" w:hAnsi="Arial" w:cs="Arial"/>
          <w:color w:val="000000" w:themeColor="text1"/>
          <w:sz w:val="22"/>
          <w:szCs w:val="22"/>
        </w:rPr>
        <w:t>bían</w:t>
      </w:r>
      <w:r w:rsidR="00446535" w:rsidRPr="00892E42">
        <w:rPr>
          <w:rFonts w:ascii="Arial" w:hAnsi="Arial" w:cs="Arial"/>
          <w:color w:val="000000" w:themeColor="text1"/>
          <w:sz w:val="22"/>
          <w:szCs w:val="22"/>
        </w:rPr>
        <w:t xml:space="preserve"> efectuado pagos correspondientes a</w:t>
      </w:r>
      <w:r w:rsidR="00D43F87" w:rsidRPr="00892E42">
        <w:rPr>
          <w:rFonts w:ascii="Arial" w:hAnsi="Arial" w:cs="Arial"/>
          <w:color w:val="000000" w:themeColor="text1"/>
          <w:sz w:val="22"/>
          <w:szCs w:val="22"/>
        </w:rPr>
        <w:t>l suministro de papelería,</w:t>
      </w:r>
      <w:r w:rsidR="00D96711" w:rsidRPr="00892E42">
        <w:rPr>
          <w:rFonts w:ascii="Arial" w:hAnsi="Arial" w:cs="Arial"/>
          <w:color w:val="000000" w:themeColor="text1"/>
          <w:sz w:val="22"/>
          <w:szCs w:val="22"/>
        </w:rPr>
        <w:t xml:space="preserve"> toda vez que, el pedido de papelería fue recibido el 2 de agosto de 2019. </w:t>
      </w:r>
      <w:r w:rsidR="00DB264E">
        <w:rPr>
          <w:rFonts w:ascii="Arial" w:hAnsi="Arial" w:cs="Arial"/>
          <w:color w:val="000000" w:themeColor="text1"/>
          <w:sz w:val="22"/>
          <w:szCs w:val="22"/>
        </w:rPr>
        <w:t xml:space="preserve">No obstante, </w:t>
      </w:r>
      <w:r w:rsidR="00EC6D01">
        <w:rPr>
          <w:rFonts w:ascii="Arial" w:hAnsi="Arial" w:cs="Arial"/>
          <w:color w:val="000000" w:themeColor="text1"/>
          <w:sz w:val="22"/>
          <w:szCs w:val="22"/>
        </w:rPr>
        <w:t xml:space="preserve">durante el tercer trimestre </w:t>
      </w:r>
      <w:r w:rsidR="00FD3326">
        <w:rPr>
          <w:rFonts w:ascii="Arial" w:hAnsi="Arial" w:cs="Arial"/>
          <w:color w:val="000000" w:themeColor="text1"/>
          <w:sz w:val="22"/>
          <w:szCs w:val="22"/>
        </w:rPr>
        <w:t xml:space="preserve">de 2019 no se evidenció </w:t>
      </w:r>
      <w:r w:rsidR="00EC6D01">
        <w:rPr>
          <w:rFonts w:ascii="Arial" w:hAnsi="Arial" w:cs="Arial"/>
          <w:color w:val="000000" w:themeColor="text1"/>
          <w:sz w:val="22"/>
          <w:szCs w:val="22"/>
        </w:rPr>
        <w:t>que</w:t>
      </w:r>
      <w:r w:rsidR="00892E42">
        <w:rPr>
          <w:rFonts w:ascii="Arial" w:hAnsi="Arial" w:cs="Arial"/>
          <w:color w:val="000000" w:themeColor="text1"/>
          <w:sz w:val="22"/>
          <w:szCs w:val="22"/>
        </w:rPr>
        <w:t xml:space="preserve"> se hayan registrado obligaciones para pago</w:t>
      </w:r>
      <w:r w:rsidR="000928FC">
        <w:rPr>
          <w:rFonts w:ascii="Arial" w:hAnsi="Arial" w:cs="Arial"/>
          <w:color w:val="000000" w:themeColor="text1"/>
          <w:sz w:val="22"/>
          <w:szCs w:val="22"/>
        </w:rPr>
        <w:t xml:space="preserve"> por suministro</w:t>
      </w:r>
      <w:r w:rsidR="00892E42">
        <w:rPr>
          <w:rFonts w:ascii="Arial" w:hAnsi="Arial" w:cs="Arial"/>
          <w:color w:val="000000" w:themeColor="text1"/>
          <w:sz w:val="22"/>
          <w:szCs w:val="22"/>
        </w:rPr>
        <w:t xml:space="preserve"> de papelería. </w:t>
      </w:r>
    </w:p>
    <w:p w14:paraId="0F91A1D4" w14:textId="77777777" w:rsidR="00E60C97" w:rsidRDefault="00E60C97" w:rsidP="00353130">
      <w:pPr>
        <w:spacing w:after="40"/>
        <w:jc w:val="both"/>
        <w:rPr>
          <w:rFonts w:ascii="Arial" w:hAnsi="Arial" w:cs="Arial"/>
          <w:color w:val="000000" w:themeColor="text1"/>
          <w:sz w:val="22"/>
          <w:szCs w:val="22"/>
        </w:rPr>
      </w:pPr>
    </w:p>
    <w:p w14:paraId="13C97D02" w14:textId="32797A4C" w:rsidR="00353130" w:rsidRPr="00892E42" w:rsidRDefault="00E60C97" w:rsidP="00353130">
      <w:pPr>
        <w:spacing w:after="40"/>
        <w:jc w:val="both"/>
        <w:rPr>
          <w:rFonts w:ascii="Arial" w:hAnsi="Arial" w:cs="Arial"/>
          <w:color w:val="000000" w:themeColor="text1"/>
          <w:sz w:val="22"/>
          <w:szCs w:val="22"/>
        </w:rPr>
      </w:pPr>
      <w:r w:rsidRPr="00E60C97">
        <w:rPr>
          <w:rFonts w:ascii="Arial" w:hAnsi="Arial" w:cs="Arial"/>
          <w:color w:val="000000" w:themeColor="text1"/>
          <w:sz w:val="22"/>
          <w:szCs w:val="22"/>
        </w:rPr>
        <w:t>Sobre el particular el Grupo de Logística y Suministros informó que</w:t>
      </w:r>
      <w:r w:rsidR="00EC6D01">
        <w:rPr>
          <w:rFonts w:ascii="Arial" w:hAnsi="Arial" w:cs="Arial"/>
          <w:color w:val="000000" w:themeColor="text1"/>
          <w:sz w:val="22"/>
          <w:szCs w:val="22"/>
        </w:rPr>
        <w:t xml:space="preserve"> </w:t>
      </w:r>
      <w:r w:rsidR="00EC6D01" w:rsidRPr="00E60C97">
        <w:rPr>
          <w:rFonts w:ascii="Arial" w:hAnsi="Arial" w:cs="Arial"/>
          <w:color w:val="000000" w:themeColor="text1"/>
          <w:sz w:val="22"/>
          <w:szCs w:val="22"/>
        </w:rPr>
        <w:t xml:space="preserve">el 20 de septiembre se requirió al proveedor, </w:t>
      </w:r>
      <w:r w:rsidR="003632CB">
        <w:rPr>
          <w:rFonts w:ascii="Arial" w:hAnsi="Arial" w:cs="Arial"/>
          <w:color w:val="000000" w:themeColor="text1"/>
          <w:sz w:val="22"/>
          <w:szCs w:val="22"/>
        </w:rPr>
        <w:t xml:space="preserve">con el fin de </w:t>
      </w:r>
      <w:r w:rsidR="00EC6D01">
        <w:rPr>
          <w:rFonts w:ascii="Arial" w:hAnsi="Arial" w:cs="Arial"/>
          <w:color w:val="000000" w:themeColor="text1"/>
          <w:sz w:val="22"/>
          <w:szCs w:val="22"/>
        </w:rPr>
        <w:t xml:space="preserve">que </w:t>
      </w:r>
      <w:r w:rsidR="00EC6D01" w:rsidRPr="00E60C97">
        <w:rPr>
          <w:rFonts w:ascii="Arial" w:hAnsi="Arial" w:cs="Arial"/>
          <w:color w:val="000000" w:themeColor="text1"/>
          <w:sz w:val="22"/>
          <w:szCs w:val="22"/>
        </w:rPr>
        <w:t>remitiera la</w:t>
      </w:r>
      <w:r w:rsidR="003632CB">
        <w:rPr>
          <w:rFonts w:ascii="Arial" w:hAnsi="Arial" w:cs="Arial"/>
          <w:color w:val="000000" w:themeColor="text1"/>
          <w:sz w:val="22"/>
          <w:szCs w:val="22"/>
        </w:rPr>
        <w:t xml:space="preserve">s </w:t>
      </w:r>
      <w:r w:rsidR="00EC6D01" w:rsidRPr="00E60C97">
        <w:rPr>
          <w:rFonts w:ascii="Arial" w:hAnsi="Arial" w:cs="Arial"/>
          <w:color w:val="000000" w:themeColor="text1"/>
          <w:sz w:val="22"/>
          <w:szCs w:val="22"/>
        </w:rPr>
        <w:t>factura</w:t>
      </w:r>
      <w:r w:rsidR="003632CB">
        <w:rPr>
          <w:rFonts w:ascii="Arial" w:hAnsi="Arial" w:cs="Arial"/>
          <w:color w:val="000000" w:themeColor="text1"/>
          <w:sz w:val="22"/>
          <w:szCs w:val="22"/>
        </w:rPr>
        <w:t>s</w:t>
      </w:r>
      <w:r w:rsidR="00EC6D01" w:rsidRPr="00E60C97">
        <w:rPr>
          <w:rFonts w:ascii="Arial" w:hAnsi="Arial" w:cs="Arial"/>
          <w:color w:val="000000" w:themeColor="text1"/>
          <w:sz w:val="22"/>
          <w:szCs w:val="22"/>
        </w:rPr>
        <w:t xml:space="preserve"> de cobro</w:t>
      </w:r>
      <w:r w:rsidR="00EC6D01">
        <w:rPr>
          <w:rFonts w:ascii="Arial" w:hAnsi="Arial" w:cs="Arial"/>
          <w:color w:val="000000" w:themeColor="text1"/>
          <w:sz w:val="22"/>
          <w:szCs w:val="22"/>
        </w:rPr>
        <w:t xml:space="preserve"> </w:t>
      </w:r>
      <w:r w:rsidRPr="00E60C97">
        <w:rPr>
          <w:rFonts w:ascii="Arial" w:hAnsi="Arial" w:cs="Arial"/>
          <w:color w:val="000000" w:themeColor="text1"/>
          <w:sz w:val="22"/>
          <w:szCs w:val="22"/>
        </w:rPr>
        <w:t>correspondiente</w:t>
      </w:r>
      <w:r w:rsidR="00EC6D01">
        <w:rPr>
          <w:rFonts w:ascii="Arial" w:hAnsi="Arial" w:cs="Arial"/>
          <w:color w:val="000000" w:themeColor="text1"/>
          <w:sz w:val="22"/>
          <w:szCs w:val="22"/>
        </w:rPr>
        <w:t xml:space="preserve"> </w:t>
      </w:r>
      <w:r w:rsidRPr="00E60C97">
        <w:rPr>
          <w:rFonts w:ascii="Arial" w:hAnsi="Arial" w:cs="Arial"/>
          <w:color w:val="000000" w:themeColor="text1"/>
          <w:sz w:val="22"/>
          <w:szCs w:val="22"/>
        </w:rPr>
        <w:t>al pedi</w:t>
      </w:r>
      <w:r w:rsidR="003632CB">
        <w:rPr>
          <w:rFonts w:ascii="Arial" w:hAnsi="Arial" w:cs="Arial"/>
          <w:color w:val="000000" w:themeColor="text1"/>
          <w:sz w:val="22"/>
          <w:szCs w:val="22"/>
        </w:rPr>
        <w:t>do recibido en el mes de agosto de 2019,</w:t>
      </w:r>
      <w:r w:rsidRPr="00E60C97">
        <w:rPr>
          <w:rFonts w:ascii="Arial" w:hAnsi="Arial" w:cs="Arial"/>
          <w:color w:val="000000" w:themeColor="text1"/>
          <w:sz w:val="22"/>
          <w:szCs w:val="22"/>
        </w:rPr>
        <w:t xml:space="preserve"> </w:t>
      </w:r>
      <w:r w:rsidR="003632CB">
        <w:rPr>
          <w:rFonts w:ascii="Arial" w:hAnsi="Arial" w:cs="Arial"/>
          <w:color w:val="000000" w:themeColor="text1"/>
          <w:sz w:val="22"/>
          <w:szCs w:val="22"/>
        </w:rPr>
        <w:t>las cuales</w:t>
      </w:r>
      <w:r w:rsidR="00EC6D01">
        <w:rPr>
          <w:rFonts w:ascii="Arial" w:hAnsi="Arial" w:cs="Arial"/>
          <w:color w:val="000000" w:themeColor="text1"/>
          <w:sz w:val="22"/>
          <w:szCs w:val="22"/>
        </w:rPr>
        <w:t xml:space="preserve"> </w:t>
      </w:r>
      <w:r w:rsidR="003632CB">
        <w:rPr>
          <w:rFonts w:ascii="Arial" w:hAnsi="Arial" w:cs="Arial"/>
          <w:color w:val="000000" w:themeColor="text1"/>
          <w:sz w:val="22"/>
          <w:szCs w:val="22"/>
        </w:rPr>
        <w:t>fueron tramitada</w:t>
      </w:r>
      <w:r w:rsidRPr="00E60C97">
        <w:rPr>
          <w:rFonts w:ascii="Arial" w:hAnsi="Arial" w:cs="Arial"/>
          <w:color w:val="000000" w:themeColor="text1"/>
          <w:sz w:val="22"/>
          <w:szCs w:val="22"/>
        </w:rPr>
        <w:t xml:space="preserve"> ante la Subdirección Financiera para el pago respectivo el 24 de octubre y el 13 de noviembre de 2019</w:t>
      </w:r>
      <w:r w:rsidR="005662DC">
        <w:rPr>
          <w:rFonts w:ascii="Arial" w:hAnsi="Arial" w:cs="Arial"/>
          <w:color w:val="000000" w:themeColor="text1"/>
          <w:sz w:val="22"/>
          <w:szCs w:val="22"/>
        </w:rPr>
        <w:t xml:space="preserve">. </w:t>
      </w:r>
      <w:r w:rsidR="000F73E7">
        <w:rPr>
          <w:rFonts w:ascii="Arial" w:hAnsi="Arial" w:cs="Arial"/>
          <w:color w:val="000000" w:themeColor="text1"/>
          <w:sz w:val="22"/>
          <w:szCs w:val="22"/>
        </w:rPr>
        <w:t xml:space="preserve">Así mismo manifestó </w:t>
      </w:r>
      <w:r w:rsidR="00EC6D01">
        <w:rPr>
          <w:rFonts w:ascii="Arial" w:hAnsi="Arial" w:cs="Arial"/>
          <w:color w:val="000000" w:themeColor="text1"/>
          <w:sz w:val="22"/>
          <w:szCs w:val="22"/>
        </w:rPr>
        <w:t>que</w:t>
      </w:r>
      <w:r w:rsidR="005662DC">
        <w:rPr>
          <w:rFonts w:ascii="Arial" w:hAnsi="Arial" w:cs="Arial"/>
          <w:color w:val="000000" w:themeColor="text1"/>
          <w:sz w:val="22"/>
          <w:szCs w:val="22"/>
        </w:rPr>
        <w:t>,</w:t>
      </w:r>
      <w:r w:rsidRPr="00E60C97">
        <w:rPr>
          <w:rFonts w:ascii="Arial" w:hAnsi="Arial" w:cs="Arial"/>
          <w:color w:val="000000" w:themeColor="text1"/>
          <w:sz w:val="22"/>
          <w:szCs w:val="22"/>
        </w:rPr>
        <w:t xml:space="preserve"> se hace necesario efectuar la verificación de los elementos entregados por el proveedor</w:t>
      </w:r>
      <w:r w:rsidR="00EC6D01">
        <w:rPr>
          <w:rFonts w:ascii="Arial" w:hAnsi="Arial" w:cs="Arial"/>
          <w:color w:val="000000" w:themeColor="text1"/>
          <w:sz w:val="22"/>
          <w:szCs w:val="22"/>
        </w:rPr>
        <w:t xml:space="preserve"> para </w:t>
      </w:r>
      <w:r w:rsidRPr="00E60C97">
        <w:rPr>
          <w:rFonts w:ascii="Arial" w:hAnsi="Arial" w:cs="Arial"/>
          <w:color w:val="000000" w:themeColor="text1"/>
          <w:sz w:val="22"/>
          <w:szCs w:val="22"/>
        </w:rPr>
        <w:t>cada una de las dependencias del Ministerio, labor que resulta dispendiosa</w:t>
      </w:r>
      <w:r w:rsidR="00EC6D01">
        <w:rPr>
          <w:rFonts w:ascii="Arial" w:hAnsi="Arial" w:cs="Arial"/>
          <w:color w:val="000000" w:themeColor="text1"/>
          <w:sz w:val="22"/>
          <w:szCs w:val="22"/>
        </w:rPr>
        <w:t>,</w:t>
      </w:r>
      <w:r w:rsidRPr="00E60C97">
        <w:rPr>
          <w:rFonts w:ascii="Arial" w:hAnsi="Arial" w:cs="Arial"/>
          <w:color w:val="000000" w:themeColor="text1"/>
          <w:sz w:val="22"/>
          <w:szCs w:val="22"/>
        </w:rPr>
        <w:t xml:space="preserve"> considerando la cantidad de ítems relacionados en las diferentes remisiones</w:t>
      </w:r>
      <w:r w:rsidR="00EC6D01">
        <w:rPr>
          <w:rFonts w:ascii="Arial" w:hAnsi="Arial" w:cs="Arial"/>
          <w:color w:val="000000" w:themeColor="text1"/>
          <w:sz w:val="22"/>
          <w:szCs w:val="22"/>
        </w:rPr>
        <w:t xml:space="preserve">. </w:t>
      </w:r>
    </w:p>
    <w:p w14:paraId="11808B03" w14:textId="0B61BAC6" w:rsidR="000928FC" w:rsidRDefault="000928FC" w:rsidP="00353130">
      <w:pPr>
        <w:spacing w:after="40" w:line="168" w:lineRule="auto"/>
        <w:jc w:val="both"/>
        <w:rPr>
          <w:rFonts w:ascii="Arial" w:hAnsi="Arial" w:cs="Arial"/>
          <w:color w:val="000000"/>
          <w:sz w:val="22"/>
          <w:szCs w:val="22"/>
          <w:highlight w:val="yellow"/>
        </w:rPr>
      </w:pPr>
    </w:p>
    <w:p w14:paraId="3F46F8C0" w14:textId="77777777" w:rsidR="000928FC" w:rsidRPr="00A003B6" w:rsidRDefault="000928FC" w:rsidP="00353130">
      <w:pPr>
        <w:spacing w:after="40" w:line="168" w:lineRule="auto"/>
        <w:jc w:val="both"/>
        <w:rPr>
          <w:rFonts w:ascii="Arial" w:hAnsi="Arial" w:cs="Arial"/>
          <w:color w:val="000000"/>
          <w:sz w:val="22"/>
          <w:szCs w:val="22"/>
          <w:highlight w:val="yellow"/>
        </w:rPr>
      </w:pPr>
    </w:p>
    <w:p w14:paraId="69F66550" w14:textId="4E2877F7" w:rsidR="00AA5CCE" w:rsidRPr="003A4920" w:rsidRDefault="006D6776" w:rsidP="00F41FCC">
      <w:pPr>
        <w:spacing w:after="200" w:line="276" w:lineRule="auto"/>
        <w:rPr>
          <w:rFonts w:ascii="Arial" w:hAnsi="Arial" w:cs="Arial"/>
          <w:b/>
          <w:sz w:val="22"/>
          <w:szCs w:val="22"/>
        </w:rPr>
      </w:pPr>
      <w:r>
        <w:rPr>
          <w:rFonts w:ascii="Arial" w:hAnsi="Arial" w:cs="Arial"/>
          <w:b/>
          <w:sz w:val="22"/>
          <w:szCs w:val="22"/>
        </w:rPr>
        <w:t>6</w:t>
      </w:r>
      <w:r w:rsidR="000C38F1" w:rsidRPr="003A4920">
        <w:rPr>
          <w:rFonts w:ascii="Arial" w:hAnsi="Arial" w:cs="Arial"/>
          <w:b/>
          <w:sz w:val="22"/>
          <w:szCs w:val="22"/>
        </w:rPr>
        <w:t xml:space="preserve">.3 TELÉFONO MÓVIL CELULAR </w:t>
      </w:r>
    </w:p>
    <w:p w14:paraId="1997D3BD" w14:textId="77777777" w:rsidR="00AA5CCE" w:rsidRPr="003A4920" w:rsidRDefault="00AA5CCE" w:rsidP="00E84467">
      <w:pPr>
        <w:jc w:val="both"/>
        <w:rPr>
          <w:rFonts w:ascii="Arial" w:hAnsi="Arial" w:cs="Arial"/>
          <w:sz w:val="22"/>
          <w:szCs w:val="22"/>
        </w:rPr>
      </w:pPr>
      <w:r w:rsidRPr="003A4920">
        <w:rPr>
          <w:rFonts w:ascii="Arial" w:hAnsi="Arial" w:cs="Arial"/>
          <w:sz w:val="22"/>
          <w:szCs w:val="22"/>
        </w:rPr>
        <w:t xml:space="preserve">Para el periodo definido como alcance de este informe, el Ministerio de Hacienda y Crédito Público tenía suscritos contratos para la prestación del servicio de telefonía celular con las siguientes empresas: </w:t>
      </w:r>
      <w:r w:rsidR="00510C72" w:rsidRPr="003A4920">
        <w:rPr>
          <w:rFonts w:ascii="Arial" w:hAnsi="Arial" w:cs="Arial"/>
          <w:sz w:val="22"/>
          <w:szCs w:val="22"/>
        </w:rPr>
        <w:t xml:space="preserve">Colombia Telecomunicaciones S.A </w:t>
      </w:r>
      <w:r w:rsidRPr="003A4920">
        <w:rPr>
          <w:rFonts w:ascii="Arial" w:hAnsi="Arial" w:cs="Arial"/>
          <w:sz w:val="22"/>
          <w:szCs w:val="22"/>
        </w:rPr>
        <w:t>E.S.P</w:t>
      </w:r>
      <w:r w:rsidR="00510C72" w:rsidRPr="003A4920">
        <w:rPr>
          <w:rFonts w:ascii="Arial" w:hAnsi="Arial" w:cs="Arial"/>
          <w:sz w:val="22"/>
          <w:szCs w:val="22"/>
        </w:rPr>
        <w:t xml:space="preserve"> [Movistar]</w:t>
      </w:r>
      <w:r w:rsidRPr="003A4920">
        <w:rPr>
          <w:rFonts w:ascii="Arial" w:hAnsi="Arial" w:cs="Arial"/>
          <w:sz w:val="22"/>
          <w:szCs w:val="22"/>
        </w:rPr>
        <w:t>, Avantel S A S y Comuni</w:t>
      </w:r>
      <w:r w:rsidR="00510C72" w:rsidRPr="003A4920">
        <w:rPr>
          <w:rFonts w:ascii="Arial" w:hAnsi="Arial" w:cs="Arial"/>
          <w:sz w:val="22"/>
          <w:szCs w:val="22"/>
        </w:rPr>
        <w:t>cación Celular S A Comcel S A [Claro].</w:t>
      </w:r>
    </w:p>
    <w:p w14:paraId="70A2B873" w14:textId="77777777" w:rsidR="00AA5CCE" w:rsidRPr="003A4920" w:rsidRDefault="00AA5CCE" w:rsidP="00AA5CCE">
      <w:pPr>
        <w:rPr>
          <w:rFonts w:ascii="Arial" w:hAnsi="Arial" w:cs="Arial"/>
          <w:sz w:val="22"/>
          <w:szCs w:val="22"/>
        </w:rPr>
      </w:pPr>
      <w:r w:rsidRPr="003A4920">
        <w:rPr>
          <w:noProof/>
        </w:rPr>
        <w:drawing>
          <wp:inline distT="0" distB="0" distL="0" distR="0" wp14:anchorId="4115ED0D" wp14:editId="5D51D2FF">
            <wp:extent cx="6067425" cy="2943225"/>
            <wp:effectExtent l="0" t="57150" r="0" b="85725"/>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D8AF5DC" w14:textId="74B8D38D" w:rsidR="001C5DFD" w:rsidRDefault="001C5DFD" w:rsidP="00AA5CCE">
      <w:pPr>
        <w:rPr>
          <w:rFonts w:ascii="Arial" w:hAnsi="Arial" w:cs="Arial"/>
          <w:sz w:val="22"/>
          <w:szCs w:val="22"/>
        </w:rPr>
      </w:pPr>
    </w:p>
    <w:p w14:paraId="7198CF8A" w14:textId="77777777" w:rsidR="00FB7EA4" w:rsidRDefault="00FB7EA4" w:rsidP="00AA5CCE">
      <w:pPr>
        <w:rPr>
          <w:rFonts w:ascii="Arial" w:hAnsi="Arial" w:cs="Arial"/>
          <w:sz w:val="22"/>
          <w:szCs w:val="22"/>
        </w:rPr>
      </w:pPr>
    </w:p>
    <w:p w14:paraId="4706C9EB" w14:textId="76487F7D" w:rsidR="00AA5CCE" w:rsidRPr="008F20D1" w:rsidRDefault="00AA5CCE" w:rsidP="004644EC">
      <w:pPr>
        <w:jc w:val="both"/>
        <w:rPr>
          <w:rFonts w:ascii="Arial" w:hAnsi="Arial" w:cs="Arial"/>
          <w:sz w:val="22"/>
          <w:szCs w:val="22"/>
        </w:rPr>
      </w:pPr>
      <w:r w:rsidRPr="008F20D1">
        <w:rPr>
          <w:rFonts w:ascii="Arial" w:hAnsi="Arial" w:cs="Arial"/>
          <w:sz w:val="22"/>
          <w:szCs w:val="22"/>
        </w:rPr>
        <w:lastRenderedPageBreak/>
        <w:t xml:space="preserve">Tomando como base la información allegada por la Subdirección de Servicios, se compararon los valores facturados </w:t>
      </w:r>
      <w:r w:rsidR="00956ADD">
        <w:rPr>
          <w:rFonts w:ascii="Arial" w:hAnsi="Arial" w:cs="Arial"/>
          <w:sz w:val="22"/>
          <w:szCs w:val="22"/>
        </w:rPr>
        <w:t>por cada proveedor del servicio de telefonía móvil.</w:t>
      </w:r>
      <w:r w:rsidRPr="008F20D1">
        <w:rPr>
          <w:rFonts w:ascii="Arial" w:hAnsi="Arial" w:cs="Arial"/>
          <w:sz w:val="22"/>
          <w:szCs w:val="22"/>
        </w:rPr>
        <w:t xml:space="preserve"> En la siguiente tabla se presenta el resultado obtenido, es de aclarar que los valores facturados fueron validados en el listado de obligaciones del SIIF Nación y verificados con las facturas </w:t>
      </w:r>
      <w:r w:rsidR="00475D6B" w:rsidRPr="008F20D1">
        <w:rPr>
          <w:rFonts w:ascii="Arial" w:hAnsi="Arial" w:cs="Arial"/>
          <w:sz w:val="22"/>
          <w:szCs w:val="22"/>
        </w:rPr>
        <w:t>físicas</w:t>
      </w:r>
      <w:r w:rsidR="00475D6B">
        <w:rPr>
          <w:rFonts w:ascii="Arial" w:hAnsi="Arial" w:cs="Arial"/>
          <w:sz w:val="22"/>
          <w:szCs w:val="22"/>
        </w:rPr>
        <w:t xml:space="preserve">, así: </w:t>
      </w:r>
    </w:p>
    <w:p w14:paraId="6A7D23C5" w14:textId="77777777" w:rsidR="00AA5CCE" w:rsidRPr="00A003B6" w:rsidRDefault="00AA5CCE" w:rsidP="00541638">
      <w:pPr>
        <w:jc w:val="center"/>
        <w:rPr>
          <w:rFonts w:ascii="Arial" w:hAnsi="Arial" w:cs="Arial"/>
          <w:sz w:val="22"/>
          <w:szCs w:val="22"/>
          <w:highlight w:val="yellow"/>
        </w:rPr>
      </w:pPr>
    </w:p>
    <w:tbl>
      <w:tblPr>
        <w:tblStyle w:val="Tabladecuadrcula1clara-nfasis1"/>
        <w:tblW w:w="0" w:type="auto"/>
        <w:jc w:val="center"/>
        <w:tblLook w:val="04A0" w:firstRow="1" w:lastRow="0" w:firstColumn="1" w:lastColumn="0" w:noHBand="0" w:noVBand="1"/>
      </w:tblPr>
      <w:tblGrid>
        <w:gridCol w:w="1339"/>
        <w:gridCol w:w="1829"/>
        <w:gridCol w:w="1773"/>
        <w:gridCol w:w="1551"/>
      </w:tblGrid>
      <w:tr w:rsidR="001A6418" w:rsidRPr="00A003B6" w14:paraId="4F6F8F5B" w14:textId="77777777" w:rsidTr="001A6418">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noWrap/>
            <w:vAlign w:val="center"/>
            <w:hideMark/>
          </w:tcPr>
          <w:p w14:paraId="36FBB0E7" w14:textId="77777777" w:rsidR="001A6418" w:rsidRPr="008F20D1" w:rsidRDefault="001A6418" w:rsidP="001A6418">
            <w:pPr>
              <w:spacing w:before="40" w:after="40"/>
              <w:jc w:val="center"/>
              <w:rPr>
                <w:rFonts w:ascii="Arial" w:hAnsi="Arial" w:cs="Arial"/>
                <w:b w:val="0"/>
                <w:bCs w:val="0"/>
                <w:color w:val="FFFFFF" w:themeColor="background1"/>
                <w:sz w:val="20"/>
                <w:szCs w:val="20"/>
              </w:rPr>
            </w:pPr>
            <w:r w:rsidRPr="008F20D1">
              <w:rPr>
                <w:rFonts w:ascii="Arial" w:hAnsi="Arial" w:cs="Arial"/>
                <w:color w:val="FFFFFF" w:themeColor="background1"/>
                <w:sz w:val="20"/>
                <w:szCs w:val="20"/>
              </w:rPr>
              <w:t>Periodo</w:t>
            </w:r>
          </w:p>
          <w:p w14:paraId="5DD22FE1" w14:textId="70BE5253" w:rsidR="001A6418" w:rsidRPr="008F20D1" w:rsidRDefault="001A6418" w:rsidP="001A6418">
            <w:pPr>
              <w:spacing w:before="40" w:after="40"/>
              <w:jc w:val="center"/>
              <w:rPr>
                <w:rFonts w:ascii="Arial" w:hAnsi="Arial" w:cs="Arial"/>
                <w:color w:val="FFFFFF" w:themeColor="background1"/>
                <w:sz w:val="20"/>
                <w:szCs w:val="20"/>
              </w:rPr>
            </w:pPr>
            <w:r w:rsidRPr="008F20D1">
              <w:rPr>
                <w:rFonts w:ascii="Arial" w:hAnsi="Arial" w:cs="Arial"/>
                <w:color w:val="000000"/>
                <w:sz w:val="20"/>
                <w:szCs w:val="20"/>
              </w:rPr>
              <w:t> </w:t>
            </w:r>
          </w:p>
        </w:tc>
        <w:tc>
          <w:tcPr>
            <w:tcW w:w="0" w:type="auto"/>
            <w:gridSpan w:val="3"/>
            <w:shd w:val="clear" w:color="auto" w:fill="4F81BD" w:themeFill="accent1"/>
            <w:noWrap/>
            <w:vAlign w:val="center"/>
            <w:hideMark/>
          </w:tcPr>
          <w:p w14:paraId="6383B97B" w14:textId="77777777" w:rsidR="001A6418" w:rsidRPr="008F20D1" w:rsidRDefault="001A6418" w:rsidP="001A641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F20D1">
              <w:rPr>
                <w:rFonts w:ascii="Arial" w:hAnsi="Arial" w:cs="Arial"/>
                <w:color w:val="FFFFFF" w:themeColor="background1"/>
                <w:sz w:val="20"/>
                <w:szCs w:val="20"/>
              </w:rPr>
              <w:t xml:space="preserve">Valor Facturado </w:t>
            </w:r>
            <w:r>
              <w:rPr>
                <w:rFonts w:ascii="Arial" w:hAnsi="Arial" w:cs="Arial"/>
                <w:color w:val="FFFFFF" w:themeColor="background1"/>
                <w:sz w:val="20"/>
                <w:szCs w:val="20"/>
              </w:rPr>
              <w:t>I</w:t>
            </w:r>
            <w:r w:rsidRPr="008F20D1">
              <w:rPr>
                <w:rFonts w:ascii="Arial" w:hAnsi="Arial" w:cs="Arial"/>
                <w:color w:val="FFFFFF" w:themeColor="background1"/>
                <w:sz w:val="20"/>
                <w:szCs w:val="20"/>
              </w:rPr>
              <w:t>II Trimestre de 2019 ($)</w:t>
            </w:r>
          </w:p>
        </w:tc>
      </w:tr>
      <w:tr w:rsidR="001A6418" w:rsidRPr="00A003B6" w14:paraId="6DE7C5CA"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noWrap/>
            <w:vAlign w:val="center"/>
            <w:hideMark/>
          </w:tcPr>
          <w:p w14:paraId="05DB7093" w14:textId="504D0D15" w:rsidR="001A6418" w:rsidRPr="008F20D1" w:rsidRDefault="001A6418" w:rsidP="001A6418">
            <w:pPr>
              <w:spacing w:before="40" w:after="40"/>
              <w:jc w:val="center"/>
              <w:rPr>
                <w:rFonts w:ascii="Arial" w:hAnsi="Arial" w:cs="Arial"/>
                <w:color w:val="000000"/>
                <w:sz w:val="20"/>
                <w:szCs w:val="20"/>
              </w:rPr>
            </w:pPr>
          </w:p>
        </w:tc>
        <w:tc>
          <w:tcPr>
            <w:tcW w:w="0" w:type="auto"/>
            <w:shd w:val="clear" w:color="auto" w:fill="4F81BD" w:themeFill="accent1"/>
            <w:noWrap/>
            <w:vAlign w:val="center"/>
            <w:hideMark/>
          </w:tcPr>
          <w:p w14:paraId="4E7A7B10" w14:textId="77777777" w:rsidR="001A6418" w:rsidRPr="001A6418" w:rsidRDefault="001A6418" w:rsidP="001A641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A6418">
              <w:rPr>
                <w:rFonts w:ascii="Arial" w:hAnsi="Arial" w:cs="Arial"/>
                <w:b/>
                <w:bCs/>
                <w:color w:val="FFFFFF" w:themeColor="background1"/>
                <w:sz w:val="20"/>
                <w:szCs w:val="20"/>
              </w:rPr>
              <w:t>Avantel</w:t>
            </w:r>
          </w:p>
        </w:tc>
        <w:tc>
          <w:tcPr>
            <w:tcW w:w="0" w:type="auto"/>
            <w:shd w:val="clear" w:color="auto" w:fill="4F81BD" w:themeFill="accent1"/>
            <w:noWrap/>
            <w:vAlign w:val="center"/>
            <w:hideMark/>
          </w:tcPr>
          <w:p w14:paraId="4BCFEF7A" w14:textId="77777777" w:rsidR="001A6418" w:rsidRPr="001A6418" w:rsidRDefault="001A6418" w:rsidP="001A641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A6418">
              <w:rPr>
                <w:rFonts w:ascii="Arial" w:hAnsi="Arial" w:cs="Arial"/>
                <w:b/>
                <w:bCs/>
                <w:color w:val="FFFFFF" w:themeColor="background1"/>
                <w:sz w:val="20"/>
                <w:szCs w:val="20"/>
              </w:rPr>
              <w:t>Claro</w:t>
            </w:r>
          </w:p>
        </w:tc>
        <w:tc>
          <w:tcPr>
            <w:tcW w:w="0" w:type="auto"/>
            <w:shd w:val="clear" w:color="auto" w:fill="4F81BD" w:themeFill="accent1"/>
            <w:noWrap/>
            <w:vAlign w:val="center"/>
            <w:hideMark/>
          </w:tcPr>
          <w:p w14:paraId="0322ECEC" w14:textId="77777777" w:rsidR="001A6418" w:rsidRPr="001A6418" w:rsidRDefault="001A6418" w:rsidP="001A641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A6418">
              <w:rPr>
                <w:rFonts w:ascii="Arial" w:hAnsi="Arial" w:cs="Arial"/>
                <w:b/>
                <w:bCs/>
                <w:color w:val="FFFFFF" w:themeColor="background1"/>
                <w:sz w:val="20"/>
                <w:szCs w:val="20"/>
              </w:rPr>
              <w:t>Movistar</w:t>
            </w:r>
          </w:p>
        </w:tc>
      </w:tr>
      <w:tr w:rsidR="00183344" w:rsidRPr="00A003B6" w14:paraId="6B9B5066"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F9BCF18" w14:textId="77777777" w:rsidR="00183344" w:rsidRDefault="00183344" w:rsidP="001A6418">
            <w:pPr>
              <w:spacing w:before="40" w:after="40"/>
              <w:rPr>
                <w:rFonts w:ascii="Arial" w:hAnsi="Arial" w:cs="Arial"/>
                <w:color w:val="000000"/>
                <w:sz w:val="20"/>
                <w:szCs w:val="20"/>
              </w:rPr>
            </w:pPr>
            <w:r>
              <w:rPr>
                <w:rFonts w:ascii="Arial" w:hAnsi="Arial" w:cs="Arial"/>
                <w:color w:val="000000"/>
                <w:sz w:val="20"/>
                <w:szCs w:val="20"/>
              </w:rPr>
              <w:t xml:space="preserve">Julio </w:t>
            </w:r>
          </w:p>
        </w:tc>
        <w:tc>
          <w:tcPr>
            <w:tcW w:w="0" w:type="auto"/>
            <w:noWrap/>
            <w:vAlign w:val="center"/>
            <w:hideMark/>
          </w:tcPr>
          <w:p w14:paraId="4764AE19" w14:textId="437AEA40"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1.266.588 </w:t>
            </w:r>
          </w:p>
        </w:tc>
        <w:tc>
          <w:tcPr>
            <w:tcW w:w="0" w:type="auto"/>
            <w:noWrap/>
            <w:vAlign w:val="center"/>
            <w:hideMark/>
          </w:tcPr>
          <w:p w14:paraId="7C77E1F3" w14:textId="61519CCE"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856.120 </w:t>
            </w:r>
          </w:p>
        </w:tc>
        <w:tc>
          <w:tcPr>
            <w:tcW w:w="0" w:type="auto"/>
            <w:noWrap/>
            <w:vAlign w:val="center"/>
            <w:hideMark/>
          </w:tcPr>
          <w:p w14:paraId="1E24248F" w14:textId="0680BC8A"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3.328.620 </w:t>
            </w:r>
          </w:p>
        </w:tc>
      </w:tr>
      <w:tr w:rsidR="00183344" w:rsidRPr="00A003B6" w14:paraId="4ACAED74"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6839B6" w14:textId="77777777" w:rsidR="00183344" w:rsidRDefault="00183344" w:rsidP="001A6418">
            <w:pPr>
              <w:spacing w:before="40" w:after="40"/>
              <w:rPr>
                <w:rFonts w:ascii="Arial" w:hAnsi="Arial" w:cs="Arial"/>
                <w:color w:val="000000"/>
                <w:sz w:val="20"/>
                <w:szCs w:val="20"/>
              </w:rPr>
            </w:pPr>
            <w:r>
              <w:rPr>
                <w:rFonts w:ascii="Arial" w:hAnsi="Arial" w:cs="Arial"/>
                <w:color w:val="000000"/>
                <w:sz w:val="20"/>
                <w:szCs w:val="20"/>
              </w:rPr>
              <w:t>Agosto</w:t>
            </w:r>
          </w:p>
        </w:tc>
        <w:tc>
          <w:tcPr>
            <w:tcW w:w="0" w:type="auto"/>
            <w:noWrap/>
            <w:vAlign w:val="center"/>
            <w:hideMark/>
          </w:tcPr>
          <w:p w14:paraId="797AE13E" w14:textId="18D0990E"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1.266.588 </w:t>
            </w:r>
          </w:p>
        </w:tc>
        <w:tc>
          <w:tcPr>
            <w:tcW w:w="0" w:type="auto"/>
            <w:noWrap/>
            <w:vAlign w:val="center"/>
            <w:hideMark/>
          </w:tcPr>
          <w:p w14:paraId="7A1FF777" w14:textId="52F79D73"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856.120 </w:t>
            </w:r>
          </w:p>
        </w:tc>
        <w:tc>
          <w:tcPr>
            <w:tcW w:w="0" w:type="auto"/>
            <w:noWrap/>
            <w:vAlign w:val="center"/>
            <w:hideMark/>
          </w:tcPr>
          <w:p w14:paraId="37657875" w14:textId="02ABA344"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3.211.393 </w:t>
            </w:r>
          </w:p>
        </w:tc>
      </w:tr>
      <w:tr w:rsidR="00183344" w:rsidRPr="00A003B6" w14:paraId="06396492"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noWrap/>
            <w:vAlign w:val="center"/>
            <w:hideMark/>
          </w:tcPr>
          <w:p w14:paraId="660469E2" w14:textId="77777777" w:rsidR="00183344" w:rsidRDefault="00183344" w:rsidP="001A6418">
            <w:pPr>
              <w:spacing w:before="40" w:after="40"/>
              <w:rPr>
                <w:rFonts w:ascii="Arial" w:hAnsi="Arial" w:cs="Arial"/>
                <w:color w:val="000000"/>
                <w:sz w:val="20"/>
                <w:szCs w:val="20"/>
              </w:rPr>
            </w:pPr>
            <w:r>
              <w:rPr>
                <w:rFonts w:ascii="Arial" w:hAnsi="Arial" w:cs="Arial"/>
                <w:color w:val="000000"/>
                <w:sz w:val="20"/>
                <w:szCs w:val="20"/>
              </w:rPr>
              <w:t>Septiembre</w:t>
            </w:r>
          </w:p>
        </w:tc>
        <w:tc>
          <w:tcPr>
            <w:tcW w:w="0" w:type="auto"/>
            <w:tcBorders>
              <w:bottom w:val="double" w:sz="4" w:space="0" w:color="4F81BD" w:themeColor="accent1"/>
            </w:tcBorders>
            <w:noWrap/>
            <w:vAlign w:val="center"/>
            <w:hideMark/>
          </w:tcPr>
          <w:p w14:paraId="525EEEC6" w14:textId="45DAFF3C"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1.266.588 </w:t>
            </w:r>
          </w:p>
        </w:tc>
        <w:tc>
          <w:tcPr>
            <w:tcW w:w="0" w:type="auto"/>
            <w:tcBorders>
              <w:bottom w:val="double" w:sz="4" w:space="0" w:color="4F81BD" w:themeColor="accent1"/>
            </w:tcBorders>
            <w:noWrap/>
            <w:vAlign w:val="center"/>
            <w:hideMark/>
          </w:tcPr>
          <w:p w14:paraId="1EFAFC72" w14:textId="425FB5E6"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856.120 </w:t>
            </w:r>
          </w:p>
        </w:tc>
        <w:tc>
          <w:tcPr>
            <w:tcW w:w="0" w:type="auto"/>
            <w:tcBorders>
              <w:bottom w:val="double" w:sz="4" w:space="0" w:color="4F81BD" w:themeColor="accent1"/>
            </w:tcBorders>
            <w:noWrap/>
            <w:vAlign w:val="center"/>
            <w:hideMark/>
          </w:tcPr>
          <w:p w14:paraId="1DB36514" w14:textId="53647F76"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2.956.462 </w:t>
            </w:r>
          </w:p>
        </w:tc>
      </w:tr>
      <w:tr w:rsidR="00183344" w:rsidRPr="00A003B6" w14:paraId="6B4893BE"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noWrap/>
            <w:vAlign w:val="center"/>
            <w:hideMark/>
          </w:tcPr>
          <w:p w14:paraId="62D3E045" w14:textId="77777777" w:rsidR="00183344" w:rsidRPr="008F20D1" w:rsidRDefault="00183344" w:rsidP="001A6418">
            <w:pPr>
              <w:spacing w:before="40" w:after="40"/>
              <w:rPr>
                <w:rFonts w:ascii="Arial" w:hAnsi="Arial" w:cs="Arial"/>
                <w:color w:val="000000"/>
                <w:sz w:val="20"/>
                <w:szCs w:val="20"/>
              </w:rPr>
            </w:pPr>
            <w:r w:rsidRPr="008F20D1">
              <w:rPr>
                <w:rFonts w:ascii="Arial" w:hAnsi="Arial" w:cs="Arial"/>
                <w:color w:val="000000"/>
                <w:sz w:val="20"/>
                <w:szCs w:val="20"/>
              </w:rPr>
              <w:t>Total</w:t>
            </w:r>
          </w:p>
        </w:tc>
        <w:tc>
          <w:tcPr>
            <w:tcW w:w="0" w:type="auto"/>
            <w:tcBorders>
              <w:top w:val="double" w:sz="4" w:space="0" w:color="4F81BD" w:themeColor="accent1"/>
              <w:bottom w:val="double" w:sz="4" w:space="0" w:color="4F81BD" w:themeColor="accent1"/>
            </w:tcBorders>
            <w:noWrap/>
            <w:vAlign w:val="center"/>
            <w:hideMark/>
          </w:tcPr>
          <w:p w14:paraId="754FAFD9" w14:textId="7778B94A"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3.799.764 </w:t>
            </w:r>
          </w:p>
        </w:tc>
        <w:tc>
          <w:tcPr>
            <w:tcW w:w="0" w:type="auto"/>
            <w:tcBorders>
              <w:top w:val="double" w:sz="4" w:space="0" w:color="4F81BD" w:themeColor="accent1"/>
              <w:bottom w:val="double" w:sz="4" w:space="0" w:color="4F81BD" w:themeColor="accent1"/>
            </w:tcBorders>
            <w:noWrap/>
            <w:vAlign w:val="center"/>
            <w:hideMark/>
          </w:tcPr>
          <w:p w14:paraId="0D1A108C" w14:textId="6DF6E3EF"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2.568.360 </w:t>
            </w:r>
          </w:p>
        </w:tc>
        <w:tc>
          <w:tcPr>
            <w:tcW w:w="0" w:type="auto"/>
            <w:tcBorders>
              <w:top w:val="double" w:sz="4" w:space="0" w:color="4F81BD" w:themeColor="accent1"/>
            </w:tcBorders>
            <w:noWrap/>
            <w:vAlign w:val="center"/>
            <w:hideMark/>
          </w:tcPr>
          <w:p w14:paraId="3BF96FF3" w14:textId="3472C3F7"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9.496.475 </w:t>
            </w:r>
          </w:p>
        </w:tc>
      </w:tr>
      <w:tr w:rsidR="00352897" w:rsidRPr="00A003B6" w14:paraId="05FA65F0"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4F81BD" w:themeColor="accent1"/>
            </w:tcBorders>
            <w:shd w:val="clear" w:color="auto" w:fill="4F81BD" w:themeFill="accent1"/>
            <w:noWrap/>
            <w:vAlign w:val="center"/>
            <w:hideMark/>
          </w:tcPr>
          <w:p w14:paraId="5A58D163" w14:textId="77777777" w:rsidR="00352897" w:rsidRPr="008F20D1" w:rsidRDefault="00352897" w:rsidP="001A6418">
            <w:pPr>
              <w:spacing w:before="40" w:after="40"/>
              <w:jc w:val="center"/>
              <w:rPr>
                <w:rFonts w:ascii="Arial" w:hAnsi="Arial" w:cs="Arial"/>
                <w:color w:val="FFFFFF" w:themeColor="background1"/>
                <w:sz w:val="20"/>
                <w:szCs w:val="20"/>
              </w:rPr>
            </w:pPr>
            <w:r w:rsidRPr="008F20D1">
              <w:rPr>
                <w:rFonts w:ascii="Arial" w:hAnsi="Arial" w:cs="Arial"/>
                <w:color w:val="FFFFFF" w:themeColor="background1"/>
                <w:sz w:val="20"/>
                <w:szCs w:val="20"/>
              </w:rPr>
              <w:t>Periodo</w:t>
            </w:r>
          </w:p>
        </w:tc>
        <w:tc>
          <w:tcPr>
            <w:tcW w:w="0" w:type="auto"/>
            <w:gridSpan w:val="3"/>
            <w:tcBorders>
              <w:top w:val="double" w:sz="4" w:space="0" w:color="4F81BD" w:themeColor="accent1"/>
            </w:tcBorders>
            <w:shd w:val="clear" w:color="auto" w:fill="4F81BD" w:themeFill="accent1"/>
            <w:noWrap/>
            <w:vAlign w:val="center"/>
            <w:hideMark/>
          </w:tcPr>
          <w:p w14:paraId="1C65BC6D" w14:textId="77777777" w:rsidR="00352897" w:rsidRPr="008F20D1" w:rsidRDefault="00352897" w:rsidP="001A641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F20D1">
              <w:rPr>
                <w:rFonts w:ascii="Arial" w:hAnsi="Arial" w:cs="Arial"/>
                <w:b/>
                <w:bCs/>
                <w:color w:val="FFFFFF" w:themeColor="background1"/>
                <w:sz w:val="20"/>
                <w:szCs w:val="20"/>
              </w:rPr>
              <w:t xml:space="preserve"> Valor Facturado </w:t>
            </w:r>
            <w:r w:rsidR="0079219A">
              <w:rPr>
                <w:rFonts w:ascii="Arial" w:hAnsi="Arial" w:cs="Arial"/>
                <w:b/>
                <w:bCs/>
                <w:color w:val="FFFFFF" w:themeColor="background1"/>
                <w:sz w:val="20"/>
                <w:szCs w:val="20"/>
              </w:rPr>
              <w:t>I</w:t>
            </w:r>
            <w:r w:rsidRPr="008F20D1">
              <w:rPr>
                <w:rFonts w:ascii="Arial" w:hAnsi="Arial" w:cs="Arial"/>
                <w:b/>
                <w:bCs/>
                <w:color w:val="FFFFFF" w:themeColor="background1"/>
                <w:sz w:val="20"/>
                <w:szCs w:val="20"/>
              </w:rPr>
              <w:t xml:space="preserve">II Trimestre de 2018 ($) </w:t>
            </w:r>
          </w:p>
        </w:tc>
      </w:tr>
      <w:tr w:rsidR="008F795D" w:rsidRPr="00A003B6" w14:paraId="60EE4D79"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72254E79" w14:textId="77777777" w:rsidR="00352897" w:rsidRPr="008F20D1" w:rsidRDefault="00352897" w:rsidP="001A6418">
            <w:pPr>
              <w:spacing w:before="40" w:after="40"/>
              <w:rPr>
                <w:rFonts w:ascii="Arial" w:hAnsi="Arial" w:cs="Arial"/>
                <w:color w:val="FFFFFF" w:themeColor="background1"/>
                <w:sz w:val="20"/>
                <w:szCs w:val="20"/>
              </w:rPr>
            </w:pPr>
          </w:p>
        </w:tc>
        <w:tc>
          <w:tcPr>
            <w:tcW w:w="0" w:type="auto"/>
            <w:shd w:val="clear" w:color="auto" w:fill="4F81BD" w:themeFill="accent1"/>
            <w:noWrap/>
            <w:vAlign w:val="center"/>
            <w:hideMark/>
          </w:tcPr>
          <w:p w14:paraId="1C407132" w14:textId="0683EF77" w:rsidR="00352897" w:rsidRPr="008F20D1" w:rsidRDefault="00352897" w:rsidP="00BE724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F20D1">
              <w:rPr>
                <w:rFonts w:ascii="Arial" w:hAnsi="Arial" w:cs="Arial"/>
                <w:b/>
                <w:bCs/>
                <w:color w:val="FFFFFF" w:themeColor="background1"/>
                <w:sz w:val="20"/>
                <w:szCs w:val="20"/>
              </w:rPr>
              <w:t>Avantel</w:t>
            </w:r>
          </w:p>
        </w:tc>
        <w:tc>
          <w:tcPr>
            <w:tcW w:w="0" w:type="auto"/>
            <w:shd w:val="clear" w:color="auto" w:fill="4F81BD" w:themeFill="accent1"/>
            <w:noWrap/>
            <w:vAlign w:val="center"/>
            <w:hideMark/>
          </w:tcPr>
          <w:p w14:paraId="6F433ABE" w14:textId="540E79B3" w:rsidR="00352897" w:rsidRPr="008F20D1" w:rsidRDefault="00352897" w:rsidP="00BE724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F20D1">
              <w:rPr>
                <w:rFonts w:ascii="Arial" w:hAnsi="Arial" w:cs="Arial"/>
                <w:b/>
                <w:bCs/>
                <w:color w:val="FFFFFF" w:themeColor="background1"/>
                <w:sz w:val="20"/>
                <w:szCs w:val="20"/>
              </w:rPr>
              <w:t>Claro</w:t>
            </w:r>
          </w:p>
        </w:tc>
        <w:tc>
          <w:tcPr>
            <w:tcW w:w="0" w:type="auto"/>
            <w:shd w:val="clear" w:color="auto" w:fill="4F81BD" w:themeFill="accent1"/>
            <w:noWrap/>
            <w:vAlign w:val="center"/>
            <w:hideMark/>
          </w:tcPr>
          <w:p w14:paraId="013171FB" w14:textId="5421B8AE" w:rsidR="00352897" w:rsidRPr="008F20D1" w:rsidRDefault="00352897" w:rsidP="00BE724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F20D1">
              <w:rPr>
                <w:rFonts w:ascii="Arial" w:hAnsi="Arial" w:cs="Arial"/>
                <w:b/>
                <w:bCs/>
                <w:color w:val="FFFFFF" w:themeColor="background1"/>
                <w:sz w:val="20"/>
                <w:szCs w:val="20"/>
              </w:rPr>
              <w:t>Movistar</w:t>
            </w:r>
          </w:p>
        </w:tc>
      </w:tr>
      <w:tr w:rsidR="00182546" w:rsidRPr="00A003B6" w14:paraId="1B0241B2"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1F0A01" w14:textId="6D5A2D36" w:rsidR="00182546" w:rsidRPr="008F20D1" w:rsidRDefault="00182546" w:rsidP="00182546">
            <w:pPr>
              <w:spacing w:before="40" w:after="40"/>
              <w:rPr>
                <w:rFonts w:ascii="Arial" w:hAnsi="Arial" w:cs="Arial"/>
                <w:color w:val="000000"/>
                <w:sz w:val="20"/>
                <w:szCs w:val="20"/>
              </w:rPr>
            </w:pPr>
            <w:r>
              <w:rPr>
                <w:rFonts w:ascii="Arial" w:hAnsi="Arial" w:cs="Arial"/>
                <w:color w:val="000000"/>
                <w:sz w:val="20"/>
                <w:szCs w:val="20"/>
              </w:rPr>
              <w:t xml:space="preserve">Julio </w:t>
            </w:r>
          </w:p>
        </w:tc>
        <w:tc>
          <w:tcPr>
            <w:tcW w:w="0" w:type="auto"/>
            <w:noWrap/>
            <w:vAlign w:val="center"/>
            <w:hideMark/>
          </w:tcPr>
          <w:p w14:paraId="0ECF8EA6" w14:textId="5AECC6A7" w:rsidR="00182546" w:rsidRPr="00FB7EA4" w:rsidRDefault="00182546" w:rsidP="0018254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1.212.042 </w:t>
            </w:r>
          </w:p>
        </w:tc>
        <w:tc>
          <w:tcPr>
            <w:tcW w:w="0" w:type="auto"/>
            <w:noWrap/>
            <w:vAlign w:val="center"/>
            <w:hideMark/>
          </w:tcPr>
          <w:p w14:paraId="4BA03851" w14:textId="0246ADC4" w:rsidR="00182546" w:rsidRPr="00FB7EA4" w:rsidRDefault="00182546" w:rsidP="0018254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827.971 </w:t>
            </w:r>
          </w:p>
        </w:tc>
        <w:tc>
          <w:tcPr>
            <w:tcW w:w="0" w:type="auto"/>
            <w:noWrap/>
            <w:vAlign w:val="center"/>
            <w:hideMark/>
          </w:tcPr>
          <w:p w14:paraId="5C9D563D" w14:textId="4263831C" w:rsidR="00182546" w:rsidRPr="00FB7EA4" w:rsidRDefault="00182546" w:rsidP="0018254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3.092.119 </w:t>
            </w:r>
          </w:p>
        </w:tc>
      </w:tr>
      <w:tr w:rsidR="00182546" w:rsidRPr="00A003B6" w14:paraId="48D95DE5"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9F13D8" w14:textId="132F5218" w:rsidR="00182546" w:rsidRPr="008F20D1" w:rsidRDefault="00182546" w:rsidP="00182546">
            <w:pPr>
              <w:spacing w:before="40" w:after="40"/>
              <w:rPr>
                <w:rFonts w:ascii="Arial" w:hAnsi="Arial" w:cs="Arial"/>
                <w:color w:val="000000"/>
                <w:sz w:val="20"/>
                <w:szCs w:val="20"/>
              </w:rPr>
            </w:pPr>
            <w:r>
              <w:rPr>
                <w:rFonts w:ascii="Arial" w:hAnsi="Arial" w:cs="Arial"/>
                <w:color w:val="000000"/>
                <w:sz w:val="20"/>
                <w:szCs w:val="20"/>
              </w:rPr>
              <w:t>Agosto</w:t>
            </w:r>
          </w:p>
        </w:tc>
        <w:tc>
          <w:tcPr>
            <w:tcW w:w="0" w:type="auto"/>
            <w:noWrap/>
            <w:vAlign w:val="center"/>
            <w:hideMark/>
          </w:tcPr>
          <w:p w14:paraId="31C91891" w14:textId="4C8EFF62" w:rsidR="00182546" w:rsidRPr="00FB7EA4" w:rsidRDefault="00182546" w:rsidP="0018254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1.212.042 </w:t>
            </w:r>
          </w:p>
        </w:tc>
        <w:tc>
          <w:tcPr>
            <w:tcW w:w="0" w:type="auto"/>
            <w:noWrap/>
            <w:vAlign w:val="center"/>
            <w:hideMark/>
          </w:tcPr>
          <w:p w14:paraId="0AC03704" w14:textId="79FDBCB8" w:rsidR="00182546" w:rsidRPr="00FB7EA4" w:rsidRDefault="00182546" w:rsidP="0018254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827.971 </w:t>
            </w:r>
          </w:p>
        </w:tc>
        <w:tc>
          <w:tcPr>
            <w:tcW w:w="0" w:type="auto"/>
            <w:noWrap/>
            <w:vAlign w:val="center"/>
            <w:hideMark/>
          </w:tcPr>
          <w:p w14:paraId="0B0B3ABF" w14:textId="5E9161E1" w:rsidR="00182546" w:rsidRPr="00FB7EA4" w:rsidRDefault="00182546" w:rsidP="0018254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2.382.847 </w:t>
            </w:r>
          </w:p>
        </w:tc>
      </w:tr>
      <w:tr w:rsidR="00182546" w:rsidRPr="00A003B6" w14:paraId="52C0534D"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noWrap/>
            <w:vAlign w:val="center"/>
            <w:hideMark/>
          </w:tcPr>
          <w:p w14:paraId="55F3EFFC" w14:textId="09D6A3E2" w:rsidR="00182546" w:rsidRPr="008F20D1" w:rsidRDefault="00182546" w:rsidP="00182546">
            <w:pPr>
              <w:spacing w:before="40" w:after="40"/>
              <w:rPr>
                <w:rFonts w:ascii="Arial" w:hAnsi="Arial" w:cs="Arial"/>
                <w:color w:val="000000"/>
                <w:sz w:val="20"/>
                <w:szCs w:val="20"/>
              </w:rPr>
            </w:pPr>
            <w:r>
              <w:rPr>
                <w:rFonts w:ascii="Arial" w:hAnsi="Arial" w:cs="Arial"/>
                <w:color w:val="000000"/>
                <w:sz w:val="20"/>
                <w:szCs w:val="20"/>
              </w:rPr>
              <w:t>Septiembre</w:t>
            </w:r>
          </w:p>
        </w:tc>
        <w:tc>
          <w:tcPr>
            <w:tcW w:w="0" w:type="auto"/>
            <w:tcBorders>
              <w:bottom w:val="double" w:sz="4" w:space="0" w:color="4F81BD" w:themeColor="accent1"/>
            </w:tcBorders>
            <w:noWrap/>
            <w:vAlign w:val="center"/>
            <w:hideMark/>
          </w:tcPr>
          <w:p w14:paraId="0A4A6F91" w14:textId="5D047F82" w:rsidR="00182546" w:rsidRPr="00FB7EA4" w:rsidRDefault="00182546" w:rsidP="0018254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1.094.744 </w:t>
            </w:r>
          </w:p>
        </w:tc>
        <w:tc>
          <w:tcPr>
            <w:tcW w:w="0" w:type="auto"/>
            <w:tcBorders>
              <w:bottom w:val="double" w:sz="4" w:space="0" w:color="4F81BD" w:themeColor="accent1"/>
            </w:tcBorders>
            <w:noWrap/>
            <w:vAlign w:val="center"/>
            <w:hideMark/>
          </w:tcPr>
          <w:p w14:paraId="64A6B90F" w14:textId="5ED3890B" w:rsidR="00182546" w:rsidRPr="00FB7EA4" w:rsidRDefault="00182546" w:rsidP="0018254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827.971 </w:t>
            </w:r>
          </w:p>
        </w:tc>
        <w:tc>
          <w:tcPr>
            <w:tcW w:w="0" w:type="auto"/>
            <w:tcBorders>
              <w:bottom w:val="double" w:sz="4" w:space="0" w:color="4F81BD" w:themeColor="accent1"/>
            </w:tcBorders>
            <w:noWrap/>
            <w:vAlign w:val="center"/>
            <w:hideMark/>
          </w:tcPr>
          <w:p w14:paraId="6B1654CE" w14:textId="6F8EE001" w:rsidR="00182546" w:rsidRPr="00FB7EA4" w:rsidRDefault="00182546" w:rsidP="0018254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2.997.547 </w:t>
            </w:r>
          </w:p>
        </w:tc>
      </w:tr>
      <w:tr w:rsidR="00183344" w:rsidRPr="00A003B6" w14:paraId="3FBFD226"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noWrap/>
            <w:vAlign w:val="center"/>
            <w:hideMark/>
          </w:tcPr>
          <w:p w14:paraId="3748A38A" w14:textId="77777777" w:rsidR="00183344" w:rsidRPr="008F20D1" w:rsidRDefault="00183344" w:rsidP="001A6418">
            <w:pPr>
              <w:spacing w:before="40" w:after="40"/>
              <w:rPr>
                <w:rFonts w:ascii="Arial" w:hAnsi="Arial" w:cs="Arial"/>
                <w:color w:val="000000"/>
                <w:sz w:val="20"/>
                <w:szCs w:val="20"/>
              </w:rPr>
            </w:pPr>
            <w:r w:rsidRPr="008F20D1">
              <w:rPr>
                <w:rFonts w:ascii="Arial" w:hAnsi="Arial" w:cs="Arial"/>
                <w:color w:val="000000"/>
                <w:sz w:val="20"/>
                <w:szCs w:val="20"/>
              </w:rPr>
              <w:t>Total</w:t>
            </w:r>
          </w:p>
        </w:tc>
        <w:tc>
          <w:tcPr>
            <w:tcW w:w="0" w:type="auto"/>
            <w:tcBorders>
              <w:top w:val="double" w:sz="4" w:space="0" w:color="4F81BD" w:themeColor="accent1"/>
              <w:bottom w:val="double" w:sz="4" w:space="0" w:color="4F81BD" w:themeColor="accent1"/>
            </w:tcBorders>
            <w:noWrap/>
            <w:vAlign w:val="center"/>
            <w:hideMark/>
          </w:tcPr>
          <w:p w14:paraId="78B6B48E" w14:textId="1280586E"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3.518.828 </w:t>
            </w:r>
          </w:p>
        </w:tc>
        <w:tc>
          <w:tcPr>
            <w:tcW w:w="0" w:type="auto"/>
            <w:tcBorders>
              <w:top w:val="double" w:sz="4" w:space="0" w:color="4F81BD" w:themeColor="accent1"/>
              <w:bottom w:val="double" w:sz="4" w:space="0" w:color="4F81BD" w:themeColor="accent1"/>
            </w:tcBorders>
            <w:noWrap/>
            <w:vAlign w:val="center"/>
            <w:hideMark/>
          </w:tcPr>
          <w:p w14:paraId="14399A1C" w14:textId="39F5DF48"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2.483.913 </w:t>
            </w:r>
          </w:p>
        </w:tc>
        <w:tc>
          <w:tcPr>
            <w:tcW w:w="0" w:type="auto"/>
            <w:tcBorders>
              <w:top w:val="double" w:sz="4" w:space="0" w:color="4F81BD" w:themeColor="accent1"/>
              <w:bottom w:val="double" w:sz="4" w:space="0" w:color="4F81BD" w:themeColor="accent1"/>
            </w:tcBorders>
            <w:noWrap/>
            <w:vAlign w:val="center"/>
            <w:hideMark/>
          </w:tcPr>
          <w:p w14:paraId="00D9D4A8" w14:textId="5D513A51" w:rsidR="00183344" w:rsidRPr="00FB7EA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8.472.513 </w:t>
            </w:r>
          </w:p>
        </w:tc>
      </w:tr>
      <w:tr w:rsidR="00183344" w:rsidRPr="00A003B6" w14:paraId="4EEBE04D"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4F81BD" w:themeColor="accent1"/>
            </w:tcBorders>
            <w:shd w:val="clear" w:color="auto" w:fill="4F81BD" w:themeFill="accent1"/>
            <w:noWrap/>
            <w:vAlign w:val="center"/>
            <w:hideMark/>
          </w:tcPr>
          <w:p w14:paraId="3CEDE096" w14:textId="77777777" w:rsidR="00183344" w:rsidRPr="008F20D1" w:rsidRDefault="00183344" w:rsidP="001A6418">
            <w:pPr>
              <w:spacing w:before="40" w:after="40"/>
              <w:jc w:val="center"/>
              <w:rPr>
                <w:rFonts w:ascii="Arial" w:hAnsi="Arial" w:cs="Arial"/>
                <w:color w:val="FFFFFF" w:themeColor="background1"/>
                <w:sz w:val="20"/>
                <w:szCs w:val="20"/>
              </w:rPr>
            </w:pPr>
            <w:r w:rsidRPr="008F20D1">
              <w:rPr>
                <w:rFonts w:ascii="Arial" w:hAnsi="Arial" w:cs="Arial"/>
                <w:color w:val="FFFFFF" w:themeColor="background1"/>
                <w:sz w:val="20"/>
                <w:szCs w:val="20"/>
              </w:rPr>
              <w:t>Variaciones</w:t>
            </w:r>
          </w:p>
        </w:tc>
        <w:tc>
          <w:tcPr>
            <w:tcW w:w="0" w:type="auto"/>
            <w:tcBorders>
              <w:top w:val="double" w:sz="4" w:space="0" w:color="4F81BD" w:themeColor="accent1"/>
            </w:tcBorders>
            <w:shd w:val="clear" w:color="auto" w:fill="4F81BD" w:themeFill="accent1"/>
            <w:noWrap/>
            <w:vAlign w:val="center"/>
            <w:hideMark/>
          </w:tcPr>
          <w:p w14:paraId="0CCDA533" w14:textId="2D26004C" w:rsidR="00183344" w:rsidRPr="0018334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83344">
              <w:rPr>
                <w:rFonts w:ascii="Arial" w:hAnsi="Arial" w:cs="Arial"/>
                <w:b/>
                <w:bCs/>
                <w:color w:val="FFFFFF" w:themeColor="background1"/>
                <w:sz w:val="20"/>
                <w:szCs w:val="20"/>
              </w:rPr>
              <w:t xml:space="preserve">                280.936 </w:t>
            </w:r>
          </w:p>
        </w:tc>
        <w:tc>
          <w:tcPr>
            <w:tcW w:w="0" w:type="auto"/>
            <w:tcBorders>
              <w:top w:val="double" w:sz="4" w:space="0" w:color="4F81BD" w:themeColor="accent1"/>
            </w:tcBorders>
            <w:shd w:val="clear" w:color="auto" w:fill="4F81BD" w:themeFill="accent1"/>
            <w:noWrap/>
            <w:vAlign w:val="center"/>
            <w:hideMark/>
          </w:tcPr>
          <w:p w14:paraId="48474CAD" w14:textId="09D0B8FC" w:rsidR="00183344" w:rsidRPr="0018334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83344">
              <w:rPr>
                <w:rFonts w:ascii="Arial" w:hAnsi="Arial" w:cs="Arial"/>
                <w:b/>
                <w:bCs/>
                <w:color w:val="FFFFFF" w:themeColor="background1"/>
                <w:sz w:val="20"/>
                <w:szCs w:val="20"/>
              </w:rPr>
              <w:t xml:space="preserve">                 84.447 </w:t>
            </w:r>
          </w:p>
        </w:tc>
        <w:tc>
          <w:tcPr>
            <w:tcW w:w="0" w:type="auto"/>
            <w:tcBorders>
              <w:top w:val="double" w:sz="4" w:space="0" w:color="4F81BD" w:themeColor="accent1"/>
            </w:tcBorders>
            <w:shd w:val="clear" w:color="auto" w:fill="4F81BD" w:themeFill="accent1"/>
            <w:noWrap/>
            <w:vAlign w:val="center"/>
            <w:hideMark/>
          </w:tcPr>
          <w:p w14:paraId="725556B2" w14:textId="0CDFA0B6" w:rsidR="00183344" w:rsidRPr="00183344" w:rsidRDefault="00183344" w:rsidP="001A64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83344">
              <w:rPr>
                <w:rFonts w:ascii="Arial" w:hAnsi="Arial" w:cs="Arial"/>
                <w:b/>
                <w:bCs/>
                <w:color w:val="FFFFFF" w:themeColor="background1"/>
                <w:sz w:val="20"/>
                <w:szCs w:val="20"/>
              </w:rPr>
              <w:t xml:space="preserve">        1.023.962 </w:t>
            </w:r>
          </w:p>
        </w:tc>
      </w:tr>
      <w:tr w:rsidR="00183344" w:rsidRPr="00A003B6" w14:paraId="5C124175" w14:textId="77777777" w:rsidTr="001A6418">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4A08CAB4" w14:textId="77777777" w:rsidR="00183344" w:rsidRPr="00A003B6" w:rsidRDefault="00183344" w:rsidP="001A6418">
            <w:pPr>
              <w:spacing w:before="40" w:after="40"/>
              <w:rPr>
                <w:rFonts w:ascii="Arial" w:hAnsi="Arial" w:cs="Arial"/>
                <w:color w:val="FFFFFF" w:themeColor="background1"/>
                <w:sz w:val="20"/>
                <w:szCs w:val="20"/>
                <w:highlight w:val="yellow"/>
              </w:rPr>
            </w:pPr>
          </w:p>
        </w:tc>
        <w:tc>
          <w:tcPr>
            <w:tcW w:w="0" w:type="auto"/>
            <w:shd w:val="clear" w:color="auto" w:fill="4F81BD" w:themeFill="accent1"/>
            <w:noWrap/>
            <w:vAlign w:val="center"/>
            <w:hideMark/>
          </w:tcPr>
          <w:p w14:paraId="4E554856" w14:textId="661A24BE" w:rsidR="00183344" w:rsidRPr="00183344" w:rsidRDefault="00183344" w:rsidP="001A641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83344">
              <w:rPr>
                <w:rFonts w:ascii="Arial" w:hAnsi="Arial" w:cs="Arial"/>
                <w:b/>
                <w:bCs/>
                <w:color w:val="FFFFFF" w:themeColor="background1"/>
                <w:sz w:val="20"/>
                <w:szCs w:val="20"/>
              </w:rPr>
              <w:t>8%</w:t>
            </w:r>
          </w:p>
        </w:tc>
        <w:tc>
          <w:tcPr>
            <w:tcW w:w="0" w:type="auto"/>
            <w:shd w:val="clear" w:color="auto" w:fill="4F81BD" w:themeFill="accent1"/>
            <w:noWrap/>
            <w:vAlign w:val="center"/>
            <w:hideMark/>
          </w:tcPr>
          <w:p w14:paraId="38C4E921" w14:textId="73734489" w:rsidR="00183344" w:rsidRPr="00183344" w:rsidRDefault="00183344" w:rsidP="001A641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83344">
              <w:rPr>
                <w:rFonts w:ascii="Arial" w:hAnsi="Arial" w:cs="Arial"/>
                <w:b/>
                <w:bCs/>
                <w:color w:val="FFFFFF" w:themeColor="background1"/>
                <w:sz w:val="20"/>
                <w:szCs w:val="20"/>
              </w:rPr>
              <w:t>3%</w:t>
            </w:r>
          </w:p>
        </w:tc>
        <w:tc>
          <w:tcPr>
            <w:tcW w:w="0" w:type="auto"/>
            <w:shd w:val="clear" w:color="auto" w:fill="4F81BD" w:themeFill="accent1"/>
            <w:noWrap/>
            <w:vAlign w:val="center"/>
            <w:hideMark/>
          </w:tcPr>
          <w:p w14:paraId="75306150" w14:textId="670E0005" w:rsidR="00183344" w:rsidRPr="00183344" w:rsidRDefault="00183344" w:rsidP="001A641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83344">
              <w:rPr>
                <w:rFonts w:ascii="Arial" w:hAnsi="Arial" w:cs="Arial"/>
                <w:b/>
                <w:bCs/>
                <w:color w:val="FFFFFF" w:themeColor="background1"/>
                <w:sz w:val="20"/>
                <w:szCs w:val="20"/>
              </w:rPr>
              <w:t>12%</w:t>
            </w:r>
          </w:p>
        </w:tc>
      </w:tr>
    </w:tbl>
    <w:p w14:paraId="3C4F15A4" w14:textId="578C92FF" w:rsidR="0048483E" w:rsidRDefault="0048483E" w:rsidP="00F25A26">
      <w:pPr>
        <w:jc w:val="both"/>
        <w:rPr>
          <w:rFonts w:ascii="Arial" w:hAnsi="Arial" w:cs="Arial"/>
          <w:sz w:val="22"/>
          <w:szCs w:val="22"/>
        </w:rPr>
      </w:pPr>
    </w:p>
    <w:p w14:paraId="0A5D516F" w14:textId="77777777" w:rsidR="009F6134" w:rsidRDefault="009F6134" w:rsidP="00F25A26">
      <w:pPr>
        <w:jc w:val="both"/>
        <w:rPr>
          <w:rFonts w:ascii="Arial" w:hAnsi="Arial" w:cs="Arial"/>
          <w:sz w:val="22"/>
          <w:szCs w:val="22"/>
        </w:rPr>
      </w:pPr>
    </w:p>
    <w:p w14:paraId="40FDFC49" w14:textId="1AEE4118" w:rsidR="005F467B" w:rsidRPr="00297C93" w:rsidRDefault="00AA5CCE" w:rsidP="00F25A26">
      <w:pPr>
        <w:jc w:val="both"/>
        <w:rPr>
          <w:rFonts w:ascii="Arial" w:hAnsi="Arial" w:cs="Arial"/>
          <w:sz w:val="22"/>
          <w:szCs w:val="22"/>
        </w:rPr>
      </w:pPr>
      <w:r w:rsidRPr="00297C93">
        <w:rPr>
          <w:rFonts w:ascii="Arial" w:hAnsi="Arial" w:cs="Arial"/>
          <w:sz w:val="22"/>
          <w:szCs w:val="22"/>
        </w:rPr>
        <w:t xml:space="preserve">Del análisis comparativo, se </w:t>
      </w:r>
      <w:r w:rsidR="004B41FE" w:rsidRPr="00297C93">
        <w:rPr>
          <w:rFonts w:ascii="Arial" w:hAnsi="Arial" w:cs="Arial"/>
          <w:sz w:val="22"/>
          <w:szCs w:val="22"/>
        </w:rPr>
        <w:t xml:space="preserve">evidenciaron </w:t>
      </w:r>
      <w:r w:rsidR="00B835CE" w:rsidRPr="00297C93">
        <w:rPr>
          <w:rFonts w:ascii="Arial" w:hAnsi="Arial" w:cs="Arial"/>
          <w:b/>
          <w:sz w:val="22"/>
          <w:szCs w:val="22"/>
        </w:rPr>
        <w:t>incrementos</w:t>
      </w:r>
      <w:r w:rsidR="00B835CE" w:rsidRPr="00297C93">
        <w:rPr>
          <w:rFonts w:ascii="Arial" w:hAnsi="Arial" w:cs="Arial"/>
          <w:sz w:val="22"/>
          <w:szCs w:val="22"/>
        </w:rPr>
        <w:t xml:space="preserve"> </w:t>
      </w:r>
      <w:r w:rsidRPr="00297C93">
        <w:rPr>
          <w:rFonts w:ascii="Arial" w:hAnsi="Arial" w:cs="Arial"/>
          <w:sz w:val="22"/>
          <w:szCs w:val="22"/>
        </w:rPr>
        <w:t xml:space="preserve">en el servicio de telefonía celular </w:t>
      </w:r>
      <w:r w:rsidR="00684271">
        <w:rPr>
          <w:rFonts w:ascii="Arial" w:hAnsi="Arial" w:cs="Arial"/>
          <w:sz w:val="22"/>
          <w:szCs w:val="22"/>
        </w:rPr>
        <w:t xml:space="preserve">prestado por las empresas de </w:t>
      </w:r>
      <w:r w:rsidR="00B835CE" w:rsidRPr="00297C93">
        <w:rPr>
          <w:rFonts w:ascii="Arial" w:hAnsi="Arial" w:cs="Arial"/>
          <w:sz w:val="22"/>
          <w:szCs w:val="22"/>
        </w:rPr>
        <w:t>Avantel S.A.S, Comunicación Celular Comcel S A</w:t>
      </w:r>
      <w:r w:rsidR="00824A74">
        <w:rPr>
          <w:rFonts w:ascii="Arial" w:hAnsi="Arial" w:cs="Arial"/>
          <w:sz w:val="22"/>
          <w:szCs w:val="22"/>
        </w:rPr>
        <w:t xml:space="preserve"> [Claro]</w:t>
      </w:r>
      <w:r w:rsidR="00B835CE" w:rsidRPr="00297C93">
        <w:rPr>
          <w:rFonts w:ascii="Arial" w:hAnsi="Arial" w:cs="Arial"/>
          <w:sz w:val="22"/>
          <w:szCs w:val="22"/>
        </w:rPr>
        <w:t xml:space="preserve"> </w:t>
      </w:r>
      <w:r w:rsidR="004B41FE" w:rsidRPr="00297C93">
        <w:rPr>
          <w:rFonts w:ascii="Arial" w:hAnsi="Arial" w:cs="Arial"/>
          <w:sz w:val="22"/>
          <w:szCs w:val="22"/>
        </w:rPr>
        <w:t xml:space="preserve">y </w:t>
      </w:r>
      <w:r w:rsidR="00B835CE" w:rsidRPr="00297C93">
        <w:rPr>
          <w:rFonts w:ascii="Arial" w:hAnsi="Arial" w:cs="Arial"/>
          <w:sz w:val="22"/>
          <w:szCs w:val="22"/>
        </w:rPr>
        <w:t>Colombia Telecomunicaciones S.A.</w:t>
      </w:r>
      <w:r w:rsidR="00824A74">
        <w:rPr>
          <w:rFonts w:ascii="Arial" w:hAnsi="Arial" w:cs="Arial"/>
          <w:sz w:val="22"/>
          <w:szCs w:val="22"/>
        </w:rPr>
        <w:t xml:space="preserve"> [Movistar</w:t>
      </w:r>
      <w:r w:rsidR="009F6134">
        <w:rPr>
          <w:rFonts w:ascii="Arial" w:hAnsi="Arial" w:cs="Arial"/>
          <w:sz w:val="22"/>
          <w:szCs w:val="22"/>
        </w:rPr>
        <w:t>],</w:t>
      </w:r>
      <w:r w:rsidR="009F6134" w:rsidRPr="00297C93">
        <w:rPr>
          <w:rFonts w:ascii="Arial" w:hAnsi="Arial" w:cs="Arial"/>
          <w:sz w:val="22"/>
          <w:szCs w:val="22"/>
        </w:rPr>
        <w:t xml:space="preserve"> correspondiente</w:t>
      </w:r>
      <w:r w:rsidRPr="00297C93">
        <w:rPr>
          <w:rFonts w:ascii="Arial" w:hAnsi="Arial" w:cs="Arial"/>
          <w:sz w:val="22"/>
          <w:szCs w:val="22"/>
        </w:rPr>
        <w:t xml:space="preserve"> </w:t>
      </w:r>
      <w:r w:rsidR="00B835CE" w:rsidRPr="00297C93">
        <w:rPr>
          <w:rFonts w:ascii="Arial" w:hAnsi="Arial" w:cs="Arial"/>
          <w:sz w:val="22"/>
          <w:szCs w:val="22"/>
        </w:rPr>
        <w:t xml:space="preserve">al </w:t>
      </w:r>
      <w:r w:rsidR="00824A74">
        <w:rPr>
          <w:rFonts w:ascii="Arial" w:hAnsi="Arial" w:cs="Arial"/>
          <w:sz w:val="22"/>
          <w:szCs w:val="22"/>
        </w:rPr>
        <w:t>8</w:t>
      </w:r>
      <w:r w:rsidR="00B835CE" w:rsidRPr="00297C93">
        <w:rPr>
          <w:rFonts w:ascii="Arial" w:hAnsi="Arial" w:cs="Arial"/>
          <w:sz w:val="22"/>
          <w:szCs w:val="22"/>
        </w:rPr>
        <w:t>%, 3</w:t>
      </w:r>
      <w:r w:rsidR="00824A74">
        <w:rPr>
          <w:rFonts w:ascii="Arial" w:hAnsi="Arial" w:cs="Arial"/>
          <w:sz w:val="22"/>
          <w:szCs w:val="22"/>
        </w:rPr>
        <w:t>%</w:t>
      </w:r>
      <w:r w:rsidR="00B835CE" w:rsidRPr="00297C93">
        <w:rPr>
          <w:rFonts w:ascii="Arial" w:hAnsi="Arial" w:cs="Arial"/>
          <w:sz w:val="22"/>
          <w:szCs w:val="22"/>
        </w:rPr>
        <w:t xml:space="preserve"> y </w:t>
      </w:r>
      <w:r w:rsidR="00824A74">
        <w:rPr>
          <w:rFonts w:ascii="Arial" w:hAnsi="Arial" w:cs="Arial"/>
          <w:sz w:val="22"/>
          <w:szCs w:val="22"/>
        </w:rPr>
        <w:t>12</w:t>
      </w:r>
      <w:r w:rsidRPr="00297C93">
        <w:rPr>
          <w:rFonts w:ascii="Arial" w:hAnsi="Arial" w:cs="Arial"/>
          <w:sz w:val="22"/>
          <w:szCs w:val="22"/>
        </w:rPr>
        <w:t>% respectivamente.</w:t>
      </w:r>
      <w:r w:rsidR="004B41FE" w:rsidRPr="00297C93">
        <w:rPr>
          <w:rFonts w:ascii="Arial" w:hAnsi="Arial" w:cs="Arial"/>
          <w:sz w:val="22"/>
          <w:szCs w:val="22"/>
        </w:rPr>
        <w:t xml:space="preserve"> </w:t>
      </w:r>
      <w:r w:rsidRPr="00297C93">
        <w:rPr>
          <w:rFonts w:ascii="Arial" w:hAnsi="Arial" w:cs="Arial"/>
          <w:sz w:val="22"/>
          <w:szCs w:val="22"/>
        </w:rPr>
        <w:t xml:space="preserve">En resumen, para el </w:t>
      </w:r>
      <w:r w:rsidR="009F6134">
        <w:rPr>
          <w:rFonts w:ascii="Arial" w:hAnsi="Arial" w:cs="Arial"/>
          <w:sz w:val="22"/>
          <w:szCs w:val="22"/>
        </w:rPr>
        <w:t xml:space="preserve">tercer </w:t>
      </w:r>
      <w:r w:rsidR="001E521F" w:rsidRPr="00297C93">
        <w:rPr>
          <w:rFonts w:ascii="Arial" w:hAnsi="Arial" w:cs="Arial"/>
          <w:sz w:val="22"/>
          <w:szCs w:val="22"/>
        </w:rPr>
        <w:t xml:space="preserve">trimestre </w:t>
      </w:r>
      <w:r w:rsidR="00F14EC5" w:rsidRPr="00297C93">
        <w:rPr>
          <w:rFonts w:ascii="Arial" w:hAnsi="Arial" w:cs="Arial"/>
          <w:sz w:val="22"/>
          <w:szCs w:val="22"/>
        </w:rPr>
        <w:t>de</w:t>
      </w:r>
      <w:r w:rsidRPr="00297C93">
        <w:rPr>
          <w:rFonts w:ascii="Arial" w:hAnsi="Arial" w:cs="Arial"/>
          <w:sz w:val="22"/>
          <w:szCs w:val="22"/>
        </w:rPr>
        <w:t xml:space="preserve"> 201</w:t>
      </w:r>
      <w:r w:rsidR="00F14EC5" w:rsidRPr="00297C93">
        <w:rPr>
          <w:rFonts w:ascii="Arial" w:hAnsi="Arial" w:cs="Arial"/>
          <w:sz w:val="22"/>
          <w:szCs w:val="22"/>
        </w:rPr>
        <w:t>9</w:t>
      </w:r>
      <w:r w:rsidRPr="00297C93">
        <w:rPr>
          <w:rFonts w:ascii="Arial" w:hAnsi="Arial" w:cs="Arial"/>
          <w:sz w:val="22"/>
          <w:szCs w:val="22"/>
        </w:rPr>
        <w:t xml:space="preserve"> comparado con la vigencia 201</w:t>
      </w:r>
      <w:r w:rsidR="00F14EC5" w:rsidRPr="00297C93">
        <w:rPr>
          <w:rFonts w:ascii="Arial" w:hAnsi="Arial" w:cs="Arial"/>
          <w:sz w:val="22"/>
          <w:szCs w:val="22"/>
        </w:rPr>
        <w:t>8</w:t>
      </w:r>
      <w:r w:rsidRPr="00297C93">
        <w:rPr>
          <w:rFonts w:ascii="Arial" w:hAnsi="Arial" w:cs="Arial"/>
          <w:sz w:val="22"/>
          <w:szCs w:val="22"/>
        </w:rPr>
        <w:t>, presentó un</w:t>
      </w:r>
      <w:r w:rsidR="001E521F" w:rsidRPr="00297C93">
        <w:rPr>
          <w:rFonts w:ascii="Arial" w:hAnsi="Arial" w:cs="Arial"/>
          <w:sz w:val="22"/>
          <w:szCs w:val="22"/>
        </w:rPr>
        <w:t xml:space="preserve"> </w:t>
      </w:r>
      <w:r w:rsidR="001E521F" w:rsidRPr="00297C93">
        <w:rPr>
          <w:rFonts w:ascii="Arial" w:hAnsi="Arial" w:cs="Arial"/>
          <w:b/>
          <w:sz w:val="22"/>
          <w:szCs w:val="22"/>
        </w:rPr>
        <w:t>incremento</w:t>
      </w:r>
      <w:r w:rsidR="001E521F" w:rsidRPr="00297C93">
        <w:rPr>
          <w:rFonts w:ascii="Arial" w:hAnsi="Arial" w:cs="Arial"/>
          <w:sz w:val="22"/>
          <w:szCs w:val="22"/>
        </w:rPr>
        <w:t xml:space="preserve"> </w:t>
      </w:r>
      <w:r w:rsidRPr="00297C93">
        <w:rPr>
          <w:rFonts w:ascii="Arial" w:hAnsi="Arial" w:cs="Arial"/>
          <w:sz w:val="22"/>
          <w:szCs w:val="22"/>
        </w:rPr>
        <w:t xml:space="preserve">de $ </w:t>
      </w:r>
      <w:r w:rsidR="00747EF1">
        <w:rPr>
          <w:rFonts w:ascii="Arial" w:hAnsi="Arial" w:cs="Arial"/>
          <w:sz w:val="22"/>
          <w:szCs w:val="22"/>
        </w:rPr>
        <w:t>1.389.</w:t>
      </w:r>
      <w:r w:rsidR="00041B41">
        <w:rPr>
          <w:rFonts w:ascii="Arial" w:hAnsi="Arial" w:cs="Arial"/>
          <w:sz w:val="22"/>
          <w:szCs w:val="22"/>
        </w:rPr>
        <w:t>345</w:t>
      </w:r>
      <w:r w:rsidR="001E521F" w:rsidRPr="00297C93">
        <w:rPr>
          <w:rFonts w:ascii="Arial" w:hAnsi="Arial" w:cs="Arial"/>
          <w:sz w:val="22"/>
          <w:szCs w:val="22"/>
        </w:rPr>
        <w:t xml:space="preserve">, representando el </w:t>
      </w:r>
      <w:r w:rsidR="00041B41">
        <w:rPr>
          <w:rFonts w:ascii="Arial" w:hAnsi="Arial" w:cs="Arial"/>
          <w:sz w:val="22"/>
          <w:szCs w:val="22"/>
        </w:rPr>
        <w:t>10</w:t>
      </w:r>
      <w:r w:rsidR="001E521F" w:rsidRPr="00297C93">
        <w:rPr>
          <w:rFonts w:ascii="Arial" w:hAnsi="Arial" w:cs="Arial"/>
          <w:sz w:val="22"/>
          <w:szCs w:val="22"/>
        </w:rPr>
        <w:t xml:space="preserve">%. </w:t>
      </w:r>
    </w:p>
    <w:p w14:paraId="6AC44FD6" w14:textId="3DCE3F17" w:rsidR="00AA5CCE" w:rsidRDefault="00AA5CCE" w:rsidP="00F25A26">
      <w:pPr>
        <w:jc w:val="both"/>
        <w:rPr>
          <w:rFonts w:ascii="Arial" w:hAnsi="Arial" w:cs="Arial"/>
          <w:sz w:val="22"/>
          <w:szCs w:val="22"/>
          <w:highlight w:val="yellow"/>
        </w:rPr>
      </w:pPr>
      <w:r w:rsidRPr="00A003B6">
        <w:rPr>
          <w:rFonts w:ascii="Arial" w:hAnsi="Arial" w:cs="Arial"/>
          <w:sz w:val="22"/>
          <w:szCs w:val="22"/>
          <w:highlight w:val="yellow"/>
        </w:rPr>
        <w:t xml:space="preserve"> </w:t>
      </w:r>
    </w:p>
    <w:p w14:paraId="2C571A71" w14:textId="77777777" w:rsidR="00E75A24" w:rsidRPr="00A003B6" w:rsidRDefault="00E75A24" w:rsidP="00F25A26">
      <w:pPr>
        <w:jc w:val="both"/>
        <w:rPr>
          <w:rFonts w:ascii="Arial" w:hAnsi="Arial" w:cs="Arial"/>
          <w:sz w:val="22"/>
          <w:szCs w:val="22"/>
          <w:highlight w:val="yellow"/>
        </w:rPr>
      </w:pPr>
    </w:p>
    <w:tbl>
      <w:tblPr>
        <w:tblStyle w:val="Tabladecuadrcula1clara-nfasis1"/>
        <w:tblW w:w="0" w:type="auto"/>
        <w:tblLook w:val="04A0" w:firstRow="1" w:lastRow="0" w:firstColumn="1" w:lastColumn="0" w:noHBand="0" w:noVBand="1"/>
      </w:tblPr>
      <w:tblGrid>
        <w:gridCol w:w="1555"/>
        <w:gridCol w:w="1275"/>
        <w:gridCol w:w="1276"/>
      </w:tblGrid>
      <w:tr w:rsidR="00F75663" w:rsidRPr="00F75663" w14:paraId="78CF9815" w14:textId="77777777" w:rsidTr="00F75663">
        <w:trPr>
          <w:cnfStyle w:val="100000000000" w:firstRow="1" w:lastRow="0" w:firstColumn="0" w:lastColumn="0" w:oddVBand="0" w:evenVBand="0" w:oddHBand="0" w:evenHBand="0" w:firstRowFirstColumn="0" w:firstRowLastColumn="0" w:lastRowFirstColumn="0" w:lastRowLastColumn="0"/>
          <w:cantSplit/>
          <w:trHeight w:val="815"/>
        </w:trPr>
        <w:tc>
          <w:tcPr>
            <w:cnfStyle w:val="001000000000" w:firstRow="0" w:lastRow="0" w:firstColumn="1" w:lastColumn="0" w:oddVBand="0" w:evenVBand="0" w:oddHBand="0" w:evenHBand="0" w:firstRowFirstColumn="0" w:firstRowLastColumn="0" w:lastRowFirstColumn="0" w:lastRowLastColumn="0"/>
            <w:tcW w:w="4106" w:type="dxa"/>
            <w:gridSpan w:val="3"/>
            <w:shd w:val="clear" w:color="auto" w:fill="4F81BD" w:themeFill="accent1"/>
            <w:vAlign w:val="center"/>
            <w:hideMark/>
          </w:tcPr>
          <w:p w14:paraId="3A0997FC" w14:textId="33994A98" w:rsidR="00F75663" w:rsidRPr="00F75663" w:rsidRDefault="00F75663" w:rsidP="00F75663">
            <w:pPr>
              <w:spacing w:before="60" w:after="60"/>
              <w:jc w:val="center"/>
              <w:rPr>
                <w:rFonts w:ascii="Arial" w:hAnsi="Arial" w:cs="Arial"/>
                <w:color w:val="0F243E" w:themeColor="text2" w:themeShade="80"/>
                <w:sz w:val="20"/>
                <w:szCs w:val="20"/>
              </w:rPr>
            </w:pPr>
            <w:r w:rsidRPr="00F75663">
              <w:rPr>
                <w:rFonts w:ascii="Arial" w:hAnsi="Arial" w:cs="Arial"/>
                <w:color w:val="FFFFFF" w:themeColor="background1"/>
                <w:sz w:val="20"/>
                <w:szCs w:val="20"/>
              </w:rPr>
              <w:t xml:space="preserve">Variaciones Servicio Telefonía </w:t>
            </w:r>
            <w:r w:rsidRPr="002B5BB8">
              <w:rPr>
                <w:rFonts w:ascii="Arial" w:hAnsi="Arial" w:cs="Arial"/>
                <w:color w:val="FFFFFF" w:themeColor="background1"/>
                <w:sz w:val="20"/>
                <w:szCs w:val="20"/>
              </w:rPr>
              <w:t>Móvil</w:t>
            </w:r>
          </w:p>
        </w:tc>
      </w:tr>
      <w:tr w:rsidR="00F75663" w:rsidRPr="00F75663" w14:paraId="0755453D" w14:textId="77777777" w:rsidTr="00F75663">
        <w:trPr>
          <w:cantSplit/>
          <w:trHeight w:val="329"/>
        </w:trPr>
        <w:tc>
          <w:tcPr>
            <w:cnfStyle w:val="001000000000" w:firstRow="0" w:lastRow="0" w:firstColumn="1" w:lastColumn="0" w:oddVBand="0" w:evenVBand="0" w:oddHBand="0" w:evenHBand="0" w:firstRowFirstColumn="0" w:firstRowLastColumn="0" w:lastRowFirstColumn="0" w:lastRowLastColumn="0"/>
            <w:tcW w:w="1555" w:type="dxa"/>
            <w:shd w:val="clear" w:color="auto" w:fill="4F81BD" w:themeFill="accent1"/>
            <w:vAlign w:val="center"/>
            <w:hideMark/>
          </w:tcPr>
          <w:p w14:paraId="4F0A60C1" w14:textId="77777777" w:rsidR="00F75663" w:rsidRPr="00F75663" w:rsidRDefault="00F75663" w:rsidP="00F75663">
            <w:pPr>
              <w:spacing w:before="60" w:after="60"/>
              <w:jc w:val="center"/>
              <w:rPr>
                <w:rFonts w:ascii="Arial" w:hAnsi="Arial" w:cs="Arial"/>
                <w:color w:val="FFFFFF" w:themeColor="background1"/>
                <w:sz w:val="20"/>
                <w:szCs w:val="20"/>
              </w:rPr>
            </w:pPr>
            <w:r w:rsidRPr="00F75663">
              <w:rPr>
                <w:rFonts w:ascii="Arial" w:hAnsi="Arial" w:cs="Arial"/>
                <w:color w:val="FFFFFF" w:themeColor="background1"/>
                <w:sz w:val="20"/>
                <w:szCs w:val="20"/>
              </w:rPr>
              <w:t>Concepto</w:t>
            </w:r>
          </w:p>
        </w:tc>
        <w:tc>
          <w:tcPr>
            <w:tcW w:w="1275" w:type="dxa"/>
            <w:shd w:val="clear" w:color="auto" w:fill="4F81BD" w:themeFill="accent1"/>
            <w:vAlign w:val="center"/>
            <w:hideMark/>
          </w:tcPr>
          <w:p w14:paraId="5C2EA128" w14:textId="77777777" w:rsidR="00F75663" w:rsidRPr="00F75663" w:rsidRDefault="00F75663" w:rsidP="00F7566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F75663">
              <w:rPr>
                <w:rFonts w:ascii="Arial" w:hAnsi="Arial" w:cs="Arial"/>
                <w:b/>
                <w:bCs/>
                <w:color w:val="FFFFFF" w:themeColor="background1"/>
                <w:sz w:val="20"/>
                <w:szCs w:val="20"/>
              </w:rPr>
              <w:t>III Trimestre de 2019</w:t>
            </w:r>
          </w:p>
        </w:tc>
        <w:tc>
          <w:tcPr>
            <w:tcW w:w="1276" w:type="dxa"/>
            <w:shd w:val="clear" w:color="auto" w:fill="4F81BD" w:themeFill="accent1"/>
            <w:vAlign w:val="center"/>
            <w:hideMark/>
          </w:tcPr>
          <w:p w14:paraId="03E95B98" w14:textId="77777777" w:rsidR="00F75663" w:rsidRPr="00F75663" w:rsidRDefault="00F75663" w:rsidP="00F7566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F75663">
              <w:rPr>
                <w:rFonts w:ascii="Arial" w:hAnsi="Arial" w:cs="Arial"/>
                <w:b/>
                <w:bCs/>
                <w:color w:val="FFFFFF" w:themeColor="background1"/>
                <w:sz w:val="20"/>
                <w:szCs w:val="20"/>
              </w:rPr>
              <w:t>III Trimestre de 2018</w:t>
            </w:r>
          </w:p>
        </w:tc>
      </w:tr>
      <w:tr w:rsidR="00F75663" w:rsidRPr="00F75663" w14:paraId="2CA045FC" w14:textId="77777777" w:rsidTr="00F75663">
        <w:trPr>
          <w:cantSplit/>
          <w:trHeight w:val="1353"/>
        </w:trPr>
        <w:tc>
          <w:tcPr>
            <w:cnfStyle w:val="001000000000" w:firstRow="0" w:lastRow="0" w:firstColumn="1" w:lastColumn="0" w:oddVBand="0" w:evenVBand="0" w:oddHBand="0" w:evenHBand="0" w:firstRowFirstColumn="0" w:firstRowLastColumn="0" w:lastRowFirstColumn="0" w:lastRowLastColumn="0"/>
            <w:tcW w:w="1555" w:type="dxa"/>
            <w:tcBorders>
              <w:bottom w:val="double" w:sz="4" w:space="0" w:color="4F81BD" w:themeColor="accent1"/>
            </w:tcBorders>
            <w:vAlign w:val="center"/>
            <w:hideMark/>
          </w:tcPr>
          <w:p w14:paraId="6D4DE017" w14:textId="04A128DB" w:rsidR="00F75663" w:rsidRPr="00FB7EA4" w:rsidRDefault="00F75663" w:rsidP="00F75663">
            <w:pPr>
              <w:spacing w:before="60" w:after="60"/>
              <w:jc w:val="center"/>
              <w:rPr>
                <w:rFonts w:ascii="Arial" w:hAnsi="Arial" w:cs="Arial"/>
                <w:b w:val="0"/>
                <w:bCs w:val="0"/>
                <w:color w:val="0F243E" w:themeColor="text2" w:themeShade="80"/>
                <w:sz w:val="20"/>
                <w:szCs w:val="20"/>
              </w:rPr>
            </w:pPr>
            <w:r w:rsidRPr="00FB7EA4">
              <w:rPr>
                <w:rFonts w:ascii="Arial" w:hAnsi="Arial" w:cs="Arial"/>
                <w:b w:val="0"/>
                <w:bCs w:val="0"/>
                <w:color w:val="0F243E" w:themeColor="text2" w:themeShade="80"/>
                <w:sz w:val="20"/>
                <w:szCs w:val="20"/>
              </w:rPr>
              <w:t>Total Servicio de Telefonía Celular</w:t>
            </w:r>
          </w:p>
        </w:tc>
        <w:tc>
          <w:tcPr>
            <w:tcW w:w="1275" w:type="dxa"/>
            <w:tcBorders>
              <w:bottom w:val="double" w:sz="4" w:space="0" w:color="4F81BD" w:themeColor="accent1"/>
            </w:tcBorders>
            <w:vAlign w:val="center"/>
            <w:hideMark/>
          </w:tcPr>
          <w:p w14:paraId="5F9AD5A1" w14:textId="5C3110CE" w:rsidR="00F75663" w:rsidRPr="00FB7EA4" w:rsidRDefault="00F75663" w:rsidP="00F7566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15.864.599 </w:t>
            </w:r>
          </w:p>
        </w:tc>
        <w:tc>
          <w:tcPr>
            <w:tcW w:w="1276" w:type="dxa"/>
            <w:tcBorders>
              <w:bottom w:val="double" w:sz="4" w:space="0" w:color="4F81BD" w:themeColor="accent1"/>
            </w:tcBorders>
            <w:vAlign w:val="center"/>
            <w:hideMark/>
          </w:tcPr>
          <w:p w14:paraId="52026451" w14:textId="615EA632" w:rsidR="00F75663" w:rsidRPr="00FB7EA4" w:rsidRDefault="00F75663" w:rsidP="00F7566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14.475.254 </w:t>
            </w:r>
          </w:p>
        </w:tc>
      </w:tr>
      <w:tr w:rsidR="00F75663" w:rsidRPr="00F75663" w14:paraId="7C600E0F" w14:textId="77777777" w:rsidTr="002B5BB8">
        <w:trPr>
          <w:cantSplit/>
          <w:trHeight w:val="611"/>
        </w:trPr>
        <w:tc>
          <w:tcPr>
            <w:cnfStyle w:val="001000000000" w:firstRow="0" w:lastRow="0" w:firstColumn="1" w:lastColumn="0" w:oddVBand="0" w:evenVBand="0" w:oddHBand="0" w:evenHBand="0" w:firstRowFirstColumn="0" w:firstRowLastColumn="0" w:lastRowFirstColumn="0" w:lastRowLastColumn="0"/>
            <w:tcW w:w="1555" w:type="dxa"/>
            <w:tcBorders>
              <w:top w:val="double" w:sz="4" w:space="0" w:color="4F81BD" w:themeColor="accent1"/>
            </w:tcBorders>
            <w:vAlign w:val="center"/>
            <w:hideMark/>
          </w:tcPr>
          <w:p w14:paraId="1BA9A612" w14:textId="77777777" w:rsidR="00F75663" w:rsidRPr="00FB7EA4" w:rsidRDefault="00F75663" w:rsidP="00F75663">
            <w:pPr>
              <w:spacing w:before="60" w:after="60"/>
              <w:jc w:val="center"/>
              <w:rPr>
                <w:rFonts w:ascii="Arial" w:hAnsi="Arial" w:cs="Arial"/>
                <w:b w:val="0"/>
                <w:bCs w:val="0"/>
                <w:color w:val="0F243E" w:themeColor="text2" w:themeShade="80"/>
                <w:sz w:val="20"/>
                <w:szCs w:val="20"/>
              </w:rPr>
            </w:pPr>
            <w:r w:rsidRPr="00FB7EA4">
              <w:rPr>
                <w:rFonts w:ascii="Arial" w:hAnsi="Arial" w:cs="Arial"/>
                <w:b w:val="0"/>
                <w:bCs w:val="0"/>
                <w:color w:val="0F243E" w:themeColor="text2" w:themeShade="80"/>
                <w:sz w:val="20"/>
                <w:szCs w:val="20"/>
              </w:rPr>
              <w:t>Variación $</w:t>
            </w:r>
          </w:p>
        </w:tc>
        <w:tc>
          <w:tcPr>
            <w:tcW w:w="2551" w:type="dxa"/>
            <w:gridSpan w:val="2"/>
            <w:tcBorders>
              <w:top w:val="double" w:sz="4" w:space="0" w:color="4F81BD" w:themeColor="accent1"/>
            </w:tcBorders>
            <w:vAlign w:val="center"/>
            <w:hideMark/>
          </w:tcPr>
          <w:p w14:paraId="5654CBFE" w14:textId="30D71DE7" w:rsidR="00F75663" w:rsidRPr="00FB7EA4" w:rsidRDefault="00F75663" w:rsidP="00F7566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1.389.345</w:t>
            </w:r>
          </w:p>
        </w:tc>
      </w:tr>
      <w:tr w:rsidR="00F75663" w:rsidRPr="00F75663" w14:paraId="6E2002A4" w14:textId="77777777" w:rsidTr="00F75663">
        <w:trPr>
          <w:cantSplit/>
          <w:trHeight w:val="687"/>
        </w:trPr>
        <w:tc>
          <w:tcPr>
            <w:cnfStyle w:val="001000000000" w:firstRow="0" w:lastRow="0" w:firstColumn="1" w:lastColumn="0" w:oddVBand="0" w:evenVBand="0" w:oddHBand="0" w:evenHBand="0" w:firstRowFirstColumn="0" w:firstRowLastColumn="0" w:lastRowFirstColumn="0" w:lastRowLastColumn="0"/>
            <w:tcW w:w="1555" w:type="dxa"/>
            <w:tcBorders>
              <w:bottom w:val="double" w:sz="4" w:space="0" w:color="4F81BD" w:themeColor="accent1"/>
            </w:tcBorders>
            <w:vAlign w:val="center"/>
            <w:hideMark/>
          </w:tcPr>
          <w:p w14:paraId="0C085521" w14:textId="77777777" w:rsidR="00F75663" w:rsidRPr="00FB7EA4" w:rsidRDefault="00F75663" w:rsidP="00F75663">
            <w:pPr>
              <w:spacing w:before="60" w:after="60"/>
              <w:jc w:val="center"/>
              <w:rPr>
                <w:rFonts w:ascii="Arial" w:hAnsi="Arial" w:cs="Arial"/>
                <w:b w:val="0"/>
                <w:bCs w:val="0"/>
                <w:color w:val="0F243E" w:themeColor="text2" w:themeShade="80"/>
                <w:sz w:val="20"/>
                <w:szCs w:val="20"/>
              </w:rPr>
            </w:pPr>
            <w:r w:rsidRPr="00FB7EA4">
              <w:rPr>
                <w:rFonts w:ascii="Arial" w:hAnsi="Arial" w:cs="Arial"/>
                <w:b w:val="0"/>
                <w:bCs w:val="0"/>
                <w:color w:val="0F243E" w:themeColor="text2" w:themeShade="80"/>
                <w:sz w:val="20"/>
                <w:szCs w:val="20"/>
              </w:rPr>
              <w:t>Variación %</w:t>
            </w:r>
          </w:p>
        </w:tc>
        <w:tc>
          <w:tcPr>
            <w:tcW w:w="2551" w:type="dxa"/>
            <w:gridSpan w:val="2"/>
            <w:tcBorders>
              <w:bottom w:val="double" w:sz="4" w:space="0" w:color="4F81BD" w:themeColor="accent1"/>
            </w:tcBorders>
            <w:vAlign w:val="center"/>
            <w:hideMark/>
          </w:tcPr>
          <w:p w14:paraId="36B69A3F" w14:textId="77777777" w:rsidR="00F75663" w:rsidRPr="00FB7EA4" w:rsidRDefault="00F75663" w:rsidP="00F7566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10%</w:t>
            </w:r>
          </w:p>
        </w:tc>
      </w:tr>
    </w:tbl>
    <w:p w14:paraId="0837C459" w14:textId="7B50CD9A" w:rsidR="00BD4B84" w:rsidRPr="00A003B6" w:rsidRDefault="00F5750F" w:rsidP="00AA5CCE">
      <w:pPr>
        <w:rPr>
          <w:rFonts w:ascii="Arial" w:hAnsi="Arial" w:cs="Arial"/>
          <w:sz w:val="22"/>
          <w:szCs w:val="22"/>
          <w:highlight w:val="yellow"/>
        </w:rPr>
      </w:pPr>
      <w:r w:rsidRPr="00F75663">
        <w:rPr>
          <w:rFonts w:ascii="Calibri" w:hAnsi="Calibri" w:cs="Calibri"/>
          <w:noProof/>
          <w:color w:val="000000"/>
          <w:sz w:val="22"/>
          <w:szCs w:val="22"/>
        </w:rPr>
        <w:drawing>
          <wp:anchor distT="0" distB="0" distL="114300" distR="114300" simplePos="0" relativeHeight="251964416" behindDoc="0" locked="0" layoutInCell="1" allowOverlap="1" wp14:anchorId="6E51251C" wp14:editId="26134C09">
            <wp:simplePos x="0" y="0"/>
            <wp:positionH relativeFrom="margin">
              <wp:posOffset>2732405</wp:posOffset>
            </wp:positionH>
            <wp:positionV relativeFrom="paragraph">
              <wp:posOffset>-2794000</wp:posOffset>
            </wp:positionV>
            <wp:extent cx="3505200" cy="2905125"/>
            <wp:effectExtent l="0" t="0" r="0" b="0"/>
            <wp:wrapNone/>
            <wp:docPr id="11" name="Gráfico 1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4F8D9DD-D6C5-4E25-A664-3D3F63AE2E1E}"/>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p w14:paraId="79BB518B" w14:textId="409CF7A5" w:rsidR="00F343FB" w:rsidRPr="00A003B6" w:rsidRDefault="00F343FB" w:rsidP="00AA5CCE">
      <w:pPr>
        <w:rPr>
          <w:rFonts w:ascii="Arial" w:hAnsi="Arial" w:cs="Arial"/>
          <w:sz w:val="22"/>
          <w:szCs w:val="22"/>
          <w:highlight w:val="yellow"/>
        </w:rPr>
      </w:pPr>
    </w:p>
    <w:p w14:paraId="22344406" w14:textId="1DF4EA1E" w:rsidR="006C66C7" w:rsidRPr="00B87C37" w:rsidRDefault="006C66C7" w:rsidP="00357030">
      <w:pPr>
        <w:jc w:val="both"/>
        <w:rPr>
          <w:rFonts w:ascii="Arial" w:hAnsi="Arial" w:cs="Arial"/>
          <w:iCs/>
          <w:sz w:val="22"/>
          <w:szCs w:val="22"/>
        </w:rPr>
      </w:pPr>
      <w:r w:rsidRPr="00B87C37">
        <w:rPr>
          <w:rFonts w:ascii="Arial" w:hAnsi="Arial" w:cs="Arial"/>
          <w:sz w:val="22"/>
          <w:szCs w:val="22"/>
        </w:rPr>
        <w:lastRenderedPageBreak/>
        <w:t xml:space="preserve">Teniendo en cuenta, </w:t>
      </w:r>
      <w:r w:rsidR="00C77DDE" w:rsidRPr="00B87C37">
        <w:rPr>
          <w:rFonts w:ascii="Arial" w:hAnsi="Arial" w:cs="Arial"/>
          <w:sz w:val="22"/>
          <w:szCs w:val="22"/>
        </w:rPr>
        <w:t xml:space="preserve">el </w:t>
      </w:r>
      <w:r w:rsidRPr="00B87C37">
        <w:rPr>
          <w:rFonts w:ascii="Arial" w:hAnsi="Arial" w:cs="Arial"/>
          <w:sz w:val="22"/>
          <w:szCs w:val="22"/>
        </w:rPr>
        <w:t>numeral 3 del artículo 81 de la Ley 1940 de 2018</w:t>
      </w:r>
      <w:r w:rsidRPr="00B87C37">
        <w:rPr>
          <w:rFonts w:ascii="Arial" w:hAnsi="Arial" w:cs="Arial"/>
          <w:i/>
          <w:iCs/>
          <w:sz w:val="22"/>
          <w:szCs w:val="22"/>
        </w:rPr>
        <w:t>, por</w:t>
      </w:r>
      <w:r w:rsidRPr="00B87C37">
        <w:rPr>
          <w:rFonts w:ascii="Arial" w:hAnsi="Arial" w:cs="Arial"/>
          <w:i/>
          <w:iCs/>
          <w:color w:val="000000"/>
          <w:sz w:val="22"/>
          <w:szCs w:val="22"/>
        </w:rPr>
        <w:t xml:space="preserve"> la cual se decreta presupuesto de rentas y recursos de capital y ley de apropiaciones para vigencia fiscal 10, al 31 diciembre 2019</w:t>
      </w:r>
      <w:r w:rsidRPr="00B87C37">
        <w:rPr>
          <w:rFonts w:ascii="Arial" w:hAnsi="Arial" w:cs="Arial"/>
          <w:iCs/>
          <w:color w:val="000000"/>
          <w:sz w:val="22"/>
          <w:szCs w:val="22"/>
        </w:rPr>
        <w:t xml:space="preserve">, señaló la siguiente medida de austeridad frente a la telefonía móvil y conmutada, así: </w:t>
      </w:r>
      <w:r w:rsidR="00581C5F" w:rsidRPr="00B87C37">
        <w:rPr>
          <w:rFonts w:ascii="Agency FB" w:hAnsi="Agency FB" w:cs="Arial"/>
          <w:iCs/>
          <w:color w:val="000000"/>
          <w:sz w:val="22"/>
          <w:szCs w:val="22"/>
        </w:rPr>
        <w:t>«</w:t>
      </w:r>
      <w:r w:rsidRPr="00B87C37">
        <w:rPr>
          <w:rFonts w:ascii="Arial" w:hAnsi="Arial" w:cs="Arial"/>
          <w:iCs/>
          <w:sz w:val="22"/>
          <w:szCs w:val="22"/>
        </w:rPr>
        <w:t>Contratar planes corporativos de telefonía móvil e conmutada que permitan lograr ahorros del 15% respecto del consumo del año anterior. No se podrá adquirir nuevos equipos de telefonía celular, salvo que las reposiciones de los equipos no representen costos adicionales</w:t>
      </w:r>
      <w:r w:rsidR="00581C5F" w:rsidRPr="00B87C37">
        <w:rPr>
          <w:rFonts w:ascii="Agency FB" w:hAnsi="Agency FB" w:cs="Arial"/>
          <w:iCs/>
          <w:sz w:val="22"/>
          <w:szCs w:val="22"/>
        </w:rPr>
        <w:t>»</w:t>
      </w:r>
      <w:r w:rsidRPr="00B87C37">
        <w:rPr>
          <w:rFonts w:ascii="Arial" w:hAnsi="Arial" w:cs="Arial"/>
          <w:iCs/>
          <w:sz w:val="22"/>
          <w:szCs w:val="22"/>
        </w:rPr>
        <w:t>.</w:t>
      </w:r>
    </w:p>
    <w:p w14:paraId="4A225DD7" w14:textId="77777777" w:rsidR="007224BD" w:rsidRPr="00A003B6" w:rsidRDefault="007224BD" w:rsidP="00357030">
      <w:pPr>
        <w:jc w:val="both"/>
        <w:rPr>
          <w:rFonts w:ascii="Arial" w:hAnsi="Arial" w:cs="Arial"/>
          <w:iCs/>
          <w:color w:val="000000"/>
          <w:sz w:val="22"/>
          <w:szCs w:val="22"/>
          <w:highlight w:val="yellow"/>
        </w:rPr>
      </w:pPr>
    </w:p>
    <w:p w14:paraId="2376DBC5" w14:textId="511ED87A" w:rsidR="002C2F38" w:rsidRPr="00B87C37" w:rsidRDefault="00AA5CCE" w:rsidP="00357030">
      <w:pPr>
        <w:jc w:val="both"/>
        <w:rPr>
          <w:rFonts w:ascii="Arial" w:hAnsi="Arial" w:cs="Arial"/>
          <w:sz w:val="22"/>
          <w:szCs w:val="22"/>
        </w:rPr>
      </w:pPr>
      <w:r w:rsidRPr="00B87C37">
        <w:rPr>
          <w:rFonts w:ascii="Arial" w:hAnsi="Arial" w:cs="Arial"/>
          <w:sz w:val="22"/>
          <w:szCs w:val="22"/>
        </w:rPr>
        <w:t>Frente a</w:t>
      </w:r>
      <w:r w:rsidR="00693D4F" w:rsidRPr="00B87C37">
        <w:rPr>
          <w:rFonts w:ascii="Arial" w:hAnsi="Arial" w:cs="Arial"/>
          <w:sz w:val="22"/>
          <w:szCs w:val="22"/>
        </w:rPr>
        <w:t xml:space="preserve"> lo anterior, </w:t>
      </w:r>
      <w:r w:rsidR="006C66C7" w:rsidRPr="00B87C37">
        <w:rPr>
          <w:rFonts w:ascii="Arial" w:hAnsi="Arial" w:cs="Arial"/>
          <w:sz w:val="22"/>
          <w:szCs w:val="22"/>
        </w:rPr>
        <w:t xml:space="preserve">el Grupo de </w:t>
      </w:r>
      <w:r w:rsidR="002C2F38" w:rsidRPr="00B87C37">
        <w:rPr>
          <w:rFonts w:ascii="Arial" w:hAnsi="Arial" w:cs="Arial"/>
          <w:sz w:val="22"/>
          <w:szCs w:val="22"/>
        </w:rPr>
        <w:t>Logística y Suministros informó en la vigencia 2018 la empresa Movistar realizó una restructuración de las tarifas ofrecidas al Ministerio, como resultado se logró una disminución en el valor mensual de los p</w:t>
      </w:r>
      <w:r w:rsidR="00862922" w:rsidRPr="00B87C37">
        <w:rPr>
          <w:rFonts w:ascii="Arial" w:hAnsi="Arial" w:cs="Arial"/>
          <w:sz w:val="22"/>
          <w:szCs w:val="22"/>
        </w:rPr>
        <w:t>lanes. E</w:t>
      </w:r>
      <w:r w:rsidR="00B65BB0" w:rsidRPr="00B87C37">
        <w:rPr>
          <w:rFonts w:ascii="Arial" w:hAnsi="Arial" w:cs="Arial"/>
          <w:sz w:val="22"/>
          <w:szCs w:val="22"/>
        </w:rPr>
        <w:t xml:space="preserve">l contrato con dicha empresa tiene vigencia hasta diciembre de 2019. Sin embargo, </w:t>
      </w:r>
      <w:r w:rsidR="00A5454B" w:rsidRPr="00B87C37">
        <w:rPr>
          <w:rFonts w:ascii="Arial" w:hAnsi="Arial" w:cs="Arial"/>
          <w:sz w:val="22"/>
          <w:szCs w:val="22"/>
        </w:rPr>
        <w:t xml:space="preserve">dicho </w:t>
      </w:r>
      <w:r w:rsidR="00B65BB0" w:rsidRPr="00B87C37">
        <w:rPr>
          <w:rFonts w:ascii="Arial" w:hAnsi="Arial" w:cs="Arial"/>
          <w:sz w:val="22"/>
          <w:szCs w:val="22"/>
        </w:rPr>
        <w:t>Grupo ha venido adelantando gestiones ante las empresas que ofrecen el servicio de telefonía en aras de continuar contribuyendo a las medidas de austeridad del</w:t>
      </w:r>
      <w:r w:rsidR="001C5DFD" w:rsidRPr="00B87C37">
        <w:rPr>
          <w:rFonts w:ascii="Arial" w:hAnsi="Arial" w:cs="Arial"/>
          <w:sz w:val="22"/>
          <w:szCs w:val="22"/>
        </w:rPr>
        <w:t xml:space="preserve"> gasto establecidas por la Ley, especialmente, con Movistar, teniendo en cuenta que, del total facturado mensualmente al Ministerio de Hacienda por gasto de telefonía móvil, dicha empresa representa</w:t>
      </w:r>
      <w:r w:rsidR="001F1DE6">
        <w:rPr>
          <w:rFonts w:ascii="Arial" w:hAnsi="Arial" w:cs="Arial"/>
          <w:sz w:val="22"/>
          <w:szCs w:val="22"/>
        </w:rPr>
        <w:t xml:space="preserve"> aproximadamente </w:t>
      </w:r>
      <w:r w:rsidR="001C5DFD" w:rsidRPr="00B87C37">
        <w:rPr>
          <w:rFonts w:ascii="Arial" w:hAnsi="Arial" w:cs="Arial"/>
          <w:sz w:val="22"/>
          <w:szCs w:val="22"/>
        </w:rPr>
        <w:t>el 6</w:t>
      </w:r>
      <w:r w:rsidR="007D0C04">
        <w:rPr>
          <w:rFonts w:ascii="Arial" w:hAnsi="Arial" w:cs="Arial"/>
          <w:sz w:val="22"/>
          <w:szCs w:val="22"/>
        </w:rPr>
        <w:t>0</w:t>
      </w:r>
      <w:r w:rsidR="001C5DFD" w:rsidRPr="00B87C37">
        <w:rPr>
          <w:rFonts w:ascii="Arial" w:hAnsi="Arial" w:cs="Arial"/>
          <w:sz w:val="22"/>
          <w:szCs w:val="22"/>
        </w:rPr>
        <w:t xml:space="preserve">%. </w:t>
      </w:r>
    </w:p>
    <w:p w14:paraId="21D9E62A" w14:textId="77777777" w:rsidR="001F6185" w:rsidRPr="00A003B6" w:rsidRDefault="002C2F38" w:rsidP="001F6185">
      <w:pPr>
        <w:rPr>
          <w:rFonts w:ascii="Arial" w:hAnsi="Arial" w:cs="Arial"/>
          <w:sz w:val="22"/>
          <w:szCs w:val="22"/>
          <w:highlight w:val="yellow"/>
        </w:rPr>
      </w:pPr>
      <w:r w:rsidRPr="00A003B6">
        <w:rPr>
          <w:rFonts w:ascii="Arial" w:hAnsi="Arial" w:cs="Arial"/>
          <w:sz w:val="22"/>
          <w:szCs w:val="22"/>
          <w:highlight w:val="yellow"/>
        </w:rPr>
        <w:t xml:space="preserve"> </w:t>
      </w:r>
    </w:p>
    <w:p w14:paraId="3F5FABAE" w14:textId="77777777" w:rsidR="001260BA" w:rsidRPr="0025188E" w:rsidRDefault="001260BA" w:rsidP="001F6185">
      <w:pPr>
        <w:rPr>
          <w:rFonts w:ascii="Arial" w:hAnsi="Arial" w:cs="Arial"/>
          <w:sz w:val="22"/>
          <w:szCs w:val="22"/>
        </w:rPr>
      </w:pPr>
    </w:p>
    <w:p w14:paraId="544A048E" w14:textId="6E8F4533" w:rsidR="00AA5CCE" w:rsidRDefault="00950EE8" w:rsidP="001F6185">
      <w:pPr>
        <w:rPr>
          <w:rFonts w:ascii="Arial" w:hAnsi="Arial" w:cs="Arial"/>
          <w:b/>
          <w:sz w:val="22"/>
          <w:szCs w:val="22"/>
        </w:rPr>
      </w:pPr>
      <w:r w:rsidRPr="0025188E">
        <w:rPr>
          <w:rFonts w:ascii="Arial" w:hAnsi="Arial" w:cs="Arial"/>
          <w:b/>
          <w:sz w:val="22"/>
          <w:szCs w:val="22"/>
        </w:rPr>
        <w:t>Teléfonos C</w:t>
      </w:r>
      <w:r w:rsidR="00AA5CCE" w:rsidRPr="0025188E">
        <w:rPr>
          <w:rFonts w:ascii="Arial" w:hAnsi="Arial" w:cs="Arial"/>
          <w:b/>
          <w:sz w:val="22"/>
          <w:szCs w:val="22"/>
        </w:rPr>
        <w:t xml:space="preserve">elulares </w:t>
      </w:r>
      <w:r w:rsidRPr="0025188E">
        <w:rPr>
          <w:rFonts w:ascii="Arial" w:hAnsi="Arial" w:cs="Arial"/>
          <w:b/>
          <w:sz w:val="22"/>
          <w:szCs w:val="22"/>
        </w:rPr>
        <w:t>A</w:t>
      </w:r>
      <w:r w:rsidR="00AA5CCE" w:rsidRPr="0025188E">
        <w:rPr>
          <w:rFonts w:ascii="Arial" w:hAnsi="Arial" w:cs="Arial"/>
          <w:b/>
          <w:sz w:val="22"/>
          <w:szCs w:val="22"/>
        </w:rPr>
        <w:t>signados a Directores</w:t>
      </w:r>
    </w:p>
    <w:p w14:paraId="095EB655" w14:textId="77777777" w:rsidR="000F46E5" w:rsidRPr="0025188E" w:rsidRDefault="000F46E5" w:rsidP="001F6185">
      <w:pPr>
        <w:rPr>
          <w:rFonts w:ascii="Arial" w:hAnsi="Arial" w:cs="Arial"/>
          <w:b/>
          <w:sz w:val="22"/>
          <w:szCs w:val="22"/>
        </w:rPr>
      </w:pPr>
    </w:p>
    <w:p w14:paraId="1205C242" w14:textId="5E19A1FC" w:rsidR="00A01989" w:rsidRDefault="00AA5CCE" w:rsidP="000F46E5">
      <w:pPr>
        <w:jc w:val="both"/>
        <w:rPr>
          <w:rFonts w:ascii="Arial" w:hAnsi="Arial" w:cs="Arial"/>
          <w:sz w:val="22"/>
          <w:szCs w:val="22"/>
        </w:rPr>
      </w:pPr>
      <w:r w:rsidRPr="0025188E">
        <w:rPr>
          <w:rFonts w:ascii="Arial" w:hAnsi="Arial" w:cs="Arial"/>
          <w:sz w:val="22"/>
          <w:szCs w:val="22"/>
        </w:rPr>
        <w:t>Con base en el listado de valores facturados allegada a esta Oficina, se procedió a verificar las facturas físicas emitidas por</w:t>
      </w:r>
      <w:r w:rsidR="00BE724C">
        <w:rPr>
          <w:rFonts w:ascii="Arial" w:hAnsi="Arial" w:cs="Arial"/>
          <w:sz w:val="22"/>
          <w:szCs w:val="22"/>
        </w:rPr>
        <w:t xml:space="preserve"> Avantel, Claro y </w:t>
      </w:r>
      <w:r w:rsidR="00BE724C" w:rsidRPr="0025188E">
        <w:rPr>
          <w:rFonts w:ascii="Arial" w:hAnsi="Arial" w:cs="Arial"/>
          <w:sz w:val="22"/>
          <w:szCs w:val="22"/>
        </w:rPr>
        <w:t>Movistar</w:t>
      </w:r>
      <w:r w:rsidR="004B253D">
        <w:rPr>
          <w:rFonts w:ascii="Arial" w:hAnsi="Arial" w:cs="Arial"/>
          <w:sz w:val="22"/>
          <w:szCs w:val="22"/>
        </w:rPr>
        <w:t xml:space="preserve"> correspondientes al tercer trimestre de 2019</w:t>
      </w:r>
      <w:r w:rsidR="00FB76FA">
        <w:rPr>
          <w:rFonts w:ascii="Arial" w:hAnsi="Arial" w:cs="Arial"/>
          <w:sz w:val="22"/>
          <w:szCs w:val="22"/>
        </w:rPr>
        <w:t>,</w:t>
      </w:r>
      <w:r w:rsidR="00A01989">
        <w:rPr>
          <w:rFonts w:ascii="Arial" w:hAnsi="Arial" w:cs="Arial"/>
          <w:sz w:val="22"/>
          <w:szCs w:val="22"/>
        </w:rPr>
        <w:t xml:space="preserve"> De la anterior prueba se obtuvo el siguiente resultado: </w:t>
      </w:r>
    </w:p>
    <w:p w14:paraId="1868263A" w14:textId="77777777" w:rsidR="000F46E5" w:rsidRDefault="000F46E5" w:rsidP="000F46E5">
      <w:pPr>
        <w:spacing w:line="168" w:lineRule="auto"/>
        <w:jc w:val="both"/>
        <w:rPr>
          <w:rFonts w:ascii="Arial" w:hAnsi="Arial" w:cs="Arial"/>
          <w:sz w:val="22"/>
          <w:szCs w:val="22"/>
        </w:rPr>
      </w:pPr>
    </w:p>
    <w:p w14:paraId="45884C6F" w14:textId="25B99C07" w:rsidR="00A01989" w:rsidRDefault="00A01989" w:rsidP="00AE4F0C">
      <w:pPr>
        <w:pStyle w:val="Prrafodelista"/>
        <w:numPr>
          <w:ilvl w:val="0"/>
          <w:numId w:val="19"/>
        </w:numPr>
        <w:spacing w:after="120"/>
        <w:ind w:left="357" w:hanging="357"/>
        <w:contextualSpacing w:val="0"/>
        <w:rPr>
          <w:rFonts w:ascii="Arial" w:hAnsi="Arial" w:cs="Arial"/>
          <w:sz w:val="22"/>
          <w:szCs w:val="22"/>
        </w:rPr>
      </w:pPr>
      <w:r>
        <w:rPr>
          <w:rFonts w:ascii="Arial" w:hAnsi="Arial" w:cs="Arial"/>
          <w:sz w:val="22"/>
          <w:szCs w:val="22"/>
        </w:rPr>
        <w:t xml:space="preserve">Se constató que los valores registrados en las obligaciones de pago en el SIIF coinciden con los valores facturados por las empresas que prestan el servicio telefónico. </w:t>
      </w:r>
    </w:p>
    <w:p w14:paraId="369DAD54" w14:textId="1487C7FE" w:rsidR="00283860" w:rsidRDefault="00A01989" w:rsidP="000F46E5">
      <w:pPr>
        <w:pStyle w:val="Prrafodelista"/>
        <w:numPr>
          <w:ilvl w:val="0"/>
          <w:numId w:val="19"/>
        </w:numPr>
        <w:ind w:left="357" w:hanging="357"/>
        <w:contextualSpacing w:val="0"/>
        <w:rPr>
          <w:rFonts w:ascii="Arial" w:hAnsi="Arial" w:cs="Arial"/>
          <w:sz w:val="22"/>
          <w:szCs w:val="22"/>
        </w:rPr>
      </w:pPr>
      <w:r>
        <w:rPr>
          <w:rFonts w:ascii="Arial" w:hAnsi="Arial" w:cs="Arial"/>
          <w:sz w:val="22"/>
          <w:szCs w:val="22"/>
        </w:rPr>
        <w:t>S</w:t>
      </w:r>
      <w:r w:rsidR="00BE724C" w:rsidRPr="00A01989">
        <w:rPr>
          <w:rFonts w:ascii="Arial" w:hAnsi="Arial" w:cs="Arial"/>
          <w:sz w:val="22"/>
          <w:szCs w:val="22"/>
        </w:rPr>
        <w:t xml:space="preserve">e verificó cada estado de cuenta de </w:t>
      </w:r>
      <w:r w:rsidR="00AA5CCE" w:rsidRPr="00A01989">
        <w:rPr>
          <w:rFonts w:ascii="Arial" w:hAnsi="Arial" w:cs="Arial"/>
          <w:sz w:val="22"/>
          <w:szCs w:val="22"/>
        </w:rPr>
        <w:t xml:space="preserve">las líneas asignadas a los Directivos </w:t>
      </w:r>
      <w:r w:rsidR="00BE724C" w:rsidRPr="00A01989">
        <w:rPr>
          <w:rFonts w:ascii="Arial" w:hAnsi="Arial" w:cs="Arial"/>
          <w:sz w:val="22"/>
          <w:szCs w:val="22"/>
        </w:rPr>
        <w:t xml:space="preserve">y funcionarios autorizados </w:t>
      </w:r>
      <w:r w:rsidR="00AA5CCE" w:rsidRPr="00A01989">
        <w:rPr>
          <w:rFonts w:ascii="Arial" w:hAnsi="Arial" w:cs="Arial"/>
          <w:sz w:val="22"/>
          <w:szCs w:val="22"/>
        </w:rPr>
        <w:t>de este Ministerio</w:t>
      </w:r>
      <w:r>
        <w:rPr>
          <w:rFonts w:ascii="Arial" w:hAnsi="Arial" w:cs="Arial"/>
          <w:sz w:val="22"/>
          <w:szCs w:val="22"/>
        </w:rPr>
        <w:t xml:space="preserve">, confirmando </w:t>
      </w:r>
      <w:r w:rsidR="009A4939" w:rsidRPr="00A01989">
        <w:rPr>
          <w:rFonts w:ascii="Arial" w:hAnsi="Arial" w:cs="Arial"/>
          <w:sz w:val="22"/>
          <w:szCs w:val="22"/>
        </w:rPr>
        <w:t xml:space="preserve">que para el </w:t>
      </w:r>
      <w:r w:rsidR="00B370A9" w:rsidRPr="00A01989">
        <w:rPr>
          <w:rFonts w:ascii="Arial" w:hAnsi="Arial" w:cs="Arial"/>
          <w:sz w:val="22"/>
          <w:szCs w:val="22"/>
        </w:rPr>
        <w:t xml:space="preserve">tercer </w:t>
      </w:r>
      <w:r w:rsidR="009A4939" w:rsidRPr="00A01989">
        <w:rPr>
          <w:rFonts w:ascii="Arial" w:hAnsi="Arial" w:cs="Arial"/>
          <w:sz w:val="22"/>
          <w:szCs w:val="22"/>
        </w:rPr>
        <w:t>trimestre</w:t>
      </w:r>
      <w:r w:rsidR="00B370A9" w:rsidRPr="00A01989">
        <w:rPr>
          <w:rFonts w:ascii="Arial" w:hAnsi="Arial" w:cs="Arial"/>
          <w:sz w:val="22"/>
          <w:szCs w:val="22"/>
        </w:rPr>
        <w:t xml:space="preserve"> de 2019 </w:t>
      </w:r>
      <w:r w:rsidR="009A4939" w:rsidRPr="00A01989">
        <w:rPr>
          <w:rFonts w:ascii="Arial" w:hAnsi="Arial" w:cs="Arial"/>
          <w:sz w:val="22"/>
          <w:szCs w:val="22"/>
        </w:rPr>
        <w:t xml:space="preserve">no se presentaron cobros adicionales. </w:t>
      </w:r>
    </w:p>
    <w:p w14:paraId="381010B3" w14:textId="77777777" w:rsidR="00B849DA" w:rsidRDefault="00B849DA" w:rsidP="000F46E5">
      <w:pPr>
        <w:spacing w:line="168" w:lineRule="auto"/>
        <w:jc w:val="both"/>
        <w:rPr>
          <w:rFonts w:ascii="Arial" w:hAnsi="Arial" w:cs="Arial"/>
          <w:sz w:val="22"/>
          <w:szCs w:val="22"/>
        </w:rPr>
      </w:pPr>
    </w:p>
    <w:p w14:paraId="08F5910B" w14:textId="13F7904D" w:rsidR="001C65D4" w:rsidRDefault="004B253D" w:rsidP="000F46E5">
      <w:pPr>
        <w:pStyle w:val="Prrafodelista"/>
        <w:numPr>
          <w:ilvl w:val="0"/>
          <w:numId w:val="19"/>
        </w:numPr>
        <w:contextualSpacing w:val="0"/>
        <w:rPr>
          <w:rFonts w:ascii="Arial" w:hAnsi="Arial" w:cs="Arial"/>
          <w:sz w:val="22"/>
          <w:szCs w:val="22"/>
        </w:rPr>
      </w:pPr>
      <w:r>
        <w:rPr>
          <w:rFonts w:ascii="Arial" w:hAnsi="Arial" w:cs="Arial"/>
          <w:sz w:val="22"/>
          <w:szCs w:val="22"/>
        </w:rPr>
        <w:t xml:space="preserve">Se identificó </w:t>
      </w:r>
      <w:r w:rsidR="00B60B3D">
        <w:rPr>
          <w:rFonts w:ascii="Arial" w:hAnsi="Arial" w:cs="Arial"/>
          <w:sz w:val="22"/>
          <w:szCs w:val="22"/>
        </w:rPr>
        <w:t xml:space="preserve">que </w:t>
      </w:r>
      <w:r>
        <w:rPr>
          <w:rFonts w:ascii="Arial" w:hAnsi="Arial" w:cs="Arial"/>
          <w:sz w:val="22"/>
          <w:szCs w:val="22"/>
        </w:rPr>
        <w:t xml:space="preserve">la línea telefónica 3165047187 </w:t>
      </w:r>
      <w:r w:rsidR="00B60B3D">
        <w:rPr>
          <w:rFonts w:ascii="Arial" w:hAnsi="Arial" w:cs="Arial"/>
          <w:sz w:val="22"/>
          <w:szCs w:val="22"/>
        </w:rPr>
        <w:t xml:space="preserve">para el periodo facturado </w:t>
      </w:r>
      <w:r w:rsidR="005164C4">
        <w:rPr>
          <w:rFonts w:ascii="Arial" w:hAnsi="Arial" w:cs="Arial"/>
          <w:sz w:val="22"/>
          <w:szCs w:val="22"/>
        </w:rPr>
        <w:t>de</w:t>
      </w:r>
      <w:r w:rsidR="00B60B3D">
        <w:rPr>
          <w:rFonts w:ascii="Arial" w:hAnsi="Arial" w:cs="Arial"/>
          <w:sz w:val="22"/>
          <w:szCs w:val="22"/>
        </w:rPr>
        <w:t xml:space="preserve"> </w:t>
      </w:r>
      <w:r>
        <w:rPr>
          <w:rFonts w:ascii="Arial" w:hAnsi="Arial" w:cs="Arial"/>
          <w:sz w:val="22"/>
          <w:szCs w:val="22"/>
        </w:rPr>
        <w:t>julio de 2019, la empresa Movistar realizó el cobro sin el respectivo descuento [$ 257.899]</w:t>
      </w:r>
      <w:r w:rsidR="00B60B3D">
        <w:rPr>
          <w:rFonts w:ascii="Arial" w:hAnsi="Arial" w:cs="Arial"/>
          <w:sz w:val="22"/>
          <w:szCs w:val="22"/>
        </w:rPr>
        <w:t>. Al respecto</w:t>
      </w:r>
      <w:r w:rsidR="00D2068B">
        <w:rPr>
          <w:rFonts w:ascii="Arial" w:hAnsi="Arial" w:cs="Arial"/>
          <w:sz w:val="22"/>
          <w:szCs w:val="22"/>
        </w:rPr>
        <w:t>,</w:t>
      </w:r>
      <w:r w:rsidR="00B60B3D">
        <w:rPr>
          <w:rFonts w:ascii="Arial" w:hAnsi="Arial" w:cs="Arial"/>
          <w:sz w:val="22"/>
          <w:szCs w:val="22"/>
        </w:rPr>
        <w:t xml:space="preserve"> el funcionario del Grupo de Logística y Suministros informó que </w:t>
      </w:r>
      <w:r w:rsidR="00D2068B">
        <w:rPr>
          <w:rFonts w:ascii="Arial" w:hAnsi="Arial" w:cs="Arial"/>
          <w:sz w:val="22"/>
          <w:szCs w:val="22"/>
        </w:rPr>
        <w:t xml:space="preserve">lo anterior obedeció a </w:t>
      </w:r>
      <w:r w:rsidR="001C65D4">
        <w:rPr>
          <w:rFonts w:ascii="Arial" w:hAnsi="Arial" w:cs="Arial"/>
          <w:sz w:val="22"/>
          <w:szCs w:val="22"/>
        </w:rPr>
        <w:t>que,</w:t>
      </w:r>
      <w:r w:rsidR="00D2068B">
        <w:rPr>
          <w:rFonts w:ascii="Arial" w:hAnsi="Arial" w:cs="Arial"/>
          <w:sz w:val="22"/>
          <w:szCs w:val="22"/>
        </w:rPr>
        <w:t xml:space="preserve"> </w:t>
      </w:r>
      <w:r w:rsidR="00B2113B">
        <w:rPr>
          <w:rFonts w:ascii="Arial" w:hAnsi="Arial" w:cs="Arial"/>
          <w:sz w:val="22"/>
          <w:szCs w:val="22"/>
        </w:rPr>
        <w:t>en dicho mes</w:t>
      </w:r>
      <w:r w:rsidR="00277B56">
        <w:rPr>
          <w:rFonts w:ascii="Arial" w:hAnsi="Arial" w:cs="Arial"/>
          <w:sz w:val="22"/>
          <w:szCs w:val="22"/>
        </w:rPr>
        <w:t xml:space="preserve"> </w:t>
      </w:r>
      <w:r w:rsidR="00B2113B">
        <w:rPr>
          <w:rFonts w:ascii="Arial" w:hAnsi="Arial" w:cs="Arial"/>
          <w:sz w:val="22"/>
          <w:szCs w:val="22"/>
        </w:rPr>
        <w:t>el total de</w:t>
      </w:r>
      <w:r w:rsidR="005164C4">
        <w:rPr>
          <w:rFonts w:ascii="Arial" w:hAnsi="Arial" w:cs="Arial"/>
          <w:sz w:val="22"/>
          <w:szCs w:val="22"/>
        </w:rPr>
        <w:t xml:space="preserve"> las</w:t>
      </w:r>
      <w:r w:rsidR="00B2113B">
        <w:rPr>
          <w:rFonts w:ascii="Arial" w:hAnsi="Arial" w:cs="Arial"/>
          <w:sz w:val="22"/>
          <w:szCs w:val="22"/>
        </w:rPr>
        <w:t xml:space="preserve"> líneas eran 25 y de acuerdo con lo pactado en el contrato </w:t>
      </w:r>
      <w:r w:rsidR="003B2096">
        <w:rPr>
          <w:rFonts w:ascii="Arial" w:hAnsi="Arial" w:cs="Arial"/>
          <w:sz w:val="22"/>
          <w:szCs w:val="22"/>
        </w:rPr>
        <w:t xml:space="preserve">con la empresa telefónica </w:t>
      </w:r>
      <w:r w:rsidR="00B2113B">
        <w:rPr>
          <w:rFonts w:ascii="Arial" w:hAnsi="Arial" w:cs="Arial"/>
          <w:sz w:val="22"/>
          <w:szCs w:val="22"/>
        </w:rPr>
        <w:t>para recibir el descuento es</w:t>
      </w:r>
      <w:r w:rsidR="003B2096">
        <w:rPr>
          <w:rFonts w:ascii="Arial" w:hAnsi="Arial" w:cs="Arial"/>
          <w:sz w:val="22"/>
          <w:szCs w:val="22"/>
        </w:rPr>
        <w:t xml:space="preserve"> necesario </w:t>
      </w:r>
      <w:r w:rsidR="00B2113B">
        <w:rPr>
          <w:rFonts w:ascii="Arial" w:hAnsi="Arial" w:cs="Arial"/>
          <w:sz w:val="22"/>
          <w:szCs w:val="22"/>
        </w:rPr>
        <w:t xml:space="preserve">mantener </w:t>
      </w:r>
      <w:r w:rsidR="00335519">
        <w:rPr>
          <w:rFonts w:ascii="Arial" w:hAnsi="Arial" w:cs="Arial"/>
          <w:sz w:val="22"/>
          <w:szCs w:val="22"/>
        </w:rPr>
        <w:t xml:space="preserve">tan solo </w:t>
      </w:r>
      <w:r w:rsidR="00B2113B">
        <w:rPr>
          <w:rFonts w:ascii="Arial" w:hAnsi="Arial" w:cs="Arial"/>
          <w:sz w:val="22"/>
          <w:szCs w:val="22"/>
        </w:rPr>
        <w:t xml:space="preserve">24 líneas, sin embargo, el </w:t>
      </w:r>
      <w:r w:rsidR="001C65D4">
        <w:rPr>
          <w:rFonts w:ascii="Arial" w:hAnsi="Arial" w:cs="Arial"/>
          <w:sz w:val="22"/>
          <w:szCs w:val="22"/>
        </w:rPr>
        <w:t>G</w:t>
      </w:r>
      <w:r w:rsidR="00B2113B">
        <w:rPr>
          <w:rFonts w:ascii="Arial" w:hAnsi="Arial" w:cs="Arial"/>
          <w:sz w:val="22"/>
          <w:szCs w:val="22"/>
        </w:rPr>
        <w:t>r</w:t>
      </w:r>
      <w:r w:rsidR="001C65D4">
        <w:rPr>
          <w:rFonts w:ascii="Arial" w:hAnsi="Arial" w:cs="Arial"/>
          <w:sz w:val="22"/>
          <w:szCs w:val="22"/>
        </w:rPr>
        <w:t xml:space="preserve">upo en mención, </w:t>
      </w:r>
      <w:r w:rsidR="00B2113B">
        <w:rPr>
          <w:rFonts w:ascii="Arial" w:hAnsi="Arial" w:cs="Arial"/>
          <w:sz w:val="22"/>
          <w:szCs w:val="22"/>
        </w:rPr>
        <w:t xml:space="preserve">realizó las gestiones pertinentes y los meses de agosto y septiembre el valor </w:t>
      </w:r>
      <w:r w:rsidR="001C65D4">
        <w:rPr>
          <w:rFonts w:ascii="Arial" w:hAnsi="Arial" w:cs="Arial"/>
          <w:sz w:val="22"/>
          <w:szCs w:val="22"/>
        </w:rPr>
        <w:t>facturado por Movistar fue de $ 143.505, es decir, aplicaron el respectivo descuento.</w:t>
      </w:r>
      <w:r w:rsidR="00277B56">
        <w:rPr>
          <w:rFonts w:ascii="Arial" w:hAnsi="Arial" w:cs="Arial"/>
          <w:sz w:val="22"/>
          <w:szCs w:val="22"/>
        </w:rPr>
        <w:t xml:space="preserve"> Frente a lo anterior, este Ministerio </w:t>
      </w:r>
      <w:r w:rsidR="003B2096">
        <w:rPr>
          <w:rFonts w:ascii="Arial" w:hAnsi="Arial" w:cs="Arial"/>
          <w:sz w:val="22"/>
          <w:szCs w:val="22"/>
        </w:rPr>
        <w:t xml:space="preserve">está a la espera que Movistar efectué la nota crédito correspondiente al periodo de julio de 2019. </w:t>
      </w:r>
      <w:r w:rsidR="001C65D4">
        <w:rPr>
          <w:rFonts w:ascii="Arial" w:hAnsi="Arial" w:cs="Arial"/>
          <w:sz w:val="22"/>
          <w:szCs w:val="22"/>
        </w:rPr>
        <w:t xml:space="preserve">De acuerdo </w:t>
      </w:r>
      <w:r w:rsidR="00EB5C30">
        <w:rPr>
          <w:rFonts w:ascii="Arial" w:hAnsi="Arial" w:cs="Arial"/>
          <w:sz w:val="22"/>
          <w:szCs w:val="22"/>
        </w:rPr>
        <w:t xml:space="preserve">con </w:t>
      </w:r>
      <w:r w:rsidR="001C65D4">
        <w:rPr>
          <w:rFonts w:ascii="Arial" w:hAnsi="Arial" w:cs="Arial"/>
          <w:sz w:val="22"/>
          <w:szCs w:val="22"/>
        </w:rPr>
        <w:t xml:space="preserve">lo informado por el área, </w:t>
      </w:r>
      <w:r w:rsidR="00EB5C30">
        <w:rPr>
          <w:rFonts w:ascii="Arial" w:hAnsi="Arial" w:cs="Arial"/>
          <w:sz w:val="22"/>
          <w:szCs w:val="22"/>
        </w:rPr>
        <w:t xml:space="preserve">el 11 de octubre de 2019 telefónicamente se efectuó la cancelación de la </w:t>
      </w:r>
      <w:r w:rsidR="00335519">
        <w:rPr>
          <w:rFonts w:ascii="Arial" w:hAnsi="Arial" w:cs="Arial"/>
          <w:sz w:val="22"/>
          <w:szCs w:val="22"/>
        </w:rPr>
        <w:t xml:space="preserve">respectiva </w:t>
      </w:r>
      <w:r w:rsidR="00EB5C30">
        <w:rPr>
          <w:rFonts w:ascii="Arial" w:hAnsi="Arial" w:cs="Arial"/>
          <w:sz w:val="22"/>
          <w:szCs w:val="22"/>
        </w:rPr>
        <w:t>línea</w:t>
      </w:r>
      <w:r w:rsidR="00335519">
        <w:rPr>
          <w:rFonts w:ascii="Arial" w:hAnsi="Arial" w:cs="Arial"/>
          <w:sz w:val="22"/>
          <w:szCs w:val="22"/>
        </w:rPr>
        <w:t xml:space="preserve"> telefónica. </w:t>
      </w:r>
    </w:p>
    <w:p w14:paraId="1F24980F" w14:textId="59EA30D8" w:rsidR="00F57DA4" w:rsidRDefault="00F57DA4" w:rsidP="000F46E5">
      <w:pPr>
        <w:spacing w:line="168" w:lineRule="auto"/>
        <w:jc w:val="both"/>
        <w:rPr>
          <w:rFonts w:ascii="Arial" w:hAnsi="Arial" w:cs="Arial"/>
          <w:sz w:val="22"/>
          <w:szCs w:val="22"/>
        </w:rPr>
      </w:pPr>
    </w:p>
    <w:p w14:paraId="0860AD8E" w14:textId="09F699E1" w:rsidR="00F57DA4" w:rsidRDefault="00213D12" w:rsidP="000F46E5">
      <w:pPr>
        <w:pStyle w:val="Prrafodelista"/>
        <w:ind w:left="360"/>
        <w:contextualSpacing w:val="0"/>
        <w:rPr>
          <w:rFonts w:ascii="Arial" w:hAnsi="Arial" w:cs="Arial"/>
          <w:sz w:val="22"/>
          <w:szCs w:val="22"/>
        </w:rPr>
      </w:pPr>
      <w:r w:rsidRPr="00766937">
        <w:rPr>
          <w:rFonts w:ascii="Arial" w:hAnsi="Arial" w:cs="Arial"/>
          <w:sz w:val="22"/>
          <w:szCs w:val="22"/>
        </w:rPr>
        <w:t xml:space="preserve">Si bien la línea telefónica ya fue cancelada, es importante mencionar que durante el trimestre analizado se mantuvo sin asignar y que para el corte a 30 de septiembre de 2019 se tenían 25 </w:t>
      </w:r>
      <w:r w:rsidR="00B01761" w:rsidRPr="00766937">
        <w:rPr>
          <w:rFonts w:ascii="Arial" w:hAnsi="Arial" w:cs="Arial"/>
          <w:sz w:val="22"/>
          <w:szCs w:val="22"/>
        </w:rPr>
        <w:t>líneas, es decir, una línea adicional a la exigida</w:t>
      </w:r>
      <w:r w:rsidR="00966B7E" w:rsidRPr="00766937">
        <w:rPr>
          <w:rFonts w:ascii="Arial" w:hAnsi="Arial" w:cs="Arial"/>
          <w:sz w:val="22"/>
          <w:szCs w:val="22"/>
        </w:rPr>
        <w:t xml:space="preserve"> según las condiciones acordadas </w:t>
      </w:r>
      <w:r w:rsidR="009F7DAF" w:rsidRPr="00766937">
        <w:rPr>
          <w:rFonts w:ascii="Arial" w:hAnsi="Arial" w:cs="Arial"/>
          <w:sz w:val="22"/>
          <w:szCs w:val="22"/>
        </w:rPr>
        <w:t>en el</w:t>
      </w:r>
      <w:r w:rsidR="00B01761" w:rsidRPr="00766937">
        <w:rPr>
          <w:rFonts w:ascii="Arial" w:hAnsi="Arial" w:cs="Arial"/>
          <w:sz w:val="22"/>
          <w:szCs w:val="22"/>
        </w:rPr>
        <w:t xml:space="preserve"> contrato con la empresa </w:t>
      </w:r>
      <w:r w:rsidR="00966B7E" w:rsidRPr="00766937">
        <w:rPr>
          <w:rFonts w:ascii="Arial" w:hAnsi="Arial" w:cs="Arial"/>
          <w:sz w:val="22"/>
          <w:szCs w:val="22"/>
        </w:rPr>
        <w:t>de telefonía</w:t>
      </w:r>
      <w:r w:rsidR="00B01761" w:rsidRPr="00766937">
        <w:rPr>
          <w:rFonts w:ascii="Arial" w:hAnsi="Arial" w:cs="Arial"/>
          <w:sz w:val="22"/>
          <w:szCs w:val="22"/>
        </w:rPr>
        <w:t>. Lo ant</w:t>
      </w:r>
      <w:r w:rsidR="009F7DAF" w:rsidRPr="00766937">
        <w:rPr>
          <w:rFonts w:ascii="Arial" w:hAnsi="Arial" w:cs="Arial"/>
          <w:sz w:val="22"/>
          <w:szCs w:val="22"/>
        </w:rPr>
        <w:t>erior, configurando un gasto adicional para este Ministerio por líneas telefónicas sin utilizar.</w:t>
      </w:r>
      <w:r w:rsidR="00B44E11">
        <w:rPr>
          <w:rFonts w:ascii="Arial" w:hAnsi="Arial" w:cs="Arial"/>
          <w:sz w:val="22"/>
          <w:szCs w:val="22"/>
        </w:rPr>
        <w:t xml:space="preserve"> Razón por la cual</w:t>
      </w:r>
      <w:r w:rsidR="00D462A9" w:rsidRPr="00766937">
        <w:rPr>
          <w:rFonts w:ascii="Arial" w:hAnsi="Arial" w:cs="Arial"/>
          <w:sz w:val="22"/>
          <w:szCs w:val="22"/>
        </w:rPr>
        <w:t xml:space="preserve">, se </w:t>
      </w:r>
      <w:r w:rsidR="00D462A9" w:rsidRPr="00766937">
        <w:rPr>
          <w:rFonts w:ascii="Arial" w:hAnsi="Arial" w:cs="Arial"/>
          <w:b/>
          <w:bCs/>
          <w:sz w:val="22"/>
          <w:szCs w:val="22"/>
        </w:rPr>
        <w:t>recomienda</w:t>
      </w:r>
      <w:r w:rsidR="00D462A9" w:rsidRPr="00766937">
        <w:rPr>
          <w:rFonts w:ascii="Arial" w:hAnsi="Arial" w:cs="Arial"/>
          <w:sz w:val="22"/>
          <w:szCs w:val="22"/>
        </w:rPr>
        <w:t xml:space="preserve"> que</w:t>
      </w:r>
      <w:r w:rsidR="00A715AB" w:rsidRPr="00766937">
        <w:rPr>
          <w:rFonts w:ascii="Arial" w:hAnsi="Arial" w:cs="Arial"/>
          <w:sz w:val="22"/>
          <w:szCs w:val="22"/>
        </w:rPr>
        <w:t xml:space="preserve"> en</w:t>
      </w:r>
      <w:r w:rsidR="00D462A9" w:rsidRPr="00766937">
        <w:rPr>
          <w:rFonts w:ascii="Arial" w:hAnsi="Arial" w:cs="Arial"/>
          <w:sz w:val="22"/>
          <w:szCs w:val="22"/>
        </w:rPr>
        <w:t xml:space="preserve"> lo sucesivo </w:t>
      </w:r>
      <w:r w:rsidR="00B44E11">
        <w:rPr>
          <w:rFonts w:ascii="Arial" w:hAnsi="Arial" w:cs="Arial"/>
          <w:sz w:val="22"/>
          <w:szCs w:val="22"/>
        </w:rPr>
        <w:t xml:space="preserve">se adquieran </w:t>
      </w:r>
      <w:r w:rsidR="00255279" w:rsidRPr="00766937">
        <w:rPr>
          <w:rFonts w:ascii="Arial" w:hAnsi="Arial" w:cs="Arial"/>
          <w:sz w:val="22"/>
          <w:szCs w:val="22"/>
        </w:rPr>
        <w:t>las líneas telefónicas</w:t>
      </w:r>
      <w:r w:rsidR="00B44E11">
        <w:rPr>
          <w:rFonts w:ascii="Arial" w:hAnsi="Arial" w:cs="Arial"/>
          <w:sz w:val="22"/>
          <w:szCs w:val="22"/>
        </w:rPr>
        <w:t xml:space="preserve"> con el fin de </w:t>
      </w:r>
      <w:r w:rsidR="00B849DA">
        <w:rPr>
          <w:rFonts w:ascii="Arial" w:hAnsi="Arial" w:cs="Arial"/>
          <w:sz w:val="22"/>
          <w:szCs w:val="22"/>
        </w:rPr>
        <w:t xml:space="preserve">ser asignada a </w:t>
      </w:r>
      <w:r w:rsidR="00255279" w:rsidRPr="00766937">
        <w:rPr>
          <w:rFonts w:ascii="Arial" w:hAnsi="Arial" w:cs="Arial"/>
          <w:sz w:val="22"/>
          <w:szCs w:val="22"/>
        </w:rPr>
        <w:t xml:space="preserve">los funcionarios de este Ministerio </w:t>
      </w:r>
      <w:r w:rsidR="00B849DA">
        <w:rPr>
          <w:rFonts w:ascii="Arial" w:hAnsi="Arial" w:cs="Arial"/>
          <w:sz w:val="22"/>
          <w:szCs w:val="22"/>
        </w:rPr>
        <w:t xml:space="preserve">en cumplimiento de las </w:t>
      </w:r>
      <w:r w:rsidR="00255279" w:rsidRPr="00766937">
        <w:rPr>
          <w:rFonts w:ascii="Arial" w:hAnsi="Arial" w:cs="Arial"/>
          <w:sz w:val="22"/>
          <w:szCs w:val="22"/>
        </w:rPr>
        <w:t>gestiones derivadas de las funciones asignadas</w:t>
      </w:r>
      <w:r w:rsidR="006D0BB0">
        <w:rPr>
          <w:rFonts w:ascii="Arial" w:hAnsi="Arial" w:cs="Arial"/>
          <w:sz w:val="22"/>
          <w:szCs w:val="22"/>
        </w:rPr>
        <w:t xml:space="preserve">. </w:t>
      </w:r>
    </w:p>
    <w:p w14:paraId="0C98119A" w14:textId="40E7F4CC" w:rsidR="00A05F91" w:rsidRDefault="00A05F91" w:rsidP="000F46E5">
      <w:pPr>
        <w:spacing w:line="168" w:lineRule="auto"/>
        <w:jc w:val="both"/>
        <w:rPr>
          <w:rFonts w:ascii="Arial" w:hAnsi="Arial" w:cs="Arial"/>
          <w:sz w:val="22"/>
          <w:szCs w:val="22"/>
        </w:rPr>
      </w:pPr>
    </w:p>
    <w:p w14:paraId="3C25C710" w14:textId="77777777" w:rsidR="00846972" w:rsidRPr="00457454" w:rsidRDefault="00A05F91" w:rsidP="000F46E5">
      <w:pPr>
        <w:pStyle w:val="Prrafodelista"/>
        <w:numPr>
          <w:ilvl w:val="0"/>
          <w:numId w:val="19"/>
        </w:numPr>
        <w:contextualSpacing w:val="0"/>
        <w:rPr>
          <w:rFonts w:ascii="Arial" w:hAnsi="Arial" w:cs="Arial"/>
          <w:sz w:val="22"/>
          <w:szCs w:val="22"/>
        </w:rPr>
      </w:pPr>
      <w:r w:rsidRPr="00457454">
        <w:rPr>
          <w:rFonts w:ascii="Arial" w:hAnsi="Arial" w:cs="Arial"/>
          <w:sz w:val="22"/>
          <w:szCs w:val="22"/>
        </w:rPr>
        <w:t xml:space="preserve">Se observó que el servicio facturado por Movistar correspondiente al mes de agosto de 2019, </w:t>
      </w:r>
      <w:r w:rsidR="00B43BB1" w:rsidRPr="00457454">
        <w:rPr>
          <w:rFonts w:ascii="Arial" w:hAnsi="Arial" w:cs="Arial"/>
          <w:sz w:val="22"/>
          <w:szCs w:val="22"/>
        </w:rPr>
        <w:t xml:space="preserve">se realizó el pago con un día extemporáneo, generando un pago por </w:t>
      </w:r>
      <w:r w:rsidR="007E203A" w:rsidRPr="00457454">
        <w:rPr>
          <w:rFonts w:ascii="Arial" w:hAnsi="Arial" w:cs="Arial"/>
          <w:sz w:val="22"/>
          <w:szCs w:val="22"/>
        </w:rPr>
        <w:t xml:space="preserve">intereses de </w:t>
      </w:r>
      <w:r w:rsidR="00B43BB1" w:rsidRPr="00457454">
        <w:rPr>
          <w:rFonts w:ascii="Arial" w:hAnsi="Arial" w:cs="Arial"/>
          <w:sz w:val="22"/>
          <w:szCs w:val="22"/>
        </w:rPr>
        <w:t xml:space="preserve">mora de $ 1.177. Sobre el particular, el funcionario responsable del tema en el Grupo de Logística y Suministro informó que debido a que dificultades de índole administrativas impidieron el pago de forma oportuna. </w:t>
      </w:r>
    </w:p>
    <w:p w14:paraId="46A9DBBD" w14:textId="77777777" w:rsidR="00846972" w:rsidRDefault="00846972" w:rsidP="000F46E5">
      <w:pPr>
        <w:spacing w:line="168" w:lineRule="auto"/>
        <w:jc w:val="both"/>
        <w:rPr>
          <w:rFonts w:ascii="Arial" w:hAnsi="Arial" w:cs="Arial"/>
          <w:sz w:val="22"/>
          <w:szCs w:val="22"/>
          <w:highlight w:val="yellow"/>
        </w:rPr>
      </w:pPr>
    </w:p>
    <w:p w14:paraId="4B033C14" w14:textId="6C58695D" w:rsidR="00C95290" w:rsidRDefault="00B43BB1" w:rsidP="000F46E5">
      <w:pPr>
        <w:pStyle w:val="Prrafodelista"/>
        <w:ind w:left="360"/>
        <w:contextualSpacing w:val="0"/>
        <w:rPr>
          <w:rFonts w:ascii="Arial" w:hAnsi="Arial" w:cs="Arial"/>
          <w:sz w:val="22"/>
          <w:szCs w:val="22"/>
        </w:rPr>
      </w:pPr>
      <w:r w:rsidRPr="00457454">
        <w:rPr>
          <w:rFonts w:ascii="Arial" w:hAnsi="Arial" w:cs="Arial"/>
          <w:sz w:val="22"/>
          <w:szCs w:val="22"/>
        </w:rPr>
        <w:t xml:space="preserve">Es importante mencionar, que dicho pago fue asumido por la Coordinadora del Grupo de Logística y Suministro. Teniendo en cuenta que, situaciones como las evidencias pueden llegar a generar </w:t>
      </w:r>
      <w:r w:rsidR="00846972" w:rsidRPr="00457454">
        <w:rPr>
          <w:rFonts w:ascii="Arial" w:hAnsi="Arial" w:cs="Arial"/>
          <w:sz w:val="22"/>
          <w:szCs w:val="22"/>
        </w:rPr>
        <w:t xml:space="preserve">entre otros, </w:t>
      </w:r>
      <w:r w:rsidR="007E203A" w:rsidRPr="00457454">
        <w:rPr>
          <w:rFonts w:ascii="Arial" w:hAnsi="Arial" w:cs="Arial"/>
          <w:sz w:val="22"/>
          <w:szCs w:val="22"/>
        </w:rPr>
        <w:t xml:space="preserve">intereses de mora por pagos </w:t>
      </w:r>
      <w:r w:rsidR="00457454" w:rsidRPr="00457454">
        <w:rPr>
          <w:rFonts w:ascii="Arial" w:hAnsi="Arial" w:cs="Arial"/>
          <w:sz w:val="22"/>
          <w:szCs w:val="22"/>
        </w:rPr>
        <w:t>extemporáneos y posibles</w:t>
      </w:r>
      <w:r w:rsidRPr="00457454">
        <w:rPr>
          <w:rFonts w:ascii="Arial" w:hAnsi="Arial" w:cs="Arial"/>
          <w:sz w:val="22"/>
          <w:szCs w:val="22"/>
        </w:rPr>
        <w:t xml:space="preserve"> suspensiones en el servicio, se </w:t>
      </w:r>
      <w:r w:rsidRPr="00457454">
        <w:rPr>
          <w:rFonts w:ascii="Arial" w:hAnsi="Arial" w:cs="Arial"/>
          <w:b/>
          <w:bCs/>
          <w:sz w:val="22"/>
          <w:szCs w:val="22"/>
        </w:rPr>
        <w:t>recomienda</w:t>
      </w:r>
      <w:r w:rsidRPr="00457454">
        <w:rPr>
          <w:rFonts w:ascii="Arial" w:hAnsi="Arial" w:cs="Arial"/>
          <w:sz w:val="22"/>
          <w:szCs w:val="22"/>
        </w:rPr>
        <w:t xml:space="preserve"> </w:t>
      </w:r>
      <w:r w:rsidR="004439ED">
        <w:rPr>
          <w:rFonts w:ascii="Arial" w:hAnsi="Arial" w:cs="Arial"/>
          <w:sz w:val="22"/>
          <w:szCs w:val="22"/>
        </w:rPr>
        <w:t xml:space="preserve">fortalecer los </w:t>
      </w:r>
      <w:r w:rsidRPr="00457454">
        <w:rPr>
          <w:rFonts w:ascii="Arial" w:hAnsi="Arial" w:cs="Arial"/>
          <w:sz w:val="22"/>
          <w:szCs w:val="22"/>
        </w:rPr>
        <w:t>controles</w:t>
      </w:r>
      <w:r w:rsidR="004439ED">
        <w:rPr>
          <w:rFonts w:ascii="Arial" w:hAnsi="Arial" w:cs="Arial"/>
          <w:sz w:val="22"/>
          <w:szCs w:val="22"/>
        </w:rPr>
        <w:t xml:space="preserve"> existentes</w:t>
      </w:r>
      <w:r w:rsidRPr="00457454">
        <w:rPr>
          <w:rFonts w:ascii="Arial" w:hAnsi="Arial" w:cs="Arial"/>
          <w:sz w:val="22"/>
          <w:szCs w:val="22"/>
        </w:rPr>
        <w:t xml:space="preserve"> que permitan monitorear el vencimiento de las obligaciones de servicios públicos, con el propósito de efectuar las gestiones pertinentes al interior de este Ministerio, logrando con ello, que los pagos se efectúen oportunamente.  </w:t>
      </w:r>
    </w:p>
    <w:p w14:paraId="133A01FD" w14:textId="77777777" w:rsidR="000F46E5" w:rsidRDefault="000F46E5" w:rsidP="000F46E5">
      <w:pPr>
        <w:spacing w:line="168" w:lineRule="auto"/>
        <w:jc w:val="both"/>
        <w:rPr>
          <w:rFonts w:ascii="Arial" w:hAnsi="Arial" w:cs="Arial"/>
          <w:sz w:val="22"/>
          <w:szCs w:val="22"/>
        </w:rPr>
      </w:pPr>
    </w:p>
    <w:p w14:paraId="76E82EAB" w14:textId="7ACC2CEA" w:rsidR="00AA5CCE" w:rsidRDefault="00457454" w:rsidP="000F46E5">
      <w:pPr>
        <w:jc w:val="both"/>
        <w:rPr>
          <w:rFonts w:ascii="Arial" w:hAnsi="Arial" w:cs="Arial"/>
          <w:sz w:val="22"/>
          <w:szCs w:val="22"/>
        </w:rPr>
      </w:pPr>
      <w:r>
        <w:rPr>
          <w:rFonts w:ascii="Arial" w:hAnsi="Arial" w:cs="Arial"/>
          <w:sz w:val="22"/>
          <w:szCs w:val="22"/>
        </w:rPr>
        <w:t>Con respecto, a los cobros adiciones del segundo trimestre de 2019, se constató en el listado de reintegros expedido por la Subdirección Financiera, que la fecha de emisión de este inf</w:t>
      </w:r>
      <w:r w:rsidR="00F1513E">
        <w:rPr>
          <w:rFonts w:ascii="Arial" w:hAnsi="Arial" w:cs="Arial"/>
          <w:sz w:val="22"/>
          <w:szCs w:val="22"/>
        </w:rPr>
        <w:t>orme los siguientes cobros estaban</w:t>
      </w:r>
      <w:r>
        <w:rPr>
          <w:rFonts w:ascii="Arial" w:hAnsi="Arial" w:cs="Arial"/>
          <w:sz w:val="22"/>
          <w:szCs w:val="22"/>
        </w:rPr>
        <w:t xml:space="preserve"> p</w:t>
      </w:r>
      <w:r w:rsidR="00B370A9" w:rsidRPr="00457454">
        <w:rPr>
          <w:rFonts w:ascii="Arial" w:hAnsi="Arial" w:cs="Arial"/>
          <w:sz w:val="22"/>
          <w:szCs w:val="22"/>
        </w:rPr>
        <w:t>endientes de reintegro por parte de los funcionarios que tienen asignada la línea</w:t>
      </w:r>
      <w:r w:rsidR="00BE724C" w:rsidRPr="00457454">
        <w:rPr>
          <w:rFonts w:ascii="Arial" w:hAnsi="Arial" w:cs="Arial"/>
          <w:sz w:val="22"/>
          <w:szCs w:val="22"/>
        </w:rPr>
        <w:t xml:space="preserve"> telefónica</w:t>
      </w:r>
      <w:r w:rsidR="00B370A9" w:rsidRPr="00457454">
        <w:rPr>
          <w:rFonts w:ascii="Arial" w:hAnsi="Arial" w:cs="Arial"/>
          <w:sz w:val="22"/>
          <w:szCs w:val="22"/>
        </w:rPr>
        <w:t xml:space="preserve">, </w:t>
      </w:r>
      <w:r w:rsidR="00AA5CCE" w:rsidRPr="00457454">
        <w:rPr>
          <w:rFonts w:ascii="Arial" w:hAnsi="Arial" w:cs="Arial"/>
          <w:sz w:val="22"/>
          <w:szCs w:val="22"/>
        </w:rPr>
        <w:t xml:space="preserve">así: </w:t>
      </w:r>
    </w:p>
    <w:p w14:paraId="2BAF8725" w14:textId="77777777" w:rsidR="000F46E5" w:rsidRPr="00457454" w:rsidRDefault="000F46E5" w:rsidP="000F46E5">
      <w:pPr>
        <w:spacing w:line="168" w:lineRule="auto"/>
        <w:jc w:val="both"/>
        <w:rPr>
          <w:rFonts w:ascii="Arial" w:hAnsi="Arial" w:cs="Arial"/>
          <w:sz w:val="22"/>
          <w:szCs w:val="22"/>
        </w:rPr>
      </w:pPr>
    </w:p>
    <w:tbl>
      <w:tblPr>
        <w:tblStyle w:val="Tabladecuadrcula1clara-nfasis1"/>
        <w:tblW w:w="0" w:type="auto"/>
        <w:tblLook w:val="04A0" w:firstRow="1" w:lastRow="0" w:firstColumn="1" w:lastColumn="0" w:noHBand="0" w:noVBand="1"/>
      </w:tblPr>
      <w:tblGrid>
        <w:gridCol w:w="2344"/>
        <w:gridCol w:w="1540"/>
        <w:gridCol w:w="1117"/>
        <w:gridCol w:w="1272"/>
        <w:gridCol w:w="1156"/>
        <w:gridCol w:w="2249"/>
      </w:tblGrid>
      <w:tr w:rsidR="00397CDF" w:rsidRPr="00A003B6" w14:paraId="5127544A" w14:textId="77777777" w:rsidTr="000F46E5">
        <w:trPr>
          <w:cnfStyle w:val="100000000000" w:firstRow="1" w:lastRow="0" w:firstColumn="0" w:lastColumn="0" w:oddVBand="0" w:evenVBand="0" w:oddHBand="0" w:evenHBand="0" w:firstRowFirstColumn="0" w:firstRowLastColumn="0" w:lastRowFirstColumn="0" w:lastRowLastColumn="0"/>
          <w:cantSplit/>
          <w:trHeight w:val="181"/>
          <w:tblHeader/>
        </w:trPr>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4F81BD" w:themeFill="accent1"/>
            <w:vAlign w:val="center"/>
            <w:hideMark/>
          </w:tcPr>
          <w:p w14:paraId="4453483D" w14:textId="77777777" w:rsidR="00397CDF" w:rsidRPr="00B370A9" w:rsidRDefault="00397CDF" w:rsidP="00397CDF">
            <w:pPr>
              <w:spacing w:before="80" w:after="80"/>
              <w:jc w:val="center"/>
              <w:rPr>
                <w:rFonts w:ascii="Arial" w:hAnsi="Arial" w:cs="Arial"/>
                <w:color w:val="FFFFFF" w:themeColor="background1"/>
                <w:sz w:val="20"/>
                <w:szCs w:val="20"/>
              </w:rPr>
            </w:pPr>
            <w:r w:rsidRPr="00B370A9">
              <w:rPr>
                <w:rFonts w:ascii="Arial" w:hAnsi="Arial" w:cs="Arial"/>
                <w:color w:val="FFFFFF" w:themeColor="background1"/>
                <w:sz w:val="22"/>
                <w:szCs w:val="22"/>
              </w:rPr>
              <w:br w:type="page"/>
            </w:r>
            <w:r w:rsidRPr="00B370A9">
              <w:rPr>
                <w:rFonts w:ascii="Arial" w:hAnsi="Arial" w:cs="Arial"/>
                <w:color w:val="FFFFFF" w:themeColor="background1"/>
                <w:sz w:val="20"/>
                <w:szCs w:val="20"/>
              </w:rPr>
              <w:t xml:space="preserve">Dirección </w:t>
            </w:r>
          </w:p>
        </w:tc>
        <w:tc>
          <w:tcPr>
            <w:tcW w:w="4962" w:type="dxa"/>
            <w:gridSpan w:val="4"/>
            <w:shd w:val="clear" w:color="auto" w:fill="4F81BD" w:themeFill="accent1"/>
            <w:vAlign w:val="center"/>
            <w:hideMark/>
          </w:tcPr>
          <w:p w14:paraId="4A071836" w14:textId="77777777" w:rsidR="00397CDF" w:rsidRPr="00B370A9" w:rsidRDefault="00397CDF" w:rsidP="00397CDF">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370A9">
              <w:rPr>
                <w:rFonts w:ascii="Arial" w:hAnsi="Arial" w:cs="Arial"/>
                <w:color w:val="FFFFFF" w:themeColor="background1"/>
                <w:sz w:val="20"/>
                <w:szCs w:val="20"/>
              </w:rPr>
              <w:t>Cargos Adicionales - II Trimestre de 2019</w:t>
            </w:r>
          </w:p>
        </w:tc>
        <w:tc>
          <w:tcPr>
            <w:tcW w:w="2311" w:type="dxa"/>
            <w:vMerge w:val="restart"/>
            <w:shd w:val="clear" w:color="auto" w:fill="4F81BD" w:themeFill="accent1"/>
            <w:vAlign w:val="center"/>
            <w:hideMark/>
          </w:tcPr>
          <w:p w14:paraId="53E346FE" w14:textId="5BAFF963" w:rsidR="00397CDF" w:rsidRPr="00B370A9" w:rsidRDefault="006B32A2" w:rsidP="006B32A2">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Fecha de Reintegro</w:t>
            </w:r>
            <w:r w:rsidR="00397CDF" w:rsidRPr="00B370A9">
              <w:rPr>
                <w:rFonts w:ascii="Arial" w:hAnsi="Arial" w:cs="Arial"/>
                <w:b w:val="0"/>
                <w:bCs w:val="0"/>
                <w:color w:val="FFFFFF" w:themeColor="background1"/>
                <w:sz w:val="20"/>
                <w:szCs w:val="20"/>
              </w:rPr>
              <w:t> </w:t>
            </w:r>
          </w:p>
        </w:tc>
      </w:tr>
      <w:tr w:rsidR="00397CDF" w:rsidRPr="00A003B6" w14:paraId="64905089" w14:textId="77777777" w:rsidTr="00F1513E">
        <w:trPr>
          <w:cantSplit/>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4F81BD" w:themeFill="accent1"/>
            <w:vAlign w:val="center"/>
            <w:hideMark/>
          </w:tcPr>
          <w:p w14:paraId="6CD988CD" w14:textId="77777777" w:rsidR="00397CDF" w:rsidRPr="00B370A9" w:rsidRDefault="00397CDF" w:rsidP="00397CDF">
            <w:pPr>
              <w:spacing w:before="80" w:after="80"/>
              <w:rPr>
                <w:rFonts w:ascii="Arial" w:hAnsi="Arial" w:cs="Arial"/>
                <w:color w:val="FFFFFF" w:themeColor="background1"/>
                <w:sz w:val="20"/>
                <w:szCs w:val="20"/>
              </w:rPr>
            </w:pPr>
          </w:p>
        </w:tc>
        <w:tc>
          <w:tcPr>
            <w:tcW w:w="1559" w:type="dxa"/>
            <w:shd w:val="clear" w:color="auto" w:fill="4F81BD" w:themeFill="accent1"/>
            <w:vAlign w:val="center"/>
            <w:hideMark/>
          </w:tcPr>
          <w:p w14:paraId="70620C38" w14:textId="77777777" w:rsidR="00397CDF" w:rsidRPr="00B370A9" w:rsidRDefault="00397CDF" w:rsidP="00397CDF">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370A9">
              <w:rPr>
                <w:rFonts w:ascii="Arial" w:hAnsi="Arial" w:cs="Arial"/>
                <w:b/>
                <w:bCs/>
                <w:color w:val="FFFFFF" w:themeColor="background1"/>
                <w:sz w:val="20"/>
                <w:szCs w:val="20"/>
              </w:rPr>
              <w:t xml:space="preserve"> Periodo  </w:t>
            </w:r>
          </w:p>
        </w:tc>
        <w:tc>
          <w:tcPr>
            <w:tcW w:w="969" w:type="dxa"/>
            <w:shd w:val="clear" w:color="auto" w:fill="4F81BD" w:themeFill="accent1"/>
            <w:vAlign w:val="center"/>
            <w:hideMark/>
          </w:tcPr>
          <w:p w14:paraId="7C7BA1F9" w14:textId="77777777" w:rsidR="00397CDF" w:rsidRPr="00B370A9" w:rsidRDefault="00397CDF" w:rsidP="00397CDF">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370A9">
              <w:rPr>
                <w:rFonts w:ascii="Arial" w:hAnsi="Arial" w:cs="Arial"/>
                <w:b/>
                <w:bCs/>
                <w:color w:val="FFFFFF" w:themeColor="background1"/>
                <w:sz w:val="20"/>
                <w:szCs w:val="20"/>
              </w:rPr>
              <w:t xml:space="preserve">Radicado </w:t>
            </w:r>
          </w:p>
        </w:tc>
        <w:tc>
          <w:tcPr>
            <w:tcW w:w="1275" w:type="dxa"/>
            <w:shd w:val="clear" w:color="auto" w:fill="4F81BD" w:themeFill="accent1"/>
            <w:vAlign w:val="center"/>
            <w:hideMark/>
          </w:tcPr>
          <w:p w14:paraId="2E01C15F" w14:textId="77777777" w:rsidR="00397CDF" w:rsidRPr="00B370A9" w:rsidRDefault="00397CDF" w:rsidP="00397CDF">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370A9">
              <w:rPr>
                <w:rFonts w:ascii="Arial" w:hAnsi="Arial" w:cs="Arial"/>
                <w:b/>
                <w:bCs/>
                <w:color w:val="FFFFFF" w:themeColor="background1"/>
                <w:sz w:val="20"/>
                <w:szCs w:val="20"/>
              </w:rPr>
              <w:t xml:space="preserve"> Fecha  </w:t>
            </w:r>
          </w:p>
        </w:tc>
        <w:tc>
          <w:tcPr>
            <w:tcW w:w="1159" w:type="dxa"/>
            <w:shd w:val="clear" w:color="auto" w:fill="4F81BD" w:themeFill="accent1"/>
            <w:vAlign w:val="center"/>
            <w:hideMark/>
          </w:tcPr>
          <w:p w14:paraId="1464335B" w14:textId="77777777" w:rsidR="00397CDF" w:rsidRPr="00B370A9" w:rsidRDefault="00397CDF" w:rsidP="00397CDF">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370A9">
              <w:rPr>
                <w:rFonts w:ascii="Arial" w:hAnsi="Arial" w:cs="Arial"/>
                <w:b/>
                <w:bCs/>
                <w:color w:val="FFFFFF" w:themeColor="background1"/>
                <w:sz w:val="20"/>
                <w:szCs w:val="20"/>
              </w:rPr>
              <w:t xml:space="preserve"> Valor ($)</w:t>
            </w:r>
          </w:p>
        </w:tc>
        <w:tc>
          <w:tcPr>
            <w:tcW w:w="2311" w:type="dxa"/>
            <w:vMerge/>
            <w:shd w:val="clear" w:color="auto" w:fill="4F81BD" w:themeFill="accent1"/>
            <w:vAlign w:val="center"/>
            <w:hideMark/>
          </w:tcPr>
          <w:p w14:paraId="6312D55E" w14:textId="77777777" w:rsidR="00397CDF" w:rsidRPr="00B370A9" w:rsidRDefault="00397CDF" w:rsidP="00397CD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r>
      <w:tr w:rsidR="00397CDF" w:rsidRPr="00A003B6" w14:paraId="6CE93F97" w14:textId="77777777" w:rsidTr="00F1513E">
        <w:trPr>
          <w:cantSplit/>
          <w:trHeight w:val="775"/>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9EAC8C1" w14:textId="77777777" w:rsidR="00397CDF" w:rsidRPr="00FB7EA4" w:rsidRDefault="00397CDF" w:rsidP="00397CDF">
            <w:pPr>
              <w:spacing w:before="80" w:after="80"/>
              <w:jc w:val="center"/>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Viceministro Técnico</w:t>
            </w:r>
          </w:p>
        </w:tc>
        <w:tc>
          <w:tcPr>
            <w:tcW w:w="1559" w:type="dxa"/>
            <w:vAlign w:val="center"/>
            <w:hideMark/>
          </w:tcPr>
          <w:p w14:paraId="2F244D5C" w14:textId="77777777" w:rsidR="00397CDF" w:rsidRPr="00FB7EA4" w:rsidRDefault="00397CDF" w:rsidP="00397CD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02/04/2019 al 01/06/2019</w:t>
            </w:r>
          </w:p>
        </w:tc>
        <w:tc>
          <w:tcPr>
            <w:tcW w:w="969" w:type="dxa"/>
            <w:vAlign w:val="center"/>
            <w:hideMark/>
          </w:tcPr>
          <w:p w14:paraId="1EB89392" w14:textId="77777777" w:rsidR="00397CDF" w:rsidRPr="00FB7EA4" w:rsidRDefault="00397CDF" w:rsidP="00397CD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3-2019-010557</w:t>
            </w:r>
          </w:p>
        </w:tc>
        <w:tc>
          <w:tcPr>
            <w:tcW w:w="1275" w:type="dxa"/>
            <w:vAlign w:val="center"/>
            <w:hideMark/>
          </w:tcPr>
          <w:p w14:paraId="2A021704" w14:textId="77777777" w:rsidR="00397CDF" w:rsidRPr="00FB7EA4" w:rsidRDefault="00397CDF" w:rsidP="00397CDF">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17/06/2019</w:t>
            </w:r>
          </w:p>
        </w:tc>
        <w:tc>
          <w:tcPr>
            <w:tcW w:w="1159" w:type="dxa"/>
            <w:vAlign w:val="center"/>
            <w:hideMark/>
          </w:tcPr>
          <w:p w14:paraId="2D39B92A" w14:textId="77777777" w:rsidR="00397CDF" w:rsidRPr="00FB7EA4" w:rsidRDefault="00397CDF" w:rsidP="00397CDF">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1.391.857</w:t>
            </w:r>
          </w:p>
        </w:tc>
        <w:tc>
          <w:tcPr>
            <w:tcW w:w="2311" w:type="dxa"/>
            <w:vAlign w:val="center"/>
            <w:hideMark/>
          </w:tcPr>
          <w:p w14:paraId="1A814964" w14:textId="77777777" w:rsidR="00397CDF" w:rsidRPr="00FB7EA4" w:rsidRDefault="00397CDF" w:rsidP="00397CDF">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Está pendiente de reintegro. </w:t>
            </w:r>
          </w:p>
        </w:tc>
      </w:tr>
      <w:tr w:rsidR="00397CDF" w:rsidRPr="00A003B6" w14:paraId="75937F72" w14:textId="77777777" w:rsidTr="00F1513E">
        <w:trPr>
          <w:cantSplit/>
          <w:trHeight w:val="85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B3981E2" w14:textId="77777777" w:rsidR="00397CDF" w:rsidRPr="00FB7EA4" w:rsidRDefault="00397CDF" w:rsidP="001260BA">
            <w:pPr>
              <w:spacing w:before="120" w:after="120"/>
              <w:jc w:val="center"/>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Dirección de Crédito Público y Tesoro Nacional</w:t>
            </w:r>
          </w:p>
        </w:tc>
        <w:tc>
          <w:tcPr>
            <w:tcW w:w="1559" w:type="dxa"/>
            <w:vAlign w:val="center"/>
            <w:hideMark/>
          </w:tcPr>
          <w:p w14:paraId="7838A905" w14:textId="77777777" w:rsidR="00397CDF" w:rsidRPr="00FB7EA4" w:rsidRDefault="00397CDF"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02/04/2019 al 01/06/2019</w:t>
            </w:r>
          </w:p>
        </w:tc>
        <w:tc>
          <w:tcPr>
            <w:tcW w:w="969" w:type="dxa"/>
            <w:vAlign w:val="center"/>
            <w:hideMark/>
          </w:tcPr>
          <w:p w14:paraId="30B91091" w14:textId="77777777" w:rsidR="00397CDF" w:rsidRPr="00FB7EA4" w:rsidRDefault="00397CDF"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3-2019-010557</w:t>
            </w:r>
          </w:p>
        </w:tc>
        <w:tc>
          <w:tcPr>
            <w:tcW w:w="1275" w:type="dxa"/>
            <w:vAlign w:val="center"/>
            <w:hideMark/>
          </w:tcPr>
          <w:p w14:paraId="46BD45F2" w14:textId="77777777" w:rsidR="00397CDF" w:rsidRPr="00FB7EA4" w:rsidRDefault="00397CDF" w:rsidP="001260B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17/06/2019</w:t>
            </w:r>
          </w:p>
        </w:tc>
        <w:tc>
          <w:tcPr>
            <w:tcW w:w="1159" w:type="dxa"/>
            <w:vAlign w:val="center"/>
            <w:hideMark/>
          </w:tcPr>
          <w:p w14:paraId="66312263" w14:textId="77777777" w:rsidR="00397CDF" w:rsidRPr="00FB7EA4" w:rsidRDefault="00397CDF" w:rsidP="001260B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87.874</w:t>
            </w:r>
          </w:p>
        </w:tc>
        <w:tc>
          <w:tcPr>
            <w:tcW w:w="2311" w:type="dxa"/>
            <w:vAlign w:val="center"/>
            <w:hideMark/>
          </w:tcPr>
          <w:p w14:paraId="06012921" w14:textId="77777777" w:rsidR="00397CDF" w:rsidRPr="00FB7EA4" w:rsidRDefault="00397CDF" w:rsidP="001260B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Está pendiente de reintegro</w:t>
            </w:r>
          </w:p>
        </w:tc>
      </w:tr>
      <w:tr w:rsidR="00FC5CAB" w:rsidRPr="00A003B6" w14:paraId="79EFD817" w14:textId="77777777" w:rsidTr="000F46E5">
        <w:trPr>
          <w:cantSplit/>
        </w:trPr>
        <w:tc>
          <w:tcPr>
            <w:cnfStyle w:val="001000000000" w:firstRow="0" w:lastRow="0" w:firstColumn="1" w:lastColumn="0" w:oddVBand="0" w:evenVBand="0" w:oddHBand="0" w:evenHBand="0" w:firstRowFirstColumn="0" w:firstRowLastColumn="0" w:lastRowFirstColumn="0" w:lastRowLastColumn="0"/>
            <w:tcW w:w="6208" w:type="dxa"/>
            <w:gridSpan w:val="4"/>
            <w:shd w:val="clear" w:color="auto" w:fill="4F81BD" w:themeFill="accent1"/>
            <w:vAlign w:val="center"/>
            <w:hideMark/>
          </w:tcPr>
          <w:p w14:paraId="0745AD00" w14:textId="77777777" w:rsidR="00A577D9" w:rsidRPr="00B370A9" w:rsidRDefault="00A577D9" w:rsidP="00397CDF">
            <w:pPr>
              <w:spacing w:before="80" w:after="80"/>
              <w:jc w:val="both"/>
              <w:rPr>
                <w:rFonts w:ascii="Arial" w:hAnsi="Arial" w:cs="Arial"/>
                <w:color w:val="FFFFFF" w:themeColor="background1"/>
                <w:sz w:val="20"/>
                <w:szCs w:val="20"/>
              </w:rPr>
            </w:pPr>
            <w:r w:rsidRPr="00B370A9">
              <w:rPr>
                <w:rFonts w:ascii="Arial" w:hAnsi="Arial" w:cs="Arial"/>
                <w:color w:val="FFFFFF" w:themeColor="background1"/>
                <w:sz w:val="20"/>
                <w:szCs w:val="20"/>
              </w:rPr>
              <w:t xml:space="preserve"> Total  </w:t>
            </w:r>
          </w:p>
        </w:tc>
        <w:tc>
          <w:tcPr>
            <w:tcW w:w="1159" w:type="dxa"/>
            <w:shd w:val="clear" w:color="auto" w:fill="4F81BD" w:themeFill="accent1"/>
            <w:vAlign w:val="center"/>
            <w:hideMark/>
          </w:tcPr>
          <w:p w14:paraId="170A7DCB" w14:textId="0A612353" w:rsidR="00A577D9" w:rsidRPr="006B32A2" w:rsidRDefault="006B32A2" w:rsidP="006B32A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themeColor="background1"/>
                <w:sz w:val="20"/>
                <w:szCs w:val="20"/>
              </w:rPr>
              <w:t>1.479.731</w:t>
            </w:r>
          </w:p>
        </w:tc>
        <w:tc>
          <w:tcPr>
            <w:tcW w:w="2311" w:type="dxa"/>
            <w:shd w:val="clear" w:color="auto" w:fill="4F81BD" w:themeFill="accent1"/>
            <w:vAlign w:val="center"/>
            <w:hideMark/>
          </w:tcPr>
          <w:p w14:paraId="08888F58" w14:textId="77777777" w:rsidR="00A577D9" w:rsidRPr="00B370A9" w:rsidRDefault="00A577D9" w:rsidP="00397CDF">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370A9">
              <w:rPr>
                <w:rFonts w:ascii="Arial" w:hAnsi="Arial" w:cs="Arial"/>
                <w:b/>
                <w:bCs/>
                <w:color w:val="FFFFFF" w:themeColor="background1"/>
                <w:sz w:val="20"/>
                <w:szCs w:val="20"/>
              </w:rPr>
              <w:t> </w:t>
            </w:r>
          </w:p>
        </w:tc>
      </w:tr>
    </w:tbl>
    <w:p w14:paraId="0141E23F" w14:textId="7AA5E541" w:rsidR="00A577D9" w:rsidRDefault="00DB2A8C">
      <w:pPr>
        <w:spacing w:after="200" w:line="276" w:lineRule="auto"/>
        <w:rPr>
          <w:rFonts w:ascii="Arial" w:hAnsi="Arial" w:cs="Arial"/>
          <w:color w:val="000000"/>
          <w:sz w:val="18"/>
          <w:szCs w:val="18"/>
        </w:rPr>
      </w:pPr>
      <w:r w:rsidRPr="00B370A9">
        <w:rPr>
          <w:rFonts w:ascii="Arial" w:hAnsi="Arial" w:cs="Arial"/>
          <w:color w:val="000000"/>
          <w:sz w:val="18"/>
          <w:szCs w:val="18"/>
        </w:rPr>
        <w:t>Reporte de Reintegro SIIF</w:t>
      </w:r>
      <w:r w:rsidR="005C30B4" w:rsidRPr="005C30B4">
        <w:rPr>
          <w:rFonts w:ascii="Arial" w:hAnsi="Arial" w:cs="Arial"/>
          <w:color w:val="000000"/>
          <w:sz w:val="18"/>
          <w:szCs w:val="18"/>
        </w:rPr>
        <w:t xml:space="preserve">: </w:t>
      </w:r>
      <w:r w:rsidR="005C30B4">
        <w:rPr>
          <w:rFonts w:ascii="Arial" w:hAnsi="Arial" w:cs="Arial"/>
          <w:color w:val="000000"/>
          <w:sz w:val="18"/>
          <w:szCs w:val="18"/>
        </w:rPr>
        <w:t xml:space="preserve">21/11/2019. </w:t>
      </w:r>
    </w:p>
    <w:p w14:paraId="16DDF64C" w14:textId="5DB2A806" w:rsidR="00182546" w:rsidRPr="00182546" w:rsidRDefault="00F1513E" w:rsidP="00182546">
      <w:pPr>
        <w:jc w:val="both"/>
        <w:rPr>
          <w:rFonts w:ascii="Arial" w:hAnsi="Arial" w:cs="Arial"/>
          <w:color w:val="000000"/>
          <w:sz w:val="22"/>
          <w:szCs w:val="22"/>
        </w:rPr>
      </w:pPr>
      <w:r>
        <w:rPr>
          <w:rFonts w:ascii="Arial" w:hAnsi="Arial" w:cs="Arial"/>
          <w:color w:val="000000"/>
          <w:sz w:val="22"/>
          <w:szCs w:val="22"/>
        </w:rPr>
        <w:t xml:space="preserve">Al </w:t>
      </w:r>
      <w:r w:rsidR="00182546" w:rsidRPr="00182546">
        <w:rPr>
          <w:rFonts w:ascii="Arial" w:hAnsi="Arial" w:cs="Arial"/>
          <w:color w:val="000000"/>
          <w:sz w:val="22"/>
          <w:szCs w:val="22"/>
        </w:rPr>
        <w:t>Respecto</w:t>
      </w:r>
      <w:r>
        <w:rPr>
          <w:rFonts w:ascii="Arial" w:hAnsi="Arial" w:cs="Arial"/>
          <w:color w:val="000000"/>
          <w:sz w:val="22"/>
          <w:szCs w:val="22"/>
        </w:rPr>
        <w:t>, la Subdirección de Servicios manifestó que el</w:t>
      </w:r>
      <w:r w:rsidR="00182546" w:rsidRPr="00182546">
        <w:rPr>
          <w:rFonts w:ascii="Arial" w:hAnsi="Arial" w:cs="Arial"/>
          <w:color w:val="000000"/>
          <w:sz w:val="22"/>
          <w:szCs w:val="22"/>
        </w:rPr>
        <w:t xml:space="preserve"> cobro adicional por valor de $1.391.857 relacionado como pendiente de reintegro por parte del Viceministro Técnico, el Grupo de Logística y Suministros informó que el 5 de julio de 2019 recibió comunicación por parte del Viceministerio Técnico mediante el cual informa que este valor corresponde a consumos adicionales realizados durante las comisiones de servicio a las ciudades de Miami y Nueva York por parte del funcionario que se desempeñaba como viceministro técnico. </w:t>
      </w:r>
    </w:p>
    <w:p w14:paraId="7E23D86D" w14:textId="502E8E13" w:rsidR="00F5750F" w:rsidRPr="00182546" w:rsidRDefault="00F5750F" w:rsidP="00182546">
      <w:pPr>
        <w:rPr>
          <w:rFonts w:ascii="Arial" w:hAnsi="Arial" w:cs="Arial"/>
          <w:color w:val="000000"/>
          <w:sz w:val="22"/>
          <w:szCs w:val="22"/>
        </w:rPr>
      </w:pPr>
    </w:p>
    <w:p w14:paraId="250D5601" w14:textId="6F1852A1" w:rsidR="00182546" w:rsidRPr="00182546" w:rsidRDefault="006C38B9" w:rsidP="00182546">
      <w:pPr>
        <w:jc w:val="both"/>
        <w:rPr>
          <w:rFonts w:ascii="Arial" w:hAnsi="Arial" w:cs="Arial"/>
          <w:color w:val="000000"/>
          <w:sz w:val="22"/>
          <w:szCs w:val="22"/>
        </w:rPr>
      </w:pPr>
      <w:r>
        <w:rPr>
          <w:rFonts w:ascii="Arial" w:hAnsi="Arial" w:cs="Arial"/>
          <w:color w:val="000000"/>
          <w:sz w:val="22"/>
          <w:szCs w:val="22"/>
        </w:rPr>
        <w:t xml:space="preserve">En relación </w:t>
      </w:r>
      <w:r w:rsidR="00182546" w:rsidRPr="00182546">
        <w:rPr>
          <w:rFonts w:ascii="Arial" w:hAnsi="Arial" w:cs="Arial"/>
          <w:color w:val="000000"/>
          <w:sz w:val="22"/>
          <w:szCs w:val="22"/>
        </w:rPr>
        <w:t>al cobro adicional por valor de $ 87.874</w:t>
      </w:r>
      <w:r w:rsidR="00182546">
        <w:rPr>
          <w:rFonts w:ascii="Arial" w:hAnsi="Arial" w:cs="Arial"/>
          <w:color w:val="000000"/>
          <w:sz w:val="22"/>
          <w:szCs w:val="22"/>
        </w:rPr>
        <w:t>,</w:t>
      </w:r>
      <w:r w:rsidR="00182546" w:rsidRPr="00182546">
        <w:rPr>
          <w:rFonts w:ascii="Arial" w:hAnsi="Arial" w:cs="Arial"/>
          <w:color w:val="000000"/>
          <w:sz w:val="22"/>
          <w:szCs w:val="22"/>
        </w:rPr>
        <w:t xml:space="preserve"> será objeto de verificación del respectivo reintegro en el próximo seguimiento realizado por esta Oficina. </w:t>
      </w:r>
    </w:p>
    <w:p w14:paraId="2BD4DCDD" w14:textId="2029E074" w:rsidR="00182546" w:rsidRPr="00182546" w:rsidRDefault="00182546" w:rsidP="00182546">
      <w:pPr>
        <w:rPr>
          <w:rFonts w:ascii="Arial" w:hAnsi="Arial" w:cs="Arial"/>
          <w:color w:val="000000"/>
          <w:sz w:val="22"/>
          <w:szCs w:val="22"/>
        </w:rPr>
      </w:pPr>
    </w:p>
    <w:p w14:paraId="3B90A46E" w14:textId="77777777" w:rsidR="00182546" w:rsidRDefault="00182546" w:rsidP="00182546">
      <w:pPr>
        <w:rPr>
          <w:rFonts w:ascii="Arial" w:hAnsi="Arial" w:cs="Arial"/>
          <w:color w:val="000000"/>
          <w:sz w:val="18"/>
          <w:szCs w:val="18"/>
        </w:rPr>
      </w:pPr>
    </w:p>
    <w:p w14:paraId="7883486C" w14:textId="11FF0A16" w:rsidR="00AA5CCE" w:rsidRPr="00C47E49" w:rsidRDefault="000C38F1" w:rsidP="00C47E49">
      <w:pPr>
        <w:pStyle w:val="Prrafodelista"/>
        <w:numPr>
          <w:ilvl w:val="1"/>
          <w:numId w:val="25"/>
        </w:numPr>
        <w:ind w:left="426" w:hanging="426"/>
        <w:rPr>
          <w:rFonts w:ascii="Arial" w:hAnsi="Arial" w:cs="Arial"/>
          <w:b/>
          <w:sz w:val="22"/>
          <w:szCs w:val="22"/>
        </w:rPr>
      </w:pPr>
      <w:r w:rsidRPr="00C47E49">
        <w:rPr>
          <w:rFonts w:ascii="Arial" w:hAnsi="Arial" w:cs="Arial"/>
          <w:b/>
          <w:sz w:val="22"/>
          <w:szCs w:val="22"/>
        </w:rPr>
        <w:t xml:space="preserve">TELÉFONOS, FAX Y OTROS </w:t>
      </w:r>
    </w:p>
    <w:p w14:paraId="5F7E508B" w14:textId="77777777" w:rsidR="00FC5CAB" w:rsidRPr="00944667" w:rsidRDefault="00FC5CAB" w:rsidP="00FC5CAB">
      <w:pPr>
        <w:pStyle w:val="Prrafodelista"/>
        <w:ind w:left="360"/>
        <w:contextualSpacing w:val="0"/>
        <w:jc w:val="left"/>
        <w:rPr>
          <w:rFonts w:ascii="Arial" w:hAnsi="Arial" w:cs="Arial"/>
          <w:b/>
          <w:sz w:val="22"/>
          <w:szCs w:val="22"/>
        </w:rPr>
      </w:pPr>
    </w:p>
    <w:p w14:paraId="0BE4C156" w14:textId="77777777" w:rsidR="00AA5CCE" w:rsidRPr="00944667" w:rsidRDefault="00AA5CCE" w:rsidP="00AA5CCE">
      <w:pPr>
        <w:rPr>
          <w:rFonts w:ascii="Arial" w:hAnsi="Arial" w:cs="Arial"/>
          <w:color w:val="000000"/>
          <w:sz w:val="22"/>
          <w:szCs w:val="22"/>
        </w:rPr>
      </w:pPr>
      <w:r w:rsidRPr="00944667">
        <w:rPr>
          <w:rFonts w:ascii="Arial" w:hAnsi="Arial" w:cs="Arial"/>
          <w:color w:val="000000"/>
          <w:sz w:val="22"/>
          <w:szCs w:val="22"/>
        </w:rPr>
        <w:t>El servicio de telefonía está compuesto por:</w:t>
      </w:r>
    </w:p>
    <w:p w14:paraId="61D9B5BD" w14:textId="77777777" w:rsidR="00AA5CCE" w:rsidRPr="00944667" w:rsidRDefault="00AA5CCE" w:rsidP="00AA5CCE">
      <w:pPr>
        <w:rPr>
          <w:rFonts w:ascii="Arial" w:hAnsi="Arial" w:cs="Arial"/>
          <w:color w:val="000000"/>
          <w:sz w:val="22"/>
          <w:szCs w:val="22"/>
        </w:rPr>
      </w:pPr>
    </w:p>
    <w:p w14:paraId="781E0805" w14:textId="77777777" w:rsidR="00AA5CCE" w:rsidRPr="00944667" w:rsidRDefault="00AA5CCE" w:rsidP="0045629B">
      <w:pPr>
        <w:pStyle w:val="Prrafodelista"/>
        <w:numPr>
          <w:ilvl w:val="0"/>
          <w:numId w:val="4"/>
        </w:numPr>
        <w:spacing w:after="120"/>
        <w:ind w:left="357" w:hanging="357"/>
        <w:contextualSpacing w:val="0"/>
        <w:rPr>
          <w:rFonts w:ascii="Arial" w:hAnsi="Arial" w:cs="Arial"/>
          <w:color w:val="000000"/>
          <w:sz w:val="22"/>
          <w:szCs w:val="22"/>
        </w:rPr>
      </w:pPr>
      <w:r w:rsidRPr="00944667">
        <w:rPr>
          <w:rFonts w:ascii="Arial" w:hAnsi="Arial" w:cs="Arial"/>
          <w:color w:val="000000"/>
          <w:sz w:val="22"/>
          <w:szCs w:val="22"/>
        </w:rPr>
        <w:t>Operador Empresa de Telecomunicaciones de Bogotá S.A.: cuenta 4362813C19 teléfono fijo local y larga distancia</w:t>
      </w:r>
    </w:p>
    <w:p w14:paraId="3326AB64" w14:textId="77777777" w:rsidR="00AA5CCE" w:rsidRPr="00944667" w:rsidRDefault="00AA5CCE" w:rsidP="0045629B">
      <w:pPr>
        <w:pStyle w:val="Prrafodelista"/>
        <w:numPr>
          <w:ilvl w:val="0"/>
          <w:numId w:val="4"/>
        </w:numPr>
        <w:spacing w:after="120"/>
        <w:ind w:left="357" w:hanging="357"/>
        <w:contextualSpacing w:val="0"/>
        <w:rPr>
          <w:rFonts w:ascii="Arial" w:hAnsi="Arial" w:cs="Arial"/>
          <w:color w:val="000000"/>
          <w:sz w:val="22"/>
          <w:szCs w:val="22"/>
        </w:rPr>
      </w:pPr>
      <w:r w:rsidRPr="00944667">
        <w:rPr>
          <w:rFonts w:ascii="Arial" w:hAnsi="Arial" w:cs="Arial"/>
          <w:color w:val="000000"/>
          <w:sz w:val="22"/>
          <w:szCs w:val="22"/>
        </w:rPr>
        <w:t>Operador Empresa de Telecomunicaciones de Bogotá S.A.: Cuenta 675354527 dos Líneas ADSL con internet.</w:t>
      </w:r>
    </w:p>
    <w:p w14:paraId="6D89F3AB" w14:textId="77777777" w:rsidR="00AA5CCE" w:rsidRPr="00944667" w:rsidRDefault="00AA5CCE" w:rsidP="0045629B">
      <w:pPr>
        <w:pStyle w:val="Prrafodelista"/>
        <w:numPr>
          <w:ilvl w:val="0"/>
          <w:numId w:val="4"/>
        </w:numPr>
        <w:spacing w:after="120"/>
        <w:ind w:left="357" w:hanging="357"/>
        <w:contextualSpacing w:val="0"/>
        <w:rPr>
          <w:rFonts w:ascii="Arial" w:hAnsi="Arial" w:cs="Arial"/>
          <w:color w:val="000000"/>
          <w:sz w:val="22"/>
          <w:szCs w:val="22"/>
        </w:rPr>
      </w:pPr>
      <w:r w:rsidRPr="00944667">
        <w:rPr>
          <w:rFonts w:ascii="Arial" w:hAnsi="Arial" w:cs="Arial"/>
          <w:color w:val="000000"/>
          <w:sz w:val="22"/>
          <w:szCs w:val="22"/>
        </w:rPr>
        <w:t xml:space="preserve">Colombia Telecomunicaciones S.A. E.S.P: Línea Nacional 018000 </w:t>
      </w:r>
    </w:p>
    <w:p w14:paraId="6055C6E1" w14:textId="77777777" w:rsidR="00AA5CCE" w:rsidRPr="00944667" w:rsidRDefault="00AA5CCE" w:rsidP="0045629B">
      <w:pPr>
        <w:pStyle w:val="Prrafodelista"/>
        <w:numPr>
          <w:ilvl w:val="0"/>
          <w:numId w:val="4"/>
        </w:numPr>
        <w:spacing w:after="120"/>
        <w:ind w:left="357" w:hanging="357"/>
        <w:contextualSpacing w:val="0"/>
        <w:rPr>
          <w:rFonts w:ascii="Arial" w:hAnsi="Arial" w:cs="Arial"/>
          <w:color w:val="000000"/>
          <w:sz w:val="22"/>
          <w:szCs w:val="22"/>
        </w:rPr>
      </w:pPr>
      <w:r w:rsidRPr="00944667">
        <w:rPr>
          <w:rFonts w:ascii="Arial" w:hAnsi="Arial" w:cs="Arial"/>
          <w:color w:val="000000"/>
          <w:sz w:val="22"/>
          <w:szCs w:val="22"/>
        </w:rPr>
        <w:t xml:space="preserve">Colombia Telecomunicaciones S.A. E.S.P: Cuenta Cliente 906709041, plan telefonía PVL25 empresas. </w:t>
      </w:r>
    </w:p>
    <w:p w14:paraId="55BB84F9" w14:textId="77777777" w:rsidR="00AA5CCE" w:rsidRPr="00944667" w:rsidRDefault="00AA5CCE" w:rsidP="0045629B">
      <w:pPr>
        <w:pStyle w:val="Prrafodelista"/>
        <w:numPr>
          <w:ilvl w:val="0"/>
          <w:numId w:val="4"/>
        </w:numPr>
        <w:contextualSpacing w:val="0"/>
        <w:rPr>
          <w:rFonts w:ascii="Arial" w:hAnsi="Arial" w:cs="Arial"/>
          <w:color w:val="000000"/>
          <w:sz w:val="22"/>
          <w:szCs w:val="22"/>
        </w:rPr>
      </w:pPr>
      <w:r w:rsidRPr="00944667">
        <w:rPr>
          <w:rFonts w:ascii="Arial" w:hAnsi="Arial" w:cs="Arial"/>
          <w:color w:val="000000"/>
          <w:sz w:val="22"/>
          <w:szCs w:val="22"/>
        </w:rPr>
        <w:t>UNE EPM</w:t>
      </w:r>
    </w:p>
    <w:p w14:paraId="15E91921" w14:textId="77777777" w:rsidR="00AA5CCE" w:rsidRPr="00944667" w:rsidRDefault="00AA5CCE" w:rsidP="00AA5CCE">
      <w:pPr>
        <w:pStyle w:val="Prrafodelista"/>
        <w:ind w:left="360"/>
        <w:contextualSpacing w:val="0"/>
        <w:rPr>
          <w:rFonts w:ascii="Arial" w:hAnsi="Arial" w:cs="Arial"/>
          <w:color w:val="000000"/>
          <w:sz w:val="22"/>
          <w:szCs w:val="22"/>
        </w:rPr>
      </w:pPr>
    </w:p>
    <w:p w14:paraId="2A75C435" w14:textId="51FC1EAF" w:rsidR="00AA5CCE" w:rsidRPr="00944667" w:rsidRDefault="00AA5CCE" w:rsidP="008C1D98">
      <w:pPr>
        <w:jc w:val="both"/>
        <w:rPr>
          <w:rFonts w:ascii="Arial" w:hAnsi="Arial" w:cs="Arial"/>
          <w:color w:val="000000"/>
          <w:sz w:val="22"/>
          <w:szCs w:val="22"/>
        </w:rPr>
      </w:pPr>
      <w:r w:rsidRPr="00944667">
        <w:rPr>
          <w:rFonts w:ascii="Arial" w:hAnsi="Arial" w:cs="Arial"/>
          <w:color w:val="000000"/>
          <w:sz w:val="22"/>
          <w:szCs w:val="22"/>
        </w:rPr>
        <w:lastRenderedPageBreak/>
        <w:t xml:space="preserve">A continuación, se especifican los valores facturados para el </w:t>
      </w:r>
      <w:r w:rsidR="00FD7C64">
        <w:rPr>
          <w:rFonts w:ascii="Arial" w:hAnsi="Arial" w:cs="Arial"/>
          <w:color w:val="000000"/>
          <w:sz w:val="22"/>
          <w:szCs w:val="22"/>
        </w:rPr>
        <w:t xml:space="preserve">tercer </w:t>
      </w:r>
      <w:r w:rsidR="00C06089" w:rsidRPr="00944667">
        <w:rPr>
          <w:rFonts w:ascii="Arial" w:hAnsi="Arial" w:cs="Arial"/>
          <w:color w:val="000000"/>
          <w:sz w:val="22"/>
          <w:szCs w:val="22"/>
        </w:rPr>
        <w:t>t</w:t>
      </w:r>
      <w:r w:rsidR="007E3F3A" w:rsidRPr="00944667">
        <w:rPr>
          <w:rFonts w:ascii="Arial" w:hAnsi="Arial" w:cs="Arial"/>
          <w:color w:val="000000"/>
          <w:sz w:val="22"/>
          <w:szCs w:val="22"/>
        </w:rPr>
        <w:t>rimestre d</w:t>
      </w:r>
      <w:r w:rsidRPr="00944667">
        <w:rPr>
          <w:rFonts w:ascii="Arial" w:hAnsi="Arial" w:cs="Arial"/>
          <w:color w:val="000000"/>
          <w:sz w:val="22"/>
          <w:szCs w:val="22"/>
        </w:rPr>
        <w:t>e 201</w:t>
      </w:r>
      <w:r w:rsidR="007E3F3A" w:rsidRPr="00944667">
        <w:rPr>
          <w:rFonts w:ascii="Arial" w:hAnsi="Arial" w:cs="Arial"/>
          <w:color w:val="000000"/>
          <w:sz w:val="22"/>
          <w:szCs w:val="22"/>
        </w:rPr>
        <w:t>9</w:t>
      </w:r>
      <w:r w:rsidRPr="00944667">
        <w:rPr>
          <w:rFonts w:ascii="Arial" w:hAnsi="Arial" w:cs="Arial"/>
          <w:color w:val="000000"/>
          <w:sz w:val="22"/>
          <w:szCs w:val="22"/>
        </w:rPr>
        <w:t xml:space="preserve"> en comparación con igual periodo en el año inmediatamente anterior:</w:t>
      </w:r>
    </w:p>
    <w:p w14:paraId="02F4E818" w14:textId="77777777" w:rsidR="00DC3486" w:rsidRPr="00A003B6" w:rsidRDefault="00DC3486" w:rsidP="008C1D98">
      <w:pPr>
        <w:jc w:val="both"/>
        <w:rPr>
          <w:rFonts w:ascii="Arial" w:hAnsi="Arial" w:cs="Arial"/>
          <w:color w:val="000000"/>
          <w:sz w:val="22"/>
          <w:szCs w:val="22"/>
          <w:highlight w:val="yellow"/>
        </w:rPr>
      </w:pPr>
    </w:p>
    <w:tbl>
      <w:tblPr>
        <w:tblStyle w:val="Tabladecuadrcula1clara-nfasis1"/>
        <w:tblW w:w="9500" w:type="dxa"/>
        <w:jc w:val="center"/>
        <w:tblLayout w:type="fixed"/>
        <w:tblLook w:val="04A0" w:firstRow="1" w:lastRow="0" w:firstColumn="1" w:lastColumn="0" w:noHBand="0" w:noVBand="1"/>
      </w:tblPr>
      <w:tblGrid>
        <w:gridCol w:w="2040"/>
        <w:gridCol w:w="1683"/>
        <w:gridCol w:w="1375"/>
        <w:gridCol w:w="1701"/>
        <w:gridCol w:w="1418"/>
        <w:gridCol w:w="1283"/>
      </w:tblGrid>
      <w:tr w:rsidR="003838D4" w:rsidRPr="00E954A0" w14:paraId="447B03B2" w14:textId="77777777" w:rsidTr="003838D4">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shd w:val="clear" w:color="auto" w:fill="4F81BD" w:themeFill="accent1"/>
            <w:vAlign w:val="center"/>
            <w:hideMark/>
          </w:tcPr>
          <w:p w14:paraId="08789519" w14:textId="77777777" w:rsidR="001678A0" w:rsidRPr="00E954A0" w:rsidRDefault="001678A0" w:rsidP="00B57B24">
            <w:pPr>
              <w:spacing w:before="20" w:after="40"/>
              <w:jc w:val="center"/>
              <w:rPr>
                <w:rFonts w:ascii="Arial" w:hAnsi="Arial" w:cs="Arial"/>
                <w:color w:val="FFFFFF" w:themeColor="background1"/>
                <w:sz w:val="20"/>
                <w:szCs w:val="20"/>
              </w:rPr>
            </w:pPr>
            <w:r w:rsidRPr="00E954A0">
              <w:rPr>
                <w:rFonts w:ascii="Arial" w:hAnsi="Arial" w:cs="Arial"/>
                <w:color w:val="FFFFFF" w:themeColor="background1"/>
                <w:sz w:val="20"/>
                <w:szCs w:val="20"/>
              </w:rPr>
              <w:t xml:space="preserve">Empresa </w:t>
            </w:r>
          </w:p>
        </w:tc>
        <w:tc>
          <w:tcPr>
            <w:tcW w:w="1683" w:type="dxa"/>
            <w:vMerge w:val="restart"/>
            <w:shd w:val="clear" w:color="auto" w:fill="4F81BD" w:themeFill="accent1"/>
            <w:vAlign w:val="center"/>
            <w:hideMark/>
          </w:tcPr>
          <w:p w14:paraId="14FC924A" w14:textId="77777777" w:rsidR="001678A0" w:rsidRPr="00E954A0" w:rsidRDefault="001678A0" w:rsidP="00B57B24">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954A0">
              <w:rPr>
                <w:rFonts w:ascii="Arial" w:hAnsi="Arial" w:cs="Arial"/>
                <w:color w:val="FFFFFF" w:themeColor="background1"/>
                <w:sz w:val="20"/>
                <w:szCs w:val="20"/>
              </w:rPr>
              <w:t xml:space="preserve"> Concepto </w:t>
            </w:r>
          </w:p>
        </w:tc>
        <w:tc>
          <w:tcPr>
            <w:tcW w:w="1375" w:type="dxa"/>
            <w:vMerge w:val="restart"/>
            <w:shd w:val="clear" w:color="auto" w:fill="4F81BD" w:themeFill="accent1"/>
            <w:vAlign w:val="center"/>
            <w:hideMark/>
          </w:tcPr>
          <w:p w14:paraId="3884DFD0" w14:textId="42EC1D84" w:rsidR="001678A0" w:rsidRPr="00E954A0" w:rsidRDefault="00E954A0" w:rsidP="00B57B24">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I</w:t>
            </w:r>
            <w:r w:rsidR="001678A0" w:rsidRPr="00E954A0">
              <w:rPr>
                <w:rFonts w:ascii="Arial" w:hAnsi="Arial" w:cs="Arial"/>
                <w:color w:val="FFFFFF" w:themeColor="background1"/>
                <w:sz w:val="20"/>
                <w:szCs w:val="20"/>
              </w:rPr>
              <w:t xml:space="preserve">II Trimestre 2019 </w:t>
            </w:r>
          </w:p>
        </w:tc>
        <w:tc>
          <w:tcPr>
            <w:tcW w:w="1701" w:type="dxa"/>
            <w:vMerge w:val="restart"/>
            <w:shd w:val="clear" w:color="auto" w:fill="4F81BD" w:themeFill="accent1"/>
            <w:vAlign w:val="center"/>
            <w:hideMark/>
          </w:tcPr>
          <w:p w14:paraId="5C8B0F55" w14:textId="77353C2C" w:rsidR="001678A0" w:rsidRPr="00E954A0" w:rsidRDefault="001678A0" w:rsidP="00B57B24">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954A0">
              <w:rPr>
                <w:rFonts w:ascii="Arial" w:hAnsi="Arial" w:cs="Arial"/>
                <w:color w:val="FFFFFF" w:themeColor="background1"/>
                <w:sz w:val="20"/>
                <w:szCs w:val="20"/>
              </w:rPr>
              <w:t xml:space="preserve"> </w:t>
            </w:r>
            <w:r w:rsidR="00E954A0">
              <w:rPr>
                <w:rFonts w:ascii="Arial" w:hAnsi="Arial" w:cs="Arial"/>
                <w:color w:val="FFFFFF" w:themeColor="background1"/>
                <w:sz w:val="20"/>
                <w:szCs w:val="20"/>
              </w:rPr>
              <w:t>I</w:t>
            </w:r>
            <w:r w:rsidRPr="00E954A0">
              <w:rPr>
                <w:rFonts w:ascii="Arial" w:hAnsi="Arial" w:cs="Arial"/>
                <w:color w:val="FFFFFF" w:themeColor="background1"/>
                <w:sz w:val="20"/>
                <w:szCs w:val="20"/>
              </w:rPr>
              <w:t xml:space="preserve">II Trimestre 2018 </w:t>
            </w:r>
          </w:p>
        </w:tc>
        <w:tc>
          <w:tcPr>
            <w:tcW w:w="2701" w:type="dxa"/>
            <w:gridSpan w:val="2"/>
            <w:shd w:val="clear" w:color="auto" w:fill="4F81BD" w:themeFill="accent1"/>
            <w:vAlign w:val="center"/>
            <w:hideMark/>
          </w:tcPr>
          <w:p w14:paraId="5DD80D17" w14:textId="5052616A" w:rsidR="001678A0" w:rsidRPr="00E954A0" w:rsidRDefault="001678A0" w:rsidP="00B57B24">
            <w:pPr>
              <w:spacing w:before="2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E954A0">
              <w:rPr>
                <w:rFonts w:ascii="Arial" w:hAnsi="Arial" w:cs="Arial"/>
                <w:color w:val="FFFFFF" w:themeColor="background1"/>
                <w:sz w:val="20"/>
                <w:szCs w:val="20"/>
              </w:rPr>
              <w:t xml:space="preserve"> Variaciones </w:t>
            </w:r>
            <w:r w:rsidR="00E954A0">
              <w:rPr>
                <w:rFonts w:ascii="Arial" w:hAnsi="Arial" w:cs="Arial"/>
                <w:color w:val="FFFFFF" w:themeColor="background1"/>
                <w:sz w:val="20"/>
                <w:szCs w:val="20"/>
              </w:rPr>
              <w:t>I</w:t>
            </w:r>
            <w:r w:rsidRPr="00E954A0">
              <w:rPr>
                <w:rFonts w:ascii="Arial" w:hAnsi="Arial" w:cs="Arial"/>
                <w:color w:val="FFFFFF" w:themeColor="background1"/>
                <w:sz w:val="20"/>
                <w:szCs w:val="20"/>
              </w:rPr>
              <w:t xml:space="preserve">II Trimestre 2019-2018 </w:t>
            </w:r>
          </w:p>
        </w:tc>
      </w:tr>
      <w:tr w:rsidR="003838D4" w:rsidRPr="00E954A0" w14:paraId="2C6E45CA" w14:textId="77777777" w:rsidTr="003838D4">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shd w:val="clear" w:color="auto" w:fill="4F81BD" w:themeFill="accent1"/>
            <w:vAlign w:val="center"/>
            <w:hideMark/>
          </w:tcPr>
          <w:p w14:paraId="3E49A36C" w14:textId="77777777" w:rsidR="001678A0" w:rsidRPr="00E954A0" w:rsidRDefault="001678A0" w:rsidP="00B57B24">
            <w:pPr>
              <w:spacing w:before="20" w:after="40"/>
              <w:rPr>
                <w:rFonts w:ascii="Arial" w:hAnsi="Arial" w:cs="Arial"/>
                <w:color w:val="FFFFFF" w:themeColor="background1"/>
                <w:sz w:val="20"/>
                <w:szCs w:val="20"/>
              </w:rPr>
            </w:pPr>
          </w:p>
        </w:tc>
        <w:tc>
          <w:tcPr>
            <w:tcW w:w="1683" w:type="dxa"/>
            <w:vMerge/>
            <w:shd w:val="clear" w:color="auto" w:fill="4F81BD" w:themeFill="accent1"/>
            <w:vAlign w:val="center"/>
            <w:hideMark/>
          </w:tcPr>
          <w:p w14:paraId="2A0F4552" w14:textId="77777777" w:rsidR="001678A0" w:rsidRPr="00E954A0" w:rsidRDefault="001678A0" w:rsidP="00B57B24">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375" w:type="dxa"/>
            <w:vMerge/>
            <w:shd w:val="clear" w:color="auto" w:fill="4F81BD" w:themeFill="accent1"/>
            <w:vAlign w:val="center"/>
            <w:hideMark/>
          </w:tcPr>
          <w:p w14:paraId="26E32186" w14:textId="77777777" w:rsidR="001678A0" w:rsidRPr="00E954A0" w:rsidRDefault="001678A0" w:rsidP="00B57B24">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701" w:type="dxa"/>
            <w:vMerge/>
            <w:shd w:val="clear" w:color="auto" w:fill="4F81BD" w:themeFill="accent1"/>
            <w:vAlign w:val="center"/>
            <w:hideMark/>
          </w:tcPr>
          <w:p w14:paraId="7289D723" w14:textId="77777777" w:rsidR="001678A0" w:rsidRPr="00E954A0" w:rsidRDefault="001678A0" w:rsidP="00B57B24">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418" w:type="dxa"/>
            <w:shd w:val="clear" w:color="auto" w:fill="4F81BD" w:themeFill="accent1"/>
            <w:vAlign w:val="center"/>
            <w:hideMark/>
          </w:tcPr>
          <w:p w14:paraId="2D0F422B" w14:textId="77777777" w:rsidR="001678A0" w:rsidRPr="00E954A0" w:rsidRDefault="001678A0"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954A0">
              <w:rPr>
                <w:rFonts w:ascii="Arial" w:hAnsi="Arial" w:cs="Arial"/>
                <w:b/>
                <w:bCs/>
                <w:color w:val="FFFFFF" w:themeColor="background1"/>
                <w:sz w:val="20"/>
                <w:szCs w:val="20"/>
              </w:rPr>
              <w:t xml:space="preserve"> $ </w:t>
            </w:r>
          </w:p>
        </w:tc>
        <w:tc>
          <w:tcPr>
            <w:tcW w:w="1283" w:type="dxa"/>
            <w:shd w:val="clear" w:color="auto" w:fill="4F81BD" w:themeFill="accent1"/>
            <w:vAlign w:val="center"/>
            <w:hideMark/>
          </w:tcPr>
          <w:p w14:paraId="3D6A2731" w14:textId="77777777" w:rsidR="001678A0" w:rsidRPr="00E954A0" w:rsidRDefault="001678A0"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954A0">
              <w:rPr>
                <w:rFonts w:ascii="Arial" w:hAnsi="Arial" w:cs="Arial"/>
                <w:b/>
                <w:bCs/>
                <w:color w:val="FFFFFF" w:themeColor="background1"/>
                <w:sz w:val="20"/>
                <w:szCs w:val="20"/>
                <w:shd w:val="clear" w:color="auto" w:fill="4F81BD" w:themeFill="accent1"/>
              </w:rPr>
              <w:t xml:space="preserve"> </w:t>
            </w:r>
            <w:r w:rsidRPr="00E954A0">
              <w:rPr>
                <w:rFonts w:ascii="Arial" w:hAnsi="Arial" w:cs="Arial"/>
                <w:b/>
                <w:bCs/>
                <w:color w:val="FFFFFF" w:themeColor="background1"/>
                <w:sz w:val="20"/>
                <w:szCs w:val="20"/>
              </w:rPr>
              <w:t xml:space="preserve">% </w:t>
            </w:r>
          </w:p>
        </w:tc>
      </w:tr>
      <w:tr w:rsidR="003838D4" w:rsidRPr="00E954A0" w14:paraId="35E75D50" w14:textId="77777777" w:rsidTr="003838D4">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vAlign w:val="center"/>
            <w:hideMark/>
          </w:tcPr>
          <w:p w14:paraId="1D7818B2" w14:textId="77777777" w:rsidR="003838D4" w:rsidRPr="00FB7EA4" w:rsidRDefault="003838D4" w:rsidP="00B57B24">
            <w:pPr>
              <w:spacing w:before="20" w:after="40"/>
              <w:jc w:val="center"/>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Empresa de Telecomunicaciones de Bogotá S.A.</w:t>
            </w:r>
          </w:p>
        </w:tc>
        <w:tc>
          <w:tcPr>
            <w:tcW w:w="1683" w:type="dxa"/>
            <w:vAlign w:val="center"/>
            <w:hideMark/>
          </w:tcPr>
          <w:p w14:paraId="235834FD" w14:textId="77777777"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Teléfono Fijo y Larga Distancia </w:t>
            </w:r>
          </w:p>
        </w:tc>
        <w:tc>
          <w:tcPr>
            <w:tcW w:w="1375" w:type="dxa"/>
            <w:vAlign w:val="center"/>
          </w:tcPr>
          <w:p w14:paraId="09F59CF7" w14:textId="34CA4B86"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18.824.280</w:t>
            </w:r>
          </w:p>
        </w:tc>
        <w:tc>
          <w:tcPr>
            <w:tcW w:w="1701" w:type="dxa"/>
            <w:vAlign w:val="center"/>
          </w:tcPr>
          <w:p w14:paraId="2E93550C" w14:textId="0210A8C5"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17.707.300</w:t>
            </w:r>
          </w:p>
        </w:tc>
        <w:tc>
          <w:tcPr>
            <w:tcW w:w="1418" w:type="dxa"/>
            <w:vAlign w:val="center"/>
          </w:tcPr>
          <w:p w14:paraId="6532725E" w14:textId="0340FCC4"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1.116.980</w:t>
            </w:r>
          </w:p>
        </w:tc>
        <w:tc>
          <w:tcPr>
            <w:tcW w:w="1283" w:type="dxa"/>
            <w:vAlign w:val="center"/>
          </w:tcPr>
          <w:p w14:paraId="5B5A6527" w14:textId="15F24F96"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w:t>
            </w:r>
          </w:p>
        </w:tc>
      </w:tr>
      <w:tr w:rsidR="003838D4" w:rsidRPr="00E954A0" w14:paraId="37D1946B" w14:textId="77777777" w:rsidTr="003838D4">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ign w:val="center"/>
            <w:hideMark/>
          </w:tcPr>
          <w:p w14:paraId="07F39F3B" w14:textId="77777777" w:rsidR="003838D4" w:rsidRPr="00FB7EA4" w:rsidRDefault="003838D4" w:rsidP="00B57B24">
            <w:pPr>
              <w:spacing w:before="20" w:after="40"/>
              <w:jc w:val="center"/>
              <w:rPr>
                <w:rFonts w:ascii="Arial" w:hAnsi="Arial" w:cs="Arial"/>
                <w:b w:val="0"/>
                <w:color w:val="0F243E" w:themeColor="text2" w:themeShade="80"/>
                <w:sz w:val="20"/>
                <w:szCs w:val="20"/>
              </w:rPr>
            </w:pPr>
          </w:p>
        </w:tc>
        <w:tc>
          <w:tcPr>
            <w:tcW w:w="1683" w:type="dxa"/>
            <w:vAlign w:val="center"/>
            <w:hideMark/>
          </w:tcPr>
          <w:p w14:paraId="283053C1" w14:textId="77777777"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Líneas ADSL </w:t>
            </w:r>
          </w:p>
        </w:tc>
        <w:tc>
          <w:tcPr>
            <w:tcW w:w="1375" w:type="dxa"/>
            <w:vAlign w:val="center"/>
          </w:tcPr>
          <w:p w14:paraId="6109EB3A" w14:textId="4FC01A30"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770.790</w:t>
            </w:r>
          </w:p>
        </w:tc>
        <w:tc>
          <w:tcPr>
            <w:tcW w:w="1701" w:type="dxa"/>
            <w:vAlign w:val="center"/>
          </w:tcPr>
          <w:p w14:paraId="54920149" w14:textId="542740AB"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627.290</w:t>
            </w:r>
          </w:p>
        </w:tc>
        <w:tc>
          <w:tcPr>
            <w:tcW w:w="1418" w:type="dxa"/>
            <w:vAlign w:val="center"/>
          </w:tcPr>
          <w:p w14:paraId="004838F9" w14:textId="6F2D9C94"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143.500</w:t>
            </w:r>
          </w:p>
        </w:tc>
        <w:tc>
          <w:tcPr>
            <w:tcW w:w="1283" w:type="dxa"/>
            <w:vAlign w:val="center"/>
          </w:tcPr>
          <w:p w14:paraId="6DBE47B3" w14:textId="0BE3F580"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23%</w:t>
            </w:r>
          </w:p>
        </w:tc>
      </w:tr>
      <w:tr w:rsidR="003838D4" w:rsidRPr="00E954A0" w14:paraId="2242ACB7" w14:textId="77777777" w:rsidTr="003838D4">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vAlign w:val="center"/>
            <w:hideMark/>
          </w:tcPr>
          <w:p w14:paraId="7E378E6E" w14:textId="77777777" w:rsidR="003838D4" w:rsidRPr="00FB7EA4" w:rsidRDefault="003838D4" w:rsidP="00B57B24">
            <w:pPr>
              <w:spacing w:before="20" w:after="40"/>
              <w:jc w:val="center"/>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Colombia Telecomuniciones S.A. E.S.P.</w:t>
            </w:r>
          </w:p>
        </w:tc>
        <w:tc>
          <w:tcPr>
            <w:tcW w:w="1683" w:type="dxa"/>
            <w:vAlign w:val="center"/>
            <w:hideMark/>
          </w:tcPr>
          <w:p w14:paraId="34600FB1" w14:textId="77777777"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Plan Telefonía PVL25 </w:t>
            </w:r>
          </w:p>
        </w:tc>
        <w:tc>
          <w:tcPr>
            <w:tcW w:w="1375" w:type="dxa"/>
            <w:vAlign w:val="center"/>
          </w:tcPr>
          <w:p w14:paraId="6446CB58" w14:textId="17B97A5B"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5.936.329</w:t>
            </w:r>
          </w:p>
        </w:tc>
        <w:tc>
          <w:tcPr>
            <w:tcW w:w="1701" w:type="dxa"/>
            <w:vAlign w:val="center"/>
          </w:tcPr>
          <w:p w14:paraId="0AF3EB34" w14:textId="00E8B552"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5.608.981</w:t>
            </w:r>
          </w:p>
        </w:tc>
        <w:tc>
          <w:tcPr>
            <w:tcW w:w="1418" w:type="dxa"/>
            <w:vAlign w:val="center"/>
          </w:tcPr>
          <w:p w14:paraId="4A92E383" w14:textId="43DCCE82"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327.348</w:t>
            </w:r>
          </w:p>
        </w:tc>
        <w:tc>
          <w:tcPr>
            <w:tcW w:w="1283" w:type="dxa"/>
            <w:vAlign w:val="center"/>
          </w:tcPr>
          <w:p w14:paraId="002EE638" w14:textId="434DF855"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w:t>
            </w:r>
          </w:p>
        </w:tc>
      </w:tr>
      <w:tr w:rsidR="003838D4" w:rsidRPr="00E954A0" w14:paraId="1288C01E" w14:textId="77777777" w:rsidTr="003838D4">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ign w:val="center"/>
            <w:hideMark/>
          </w:tcPr>
          <w:p w14:paraId="72E8AF10" w14:textId="77777777" w:rsidR="003838D4" w:rsidRPr="00FB7EA4" w:rsidRDefault="003838D4" w:rsidP="00B57B24">
            <w:pPr>
              <w:spacing w:before="20" w:after="40"/>
              <w:jc w:val="center"/>
              <w:rPr>
                <w:rFonts w:ascii="Arial" w:hAnsi="Arial" w:cs="Arial"/>
                <w:b w:val="0"/>
                <w:color w:val="0F243E" w:themeColor="text2" w:themeShade="80"/>
                <w:sz w:val="20"/>
                <w:szCs w:val="20"/>
              </w:rPr>
            </w:pPr>
          </w:p>
        </w:tc>
        <w:tc>
          <w:tcPr>
            <w:tcW w:w="1683" w:type="dxa"/>
            <w:vAlign w:val="center"/>
            <w:hideMark/>
          </w:tcPr>
          <w:p w14:paraId="6390E515" w14:textId="77777777"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Línea 01800 </w:t>
            </w:r>
          </w:p>
        </w:tc>
        <w:tc>
          <w:tcPr>
            <w:tcW w:w="1375" w:type="dxa"/>
            <w:vAlign w:val="center"/>
          </w:tcPr>
          <w:p w14:paraId="48B1429A" w14:textId="4197C382"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5.440.585</w:t>
            </w:r>
          </w:p>
        </w:tc>
        <w:tc>
          <w:tcPr>
            <w:tcW w:w="1701" w:type="dxa"/>
            <w:vAlign w:val="center"/>
          </w:tcPr>
          <w:p w14:paraId="5354DDF8" w14:textId="7A80C30F"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4.992.168</w:t>
            </w:r>
          </w:p>
        </w:tc>
        <w:tc>
          <w:tcPr>
            <w:tcW w:w="1418" w:type="dxa"/>
            <w:vAlign w:val="center"/>
          </w:tcPr>
          <w:p w14:paraId="79D44CA1" w14:textId="08EB1BA2"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448.417</w:t>
            </w:r>
          </w:p>
        </w:tc>
        <w:tc>
          <w:tcPr>
            <w:tcW w:w="1283" w:type="dxa"/>
            <w:vAlign w:val="center"/>
          </w:tcPr>
          <w:p w14:paraId="608CBF03" w14:textId="213C9DA3"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9%</w:t>
            </w:r>
          </w:p>
        </w:tc>
      </w:tr>
      <w:tr w:rsidR="003838D4" w:rsidRPr="00E954A0" w14:paraId="65F15F5C" w14:textId="77777777" w:rsidTr="003838D4">
        <w:trPr>
          <w:cantSplit/>
          <w:jc w:val="center"/>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233EF333" w14:textId="77777777" w:rsidR="003838D4" w:rsidRPr="00FB7EA4" w:rsidRDefault="003838D4" w:rsidP="00B57B24">
            <w:pPr>
              <w:spacing w:before="20" w:after="40"/>
              <w:jc w:val="center"/>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UNE</w:t>
            </w:r>
          </w:p>
        </w:tc>
        <w:tc>
          <w:tcPr>
            <w:tcW w:w="1683" w:type="dxa"/>
            <w:vAlign w:val="center"/>
            <w:hideMark/>
          </w:tcPr>
          <w:p w14:paraId="4104BD20" w14:textId="77777777"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Contrato 1000395708 </w:t>
            </w:r>
          </w:p>
        </w:tc>
        <w:tc>
          <w:tcPr>
            <w:tcW w:w="1375" w:type="dxa"/>
            <w:vAlign w:val="center"/>
          </w:tcPr>
          <w:p w14:paraId="6DD8470B" w14:textId="763432E2"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1.629.354</w:t>
            </w:r>
          </w:p>
        </w:tc>
        <w:tc>
          <w:tcPr>
            <w:tcW w:w="1701" w:type="dxa"/>
            <w:vAlign w:val="center"/>
          </w:tcPr>
          <w:p w14:paraId="1D2A69B5" w14:textId="38C8001A"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1.569.754</w:t>
            </w:r>
          </w:p>
        </w:tc>
        <w:tc>
          <w:tcPr>
            <w:tcW w:w="1418" w:type="dxa"/>
            <w:vAlign w:val="center"/>
          </w:tcPr>
          <w:p w14:paraId="7F261034" w14:textId="3E8FD77D"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59.600</w:t>
            </w:r>
          </w:p>
        </w:tc>
        <w:tc>
          <w:tcPr>
            <w:tcW w:w="1283" w:type="dxa"/>
            <w:vAlign w:val="center"/>
          </w:tcPr>
          <w:p w14:paraId="724897B8" w14:textId="2D783801" w:rsidR="003838D4" w:rsidRPr="00FB7EA4"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w:t>
            </w:r>
          </w:p>
        </w:tc>
      </w:tr>
      <w:tr w:rsidR="003838D4" w:rsidRPr="00E954A0" w14:paraId="19284C75" w14:textId="77777777" w:rsidTr="003838D4">
        <w:trPr>
          <w:cantSplit/>
          <w:trHeight w:val="461"/>
          <w:jc w:val="center"/>
        </w:trPr>
        <w:tc>
          <w:tcPr>
            <w:cnfStyle w:val="001000000000" w:firstRow="0" w:lastRow="0" w:firstColumn="1" w:lastColumn="0" w:oddVBand="0" w:evenVBand="0" w:oddHBand="0" w:evenHBand="0" w:firstRowFirstColumn="0" w:firstRowLastColumn="0" w:lastRowFirstColumn="0" w:lastRowLastColumn="0"/>
            <w:tcW w:w="3723" w:type="dxa"/>
            <w:gridSpan w:val="2"/>
            <w:shd w:val="clear" w:color="auto" w:fill="4F81BD" w:themeFill="accent1"/>
            <w:vAlign w:val="center"/>
            <w:hideMark/>
          </w:tcPr>
          <w:p w14:paraId="77E42D73" w14:textId="036FFC0C" w:rsidR="003838D4" w:rsidRPr="00E954A0" w:rsidRDefault="003838D4" w:rsidP="00B57B24">
            <w:pPr>
              <w:spacing w:before="20" w:after="40"/>
              <w:jc w:val="center"/>
              <w:rPr>
                <w:rFonts w:ascii="Arial" w:hAnsi="Arial" w:cs="Arial"/>
                <w:color w:val="FFFFFF" w:themeColor="background1"/>
                <w:sz w:val="20"/>
                <w:szCs w:val="20"/>
              </w:rPr>
            </w:pPr>
            <w:r w:rsidRPr="00E954A0">
              <w:rPr>
                <w:rFonts w:ascii="Arial" w:hAnsi="Arial" w:cs="Arial"/>
                <w:color w:val="FFFFFF" w:themeColor="background1"/>
                <w:sz w:val="20"/>
                <w:szCs w:val="20"/>
              </w:rPr>
              <w:t xml:space="preserve">Variaciones </w:t>
            </w:r>
            <w:r>
              <w:rPr>
                <w:rFonts w:ascii="Arial" w:hAnsi="Arial" w:cs="Arial"/>
                <w:color w:val="FFFFFF" w:themeColor="background1"/>
                <w:sz w:val="20"/>
                <w:szCs w:val="20"/>
              </w:rPr>
              <w:t>I</w:t>
            </w:r>
            <w:r w:rsidRPr="00E954A0">
              <w:rPr>
                <w:rFonts w:ascii="Arial" w:hAnsi="Arial" w:cs="Arial"/>
                <w:color w:val="FFFFFF" w:themeColor="background1"/>
                <w:sz w:val="20"/>
                <w:szCs w:val="20"/>
              </w:rPr>
              <w:t>II Trimestre 2019-2018</w:t>
            </w:r>
          </w:p>
        </w:tc>
        <w:tc>
          <w:tcPr>
            <w:tcW w:w="1375" w:type="dxa"/>
            <w:shd w:val="clear" w:color="auto" w:fill="4F81BD" w:themeFill="accent1"/>
            <w:vAlign w:val="center"/>
          </w:tcPr>
          <w:p w14:paraId="07B09D9A" w14:textId="0ABA180D" w:rsidR="003838D4" w:rsidRPr="00E954A0"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32.601.338</w:t>
            </w:r>
          </w:p>
        </w:tc>
        <w:tc>
          <w:tcPr>
            <w:tcW w:w="1701" w:type="dxa"/>
            <w:shd w:val="clear" w:color="auto" w:fill="4F81BD" w:themeFill="accent1"/>
            <w:vAlign w:val="center"/>
          </w:tcPr>
          <w:p w14:paraId="1D9AC423" w14:textId="7DFCC2EF" w:rsidR="003838D4" w:rsidRPr="00E954A0"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30.505.493</w:t>
            </w:r>
          </w:p>
        </w:tc>
        <w:tc>
          <w:tcPr>
            <w:tcW w:w="1418" w:type="dxa"/>
            <w:shd w:val="clear" w:color="auto" w:fill="4F81BD" w:themeFill="accent1"/>
            <w:vAlign w:val="center"/>
          </w:tcPr>
          <w:p w14:paraId="5563261D" w14:textId="26F77905" w:rsidR="003838D4" w:rsidRPr="00E954A0"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2.095.845</w:t>
            </w:r>
          </w:p>
        </w:tc>
        <w:tc>
          <w:tcPr>
            <w:tcW w:w="1283" w:type="dxa"/>
            <w:shd w:val="clear" w:color="auto" w:fill="4F81BD" w:themeFill="accent1"/>
            <w:vAlign w:val="center"/>
          </w:tcPr>
          <w:p w14:paraId="57BA179A" w14:textId="47DF4808" w:rsidR="003838D4" w:rsidRPr="00E954A0" w:rsidRDefault="003838D4" w:rsidP="00B57B24">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7%</w:t>
            </w:r>
          </w:p>
        </w:tc>
      </w:tr>
    </w:tbl>
    <w:p w14:paraId="3681B443" w14:textId="77777777" w:rsidR="00B57B24" w:rsidRDefault="00B57B24" w:rsidP="00B57B24">
      <w:pPr>
        <w:jc w:val="both"/>
        <w:rPr>
          <w:rFonts w:ascii="Arial" w:hAnsi="Arial" w:cs="Arial"/>
          <w:sz w:val="22"/>
          <w:szCs w:val="22"/>
        </w:rPr>
      </w:pPr>
    </w:p>
    <w:p w14:paraId="3A09F25B" w14:textId="3DA9875E" w:rsidR="00AA5CCE" w:rsidRDefault="001678A0" w:rsidP="00B57B24">
      <w:pPr>
        <w:jc w:val="both"/>
        <w:rPr>
          <w:rFonts w:ascii="Arial" w:hAnsi="Arial" w:cs="Arial"/>
          <w:sz w:val="22"/>
          <w:szCs w:val="22"/>
        </w:rPr>
      </w:pPr>
      <w:r w:rsidRPr="007602E6">
        <w:rPr>
          <w:rFonts w:ascii="Arial" w:hAnsi="Arial" w:cs="Arial"/>
          <w:sz w:val="22"/>
          <w:szCs w:val="22"/>
        </w:rPr>
        <w:t>P</w:t>
      </w:r>
      <w:r w:rsidR="00AA5CCE" w:rsidRPr="007602E6">
        <w:rPr>
          <w:rFonts w:ascii="Arial" w:hAnsi="Arial" w:cs="Arial"/>
          <w:sz w:val="22"/>
          <w:szCs w:val="22"/>
        </w:rPr>
        <w:t xml:space="preserve">ara este concepto, se observó que los valores facturados por el servicio de telefonía durante el </w:t>
      </w:r>
      <w:r w:rsidR="007602E6" w:rsidRPr="007602E6">
        <w:rPr>
          <w:rFonts w:ascii="Arial" w:hAnsi="Arial" w:cs="Arial"/>
          <w:sz w:val="22"/>
          <w:szCs w:val="22"/>
        </w:rPr>
        <w:t xml:space="preserve">tercer </w:t>
      </w:r>
      <w:r w:rsidR="00AA5CCE" w:rsidRPr="007602E6">
        <w:rPr>
          <w:rFonts w:ascii="Arial" w:hAnsi="Arial" w:cs="Arial"/>
          <w:sz w:val="22"/>
          <w:szCs w:val="22"/>
        </w:rPr>
        <w:t>trimestre de 201</w:t>
      </w:r>
      <w:r w:rsidR="00650079" w:rsidRPr="007602E6">
        <w:rPr>
          <w:rFonts w:ascii="Arial" w:hAnsi="Arial" w:cs="Arial"/>
          <w:sz w:val="22"/>
          <w:szCs w:val="22"/>
        </w:rPr>
        <w:t>9</w:t>
      </w:r>
      <w:r w:rsidR="00AA5CCE" w:rsidRPr="007602E6">
        <w:rPr>
          <w:rFonts w:ascii="Arial" w:hAnsi="Arial" w:cs="Arial"/>
          <w:sz w:val="22"/>
          <w:szCs w:val="22"/>
        </w:rPr>
        <w:t>, comparado con el mismo periodo del año 201</w:t>
      </w:r>
      <w:r w:rsidR="00650079" w:rsidRPr="007602E6">
        <w:rPr>
          <w:rFonts w:ascii="Arial" w:hAnsi="Arial" w:cs="Arial"/>
          <w:sz w:val="22"/>
          <w:szCs w:val="22"/>
        </w:rPr>
        <w:t>8</w:t>
      </w:r>
      <w:r w:rsidR="00AA5CCE" w:rsidRPr="007602E6">
        <w:rPr>
          <w:rFonts w:ascii="Arial" w:hAnsi="Arial" w:cs="Arial"/>
          <w:sz w:val="22"/>
          <w:szCs w:val="22"/>
        </w:rPr>
        <w:t>, presentó un</w:t>
      </w:r>
      <w:r w:rsidR="00650079" w:rsidRPr="007602E6">
        <w:rPr>
          <w:rFonts w:ascii="Arial" w:hAnsi="Arial" w:cs="Arial"/>
          <w:sz w:val="22"/>
          <w:szCs w:val="22"/>
        </w:rPr>
        <w:t xml:space="preserve"> </w:t>
      </w:r>
      <w:r w:rsidR="00650079" w:rsidRPr="007602E6">
        <w:rPr>
          <w:rFonts w:ascii="Arial" w:hAnsi="Arial" w:cs="Arial"/>
          <w:b/>
          <w:sz w:val="22"/>
          <w:szCs w:val="22"/>
        </w:rPr>
        <w:t>aumento</w:t>
      </w:r>
      <w:r w:rsidR="00650079" w:rsidRPr="007602E6">
        <w:rPr>
          <w:rFonts w:ascii="Arial" w:hAnsi="Arial" w:cs="Arial"/>
          <w:sz w:val="22"/>
          <w:szCs w:val="22"/>
        </w:rPr>
        <w:t xml:space="preserve"> </w:t>
      </w:r>
      <w:r w:rsidR="00AA5CCE" w:rsidRPr="007602E6">
        <w:rPr>
          <w:rFonts w:ascii="Arial" w:hAnsi="Arial" w:cs="Arial"/>
          <w:sz w:val="22"/>
          <w:szCs w:val="22"/>
        </w:rPr>
        <w:t>de $</w:t>
      </w:r>
      <w:r w:rsidR="007602E6" w:rsidRPr="007602E6">
        <w:rPr>
          <w:rFonts w:ascii="Arial" w:hAnsi="Arial" w:cs="Arial"/>
          <w:sz w:val="22"/>
          <w:szCs w:val="22"/>
        </w:rPr>
        <w:t>2.095.845,</w:t>
      </w:r>
      <w:r w:rsidR="00A05D4C" w:rsidRPr="007602E6">
        <w:rPr>
          <w:rFonts w:ascii="Arial" w:hAnsi="Arial" w:cs="Arial"/>
          <w:sz w:val="22"/>
          <w:szCs w:val="22"/>
        </w:rPr>
        <w:t xml:space="preserve"> equivalente a</w:t>
      </w:r>
      <w:r w:rsidR="00AA5CCE" w:rsidRPr="007602E6">
        <w:rPr>
          <w:rFonts w:ascii="Arial" w:hAnsi="Arial" w:cs="Arial"/>
          <w:sz w:val="22"/>
          <w:szCs w:val="22"/>
        </w:rPr>
        <w:t xml:space="preserve">l </w:t>
      </w:r>
      <w:r w:rsidR="007602E6" w:rsidRPr="007602E6">
        <w:rPr>
          <w:rFonts w:ascii="Arial" w:hAnsi="Arial" w:cs="Arial"/>
          <w:sz w:val="22"/>
          <w:szCs w:val="22"/>
        </w:rPr>
        <w:t>7</w:t>
      </w:r>
      <w:r w:rsidR="00AA5CCE" w:rsidRPr="007602E6">
        <w:rPr>
          <w:rFonts w:ascii="Arial" w:hAnsi="Arial" w:cs="Arial"/>
          <w:sz w:val="22"/>
          <w:szCs w:val="22"/>
        </w:rPr>
        <w:t xml:space="preserve">%. </w:t>
      </w:r>
    </w:p>
    <w:p w14:paraId="2BBAF166" w14:textId="77777777" w:rsidR="00B57B24" w:rsidRPr="007602E6" w:rsidRDefault="00B57B24" w:rsidP="00B57B24">
      <w:pPr>
        <w:jc w:val="both"/>
        <w:rPr>
          <w:rFonts w:ascii="Arial" w:hAnsi="Arial" w:cs="Arial"/>
          <w:sz w:val="22"/>
          <w:szCs w:val="22"/>
        </w:rPr>
      </w:pPr>
    </w:p>
    <w:p w14:paraId="2AA35C56" w14:textId="2D13A196" w:rsidR="00AA5CCE" w:rsidRDefault="00AA5CCE" w:rsidP="00B57B24">
      <w:pPr>
        <w:jc w:val="both"/>
        <w:rPr>
          <w:rFonts w:ascii="Arial" w:hAnsi="Arial" w:cs="Arial"/>
          <w:color w:val="000000"/>
          <w:sz w:val="22"/>
          <w:szCs w:val="22"/>
        </w:rPr>
      </w:pPr>
      <w:r w:rsidRPr="001436AB">
        <w:rPr>
          <w:rFonts w:ascii="Arial" w:hAnsi="Arial" w:cs="Arial"/>
          <w:sz w:val="22"/>
          <w:szCs w:val="22"/>
        </w:rPr>
        <w:t>Adicionalmente, es de señalar que los valores expuestos en la tabla anterior, incluyen el valor que corresponden a</w:t>
      </w:r>
      <w:r w:rsidRPr="001436AB">
        <w:rPr>
          <w:rFonts w:ascii="Arial" w:hAnsi="Arial" w:cs="Arial"/>
          <w:color w:val="000000"/>
          <w:sz w:val="22"/>
          <w:szCs w:val="22"/>
        </w:rPr>
        <w:t xml:space="preserve">l servicio de telefonía fija RDS PRIS del SIIF Nación contratado con el proveedor UNE EPM, el cual es asumido por el contratista Unión Temporal Comware – BPM, de esta forma, para el </w:t>
      </w:r>
      <w:r w:rsidR="00F65A34">
        <w:rPr>
          <w:rFonts w:ascii="Arial" w:hAnsi="Arial" w:cs="Arial"/>
          <w:color w:val="000000"/>
          <w:sz w:val="22"/>
          <w:szCs w:val="22"/>
        </w:rPr>
        <w:t xml:space="preserve">tercer </w:t>
      </w:r>
      <w:r w:rsidR="00F65A34" w:rsidRPr="001436AB">
        <w:rPr>
          <w:rFonts w:ascii="Arial" w:hAnsi="Arial" w:cs="Arial"/>
          <w:color w:val="000000"/>
          <w:sz w:val="22"/>
          <w:szCs w:val="22"/>
        </w:rPr>
        <w:t>trimestre</w:t>
      </w:r>
      <w:r w:rsidRPr="001436AB">
        <w:rPr>
          <w:rFonts w:ascii="Arial" w:hAnsi="Arial" w:cs="Arial"/>
          <w:color w:val="000000"/>
          <w:sz w:val="22"/>
          <w:szCs w:val="22"/>
        </w:rPr>
        <w:t xml:space="preserve"> de 201</w:t>
      </w:r>
      <w:r w:rsidR="000D3B6F" w:rsidRPr="001436AB">
        <w:rPr>
          <w:rFonts w:ascii="Arial" w:hAnsi="Arial" w:cs="Arial"/>
          <w:color w:val="000000"/>
          <w:sz w:val="22"/>
          <w:szCs w:val="22"/>
        </w:rPr>
        <w:t>9</w:t>
      </w:r>
      <w:r w:rsidRPr="001436AB">
        <w:rPr>
          <w:rFonts w:ascii="Arial" w:hAnsi="Arial" w:cs="Arial"/>
          <w:color w:val="000000"/>
          <w:sz w:val="22"/>
          <w:szCs w:val="22"/>
        </w:rPr>
        <w:t xml:space="preserve">, se evidenció la gestión realizada por la Subdirección de Servicios en lo concerniente a la solicitud de reembolso de los valores facturados al contratista en mención, así: </w:t>
      </w:r>
    </w:p>
    <w:p w14:paraId="652AB24F" w14:textId="77777777" w:rsidR="00B57B24" w:rsidRDefault="00B57B24" w:rsidP="00B57B24">
      <w:pPr>
        <w:jc w:val="both"/>
        <w:rPr>
          <w:rFonts w:ascii="Arial" w:hAnsi="Arial" w:cs="Arial"/>
          <w:color w:val="000000"/>
          <w:sz w:val="22"/>
          <w:szCs w:val="22"/>
        </w:rPr>
      </w:pPr>
    </w:p>
    <w:tbl>
      <w:tblPr>
        <w:tblStyle w:val="Tabladecuadrcula1clara-nfasis1"/>
        <w:tblW w:w="9776" w:type="dxa"/>
        <w:tblLook w:val="04A0" w:firstRow="1" w:lastRow="0" w:firstColumn="1" w:lastColumn="0" w:noHBand="0" w:noVBand="1"/>
      </w:tblPr>
      <w:tblGrid>
        <w:gridCol w:w="1365"/>
        <w:gridCol w:w="1575"/>
        <w:gridCol w:w="1644"/>
        <w:gridCol w:w="1734"/>
        <w:gridCol w:w="1058"/>
        <w:gridCol w:w="2400"/>
      </w:tblGrid>
      <w:tr w:rsidR="00C50528" w:rsidRPr="00A003B6" w14:paraId="3AC2AA52" w14:textId="77777777" w:rsidTr="00B57B24">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hideMark/>
          </w:tcPr>
          <w:p w14:paraId="581A0976" w14:textId="77777777" w:rsidR="00C50528" w:rsidRPr="001436AB" w:rsidRDefault="00C50528" w:rsidP="00B57B24">
            <w:pPr>
              <w:spacing w:after="20"/>
              <w:jc w:val="center"/>
              <w:rPr>
                <w:rFonts w:ascii="Arial" w:hAnsi="Arial" w:cs="Arial"/>
                <w:color w:val="FFFFFF" w:themeColor="background1"/>
                <w:sz w:val="20"/>
                <w:szCs w:val="20"/>
              </w:rPr>
            </w:pPr>
            <w:r w:rsidRPr="001436AB">
              <w:rPr>
                <w:rFonts w:ascii="Arial" w:hAnsi="Arial" w:cs="Arial"/>
                <w:color w:val="FFFFFF" w:themeColor="background1"/>
                <w:sz w:val="20"/>
                <w:szCs w:val="20"/>
              </w:rPr>
              <w:t>Periodo</w:t>
            </w:r>
          </w:p>
        </w:tc>
        <w:tc>
          <w:tcPr>
            <w:tcW w:w="0" w:type="auto"/>
            <w:tcBorders>
              <w:bottom w:val="nil"/>
            </w:tcBorders>
            <w:shd w:val="clear" w:color="auto" w:fill="4F81BD" w:themeFill="accent1"/>
            <w:hideMark/>
          </w:tcPr>
          <w:p w14:paraId="79E9D2E0" w14:textId="77777777" w:rsidR="00C50528" w:rsidRPr="001436AB" w:rsidRDefault="00C50528" w:rsidP="00B57B24">
            <w:pPr>
              <w:spacing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436AB">
              <w:rPr>
                <w:rFonts w:ascii="Arial" w:hAnsi="Arial" w:cs="Arial"/>
                <w:color w:val="FFFFFF" w:themeColor="background1"/>
                <w:sz w:val="20"/>
                <w:szCs w:val="20"/>
              </w:rPr>
              <w:t xml:space="preserve">Factura </w:t>
            </w:r>
          </w:p>
        </w:tc>
        <w:tc>
          <w:tcPr>
            <w:tcW w:w="0" w:type="auto"/>
            <w:tcBorders>
              <w:bottom w:val="nil"/>
            </w:tcBorders>
            <w:shd w:val="clear" w:color="auto" w:fill="4F81BD" w:themeFill="accent1"/>
            <w:hideMark/>
          </w:tcPr>
          <w:p w14:paraId="1A4BC181" w14:textId="77777777" w:rsidR="00C50528" w:rsidRPr="001436AB" w:rsidRDefault="00C50528" w:rsidP="00B57B24">
            <w:pPr>
              <w:spacing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436AB">
              <w:rPr>
                <w:rFonts w:ascii="Arial" w:hAnsi="Arial" w:cs="Arial"/>
                <w:color w:val="FFFFFF" w:themeColor="background1"/>
                <w:sz w:val="20"/>
                <w:szCs w:val="20"/>
              </w:rPr>
              <w:t xml:space="preserve">Radicado </w:t>
            </w:r>
          </w:p>
        </w:tc>
        <w:tc>
          <w:tcPr>
            <w:tcW w:w="1734" w:type="dxa"/>
            <w:tcBorders>
              <w:bottom w:val="nil"/>
            </w:tcBorders>
            <w:shd w:val="clear" w:color="auto" w:fill="4F81BD" w:themeFill="accent1"/>
            <w:hideMark/>
          </w:tcPr>
          <w:p w14:paraId="674B3B84" w14:textId="77777777" w:rsidR="00C50528" w:rsidRPr="001436AB" w:rsidRDefault="00C50528" w:rsidP="00B57B24">
            <w:pPr>
              <w:spacing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436AB">
              <w:rPr>
                <w:rFonts w:ascii="Arial" w:hAnsi="Arial" w:cs="Arial"/>
                <w:color w:val="FFFFFF" w:themeColor="background1"/>
                <w:sz w:val="20"/>
                <w:szCs w:val="20"/>
              </w:rPr>
              <w:t xml:space="preserve">Fecha </w:t>
            </w:r>
          </w:p>
        </w:tc>
        <w:tc>
          <w:tcPr>
            <w:tcW w:w="1058" w:type="dxa"/>
            <w:tcBorders>
              <w:bottom w:val="nil"/>
            </w:tcBorders>
            <w:shd w:val="clear" w:color="auto" w:fill="4F81BD" w:themeFill="accent1"/>
            <w:hideMark/>
          </w:tcPr>
          <w:p w14:paraId="4C3725FF" w14:textId="77777777" w:rsidR="00C50528" w:rsidRPr="001436AB" w:rsidRDefault="00C50528" w:rsidP="00B57B24">
            <w:pPr>
              <w:spacing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436AB">
              <w:rPr>
                <w:rFonts w:ascii="Arial" w:hAnsi="Arial" w:cs="Arial"/>
                <w:color w:val="FFFFFF" w:themeColor="background1"/>
                <w:sz w:val="20"/>
                <w:szCs w:val="20"/>
              </w:rPr>
              <w:t>Valor ($)</w:t>
            </w:r>
          </w:p>
        </w:tc>
        <w:tc>
          <w:tcPr>
            <w:tcW w:w="2400" w:type="dxa"/>
            <w:tcBorders>
              <w:bottom w:val="nil"/>
            </w:tcBorders>
            <w:shd w:val="clear" w:color="auto" w:fill="4F81BD" w:themeFill="accent1"/>
            <w:hideMark/>
          </w:tcPr>
          <w:p w14:paraId="7AB988D1" w14:textId="77777777" w:rsidR="00C50528" w:rsidRPr="001436AB" w:rsidRDefault="00C50528" w:rsidP="00B57B24">
            <w:pPr>
              <w:spacing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436AB">
              <w:rPr>
                <w:rFonts w:ascii="Arial" w:hAnsi="Arial" w:cs="Arial"/>
                <w:color w:val="FFFFFF" w:themeColor="background1"/>
                <w:sz w:val="20"/>
                <w:szCs w:val="20"/>
              </w:rPr>
              <w:t>Fecha de Reembolso</w:t>
            </w:r>
          </w:p>
        </w:tc>
      </w:tr>
      <w:tr w:rsidR="00BF3BEE" w:rsidRPr="00A003B6" w14:paraId="3EEE1A7D" w14:textId="77777777" w:rsidTr="00A05F91">
        <w:trPr>
          <w:trHeight w:val="51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590CD0F2" w14:textId="2B3E945F" w:rsidR="00BF3BEE" w:rsidRPr="00F65A34" w:rsidRDefault="00BF3BEE" w:rsidP="00B57B24">
            <w:pPr>
              <w:spacing w:after="20"/>
              <w:rPr>
                <w:rFonts w:ascii="Arial" w:hAnsi="Arial" w:cs="Arial"/>
                <w:color w:val="0F243E" w:themeColor="text2" w:themeShade="80"/>
                <w:sz w:val="20"/>
                <w:szCs w:val="20"/>
              </w:rPr>
            </w:pPr>
            <w:r w:rsidRPr="00F65A34">
              <w:rPr>
                <w:rFonts w:ascii="Arial" w:hAnsi="Arial" w:cs="Arial"/>
                <w:color w:val="0F243E"/>
                <w:sz w:val="20"/>
                <w:szCs w:val="20"/>
              </w:rPr>
              <w:t xml:space="preserve">Julio </w:t>
            </w:r>
          </w:p>
        </w:tc>
        <w:tc>
          <w:tcPr>
            <w:tcW w:w="0" w:type="auto"/>
            <w:tcBorders>
              <w:top w:val="nil"/>
              <w:left w:val="nil"/>
              <w:bottom w:val="nil"/>
              <w:right w:val="nil"/>
            </w:tcBorders>
            <w:vAlign w:val="center"/>
            <w:hideMark/>
          </w:tcPr>
          <w:p w14:paraId="5BB8C6DA" w14:textId="5E80A704" w:rsidR="00BF3BEE" w:rsidRPr="00FB7EA4" w:rsidRDefault="00BF3BEE" w:rsidP="00B57B24">
            <w:pPr>
              <w:spacing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969009875-82 </w:t>
            </w:r>
          </w:p>
        </w:tc>
        <w:tc>
          <w:tcPr>
            <w:tcW w:w="0" w:type="auto"/>
            <w:tcBorders>
              <w:top w:val="nil"/>
              <w:left w:val="nil"/>
              <w:bottom w:val="nil"/>
              <w:right w:val="nil"/>
            </w:tcBorders>
            <w:vAlign w:val="center"/>
            <w:hideMark/>
          </w:tcPr>
          <w:p w14:paraId="5AB18B76" w14:textId="7000551F" w:rsidR="00BF3BEE" w:rsidRPr="00FB7EA4" w:rsidRDefault="00BF3BEE" w:rsidP="00B57B24">
            <w:pPr>
              <w:spacing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3-2019-014155</w:t>
            </w:r>
          </w:p>
        </w:tc>
        <w:tc>
          <w:tcPr>
            <w:tcW w:w="1734" w:type="dxa"/>
            <w:tcBorders>
              <w:top w:val="nil"/>
              <w:left w:val="nil"/>
              <w:bottom w:val="nil"/>
              <w:right w:val="nil"/>
            </w:tcBorders>
            <w:vAlign w:val="center"/>
            <w:hideMark/>
          </w:tcPr>
          <w:p w14:paraId="684007C7" w14:textId="43D6F746" w:rsidR="00BF3BEE" w:rsidRPr="00FB7EA4" w:rsidRDefault="00BF3BEE" w:rsidP="00B57B24">
            <w:pPr>
              <w:spacing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8/08/2019</w:t>
            </w:r>
          </w:p>
        </w:tc>
        <w:tc>
          <w:tcPr>
            <w:tcW w:w="1058" w:type="dxa"/>
            <w:tcBorders>
              <w:top w:val="nil"/>
              <w:left w:val="nil"/>
              <w:bottom w:val="nil"/>
              <w:right w:val="nil"/>
            </w:tcBorders>
            <w:noWrap/>
            <w:vAlign w:val="center"/>
            <w:hideMark/>
          </w:tcPr>
          <w:p w14:paraId="7B775C4B" w14:textId="52F38C36" w:rsidR="00BF3BEE" w:rsidRPr="00FB7EA4" w:rsidRDefault="00BF3BEE" w:rsidP="00B57B24">
            <w:pPr>
              <w:spacing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543.118</w:t>
            </w:r>
          </w:p>
        </w:tc>
        <w:tc>
          <w:tcPr>
            <w:tcW w:w="2400" w:type="dxa"/>
            <w:tcBorders>
              <w:top w:val="nil"/>
              <w:left w:val="nil"/>
              <w:bottom w:val="nil"/>
              <w:right w:val="nil"/>
            </w:tcBorders>
            <w:hideMark/>
          </w:tcPr>
          <w:p w14:paraId="2D1CA4E1" w14:textId="632ABEC1" w:rsidR="00BF3BEE" w:rsidRPr="00FB7EA4" w:rsidRDefault="00644CD9" w:rsidP="00B57B24">
            <w:pPr>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24/09/2019</w:t>
            </w:r>
          </w:p>
        </w:tc>
      </w:tr>
      <w:tr w:rsidR="00BF3BEE" w:rsidRPr="00A003B6" w14:paraId="1A01F5EE" w14:textId="77777777" w:rsidTr="00644CD9">
        <w:trPr>
          <w:trHeight w:val="433"/>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4F7B0394" w14:textId="07B07904" w:rsidR="00BF3BEE" w:rsidRPr="00F65A34" w:rsidRDefault="00BF3BEE" w:rsidP="00B57B24">
            <w:pPr>
              <w:spacing w:after="20"/>
              <w:rPr>
                <w:rFonts w:ascii="Arial" w:hAnsi="Arial" w:cs="Arial"/>
                <w:color w:val="0F243E" w:themeColor="text2" w:themeShade="80"/>
                <w:sz w:val="20"/>
                <w:szCs w:val="20"/>
              </w:rPr>
            </w:pPr>
            <w:r w:rsidRPr="00F65A34">
              <w:rPr>
                <w:rFonts w:ascii="Arial" w:hAnsi="Arial" w:cs="Arial"/>
                <w:color w:val="0F243E"/>
                <w:sz w:val="20"/>
                <w:szCs w:val="20"/>
              </w:rPr>
              <w:t>Agosto</w:t>
            </w:r>
          </w:p>
        </w:tc>
        <w:tc>
          <w:tcPr>
            <w:tcW w:w="0" w:type="auto"/>
            <w:tcBorders>
              <w:top w:val="nil"/>
              <w:left w:val="nil"/>
              <w:bottom w:val="nil"/>
              <w:right w:val="nil"/>
            </w:tcBorders>
            <w:noWrap/>
            <w:vAlign w:val="center"/>
            <w:hideMark/>
          </w:tcPr>
          <w:p w14:paraId="3D451A42" w14:textId="3920C977" w:rsidR="00BF3BEE" w:rsidRPr="00FB7EA4" w:rsidRDefault="00BF3BEE" w:rsidP="00B57B24">
            <w:pPr>
              <w:spacing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970951514-71</w:t>
            </w:r>
          </w:p>
        </w:tc>
        <w:tc>
          <w:tcPr>
            <w:tcW w:w="0" w:type="auto"/>
            <w:tcBorders>
              <w:top w:val="nil"/>
              <w:left w:val="nil"/>
              <w:bottom w:val="nil"/>
              <w:right w:val="nil"/>
            </w:tcBorders>
            <w:noWrap/>
            <w:vAlign w:val="center"/>
            <w:hideMark/>
          </w:tcPr>
          <w:p w14:paraId="1F0D397C" w14:textId="25A552F7" w:rsidR="00BF3BEE" w:rsidRPr="00FB7EA4" w:rsidRDefault="00BF3BEE" w:rsidP="00B57B24">
            <w:pPr>
              <w:spacing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3-2019-016215</w:t>
            </w:r>
          </w:p>
        </w:tc>
        <w:tc>
          <w:tcPr>
            <w:tcW w:w="1734" w:type="dxa"/>
            <w:tcBorders>
              <w:top w:val="nil"/>
              <w:left w:val="nil"/>
              <w:bottom w:val="nil"/>
              <w:right w:val="nil"/>
            </w:tcBorders>
            <w:vAlign w:val="center"/>
            <w:hideMark/>
          </w:tcPr>
          <w:p w14:paraId="596305EA" w14:textId="2A98F300" w:rsidR="00BF3BEE" w:rsidRPr="00FB7EA4" w:rsidRDefault="00BF3BEE" w:rsidP="00B57B24">
            <w:pPr>
              <w:spacing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5/09/2019</w:t>
            </w:r>
          </w:p>
        </w:tc>
        <w:tc>
          <w:tcPr>
            <w:tcW w:w="1058" w:type="dxa"/>
            <w:tcBorders>
              <w:top w:val="nil"/>
              <w:left w:val="nil"/>
              <w:bottom w:val="nil"/>
              <w:right w:val="nil"/>
            </w:tcBorders>
            <w:noWrap/>
            <w:vAlign w:val="center"/>
            <w:hideMark/>
          </w:tcPr>
          <w:p w14:paraId="46E6C0DE" w14:textId="7206484F" w:rsidR="00BF3BEE" w:rsidRPr="00FB7EA4" w:rsidRDefault="00BF3BEE" w:rsidP="00B57B24">
            <w:pPr>
              <w:spacing w:after="20"/>
              <w:ind w:left="57" w:right="-57"/>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543.118</w:t>
            </w:r>
          </w:p>
        </w:tc>
        <w:tc>
          <w:tcPr>
            <w:tcW w:w="2400" w:type="dxa"/>
            <w:tcBorders>
              <w:top w:val="nil"/>
              <w:left w:val="nil"/>
              <w:bottom w:val="nil"/>
              <w:right w:val="nil"/>
            </w:tcBorders>
          </w:tcPr>
          <w:p w14:paraId="1D81DCD7" w14:textId="4DBC0D45" w:rsidR="00BF3BEE" w:rsidRPr="00FB7EA4" w:rsidRDefault="00644CD9" w:rsidP="00B57B24">
            <w:pPr>
              <w:spacing w:after="2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22/10/2019</w:t>
            </w:r>
          </w:p>
        </w:tc>
      </w:tr>
      <w:tr w:rsidR="00BF3BEE" w:rsidRPr="00A003B6" w14:paraId="74EA697C" w14:textId="77777777" w:rsidTr="003812E7">
        <w:trPr>
          <w:trHeight w:val="422"/>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58446C6C" w14:textId="026A968D" w:rsidR="00BF3BEE" w:rsidRPr="00F65A34" w:rsidRDefault="00BF3BEE" w:rsidP="00B57B24">
            <w:pPr>
              <w:spacing w:after="20"/>
              <w:rPr>
                <w:rFonts w:ascii="Arial" w:hAnsi="Arial" w:cs="Arial"/>
                <w:color w:val="0F243E" w:themeColor="text2" w:themeShade="80"/>
                <w:sz w:val="20"/>
                <w:szCs w:val="20"/>
              </w:rPr>
            </w:pPr>
            <w:r w:rsidRPr="00F65A34">
              <w:rPr>
                <w:rFonts w:ascii="Arial" w:hAnsi="Arial" w:cs="Arial"/>
                <w:color w:val="0F243E"/>
                <w:sz w:val="20"/>
                <w:szCs w:val="20"/>
              </w:rPr>
              <w:t>Septiembre</w:t>
            </w:r>
          </w:p>
        </w:tc>
        <w:tc>
          <w:tcPr>
            <w:tcW w:w="0" w:type="auto"/>
            <w:tcBorders>
              <w:top w:val="nil"/>
              <w:left w:val="nil"/>
              <w:bottom w:val="double" w:sz="4" w:space="0" w:color="4F81BD" w:themeColor="accent1"/>
              <w:right w:val="nil"/>
            </w:tcBorders>
            <w:noWrap/>
            <w:vAlign w:val="center"/>
            <w:hideMark/>
          </w:tcPr>
          <w:p w14:paraId="54005794" w14:textId="08B6AF33" w:rsidR="00BF3BEE" w:rsidRPr="00FB7EA4" w:rsidRDefault="00BF3BEE" w:rsidP="00B57B24">
            <w:pPr>
              <w:spacing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972903695-52</w:t>
            </w:r>
          </w:p>
        </w:tc>
        <w:tc>
          <w:tcPr>
            <w:tcW w:w="0" w:type="auto"/>
            <w:tcBorders>
              <w:top w:val="nil"/>
              <w:left w:val="nil"/>
              <w:bottom w:val="double" w:sz="4" w:space="0" w:color="4F81BD" w:themeColor="accent1"/>
              <w:right w:val="nil"/>
            </w:tcBorders>
            <w:noWrap/>
            <w:vAlign w:val="center"/>
            <w:hideMark/>
          </w:tcPr>
          <w:p w14:paraId="2C2CBBA2" w14:textId="28C23320" w:rsidR="00BF3BEE" w:rsidRPr="00FB7EA4" w:rsidRDefault="00BF3BEE" w:rsidP="00B57B24">
            <w:pPr>
              <w:spacing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3-2019-019017</w:t>
            </w:r>
          </w:p>
        </w:tc>
        <w:tc>
          <w:tcPr>
            <w:tcW w:w="1734" w:type="dxa"/>
            <w:tcBorders>
              <w:top w:val="nil"/>
              <w:left w:val="nil"/>
              <w:bottom w:val="double" w:sz="4" w:space="0" w:color="4F81BD" w:themeColor="accent1"/>
              <w:right w:val="nil"/>
            </w:tcBorders>
            <w:vAlign w:val="center"/>
            <w:hideMark/>
          </w:tcPr>
          <w:p w14:paraId="4B26FAC9" w14:textId="7CF6DE8A" w:rsidR="00BF3BEE" w:rsidRPr="00FB7EA4" w:rsidRDefault="00BF3BEE" w:rsidP="00B57B24">
            <w:pPr>
              <w:spacing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8/10/2019</w:t>
            </w:r>
          </w:p>
        </w:tc>
        <w:tc>
          <w:tcPr>
            <w:tcW w:w="1058" w:type="dxa"/>
            <w:tcBorders>
              <w:top w:val="nil"/>
              <w:left w:val="nil"/>
              <w:bottom w:val="double" w:sz="4" w:space="0" w:color="4F81BD" w:themeColor="accent1"/>
              <w:right w:val="nil"/>
            </w:tcBorders>
            <w:noWrap/>
            <w:vAlign w:val="center"/>
            <w:hideMark/>
          </w:tcPr>
          <w:p w14:paraId="316FCF0E" w14:textId="04DBF7FF" w:rsidR="00BF3BEE" w:rsidRPr="00FB7EA4" w:rsidRDefault="00BF3BEE" w:rsidP="00B57B24">
            <w:pPr>
              <w:pStyle w:val="Prrafodelista"/>
              <w:spacing w:after="20"/>
              <w:ind w:left="57" w:right="-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543.118</w:t>
            </w:r>
          </w:p>
        </w:tc>
        <w:tc>
          <w:tcPr>
            <w:tcW w:w="2400" w:type="dxa"/>
            <w:tcBorders>
              <w:top w:val="nil"/>
              <w:left w:val="nil"/>
              <w:bottom w:val="double" w:sz="4" w:space="0" w:color="4F81BD" w:themeColor="accent1"/>
              <w:right w:val="nil"/>
            </w:tcBorders>
          </w:tcPr>
          <w:p w14:paraId="2967245A" w14:textId="348054AD" w:rsidR="00BF3BEE" w:rsidRPr="00FB7EA4" w:rsidRDefault="00F862AB" w:rsidP="00B57B24">
            <w:pPr>
              <w:spacing w:after="2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10/10/2019</w:t>
            </w:r>
          </w:p>
        </w:tc>
      </w:tr>
    </w:tbl>
    <w:p w14:paraId="14416B8E" w14:textId="2E7373C1" w:rsidR="00A01F64" w:rsidRDefault="00A01F64" w:rsidP="009748AB">
      <w:pPr>
        <w:spacing w:after="200" w:line="276" w:lineRule="auto"/>
        <w:rPr>
          <w:rFonts w:ascii="Arial" w:eastAsia="Arial" w:hAnsi="Arial" w:cs="Arial"/>
          <w:b/>
          <w:color w:val="000000"/>
          <w:sz w:val="22"/>
          <w:szCs w:val="22"/>
        </w:rPr>
      </w:pPr>
    </w:p>
    <w:p w14:paraId="5FDD9D40" w14:textId="13F72CD0" w:rsidR="003B61F5" w:rsidRPr="00C47E49" w:rsidRDefault="008F68D9" w:rsidP="00C47E49">
      <w:pPr>
        <w:pStyle w:val="Prrafodelista"/>
        <w:numPr>
          <w:ilvl w:val="0"/>
          <w:numId w:val="25"/>
        </w:numPr>
        <w:spacing w:after="200" w:line="276" w:lineRule="auto"/>
        <w:rPr>
          <w:rFonts w:ascii="Arial" w:eastAsia="Arial" w:hAnsi="Arial" w:cs="Arial"/>
          <w:b/>
          <w:color w:val="000000"/>
          <w:sz w:val="20"/>
          <w:szCs w:val="20"/>
        </w:rPr>
      </w:pPr>
      <w:r w:rsidRPr="00C47E49">
        <w:rPr>
          <w:rFonts w:ascii="Arial" w:eastAsia="Arial" w:hAnsi="Arial" w:cs="Arial"/>
          <w:b/>
          <w:color w:val="000000" w:themeColor="text1"/>
          <w:sz w:val="22"/>
          <w:szCs w:val="22"/>
        </w:rPr>
        <w:t>SUSCRIPCIONES A PERIÓDICOS Y REVISTAS, PUBLICACIONES Y BASES DE DATOS</w:t>
      </w:r>
    </w:p>
    <w:p w14:paraId="53E68CF8" w14:textId="76F92AAE" w:rsidR="006E0FBC" w:rsidRDefault="00D0397F" w:rsidP="00F162F7">
      <w:pPr>
        <w:jc w:val="both"/>
        <w:rPr>
          <w:rFonts w:ascii="Arial" w:hAnsi="Arial" w:cs="Arial"/>
          <w:color w:val="000000" w:themeColor="text1"/>
          <w:sz w:val="22"/>
          <w:szCs w:val="22"/>
        </w:rPr>
      </w:pPr>
      <w:r w:rsidRPr="0083185B">
        <w:rPr>
          <w:rFonts w:ascii="Arial" w:hAnsi="Arial" w:cs="Arial"/>
          <w:color w:val="000000" w:themeColor="text1"/>
          <w:sz w:val="22"/>
          <w:szCs w:val="22"/>
        </w:rPr>
        <w:t>De acuerdo con el numeral 7 de la Directiva Pre</w:t>
      </w:r>
      <w:r w:rsidR="00312149">
        <w:rPr>
          <w:rFonts w:ascii="Arial" w:hAnsi="Arial" w:cs="Arial"/>
          <w:color w:val="000000" w:themeColor="text1"/>
          <w:sz w:val="22"/>
          <w:szCs w:val="22"/>
        </w:rPr>
        <w:t xml:space="preserve">sidencial 09 de 2018, estableció </w:t>
      </w:r>
      <w:r w:rsidRPr="0083185B">
        <w:rPr>
          <w:rFonts w:ascii="Arial" w:hAnsi="Arial" w:cs="Arial"/>
          <w:color w:val="000000" w:themeColor="text1"/>
          <w:sz w:val="22"/>
          <w:szCs w:val="22"/>
        </w:rPr>
        <w:t>las directrices frente</w:t>
      </w:r>
      <w:r w:rsidR="007D1507" w:rsidRPr="0083185B">
        <w:rPr>
          <w:rFonts w:ascii="Arial" w:hAnsi="Arial" w:cs="Arial"/>
          <w:color w:val="000000" w:themeColor="text1"/>
          <w:sz w:val="22"/>
          <w:szCs w:val="22"/>
        </w:rPr>
        <w:t xml:space="preserve"> a las medidas de austeridad que se deben contemplar para el concepto de suscripc</w:t>
      </w:r>
      <w:r w:rsidR="00312149">
        <w:rPr>
          <w:rFonts w:ascii="Arial" w:hAnsi="Arial" w:cs="Arial"/>
          <w:color w:val="000000" w:themeColor="text1"/>
          <w:sz w:val="22"/>
          <w:szCs w:val="22"/>
        </w:rPr>
        <w:t xml:space="preserve">iones a periódicos y revistas, así: </w:t>
      </w:r>
    </w:p>
    <w:p w14:paraId="4FE75C15" w14:textId="17D1D2F7" w:rsidR="00312149" w:rsidRDefault="00312149" w:rsidP="00F162F7">
      <w:pPr>
        <w:jc w:val="both"/>
        <w:rPr>
          <w:rFonts w:ascii="Arial" w:hAnsi="Arial" w:cs="Arial"/>
          <w:color w:val="000000" w:themeColor="text1"/>
          <w:sz w:val="22"/>
          <w:szCs w:val="22"/>
        </w:rPr>
      </w:pPr>
    </w:p>
    <w:p w14:paraId="1515DD9B" w14:textId="097F4575" w:rsidR="00312149" w:rsidRPr="00312149" w:rsidRDefault="00312149" w:rsidP="00312149">
      <w:pPr>
        <w:pStyle w:val="Default"/>
        <w:ind w:left="708"/>
        <w:rPr>
          <w:sz w:val="22"/>
          <w:szCs w:val="22"/>
        </w:rPr>
      </w:pPr>
      <w:r w:rsidRPr="00312149">
        <w:rPr>
          <w:color w:val="000000" w:themeColor="text1"/>
          <w:sz w:val="22"/>
          <w:szCs w:val="22"/>
        </w:rPr>
        <w:t>«7.1. Deberá seguirse de manera estricta la normatividad en materia de suscripciones a revistas y periódicos (Ley</w:t>
      </w:r>
      <w:r w:rsidRPr="00312149">
        <w:rPr>
          <w:sz w:val="22"/>
          <w:szCs w:val="22"/>
        </w:rPr>
        <w:t xml:space="preserve"> 1873 de 2017, articulo 83</w:t>
      </w:r>
      <w:r>
        <w:rPr>
          <w:sz w:val="22"/>
          <w:szCs w:val="22"/>
        </w:rPr>
        <w:t>).</w:t>
      </w:r>
      <w:r w:rsidRPr="00312149">
        <w:rPr>
          <w:sz w:val="22"/>
          <w:szCs w:val="22"/>
        </w:rPr>
        <w:t xml:space="preserve"> </w:t>
      </w:r>
    </w:p>
    <w:p w14:paraId="6796FD02" w14:textId="50E478A3" w:rsidR="00312149" w:rsidRPr="00312149" w:rsidRDefault="00312149" w:rsidP="00312149">
      <w:pPr>
        <w:ind w:left="708"/>
        <w:jc w:val="both"/>
        <w:rPr>
          <w:rFonts w:ascii="Arial" w:hAnsi="Arial" w:cs="Arial"/>
          <w:color w:val="000000" w:themeColor="text1"/>
          <w:sz w:val="22"/>
          <w:szCs w:val="22"/>
        </w:rPr>
      </w:pPr>
    </w:p>
    <w:p w14:paraId="77237FD9" w14:textId="28850A68" w:rsidR="00312149" w:rsidRPr="00312149" w:rsidRDefault="00312149" w:rsidP="00312149">
      <w:pPr>
        <w:ind w:left="708"/>
        <w:jc w:val="both"/>
        <w:rPr>
          <w:rFonts w:ascii="Arial" w:hAnsi="Arial" w:cs="Arial"/>
          <w:color w:val="000000" w:themeColor="text1"/>
          <w:sz w:val="22"/>
          <w:szCs w:val="22"/>
        </w:rPr>
      </w:pPr>
      <w:r w:rsidRPr="00312149">
        <w:rPr>
          <w:rFonts w:ascii="Arial" w:hAnsi="Arial" w:cs="Arial"/>
          <w:color w:val="000000" w:themeColor="text1"/>
          <w:sz w:val="22"/>
          <w:szCs w:val="22"/>
        </w:rPr>
        <w:t xml:space="preserve">7.2. Las suscripciones a bases de datos electrónicas especializadas se efectuarán solamente cuando sea necesario. Las licencias se adquirirán en las cantidades suficientes para suplir las necesidades del servicio».  </w:t>
      </w:r>
    </w:p>
    <w:p w14:paraId="69B0FF40" w14:textId="77777777" w:rsidR="00B57B24" w:rsidRDefault="00B57B24" w:rsidP="00F162F7">
      <w:pPr>
        <w:jc w:val="both"/>
        <w:rPr>
          <w:rFonts w:ascii="Arial" w:hAnsi="Arial" w:cs="Arial"/>
          <w:color w:val="000000" w:themeColor="text1"/>
          <w:sz w:val="22"/>
          <w:szCs w:val="22"/>
        </w:rPr>
      </w:pPr>
    </w:p>
    <w:p w14:paraId="7566A060" w14:textId="2408339E" w:rsidR="0023499B" w:rsidRPr="0083185B" w:rsidRDefault="0023499B" w:rsidP="00F162F7">
      <w:pPr>
        <w:jc w:val="both"/>
        <w:rPr>
          <w:rFonts w:ascii="Arial" w:hAnsi="Arial" w:cs="Arial"/>
          <w:color w:val="000000" w:themeColor="text1"/>
          <w:sz w:val="22"/>
          <w:szCs w:val="22"/>
        </w:rPr>
      </w:pPr>
      <w:r w:rsidRPr="0083185B">
        <w:rPr>
          <w:rFonts w:ascii="Arial" w:hAnsi="Arial" w:cs="Arial"/>
          <w:color w:val="000000" w:themeColor="text1"/>
          <w:sz w:val="22"/>
          <w:szCs w:val="22"/>
        </w:rPr>
        <w:t xml:space="preserve">Con corte al </w:t>
      </w:r>
      <w:r w:rsidR="0083185B">
        <w:rPr>
          <w:rFonts w:ascii="Arial" w:hAnsi="Arial" w:cs="Arial"/>
          <w:color w:val="000000" w:themeColor="text1"/>
          <w:sz w:val="22"/>
          <w:szCs w:val="22"/>
        </w:rPr>
        <w:t xml:space="preserve">tercer </w:t>
      </w:r>
      <w:r w:rsidRPr="0083185B">
        <w:rPr>
          <w:rFonts w:ascii="Arial" w:hAnsi="Arial" w:cs="Arial"/>
          <w:color w:val="000000" w:themeColor="text1"/>
          <w:sz w:val="22"/>
          <w:szCs w:val="22"/>
        </w:rPr>
        <w:t xml:space="preserve">trimestre de 2019, </w:t>
      </w:r>
      <w:r w:rsidR="00F546DB" w:rsidRPr="0083185B">
        <w:rPr>
          <w:rFonts w:ascii="Arial" w:hAnsi="Arial" w:cs="Arial"/>
          <w:color w:val="000000" w:themeColor="text1"/>
          <w:sz w:val="22"/>
          <w:szCs w:val="22"/>
        </w:rPr>
        <w:t>el Ministerio de Hacienda y C</w:t>
      </w:r>
      <w:r w:rsidRPr="0083185B">
        <w:rPr>
          <w:rFonts w:ascii="Arial" w:hAnsi="Arial" w:cs="Arial"/>
          <w:color w:val="000000" w:themeColor="text1"/>
          <w:sz w:val="22"/>
          <w:szCs w:val="22"/>
        </w:rPr>
        <w:t>rédito Público celebró</w:t>
      </w:r>
      <w:r w:rsidR="00403003">
        <w:rPr>
          <w:rFonts w:ascii="Arial" w:hAnsi="Arial" w:cs="Arial"/>
          <w:color w:val="000000" w:themeColor="text1"/>
          <w:sz w:val="22"/>
          <w:szCs w:val="22"/>
        </w:rPr>
        <w:t xml:space="preserve"> el siguiente contrato referente</w:t>
      </w:r>
      <w:r w:rsidRPr="0083185B">
        <w:rPr>
          <w:rFonts w:ascii="Arial" w:hAnsi="Arial" w:cs="Arial"/>
          <w:color w:val="000000" w:themeColor="text1"/>
          <w:sz w:val="22"/>
          <w:szCs w:val="22"/>
        </w:rPr>
        <w:t xml:space="preserve"> a suscripciones: </w:t>
      </w:r>
    </w:p>
    <w:tbl>
      <w:tblPr>
        <w:tblW w:w="0" w:type="auto"/>
        <w:tblInd w:w="-10" w:type="dxa"/>
        <w:tblCellMar>
          <w:left w:w="70" w:type="dxa"/>
          <w:right w:w="70" w:type="dxa"/>
        </w:tblCellMar>
        <w:tblLook w:val="04A0" w:firstRow="1" w:lastRow="0" w:firstColumn="1" w:lastColumn="0" w:noHBand="0" w:noVBand="1"/>
      </w:tblPr>
      <w:tblGrid>
        <w:gridCol w:w="1091"/>
        <w:gridCol w:w="1092"/>
        <w:gridCol w:w="1087"/>
        <w:gridCol w:w="1125"/>
        <w:gridCol w:w="1758"/>
        <w:gridCol w:w="3525"/>
      </w:tblGrid>
      <w:tr w:rsidR="00FC108F" w:rsidRPr="00FC108F" w14:paraId="09D23CFA" w14:textId="77777777" w:rsidTr="00FC108F">
        <w:trPr>
          <w:trHeight w:val="405"/>
        </w:trPr>
        <w:tc>
          <w:tcPr>
            <w:tcW w:w="0" w:type="auto"/>
            <w:gridSpan w:val="6"/>
            <w:tcBorders>
              <w:top w:val="double" w:sz="6" w:space="0" w:color="4F81BD"/>
              <w:left w:val="single" w:sz="8" w:space="0" w:color="B8CCE4"/>
              <w:bottom w:val="double" w:sz="6" w:space="0" w:color="4F81BD"/>
              <w:right w:val="single" w:sz="8" w:space="0" w:color="B8CCE4"/>
            </w:tcBorders>
            <w:shd w:val="clear" w:color="auto" w:fill="auto"/>
            <w:vAlign w:val="center"/>
            <w:hideMark/>
          </w:tcPr>
          <w:p w14:paraId="759C5769" w14:textId="77777777" w:rsidR="00FC108F" w:rsidRPr="00FC108F" w:rsidRDefault="00FC108F" w:rsidP="00B57B24">
            <w:pPr>
              <w:jc w:val="center"/>
              <w:rPr>
                <w:rFonts w:ascii="Arial" w:hAnsi="Arial" w:cs="Arial"/>
                <w:b/>
                <w:bCs/>
                <w:color w:val="0F243E"/>
                <w:sz w:val="22"/>
                <w:szCs w:val="22"/>
              </w:rPr>
            </w:pPr>
            <w:r w:rsidRPr="00FC108F">
              <w:rPr>
                <w:rFonts w:ascii="Arial" w:hAnsi="Arial" w:cs="Arial"/>
                <w:b/>
                <w:bCs/>
                <w:color w:val="0F243E"/>
                <w:sz w:val="22"/>
                <w:szCs w:val="22"/>
              </w:rPr>
              <w:lastRenderedPageBreak/>
              <w:t>Suscripción - III Trimestre de 2019</w:t>
            </w:r>
          </w:p>
        </w:tc>
      </w:tr>
      <w:tr w:rsidR="00FC108F" w:rsidRPr="00FC108F" w14:paraId="442CC9EE" w14:textId="77777777" w:rsidTr="00FC108F">
        <w:trPr>
          <w:trHeight w:val="510"/>
        </w:trPr>
        <w:tc>
          <w:tcPr>
            <w:tcW w:w="0" w:type="auto"/>
            <w:tcBorders>
              <w:top w:val="nil"/>
              <w:left w:val="single" w:sz="8" w:space="0" w:color="B8CCE4"/>
              <w:bottom w:val="single" w:sz="8" w:space="0" w:color="B8CCE4"/>
              <w:right w:val="single" w:sz="8" w:space="0" w:color="B8CCE4"/>
            </w:tcBorders>
            <w:shd w:val="clear" w:color="000000" w:fill="4F81BD"/>
            <w:vAlign w:val="center"/>
            <w:hideMark/>
          </w:tcPr>
          <w:p w14:paraId="6179F09A" w14:textId="77777777" w:rsidR="00FC108F" w:rsidRPr="00FC108F" w:rsidRDefault="00FC108F" w:rsidP="00B57B24">
            <w:pPr>
              <w:jc w:val="center"/>
              <w:rPr>
                <w:rFonts w:ascii="Arial" w:hAnsi="Arial" w:cs="Arial"/>
                <w:b/>
                <w:bCs/>
                <w:color w:val="FFFFFF"/>
                <w:sz w:val="18"/>
                <w:szCs w:val="18"/>
              </w:rPr>
            </w:pPr>
            <w:r w:rsidRPr="00FC108F">
              <w:rPr>
                <w:rFonts w:ascii="Arial" w:hAnsi="Arial" w:cs="Arial"/>
                <w:b/>
                <w:bCs/>
                <w:color w:val="FFFFFF"/>
                <w:sz w:val="18"/>
                <w:szCs w:val="18"/>
              </w:rPr>
              <w:t xml:space="preserve">Contratista </w:t>
            </w:r>
          </w:p>
        </w:tc>
        <w:tc>
          <w:tcPr>
            <w:tcW w:w="0" w:type="auto"/>
            <w:tcBorders>
              <w:top w:val="nil"/>
              <w:left w:val="nil"/>
              <w:bottom w:val="single" w:sz="8" w:space="0" w:color="B8CCE4"/>
              <w:right w:val="single" w:sz="8" w:space="0" w:color="B8CCE4"/>
            </w:tcBorders>
            <w:shd w:val="clear" w:color="000000" w:fill="4F81BD"/>
            <w:vAlign w:val="center"/>
            <w:hideMark/>
          </w:tcPr>
          <w:p w14:paraId="1E101D1D" w14:textId="77777777" w:rsidR="00FC108F" w:rsidRPr="00FC108F" w:rsidRDefault="00FC108F" w:rsidP="00B57B24">
            <w:pPr>
              <w:jc w:val="center"/>
              <w:rPr>
                <w:rFonts w:ascii="Arial" w:hAnsi="Arial" w:cs="Arial"/>
                <w:b/>
                <w:bCs/>
                <w:color w:val="FFFFFF"/>
                <w:sz w:val="18"/>
                <w:szCs w:val="18"/>
              </w:rPr>
            </w:pPr>
            <w:r w:rsidRPr="00FC108F">
              <w:rPr>
                <w:rFonts w:ascii="Arial" w:hAnsi="Arial" w:cs="Arial"/>
                <w:b/>
                <w:bCs/>
                <w:color w:val="FFFFFF" w:themeColor="background1"/>
                <w:sz w:val="18"/>
                <w:szCs w:val="18"/>
              </w:rPr>
              <w:t>Fecha del Contrato</w:t>
            </w:r>
          </w:p>
        </w:tc>
        <w:tc>
          <w:tcPr>
            <w:tcW w:w="0" w:type="auto"/>
            <w:tcBorders>
              <w:top w:val="nil"/>
              <w:left w:val="nil"/>
              <w:bottom w:val="single" w:sz="8" w:space="0" w:color="B8CCE4"/>
              <w:right w:val="single" w:sz="8" w:space="0" w:color="B8CCE4"/>
            </w:tcBorders>
            <w:shd w:val="clear" w:color="000000" w:fill="4F81BD"/>
            <w:vAlign w:val="center"/>
            <w:hideMark/>
          </w:tcPr>
          <w:p w14:paraId="6B399ADA" w14:textId="77777777" w:rsidR="00FC108F" w:rsidRPr="00FC108F" w:rsidRDefault="00FC108F" w:rsidP="00B57B24">
            <w:pPr>
              <w:jc w:val="center"/>
              <w:rPr>
                <w:rFonts w:ascii="Arial" w:hAnsi="Arial" w:cs="Arial"/>
                <w:b/>
                <w:bCs/>
                <w:color w:val="FFFFFF"/>
                <w:sz w:val="18"/>
                <w:szCs w:val="18"/>
              </w:rPr>
            </w:pPr>
            <w:r w:rsidRPr="00FC108F">
              <w:rPr>
                <w:rFonts w:ascii="Arial" w:hAnsi="Arial" w:cs="Arial"/>
                <w:b/>
                <w:bCs/>
                <w:color w:val="FFFFFF" w:themeColor="background1"/>
                <w:sz w:val="18"/>
                <w:szCs w:val="18"/>
              </w:rPr>
              <w:t>Valor del Contrato</w:t>
            </w:r>
          </w:p>
        </w:tc>
        <w:tc>
          <w:tcPr>
            <w:tcW w:w="1125" w:type="dxa"/>
            <w:tcBorders>
              <w:top w:val="nil"/>
              <w:left w:val="nil"/>
              <w:bottom w:val="single" w:sz="8" w:space="0" w:color="B8CCE4"/>
              <w:right w:val="single" w:sz="8" w:space="0" w:color="B8CCE4"/>
            </w:tcBorders>
            <w:shd w:val="clear" w:color="000000" w:fill="4F81BD"/>
            <w:vAlign w:val="center"/>
            <w:hideMark/>
          </w:tcPr>
          <w:p w14:paraId="1BF69BAD" w14:textId="77777777" w:rsidR="00FC108F" w:rsidRPr="00FC108F" w:rsidRDefault="00FC108F" w:rsidP="00B57B24">
            <w:pPr>
              <w:jc w:val="center"/>
              <w:rPr>
                <w:rFonts w:ascii="Arial" w:hAnsi="Arial" w:cs="Arial"/>
                <w:b/>
                <w:bCs/>
                <w:color w:val="FFFFFF"/>
                <w:sz w:val="18"/>
                <w:szCs w:val="18"/>
              </w:rPr>
            </w:pPr>
            <w:r w:rsidRPr="00FC108F">
              <w:rPr>
                <w:rFonts w:ascii="Arial" w:hAnsi="Arial" w:cs="Arial"/>
                <w:b/>
                <w:bCs/>
                <w:color w:val="FFFFFF" w:themeColor="background1"/>
                <w:sz w:val="18"/>
                <w:szCs w:val="18"/>
              </w:rPr>
              <w:t>Número de Contrato</w:t>
            </w:r>
          </w:p>
        </w:tc>
        <w:tc>
          <w:tcPr>
            <w:tcW w:w="1758" w:type="dxa"/>
            <w:tcBorders>
              <w:top w:val="nil"/>
              <w:left w:val="nil"/>
              <w:bottom w:val="single" w:sz="8" w:space="0" w:color="B8CCE4"/>
              <w:right w:val="single" w:sz="8" w:space="0" w:color="B8CCE4"/>
            </w:tcBorders>
            <w:shd w:val="clear" w:color="000000" w:fill="4F81BD"/>
            <w:vAlign w:val="center"/>
            <w:hideMark/>
          </w:tcPr>
          <w:p w14:paraId="5EBF06B3" w14:textId="77777777" w:rsidR="00FC108F" w:rsidRPr="00FC108F" w:rsidRDefault="00FC108F" w:rsidP="00B57B24">
            <w:pPr>
              <w:jc w:val="center"/>
              <w:rPr>
                <w:rFonts w:ascii="Arial" w:hAnsi="Arial" w:cs="Arial"/>
                <w:b/>
                <w:bCs/>
                <w:color w:val="FFFFFF"/>
                <w:sz w:val="18"/>
                <w:szCs w:val="18"/>
              </w:rPr>
            </w:pPr>
            <w:r w:rsidRPr="00FC108F">
              <w:rPr>
                <w:rFonts w:ascii="Arial" w:hAnsi="Arial" w:cs="Arial"/>
                <w:b/>
                <w:bCs/>
                <w:color w:val="FFFFFF" w:themeColor="background1"/>
                <w:sz w:val="18"/>
                <w:szCs w:val="18"/>
              </w:rPr>
              <w:t xml:space="preserve">Objeto del Contrato </w:t>
            </w:r>
          </w:p>
        </w:tc>
        <w:tc>
          <w:tcPr>
            <w:tcW w:w="0" w:type="auto"/>
            <w:tcBorders>
              <w:top w:val="nil"/>
              <w:left w:val="nil"/>
              <w:bottom w:val="single" w:sz="8" w:space="0" w:color="B8CCE4"/>
              <w:right w:val="single" w:sz="8" w:space="0" w:color="B8CCE4"/>
            </w:tcBorders>
            <w:shd w:val="clear" w:color="000000" w:fill="4F81BD"/>
            <w:vAlign w:val="center"/>
            <w:hideMark/>
          </w:tcPr>
          <w:p w14:paraId="6170EC79" w14:textId="77777777" w:rsidR="00FC108F" w:rsidRPr="00FC108F" w:rsidRDefault="00FC108F" w:rsidP="00B57B24">
            <w:pPr>
              <w:jc w:val="center"/>
              <w:rPr>
                <w:rFonts w:ascii="Arial" w:hAnsi="Arial" w:cs="Arial"/>
                <w:b/>
                <w:bCs/>
                <w:color w:val="FFFFFF"/>
                <w:sz w:val="18"/>
                <w:szCs w:val="18"/>
              </w:rPr>
            </w:pPr>
            <w:r w:rsidRPr="00FC108F">
              <w:rPr>
                <w:rFonts w:ascii="Arial" w:hAnsi="Arial" w:cs="Arial"/>
                <w:b/>
                <w:bCs/>
                <w:color w:val="FFFFFF" w:themeColor="background1"/>
                <w:sz w:val="18"/>
                <w:szCs w:val="18"/>
              </w:rPr>
              <w:t>Justificación de la Necesidad</w:t>
            </w:r>
          </w:p>
        </w:tc>
      </w:tr>
      <w:tr w:rsidR="00FC108F" w:rsidRPr="00FC108F" w14:paraId="4524AC9B" w14:textId="77777777" w:rsidTr="00FC108F">
        <w:trPr>
          <w:trHeight w:val="3315"/>
        </w:trPr>
        <w:tc>
          <w:tcPr>
            <w:tcW w:w="0" w:type="auto"/>
            <w:tcBorders>
              <w:top w:val="nil"/>
              <w:left w:val="single" w:sz="8" w:space="0" w:color="B8CCE4"/>
              <w:bottom w:val="single" w:sz="8" w:space="0" w:color="B8CCE4"/>
              <w:right w:val="single" w:sz="8" w:space="0" w:color="B8CCE4"/>
            </w:tcBorders>
            <w:shd w:val="clear" w:color="auto" w:fill="auto"/>
            <w:noWrap/>
            <w:textDirection w:val="btLr"/>
            <w:vAlign w:val="center"/>
            <w:hideMark/>
          </w:tcPr>
          <w:p w14:paraId="054B7F7D" w14:textId="77777777" w:rsidR="00FC108F" w:rsidRPr="00FB7EA4" w:rsidRDefault="00FC108F" w:rsidP="00B57B24">
            <w:pPr>
              <w:jc w:val="center"/>
              <w:rPr>
                <w:rFonts w:ascii="Arial" w:hAnsi="Arial" w:cs="Arial"/>
                <w:b/>
                <w:bCs/>
                <w:color w:val="0F243E" w:themeColor="text2" w:themeShade="80"/>
                <w:sz w:val="18"/>
                <w:szCs w:val="18"/>
              </w:rPr>
            </w:pPr>
            <w:r w:rsidRPr="00FB7EA4">
              <w:rPr>
                <w:rFonts w:ascii="Arial" w:hAnsi="Arial" w:cs="Arial"/>
                <w:b/>
                <w:bCs/>
                <w:color w:val="0F243E" w:themeColor="text2" w:themeShade="80"/>
                <w:sz w:val="18"/>
                <w:szCs w:val="18"/>
              </w:rPr>
              <w:t>BIBLIOWEB SAS</w:t>
            </w:r>
          </w:p>
        </w:tc>
        <w:tc>
          <w:tcPr>
            <w:tcW w:w="0" w:type="auto"/>
            <w:tcBorders>
              <w:top w:val="nil"/>
              <w:left w:val="nil"/>
              <w:bottom w:val="single" w:sz="8" w:space="0" w:color="B8CCE4"/>
              <w:right w:val="single" w:sz="8" w:space="0" w:color="B8CCE4"/>
            </w:tcBorders>
            <w:shd w:val="clear" w:color="auto" w:fill="auto"/>
            <w:vAlign w:val="center"/>
            <w:hideMark/>
          </w:tcPr>
          <w:p w14:paraId="3C669196" w14:textId="77777777" w:rsidR="00FC108F" w:rsidRPr="00FB7EA4" w:rsidRDefault="00FC108F" w:rsidP="00B57B24">
            <w:pPr>
              <w:jc w:val="center"/>
              <w:rPr>
                <w:rFonts w:ascii="Arial" w:hAnsi="Arial" w:cs="Arial"/>
                <w:color w:val="0F243E" w:themeColor="text2" w:themeShade="80"/>
                <w:sz w:val="18"/>
                <w:szCs w:val="18"/>
              </w:rPr>
            </w:pPr>
            <w:r w:rsidRPr="00FB7EA4">
              <w:rPr>
                <w:rFonts w:ascii="Arial" w:hAnsi="Arial" w:cs="Arial"/>
                <w:color w:val="0F243E" w:themeColor="text2" w:themeShade="80"/>
                <w:sz w:val="18"/>
                <w:szCs w:val="18"/>
              </w:rPr>
              <w:t>11/09/2019</w:t>
            </w:r>
          </w:p>
        </w:tc>
        <w:tc>
          <w:tcPr>
            <w:tcW w:w="0" w:type="auto"/>
            <w:tcBorders>
              <w:top w:val="nil"/>
              <w:left w:val="nil"/>
              <w:bottom w:val="single" w:sz="8" w:space="0" w:color="B8CCE4"/>
              <w:right w:val="single" w:sz="8" w:space="0" w:color="B8CCE4"/>
            </w:tcBorders>
            <w:shd w:val="clear" w:color="auto" w:fill="auto"/>
            <w:vAlign w:val="center"/>
            <w:hideMark/>
          </w:tcPr>
          <w:p w14:paraId="45EC03A7" w14:textId="77777777" w:rsidR="00FC108F" w:rsidRPr="00FB7EA4" w:rsidRDefault="00FC108F" w:rsidP="00B57B24">
            <w:pPr>
              <w:jc w:val="center"/>
              <w:rPr>
                <w:rFonts w:ascii="Arial" w:hAnsi="Arial" w:cs="Arial"/>
                <w:color w:val="0F243E" w:themeColor="text2" w:themeShade="80"/>
                <w:sz w:val="18"/>
                <w:szCs w:val="18"/>
              </w:rPr>
            </w:pPr>
            <w:r w:rsidRPr="00FB7EA4">
              <w:rPr>
                <w:rFonts w:ascii="Arial" w:hAnsi="Arial" w:cs="Arial"/>
                <w:color w:val="0F243E" w:themeColor="text2" w:themeShade="80"/>
                <w:sz w:val="18"/>
                <w:szCs w:val="18"/>
              </w:rPr>
              <w:t>29.834.000</w:t>
            </w:r>
          </w:p>
        </w:tc>
        <w:tc>
          <w:tcPr>
            <w:tcW w:w="1125" w:type="dxa"/>
            <w:tcBorders>
              <w:top w:val="nil"/>
              <w:left w:val="nil"/>
              <w:bottom w:val="single" w:sz="8" w:space="0" w:color="B8CCE4"/>
              <w:right w:val="single" w:sz="8" w:space="0" w:color="B8CCE4"/>
            </w:tcBorders>
            <w:shd w:val="clear" w:color="auto" w:fill="auto"/>
            <w:vAlign w:val="center"/>
            <w:hideMark/>
          </w:tcPr>
          <w:p w14:paraId="0A55078C" w14:textId="77777777" w:rsidR="00FC108F" w:rsidRPr="00FB7EA4" w:rsidRDefault="00FC108F" w:rsidP="00B57B24">
            <w:pPr>
              <w:jc w:val="center"/>
              <w:rPr>
                <w:rFonts w:ascii="Arial" w:hAnsi="Arial" w:cs="Arial"/>
                <w:color w:val="0F243E" w:themeColor="text2" w:themeShade="80"/>
                <w:sz w:val="18"/>
                <w:szCs w:val="18"/>
              </w:rPr>
            </w:pPr>
            <w:r w:rsidRPr="00FB7EA4">
              <w:rPr>
                <w:rFonts w:ascii="Arial" w:hAnsi="Arial" w:cs="Arial"/>
                <w:color w:val="0F243E" w:themeColor="text2" w:themeShade="80"/>
                <w:sz w:val="18"/>
                <w:szCs w:val="18"/>
              </w:rPr>
              <w:t>3.303-2019</w:t>
            </w:r>
          </w:p>
        </w:tc>
        <w:tc>
          <w:tcPr>
            <w:tcW w:w="1758" w:type="dxa"/>
            <w:tcBorders>
              <w:top w:val="nil"/>
              <w:left w:val="nil"/>
              <w:bottom w:val="single" w:sz="8" w:space="0" w:color="B8CCE4"/>
              <w:right w:val="single" w:sz="8" w:space="0" w:color="B8CCE4"/>
            </w:tcBorders>
            <w:shd w:val="clear" w:color="auto" w:fill="auto"/>
            <w:vAlign w:val="center"/>
            <w:hideMark/>
          </w:tcPr>
          <w:p w14:paraId="7B0F2C38" w14:textId="6057DDAC" w:rsidR="00FC108F" w:rsidRPr="00FB7EA4" w:rsidRDefault="00FC108F" w:rsidP="00B57B24">
            <w:pPr>
              <w:jc w:val="both"/>
              <w:rPr>
                <w:rFonts w:ascii="Arial" w:hAnsi="Arial" w:cs="Arial"/>
                <w:color w:val="0F243E" w:themeColor="text2" w:themeShade="80"/>
                <w:sz w:val="18"/>
                <w:szCs w:val="18"/>
              </w:rPr>
            </w:pPr>
            <w:r w:rsidRPr="00FB7EA4">
              <w:rPr>
                <w:rFonts w:ascii="Arial" w:hAnsi="Arial" w:cs="Arial"/>
                <w:color w:val="0F243E" w:themeColor="text2" w:themeShade="80"/>
                <w:sz w:val="18"/>
                <w:szCs w:val="18"/>
              </w:rPr>
              <w:t xml:space="preserve">Adquisición de una suscripción de software en la nube de Internet y su soporte, para la gestión del catálogo de biblioteca del Ministerio de Hacienda y Crédito Público. </w:t>
            </w:r>
          </w:p>
        </w:tc>
        <w:tc>
          <w:tcPr>
            <w:tcW w:w="0" w:type="auto"/>
            <w:tcBorders>
              <w:top w:val="nil"/>
              <w:left w:val="nil"/>
              <w:bottom w:val="single" w:sz="8" w:space="0" w:color="B8CCE4"/>
              <w:right w:val="single" w:sz="8" w:space="0" w:color="B8CCE4"/>
            </w:tcBorders>
            <w:shd w:val="clear" w:color="auto" w:fill="auto"/>
            <w:vAlign w:val="center"/>
            <w:hideMark/>
          </w:tcPr>
          <w:p w14:paraId="1020608D" w14:textId="77777777" w:rsidR="00FC108F" w:rsidRPr="00FB7EA4" w:rsidRDefault="00FC108F" w:rsidP="00B57B24">
            <w:pPr>
              <w:jc w:val="both"/>
              <w:rPr>
                <w:rFonts w:ascii="Arial" w:hAnsi="Arial" w:cs="Arial"/>
                <w:color w:val="0F243E" w:themeColor="text2" w:themeShade="80"/>
                <w:sz w:val="18"/>
                <w:szCs w:val="18"/>
              </w:rPr>
            </w:pPr>
            <w:r w:rsidRPr="00FB7EA4">
              <w:rPr>
                <w:rFonts w:ascii="Arial" w:hAnsi="Arial" w:cs="Arial"/>
                <w:color w:val="0F243E" w:themeColor="text2" w:themeShade="80"/>
                <w:sz w:val="18"/>
                <w:szCs w:val="18"/>
              </w:rPr>
              <w:t xml:space="preserve">Según el análisis de los estudios previos se determinó que el MHCP no contaba con una herramienta informática que le facilite las actividades de gestión del catálogo y las colecciones de la biblioteca de la entidad, por lo tanto, fue necesario contratar una suscripción a un software que permita la administración, el mantenimiento, préstamo de catálogos, adquisición de nuevos ejemplares, la contabilización de los catálogos, la migración y la implementación todo relacionado con el catálogo de la Biblioteca, lo anterior, con el fin de apoyar las actividades administrativas que redundan en el cumplimiento de los objetivos y funciones del área de Gestión de Información. </w:t>
            </w:r>
          </w:p>
        </w:tc>
      </w:tr>
    </w:tbl>
    <w:p w14:paraId="3A72DDAC" w14:textId="0886300E" w:rsidR="00FC108F" w:rsidRDefault="00FC108F" w:rsidP="00F22358">
      <w:pPr>
        <w:jc w:val="both"/>
        <w:rPr>
          <w:rFonts w:ascii="Arial" w:hAnsi="Arial" w:cs="Arial"/>
          <w:color w:val="000000"/>
          <w:sz w:val="22"/>
          <w:szCs w:val="22"/>
          <w:highlight w:val="yellow"/>
        </w:rPr>
      </w:pPr>
    </w:p>
    <w:p w14:paraId="4FF0E205" w14:textId="45DFF766" w:rsidR="00C51803" w:rsidRDefault="00C51803" w:rsidP="00F22358">
      <w:pPr>
        <w:jc w:val="both"/>
        <w:rPr>
          <w:rFonts w:ascii="Arial" w:hAnsi="Arial" w:cs="Arial"/>
          <w:color w:val="000000"/>
          <w:sz w:val="22"/>
          <w:szCs w:val="22"/>
        </w:rPr>
      </w:pPr>
      <w:r w:rsidRPr="000875A2">
        <w:rPr>
          <w:rFonts w:ascii="Arial" w:hAnsi="Arial" w:cs="Arial"/>
          <w:color w:val="000000"/>
          <w:sz w:val="22"/>
          <w:szCs w:val="22"/>
        </w:rPr>
        <w:t xml:space="preserve">Frente a lo anterior, se concluye </w:t>
      </w:r>
      <w:r w:rsidR="00A50856" w:rsidRPr="000875A2">
        <w:rPr>
          <w:rFonts w:ascii="Arial" w:hAnsi="Arial" w:cs="Arial"/>
          <w:color w:val="000000"/>
          <w:sz w:val="22"/>
          <w:szCs w:val="22"/>
        </w:rPr>
        <w:t>que,</w:t>
      </w:r>
      <w:r w:rsidRPr="000875A2">
        <w:rPr>
          <w:rFonts w:ascii="Arial" w:hAnsi="Arial" w:cs="Arial"/>
          <w:color w:val="000000"/>
          <w:sz w:val="22"/>
          <w:szCs w:val="22"/>
        </w:rPr>
        <w:t xml:space="preserve"> debido a la necesidad del servicio </w:t>
      </w:r>
      <w:r w:rsidR="00F22358" w:rsidRPr="000875A2">
        <w:rPr>
          <w:rFonts w:ascii="Arial" w:hAnsi="Arial" w:cs="Arial"/>
          <w:color w:val="000000"/>
          <w:sz w:val="22"/>
          <w:szCs w:val="22"/>
        </w:rPr>
        <w:t>en aras de cumplir con la</w:t>
      </w:r>
      <w:r w:rsidR="000875A2">
        <w:rPr>
          <w:rFonts w:ascii="Arial" w:hAnsi="Arial" w:cs="Arial"/>
          <w:color w:val="000000"/>
          <w:sz w:val="22"/>
          <w:szCs w:val="22"/>
        </w:rPr>
        <w:t xml:space="preserve">s gestiones y funciones derivadas de la administración de la Biblioteca Pública </w:t>
      </w:r>
      <w:r w:rsidR="000875A2" w:rsidRPr="000875A2">
        <w:rPr>
          <w:rFonts w:ascii="Arial" w:hAnsi="Arial" w:cs="Arial"/>
          <w:color w:val="000000"/>
          <w:sz w:val="22"/>
          <w:szCs w:val="22"/>
        </w:rPr>
        <w:t>José María del Castillo y Rada</w:t>
      </w:r>
      <w:r w:rsidR="000875A2">
        <w:rPr>
          <w:rFonts w:ascii="Arial" w:hAnsi="Arial" w:cs="Arial"/>
          <w:color w:val="000000"/>
          <w:sz w:val="22"/>
          <w:szCs w:val="22"/>
        </w:rPr>
        <w:t xml:space="preserve"> a cargo de </w:t>
      </w:r>
      <w:r w:rsidRPr="000875A2">
        <w:rPr>
          <w:rFonts w:ascii="Arial" w:hAnsi="Arial" w:cs="Arial"/>
          <w:color w:val="000000"/>
          <w:sz w:val="22"/>
          <w:szCs w:val="22"/>
        </w:rPr>
        <w:t>este Ministerio</w:t>
      </w:r>
      <w:r w:rsidR="00F22358" w:rsidRPr="000875A2">
        <w:rPr>
          <w:rFonts w:ascii="Arial" w:hAnsi="Arial" w:cs="Arial"/>
          <w:color w:val="000000"/>
          <w:sz w:val="22"/>
          <w:szCs w:val="22"/>
        </w:rPr>
        <w:t>,</w:t>
      </w:r>
      <w:r w:rsidRPr="000875A2">
        <w:rPr>
          <w:rFonts w:ascii="Arial" w:hAnsi="Arial" w:cs="Arial"/>
          <w:color w:val="000000"/>
          <w:sz w:val="22"/>
          <w:szCs w:val="22"/>
        </w:rPr>
        <w:t xml:space="preserve"> </w:t>
      </w:r>
      <w:r w:rsidR="000875A2">
        <w:rPr>
          <w:rFonts w:ascii="Arial" w:hAnsi="Arial" w:cs="Arial"/>
          <w:color w:val="000000"/>
          <w:sz w:val="22"/>
          <w:szCs w:val="22"/>
        </w:rPr>
        <w:t>se celebró la</w:t>
      </w:r>
      <w:r w:rsidR="00F22358" w:rsidRPr="000875A2">
        <w:rPr>
          <w:rFonts w:ascii="Arial" w:hAnsi="Arial" w:cs="Arial"/>
          <w:color w:val="000000"/>
          <w:sz w:val="22"/>
          <w:szCs w:val="22"/>
        </w:rPr>
        <w:t xml:space="preserve"> con</w:t>
      </w:r>
      <w:r w:rsidR="000875A2">
        <w:rPr>
          <w:rFonts w:ascii="Arial" w:hAnsi="Arial" w:cs="Arial"/>
          <w:color w:val="000000"/>
          <w:sz w:val="22"/>
          <w:szCs w:val="22"/>
        </w:rPr>
        <w:t>tratación</w:t>
      </w:r>
      <w:r w:rsidR="00F22358" w:rsidRPr="000875A2">
        <w:rPr>
          <w:rFonts w:ascii="Arial" w:hAnsi="Arial" w:cs="Arial"/>
          <w:color w:val="000000"/>
          <w:sz w:val="22"/>
          <w:szCs w:val="22"/>
        </w:rPr>
        <w:t xml:space="preserve"> de </w:t>
      </w:r>
      <w:r w:rsidR="00CE7BE9" w:rsidRPr="000875A2">
        <w:rPr>
          <w:rFonts w:ascii="Arial" w:hAnsi="Arial" w:cs="Arial"/>
          <w:color w:val="000000"/>
          <w:sz w:val="22"/>
          <w:szCs w:val="22"/>
        </w:rPr>
        <w:t>la</w:t>
      </w:r>
      <w:r w:rsidR="00CE7BE9">
        <w:rPr>
          <w:rFonts w:ascii="Arial" w:hAnsi="Arial" w:cs="Arial"/>
          <w:color w:val="000000"/>
          <w:sz w:val="22"/>
          <w:szCs w:val="22"/>
        </w:rPr>
        <w:t xml:space="preserve"> </w:t>
      </w:r>
      <w:r w:rsidR="00CE7BE9" w:rsidRPr="000875A2">
        <w:rPr>
          <w:rFonts w:ascii="Arial" w:hAnsi="Arial" w:cs="Arial"/>
          <w:color w:val="000000"/>
          <w:sz w:val="22"/>
          <w:szCs w:val="22"/>
        </w:rPr>
        <w:t>suscripción antes relacionada</w:t>
      </w:r>
      <w:r w:rsidR="00F22358" w:rsidRPr="000875A2">
        <w:rPr>
          <w:rFonts w:ascii="Arial" w:hAnsi="Arial" w:cs="Arial"/>
          <w:color w:val="000000"/>
          <w:sz w:val="22"/>
          <w:szCs w:val="22"/>
        </w:rPr>
        <w:t xml:space="preserve">, </w:t>
      </w:r>
      <w:r w:rsidRPr="000875A2">
        <w:rPr>
          <w:rFonts w:ascii="Arial" w:hAnsi="Arial" w:cs="Arial"/>
          <w:color w:val="000000"/>
          <w:sz w:val="22"/>
          <w:szCs w:val="22"/>
        </w:rPr>
        <w:t>acorde con los lineamientos dados en la Directiva 09 de 2018.</w:t>
      </w:r>
    </w:p>
    <w:p w14:paraId="671BBBBF" w14:textId="4B6D4B6A" w:rsidR="00C51803" w:rsidRDefault="00C51803" w:rsidP="00F22358">
      <w:pPr>
        <w:jc w:val="both"/>
        <w:rPr>
          <w:rFonts w:ascii="Arial" w:hAnsi="Arial" w:cs="Arial"/>
          <w:color w:val="000000"/>
          <w:sz w:val="22"/>
          <w:szCs w:val="22"/>
          <w:highlight w:val="yellow"/>
        </w:rPr>
      </w:pPr>
    </w:p>
    <w:p w14:paraId="3AF310A1" w14:textId="77777777" w:rsidR="000A5E6A" w:rsidRDefault="000A5E6A" w:rsidP="00F22358">
      <w:pPr>
        <w:jc w:val="both"/>
        <w:rPr>
          <w:rFonts w:ascii="Arial" w:hAnsi="Arial" w:cs="Arial"/>
          <w:color w:val="000000"/>
          <w:sz w:val="22"/>
          <w:szCs w:val="22"/>
          <w:highlight w:val="yellow"/>
        </w:rPr>
      </w:pPr>
    </w:p>
    <w:p w14:paraId="16444FF9" w14:textId="498AEAD2" w:rsidR="006F5242" w:rsidRPr="00C47E49" w:rsidRDefault="006F5242" w:rsidP="00C47E49">
      <w:pPr>
        <w:pStyle w:val="Prrafodelista"/>
        <w:numPr>
          <w:ilvl w:val="0"/>
          <w:numId w:val="25"/>
        </w:numPr>
        <w:spacing w:after="200" w:line="276" w:lineRule="auto"/>
        <w:rPr>
          <w:rFonts w:ascii="Arial" w:hAnsi="Arial" w:cs="Arial"/>
          <w:color w:val="000000"/>
          <w:sz w:val="22"/>
          <w:szCs w:val="22"/>
        </w:rPr>
      </w:pPr>
      <w:r w:rsidRPr="00C47E49">
        <w:rPr>
          <w:rFonts w:ascii="Arial" w:hAnsi="Arial" w:cs="Arial"/>
          <w:b/>
          <w:color w:val="000000"/>
          <w:sz w:val="22"/>
          <w:szCs w:val="22"/>
        </w:rPr>
        <w:t xml:space="preserve">SOSTENIBLIDAD AMBIENTAL </w:t>
      </w:r>
    </w:p>
    <w:p w14:paraId="55BCD3C7" w14:textId="77777777" w:rsidR="006F5242" w:rsidRPr="00A960AB" w:rsidRDefault="006F5242" w:rsidP="00A90B93">
      <w:pPr>
        <w:pStyle w:val="Prrafodelista"/>
        <w:ind w:left="360"/>
        <w:contextualSpacing w:val="0"/>
        <w:rPr>
          <w:rFonts w:ascii="Arial" w:hAnsi="Arial" w:cs="Arial"/>
          <w:b/>
          <w:color w:val="000000"/>
          <w:sz w:val="22"/>
          <w:szCs w:val="22"/>
        </w:rPr>
      </w:pPr>
    </w:p>
    <w:p w14:paraId="62892455" w14:textId="51ADF2AD" w:rsidR="003C6A37" w:rsidRPr="00A960AB" w:rsidRDefault="008B116A" w:rsidP="00023DBB">
      <w:pPr>
        <w:pStyle w:val="Prrafodelista"/>
        <w:ind w:left="0"/>
        <w:contextualSpacing w:val="0"/>
        <w:rPr>
          <w:rFonts w:ascii="Arial" w:hAnsi="Arial" w:cs="Arial"/>
          <w:color w:val="000000"/>
          <w:sz w:val="22"/>
          <w:szCs w:val="22"/>
        </w:rPr>
      </w:pPr>
      <w:r w:rsidRPr="00A960AB">
        <w:rPr>
          <w:rFonts w:ascii="Arial" w:hAnsi="Arial" w:cs="Arial"/>
          <w:color w:val="000000"/>
          <w:sz w:val="22"/>
          <w:szCs w:val="22"/>
        </w:rPr>
        <w:t>D</w:t>
      </w:r>
      <w:r w:rsidR="00023DBB" w:rsidRPr="00A960AB">
        <w:rPr>
          <w:rFonts w:ascii="Arial" w:hAnsi="Arial" w:cs="Arial"/>
          <w:color w:val="000000"/>
          <w:sz w:val="22"/>
          <w:szCs w:val="22"/>
        </w:rPr>
        <w:t xml:space="preserve">e acuerdo </w:t>
      </w:r>
      <w:r w:rsidR="004F2916">
        <w:rPr>
          <w:rFonts w:ascii="Arial" w:hAnsi="Arial" w:cs="Arial"/>
          <w:color w:val="000000"/>
          <w:sz w:val="22"/>
          <w:szCs w:val="22"/>
        </w:rPr>
        <w:t xml:space="preserve">con </w:t>
      </w:r>
      <w:r w:rsidRPr="00A960AB">
        <w:rPr>
          <w:rFonts w:ascii="Arial" w:hAnsi="Arial" w:cs="Arial"/>
          <w:color w:val="000000"/>
          <w:sz w:val="22"/>
          <w:szCs w:val="22"/>
        </w:rPr>
        <w:t>lo señalado</w:t>
      </w:r>
      <w:r w:rsidR="00023DBB" w:rsidRPr="00A960AB">
        <w:rPr>
          <w:rFonts w:ascii="Arial" w:hAnsi="Arial" w:cs="Arial"/>
          <w:color w:val="000000"/>
          <w:sz w:val="22"/>
          <w:szCs w:val="22"/>
        </w:rPr>
        <w:t xml:space="preserve"> en el numeral 9 de </w:t>
      </w:r>
      <w:r w:rsidRPr="00A960AB">
        <w:rPr>
          <w:rFonts w:ascii="Arial" w:hAnsi="Arial" w:cs="Arial"/>
          <w:color w:val="000000"/>
          <w:sz w:val="22"/>
          <w:szCs w:val="22"/>
        </w:rPr>
        <w:t xml:space="preserve">la Directiva Presidencial 09 de 2018, las entidades en el marco de la austeridad del gasto deberán </w:t>
      </w:r>
      <w:r w:rsidR="00023DBB" w:rsidRPr="00A960AB">
        <w:rPr>
          <w:rFonts w:ascii="Arial" w:hAnsi="Arial" w:cs="Arial"/>
          <w:color w:val="000000"/>
          <w:sz w:val="22"/>
          <w:szCs w:val="22"/>
        </w:rPr>
        <w:t xml:space="preserve">desarrollar actividades que estén encaminadas a un ahorro en el servicio de energía y el servicio de acueducto, así como, medidas que fomenten </w:t>
      </w:r>
      <w:r w:rsidR="00394BA5" w:rsidRPr="00A960AB">
        <w:rPr>
          <w:rFonts w:ascii="Arial" w:hAnsi="Arial" w:cs="Arial"/>
          <w:color w:val="000000"/>
          <w:sz w:val="22"/>
          <w:szCs w:val="22"/>
        </w:rPr>
        <w:t xml:space="preserve">el uso de medios de transportes </w:t>
      </w:r>
      <w:r w:rsidR="00023DBB" w:rsidRPr="00A960AB">
        <w:rPr>
          <w:rFonts w:ascii="Arial" w:hAnsi="Arial" w:cs="Arial"/>
          <w:color w:val="000000"/>
          <w:sz w:val="22"/>
          <w:szCs w:val="22"/>
        </w:rPr>
        <w:t>ambientalmente sostenibles</w:t>
      </w:r>
      <w:r w:rsidR="00394BA5" w:rsidRPr="00A960AB">
        <w:rPr>
          <w:rFonts w:ascii="Arial" w:hAnsi="Arial" w:cs="Arial"/>
          <w:color w:val="000000"/>
          <w:sz w:val="22"/>
          <w:szCs w:val="22"/>
        </w:rPr>
        <w:t xml:space="preserve">. </w:t>
      </w:r>
      <w:r w:rsidR="003C6A37" w:rsidRPr="00A960AB">
        <w:rPr>
          <w:rFonts w:ascii="Arial" w:hAnsi="Arial" w:cs="Arial"/>
          <w:color w:val="000000"/>
          <w:sz w:val="22"/>
          <w:szCs w:val="22"/>
        </w:rPr>
        <w:t xml:space="preserve">Por lo anterior, se solicitó a la Subdirección de Servicios informar las acciones efectuadas durante el </w:t>
      </w:r>
      <w:r w:rsidR="00DE7E8C">
        <w:rPr>
          <w:rFonts w:ascii="Arial" w:hAnsi="Arial" w:cs="Arial"/>
          <w:color w:val="000000"/>
          <w:sz w:val="22"/>
          <w:szCs w:val="22"/>
        </w:rPr>
        <w:t xml:space="preserve">tercer </w:t>
      </w:r>
      <w:r w:rsidR="003C6A37" w:rsidRPr="00A960AB">
        <w:rPr>
          <w:rFonts w:ascii="Arial" w:hAnsi="Arial" w:cs="Arial"/>
          <w:color w:val="000000"/>
          <w:sz w:val="22"/>
          <w:szCs w:val="22"/>
        </w:rPr>
        <w:t xml:space="preserve">trimestre de 2019, Al respecto la Subdirección en mención reportó lo siguiente: </w:t>
      </w:r>
    </w:p>
    <w:p w14:paraId="4243B5F5" w14:textId="26EE85EB" w:rsidR="00C77DDE" w:rsidRDefault="00C77DDE" w:rsidP="00023DBB">
      <w:pPr>
        <w:pStyle w:val="Prrafodelista"/>
        <w:ind w:left="0"/>
        <w:contextualSpacing w:val="0"/>
        <w:rPr>
          <w:rFonts w:ascii="Arial" w:hAnsi="Arial" w:cs="Arial"/>
          <w:color w:val="000000"/>
          <w:sz w:val="22"/>
          <w:szCs w:val="22"/>
        </w:rPr>
      </w:pPr>
    </w:p>
    <w:p w14:paraId="3AA8531E" w14:textId="77777777" w:rsidR="003C6A37" w:rsidRPr="00A960AB" w:rsidRDefault="003C6A37" w:rsidP="00AC40A8">
      <w:pPr>
        <w:pStyle w:val="Prrafodelista"/>
        <w:spacing w:line="168" w:lineRule="auto"/>
        <w:ind w:left="0"/>
        <w:contextualSpacing w:val="0"/>
        <w:rPr>
          <w:rFonts w:ascii="Arial" w:hAnsi="Arial" w:cs="Arial"/>
          <w:color w:val="000000"/>
          <w:sz w:val="22"/>
          <w:szCs w:val="22"/>
        </w:rPr>
      </w:pPr>
    </w:p>
    <w:tbl>
      <w:tblPr>
        <w:tblStyle w:val="Tabladecuadrcula1clara-nfasis1"/>
        <w:tblW w:w="0" w:type="auto"/>
        <w:tblLayout w:type="fixed"/>
        <w:tblLook w:val="04A0" w:firstRow="1" w:lastRow="0" w:firstColumn="1" w:lastColumn="0" w:noHBand="0" w:noVBand="1"/>
      </w:tblPr>
      <w:tblGrid>
        <w:gridCol w:w="1129"/>
        <w:gridCol w:w="2127"/>
        <w:gridCol w:w="6422"/>
      </w:tblGrid>
      <w:tr w:rsidR="00100327" w:rsidRPr="00FB7EA4" w14:paraId="145B5551" w14:textId="77777777" w:rsidTr="00D509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F81BD" w:themeFill="accent1"/>
            <w:vAlign w:val="center"/>
            <w:hideMark/>
          </w:tcPr>
          <w:p w14:paraId="66897AF1" w14:textId="77777777" w:rsidR="00100327" w:rsidRPr="00FB7EA4" w:rsidRDefault="00100327" w:rsidP="00682850">
            <w:pPr>
              <w:spacing w:before="60" w:after="80"/>
              <w:jc w:val="center"/>
              <w:rPr>
                <w:rFonts w:ascii="Arial" w:hAnsi="Arial" w:cs="Arial"/>
                <w:color w:val="FFFFFF" w:themeColor="background1"/>
                <w:sz w:val="22"/>
                <w:szCs w:val="22"/>
              </w:rPr>
            </w:pPr>
            <w:r w:rsidRPr="00FB7EA4">
              <w:rPr>
                <w:rFonts w:ascii="Arial" w:hAnsi="Arial" w:cs="Arial"/>
                <w:color w:val="FFFFFF" w:themeColor="background1"/>
                <w:sz w:val="22"/>
                <w:szCs w:val="22"/>
              </w:rPr>
              <w:t xml:space="preserve">Numeral </w:t>
            </w:r>
          </w:p>
        </w:tc>
        <w:tc>
          <w:tcPr>
            <w:tcW w:w="2127" w:type="dxa"/>
            <w:shd w:val="clear" w:color="auto" w:fill="4F81BD" w:themeFill="accent1"/>
            <w:vAlign w:val="center"/>
            <w:hideMark/>
          </w:tcPr>
          <w:p w14:paraId="433E4F9C" w14:textId="77777777" w:rsidR="00100327" w:rsidRPr="00FB7EA4" w:rsidRDefault="00100327" w:rsidP="00682850">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FB7EA4">
              <w:rPr>
                <w:rFonts w:ascii="Arial" w:hAnsi="Arial" w:cs="Arial"/>
                <w:color w:val="FFFFFF" w:themeColor="background1"/>
                <w:sz w:val="22"/>
                <w:szCs w:val="22"/>
              </w:rPr>
              <w:t xml:space="preserve">Sostenibilidad Ambiental </w:t>
            </w:r>
          </w:p>
        </w:tc>
        <w:tc>
          <w:tcPr>
            <w:tcW w:w="6422" w:type="dxa"/>
            <w:shd w:val="clear" w:color="auto" w:fill="4F81BD" w:themeFill="accent1"/>
            <w:vAlign w:val="center"/>
            <w:hideMark/>
          </w:tcPr>
          <w:p w14:paraId="4880E844" w14:textId="77777777" w:rsidR="00100327" w:rsidRPr="00FB7EA4" w:rsidRDefault="00100327" w:rsidP="00682850">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FB7EA4">
              <w:rPr>
                <w:rFonts w:ascii="Arial" w:hAnsi="Arial" w:cs="Arial"/>
                <w:color w:val="FFFFFF" w:themeColor="background1"/>
                <w:sz w:val="22"/>
                <w:szCs w:val="22"/>
              </w:rPr>
              <w:t>Acciones Desarrolladas</w:t>
            </w:r>
          </w:p>
        </w:tc>
      </w:tr>
      <w:tr w:rsidR="00100327" w:rsidRPr="00FB7EA4" w14:paraId="1137BFE9" w14:textId="77777777" w:rsidTr="00AA0B78">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0EE4CB63" w14:textId="77777777" w:rsidR="00100327" w:rsidRPr="00FB7EA4" w:rsidRDefault="00100327" w:rsidP="00682850">
            <w:pPr>
              <w:spacing w:before="60" w:after="8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9.1</w:t>
            </w:r>
          </w:p>
        </w:tc>
        <w:tc>
          <w:tcPr>
            <w:tcW w:w="2127" w:type="dxa"/>
            <w:vAlign w:val="center"/>
            <w:hideMark/>
          </w:tcPr>
          <w:p w14:paraId="7A5B48F6" w14:textId="77777777" w:rsidR="00100327" w:rsidRPr="00FB7EA4"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Implementar sistemas de reciclaje de aguas y consumo mínimo de agua e instalaciones.</w:t>
            </w:r>
          </w:p>
        </w:tc>
        <w:tc>
          <w:tcPr>
            <w:tcW w:w="6422" w:type="dxa"/>
            <w:noWrap/>
            <w:vAlign w:val="center"/>
          </w:tcPr>
          <w:p w14:paraId="6D2B3947" w14:textId="77777777" w:rsidR="006B0084" w:rsidRPr="00FB7EA4" w:rsidRDefault="00AA0B78"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El Ministerio de Hacienda, en su sede Casas de Santa Bárbara cuenta con una planta potabilizadora de aguas lluvias.  Siendo este un sistema de reciclaje de aguas</w:t>
            </w:r>
            <w:r w:rsidR="00FC48A4" w:rsidRPr="00FB7EA4">
              <w:rPr>
                <w:rFonts w:ascii="Arial" w:hAnsi="Arial" w:cs="Arial"/>
                <w:color w:val="0F243E" w:themeColor="text2" w:themeShade="80"/>
                <w:sz w:val="20"/>
                <w:szCs w:val="20"/>
              </w:rPr>
              <w:t>. D</w:t>
            </w:r>
            <w:r w:rsidRPr="00FB7EA4">
              <w:rPr>
                <w:rFonts w:ascii="Arial" w:hAnsi="Arial" w:cs="Arial"/>
                <w:color w:val="0F243E" w:themeColor="text2" w:themeShade="80"/>
                <w:sz w:val="20"/>
                <w:szCs w:val="20"/>
              </w:rPr>
              <w:t>urante el tercer trimestre de la presente vigencia se logró reciclar un aproximado de 32 m3 con una frecuencia de operación de una vez por semana, esta fue empleada para la descarga de baños de la sede y riego de jardines interiores.</w:t>
            </w:r>
          </w:p>
          <w:p w14:paraId="1AB58643" w14:textId="77777777" w:rsidR="006B0084" w:rsidRPr="00FB7EA4" w:rsidRDefault="006B0084"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1B0B07D2" w14:textId="2E415062" w:rsidR="00100327" w:rsidRPr="00FB7EA4" w:rsidRDefault="00B35C94"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Adicionalmente se han realizado los mantenimientos preventivos y correctivos a los sistemas de captación, distribución y suministro de agua de ambas sedes con el fin de minimizar el desperdicio del recurso por fisuras o rompimientos, es de aclarar que en promedio por mes se atienden 60 casos.</w:t>
            </w:r>
          </w:p>
        </w:tc>
      </w:tr>
      <w:tr w:rsidR="00100327" w:rsidRPr="00FB7EA4" w14:paraId="26B39907" w14:textId="77777777" w:rsidTr="00AA0B78">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61BFB0B" w14:textId="77777777" w:rsidR="00100327" w:rsidRPr="00FB7EA4" w:rsidRDefault="00100327" w:rsidP="00682850">
            <w:pPr>
              <w:spacing w:before="60" w:after="8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lastRenderedPageBreak/>
              <w:t>9.2</w:t>
            </w:r>
          </w:p>
        </w:tc>
        <w:tc>
          <w:tcPr>
            <w:tcW w:w="2127" w:type="dxa"/>
            <w:vAlign w:val="center"/>
            <w:hideMark/>
          </w:tcPr>
          <w:p w14:paraId="6A7AB43A" w14:textId="77777777" w:rsidR="00100327" w:rsidRPr="00FB7EA4"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Fomentar la cultura de ahorro de agua y energía, a través del establecimiento de programas pedagógicos.</w:t>
            </w:r>
          </w:p>
        </w:tc>
        <w:tc>
          <w:tcPr>
            <w:tcW w:w="6422" w:type="dxa"/>
            <w:noWrap/>
            <w:vAlign w:val="center"/>
          </w:tcPr>
          <w:p w14:paraId="7BD4BA14" w14:textId="09B51693" w:rsidR="00100327" w:rsidRPr="00FB7EA4" w:rsidRDefault="00B35C94" w:rsidP="006B0084">
            <w:pPr>
              <w:spacing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Para el tercer trimestre del presente año, se realizaron 4 publicaciones con temas encaminados a la sensibilización en ahorro y uso eficiente de agua y energía. Las cuales, tiene temas generales sobre la preservación y cuidado ambiental, por ende, emite mensajes sobre el cuidado de recursos naturales.</w:t>
            </w:r>
          </w:p>
          <w:p w14:paraId="032FACBE" w14:textId="77777777" w:rsidR="006B0084" w:rsidRPr="00FB7EA4" w:rsidRDefault="006B0084" w:rsidP="006B0084">
            <w:pPr>
              <w:spacing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1B091710" w14:textId="5702B65C" w:rsidR="00B35C94" w:rsidRPr="00FB7EA4" w:rsidRDefault="00B35C94" w:rsidP="006B0084">
            <w:pPr>
              <w:spacing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De igual forma, se realizó </w:t>
            </w:r>
            <w:r w:rsidR="00A82CB6" w:rsidRPr="00FB7EA4">
              <w:rPr>
                <w:rFonts w:ascii="Arial" w:hAnsi="Arial" w:cs="Arial"/>
                <w:color w:val="0F243E" w:themeColor="text2" w:themeShade="80"/>
                <w:sz w:val="20"/>
                <w:szCs w:val="20"/>
              </w:rPr>
              <w:t>el seguimiento</w:t>
            </w:r>
            <w:r w:rsidRPr="00FB7EA4">
              <w:rPr>
                <w:rFonts w:ascii="Arial" w:hAnsi="Arial" w:cs="Arial"/>
                <w:color w:val="0F243E" w:themeColor="text2" w:themeShade="80"/>
                <w:sz w:val="20"/>
                <w:szCs w:val="20"/>
              </w:rPr>
              <w:t xml:space="preserve"> a las acciones de mejora ambientales implementadas entre el grupo de gestión ambiental y la Oficina Asesora de Planeación, en donde se vinculó la participación de cada proceso en el ahorro y uso eficiente del recurso mediante sensibilizaciones o acciones internas propuesta por cada proceso.</w:t>
            </w:r>
          </w:p>
          <w:p w14:paraId="1E1AD040" w14:textId="77777777" w:rsidR="006B0084" w:rsidRPr="00FB7EA4" w:rsidRDefault="006B0084" w:rsidP="006B0084">
            <w:pPr>
              <w:spacing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0061101B" w14:textId="67BCF625" w:rsidR="00A82CB6" w:rsidRPr="00FB7EA4" w:rsidRDefault="00A82CB6"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Entre las acciones incorporadas a la mejora, tenemos autorecarga de agua por parte de los funcionarios y contratistas del Ministerio, manejo de multas por dejar agua sin consumir, incorporación de botellones de agua en puntos para recargas puntuales. Todas estas acciones con el fin de minimizar el desperdicio de agua por la ejecución de las actividades diarias del Ministerio. </w:t>
            </w:r>
          </w:p>
        </w:tc>
      </w:tr>
      <w:tr w:rsidR="00100327" w:rsidRPr="00FB7EA4" w14:paraId="6FAF7145" w14:textId="77777777" w:rsidTr="00AA0B78">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53026461" w14:textId="77777777" w:rsidR="00100327" w:rsidRPr="00FB7EA4" w:rsidRDefault="00100327" w:rsidP="00682850">
            <w:pPr>
              <w:spacing w:before="60" w:after="8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9.3</w:t>
            </w:r>
          </w:p>
        </w:tc>
        <w:tc>
          <w:tcPr>
            <w:tcW w:w="2127" w:type="dxa"/>
            <w:vAlign w:val="center"/>
            <w:hideMark/>
          </w:tcPr>
          <w:p w14:paraId="1DD1C65D" w14:textId="77777777" w:rsidR="00100327" w:rsidRPr="00FB7EA4"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Instalar, en cuanto sea posible sistemas de ahorro de energía, temporizadores y demás tecnologías que ayuden al ahorro de recursos.</w:t>
            </w:r>
          </w:p>
        </w:tc>
        <w:tc>
          <w:tcPr>
            <w:tcW w:w="6422" w:type="dxa"/>
            <w:noWrap/>
            <w:vAlign w:val="center"/>
          </w:tcPr>
          <w:p w14:paraId="15BDBBE8" w14:textId="05B3F627" w:rsidR="005D20BF" w:rsidRPr="00FB7EA4" w:rsidRDefault="005D20BF" w:rsidP="006B0084">
            <w:pPr>
              <w:spacing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Actualmente, las sedes de este Ministerio cuentan con sistemas ahorradores de agua (temporizadores), tanto en sanitarios como en lavamanos. La sede de Casas de Santa Bárbara cuenta con sensores de movimiento para el sistema de luz zonas puntuales. Sumando a lo anterior, se está planificando para la sede san Agustín el cambio progresivo de tubos fluorescentes por luminarias ahorradoras tipo led.</w:t>
            </w:r>
          </w:p>
          <w:p w14:paraId="1D0F2173" w14:textId="77777777" w:rsidR="005D20BF" w:rsidRPr="00FB7EA4" w:rsidRDefault="005D20BF" w:rsidP="006B0084">
            <w:pPr>
              <w:spacing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13B3B18F" w14:textId="7D0C8200" w:rsidR="005D20BF" w:rsidRPr="00FB7EA4" w:rsidRDefault="005D20BF" w:rsidP="006B0084">
            <w:pPr>
              <w:spacing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Así mismo, el diseño eléctrico aprobado para la remodelación del séptimo piso del edificio San Agustín, se </w:t>
            </w:r>
            <w:r w:rsidR="00B87023" w:rsidRPr="00FB7EA4">
              <w:rPr>
                <w:rFonts w:ascii="Arial" w:hAnsi="Arial" w:cs="Arial"/>
                <w:color w:val="0F243E" w:themeColor="text2" w:themeShade="80"/>
                <w:sz w:val="20"/>
                <w:szCs w:val="20"/>
              </w:rPr>
              <w:t>sol</w:t>
            </w:r>
            <w:r w:rsidR="00B87023">
              <w:rPr>
                <w:rFonts w:ascii="Arial" w:hAnsi="Arial" w:cs="Arial"/>
                <w:color w:val="0F243E" w:themeColor="text2" w:themeShade="80"/>
                <w:sz w:val="20"/>
                <w:szCs w:val="20"/>
              </w:rPr>
              <w:t>i</w:t>
            </w:r>
            <w:r w:rsidR="00B87023" w:rsidRPr="00FB7EA4">
              <w:rPr>
                <w:rFonts w:ascii="Arial" w:hAnsi="Arial" w:cs="Arial"/>
                <w:color w:val="0F243E" w:themeColor="text2" w:themeShade="80"/>
                <w:sz w:val="20"/>
                <w:szCs w:val="20"/>
              </w:rPr>
              <w:t>citó</w:t>
            </w:r>
            <w:r w:rsidRPr="00FB7EA4">
              <w:rPr>
                <w:rFonts w:ascii="Arial" w:hAnsi="Arial" w:cs="Arial"/>
                <w:color w:val="0F243E" w:themeColor="text2" w:themeShade="80"/>
                <w:sz w:val="20"/>
                <w:szCs w:val="20"/>
              </w:rPr>
              <w:t xml:space="preserve"> luminarias tipo led de larga vida y bajo consumo, además de un diseño que permita el apagado y prendido por puestos de trabajo y no por zonas. A su vez, la incorporación de sensores de movimiento en las áreas comunes y de tránsito, </w:t>
            </w:r>
            <w:r w:rsidR="00DC594D" w:rsidRPr="00FB7EA4">
              <w:rPr>
                <w:rFonts w:ascii="Arial" w:hAnsi="Arial" w:cs="Arial"/>
                <w:color w:val="0F243E" w:themeColor="text2" w:themeShade="80"/>
                <w:sz w:val="20"/>
                <w:szCs w:val="20"/>
              </w:rPr>
              <w:t xml:space="preserve">logrando con lo anterior, </w:t>
            </w:r>
            <w:r w:rsidRPr="00FB7EA4">
              <w:rPr>
                <w:rFonts w:ascii="Arial" w:hAnsi="Arial" w:cs="Arial"/>
                <w:color w:val="0F243E" w:themeColor="text2" w:themeShade="80"/>
                <w:sz w:val="20"/>
                <w:szCs w:val="20"/>
              </w:rPr>
              <w:t>disminu</w:t>
            </w:r>
            <w:r w:rsidR="00DC594D" w:rsidRPr="00FB7EA4">
              <w:rPr>
                <w:rFonts w:ascii="Arial" w:hAnsi="Arial" w:cs="Arial"/>
                <w:color w:val="0F243E" w:themeColor="text2" w:themeShade="80"/>
                <w:sz w:val="20"/>
                <w:szCs w:val="20"/>
              </w:rPr>
              <w:t>ir</w:t>
            </w:r>
            <w:r w:rsidRPr="00FB7EA4">
              <w:rPr>
                <w:rFonts w:ascii="Arial" w:hAnsi="Arial" w:cs="Arial"/>
                <w:color w:val="0F243E" w:themeColor="text2" w:themeShade="80"/>
                <w:sz w:val="20"/>
                <w:szCs w:val="20"/>
              </w:rPr>
              <w:t xml:space="preserve"> tanto el consumo mensual por perd</w:t>
            </w:r>
            <w:r w:rsidR="00451753" w:rsidRPr="00FB7EA4">
              <w:rPr>
                <w:rFonts w:ascii="Arial" w:hAnsi="Arial" w:cs="Arial"/>
                <w:color w:val="0F243E" w:themeColor="text2" w:themeShade="80"/>
                <w:sz w:val="20"/>
                <w:szCs w:val="20"/>
              </w:rPr>
              <w:t>idas,</w:t>
            </w:r>
            <w:r w:rsidRPr="00FB7EA4">
              <w:rPr>
                <w:rFonts w:ascii="Arial" w:hAnsi="Arial" w:cs="Arial"/>
                <w:color w:val="0F243E" w:themeColor="text2" w:themeShade="80"/>
                <w:sz w:val="20"/>
                <w:szCs w:val="20"/>
              </w:rPr>
              <w:t xml:space="preserve"> como </w:t>
            </w:r>
            <w:r w:rsidR="00DC594D" w:rsidRPr="00FB7EA4">
              <w:rPr>
                <w:rFonts w:ascii="Arial" w:hAnsi="Arial" w:cs="Arial"/>
                <w:color w:val="0F243E" w:themeColor="text2" w:themeShade="80"/>
                <w:sz w:val="20"/>
                <w:szCs w:val="20"/>
              </w:rPr>
              <w:t xml:space="preserve">los servicios por </w:t>
            </w:r>
            <w:r w:rsidRPr="00FB7EA4">
              <w:rPr>
                <w:rFonts w:ascii="Arial" w:hAnsi="Arial" w:cs="Arial"/>
                <w:color w:val="0F243E" w:themeColor="text2" w:themeShade="80"/>
                <w:sz w:val="20"/>
                <w:szCs w:val="20"/>
              </w:rPr>
              <w:t>mantenimientos preventivos y correctivos que requieren esfuerzos económicos como humanos.</w:t>
            </w:r>
          </w:p>
        </w:tc>
      </w:tr>
      <w:tr w:rsidR="00100327" w:rsidRPr="00FB7EA4" w14:paraId="247C64B8" w14:textId="77777777" w:rsidTr="00AA0B78">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1933D7DB" w14:textId="77777777" w:rsidR="00100327" w:rsidRPr="00FB7EA4" w:rsidRDefault="00100327" w:rsidP="00682850">
            <w:pPr>
              <w:spacing w:before="60" w:after="8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 </w:t>
            </w:r>
            <w:r w:rsidR="00307C5A" w:rsidRPr="00FB7EA4">
              <w:rPr>
                <w:rFonts w:ascii="Arial" w:hAnsi="Arial" w:cs="Arial"/>
                <w:color w:val="0F243E" w:themeColor="text2" w:themeShade="80"/>
                <w:sz w:val="20"/>
                <w:szCs w:val="20"/>
              </w:rPr>
              <w:t>9.4</w:t>
            </w:r>
          </w:p>
        </w:tc>
        <w:tc>
          <w:tcPr>
            <w:tcW w:w="2127" w:type="dxa"/>
            <w:vAlign w:val="center"/>
            <w:hideMark/>
          </w:tcPr>
          <w:p w14:paraId="74ECA307" w14:textId="77777777" w:rsidR="00100327" w:rsidRPr="00FB7EA4" w:rsidRDefault="00100327" w:rsidP="00682850">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Implementar políticas de reciclaje de elementos de oficina, maximización de vida útil de herramientas de trabajo y reciclaje de tecnología.</w:t>
            </w:r>
          </w:p>
        </w:tc>
        <w:tc>
          <w:tcPr>
            <w:tcW w:w="6422" w:type="dxa"/>
            <w:noWrap/>
            <w:vAlign w:val="center"/>
          </w:tcPr>
          <w:p w14:paraId="02386C99" w14:textId="20C051CB" w:rsidR="00100327" w:rsidRPr="00FB7EA4" w:rsidRDefault="008E7005" w:rsidP="0069491B">
            <w:pPr>
              <w:spacing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Durante el tercer trimestre del año, se realizó la recolección de material reciclable 65 días hábiles. Cabe destacar que, esta actividad se realiza de forma diaria y por todos los pisos en ambas sedes. Por lo cual, se reporta una recolección, transporte y almacenamiento en el centro de acopio aproximadamente de 279,25 kg de material reciclable como papel de oficina, Ascetas, sobre de manila, carpetas, cajas de cartón entre otros.</w:t>
            </w:r>
          </w:p>
          <w:p w14:paraId="0D0EA926" w14:textId="77777777" w:rsidR="0069491B" w:rsidRPr="00FB7EA4" w:rsidRDefault="0069491B" w:rsidP="0069491B">
            <w:pPr>
              <w:spacing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353745C5" w14:textId="616C2819" w:rsidR="008E7005" w:rsidRPr="00FB7EA4" w:rsidRDefault="008E7005" w:rsidP="0069491B">
            <w:pPr>
              <w:spacing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Por otro lado, se realizaron charlas de sensibilización, dentro de las cuales se encuentra la temática sobre separación en la fuente, la cual tiene un grado de importancia alto, para lograr conciencia y cultura sobre una adecuada disposición de residuos y aumentar la cantidad de material aprovechable que dispone la entidad.</w:t>
            </w:r>
          </w:p>
        </w:tc>
      </w:tr>
      <w:tr w:rsidR="00100327" w:rsidRPr="00FB7EA4" w14:paraId="0F3E0127" w14:textId="77777777" w:rsidTr="00AA0B78">
        <w:trPr>
          <w:cantSplit/>
          <w:trHeight w:val="377"/>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77B9FE2" w14:textId="77777777" w:rsidR="00100327" w:rsidRPr="00FB7EA4" w:rsidRDefault="00100327" w:rsidP="00682850">
            <w:pPr>
              <w:spacing w:before="60" w:after="8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lastRenderedPageBreak/>
              <w:t>9.5</w:t>
            </w:r>
          </w:p>
        </w:tc>
        <w:tc>
          <w:tcPr>
            <w:tcW w:w="2127" w:type="dxa"/>
            <w:vAlign w:val="center"/>
            <w:hideMark/>
          </w:tcPr>
          <w:p w14:paraId="1CB16A75" w14:textId="77777777" w:rsidR="00100327" w:rsidRPr="00FB7EA4" w:rsidRDefault="00100327" w:rsidP="00682850">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Crear programas internos de fomento al uso de vehículos y medios de transporte ambientalmente sostenibles como bicicletas, transporte público, entre otros. </w:t>
            </w:r>
          </w:p>
        </w:tc>
        <w:tc>
          <w:tcPr>
            <w:tcW w:w="6422" w:type="dxa"/>
            <w:noWrap/>
            <w:vAlign w:val="center"/>
          </w:tcPr>
          <w:p w14:paraId="3F835DC3" w14:textId="77777777" w:rsidR="00100327" w:rsidRPr="00FB7EA4" w:rsidRDefault="00347207" w:rsidP="0069491B">
            <w:pPr>
              <w:spacing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Se encuentra en vigencia la </w:t>
            </w:r>
            <w:r w:rsidR="00C9758B" w:rsidRPr="00FB7EA4">
              <w:rPr>
                <w:rFonts w:ascii="Arial" w:hAnsi="Arial" w:cs="Arial"/>
                <w:color w:val="0F243E" w:themeColor="text2" w:themeShade="80"/>
                <w:sz w:val="20"/>
                <w:szCs w:val="20"/>
              </w:rPr>
              <w:t>P</w:t>
            </w:r>
            <w:r w:rsidRPr="00FB7EA4">
              <w:rPr>
                <w:rFonts w:ascii="Arial" w:hAnsi="Arial" w:cs="Arial"/>
                <w:color w:val="0F243E" w:themeColor="text2" w:themeShade="80"/>
                <w:sz w:val="20"/>
                <w:szCs w:val="20"/>
              </w:rPr>
              <w:t xml:space="preserve">olítica del uso de las </w:t>
            </w:r>
            <w:r w:rsidR="00C9758B" w:rsidRPr="00FB7EA4">
              <w:rPr>
                <w:rFonts w:ascii="Arial" w:hAnsi="Arial" w:cs="Arial"/>
                <w:color w:val="0F243E" w:themeColor="text2" w:themeShade="80"/>
                <w:sz w:val="20"/>
                <w:szCs w:val="20"/>
              </w:rPr>
              <w:t>b</w:t>
            </w:r>
            <w:r w:rsidRPr="00FB7EA4">
              <w:rPr>
                <w:rFonts w:ascii="Arial" w:hAnsi="Arial" w:cs="Arial"/>
                <w:color w:val="0F243E" w:themeColor="text2" w:themeShade="80"/>
                <w:sz w:val="20"/>
                <w:szCs w:val="20"/>
              </w:rPr>
              <w:t xml:space="preserve">icicletas. Para el </w:t>
            </w:r>
            <w:r w:rsidR="00C9758B" w:rsidRPr="00FB7EA4">
              <w:rPr>
                <w:rFonts w:ascii="Arial" w:hAnsi="Arial" w:cs="Arial"/>
                <w:color w:val="0F243E" w:themeColor="text2" w:themeShade="80"/>
                <w:sz w:val="20"/>
                <w:szCs w:val="20"/>
              </w:rPr>
              <w:t>tercer t</w:t>
            </w:r>
            <w:r w:rsidRPr="00FB7EA4">
              <w:rPr>
                <w:rFonts w:ascii="Arial" w:hAnsi="Arial" w:cs="Arial"/>
                <w:color w:val="0F243E" w:themeColor="text2" w:themeShade="80"/>
                <w:sz w:val="20"/>
                <w:szCs w:val="20"/>
              </w:rPr>
              <w:t>rimestre; el uso promedio de este sistema de transporte amigable con el ambiente</w:t>
            </w:r>
            <w:r w:rsidR="00C9758B" w:rsidRPr="00FB7EA4">
              <w:rPr>
                <w:rFonts w:ascii="Arial" w:hAnsi="Arial" w:cs="Arial"/>
                <w:color w:val="0F243E" w:themeColor="text2" w:themeShade="80"/>
                <w:sz w:val="20"/>
                <w:szCs w:val="20"/>
              </w:rPr>
              <w:t>,</w:t>
            </w:r>
            <w:r w:rsidRPr="00FB7EA4">
              <w:rPr>
                <w:rFonts w:ascii="Arial" w:hAnsi="Arial" w:cs="Arial"/>
                <w:color w:val="0F243E" w:themeColor="text2" w:themeShade="80"/>
                <w:sz w:val="20"/>
                <w:szCs w:val="20"/>
              </w:rPr>
              <w:t xml:space="preserve"> es de 9 días al mes por un total de 18 trabajadores.</w:t>
            </w:r>
          </w:p>
          <w:p w14:paraId="5D4DDDAC" w14:textId="6F64C458" w:rsidR="00C9758B" w:rsidRPr="00FB7EA4" w:rsidRDefault="00C9758B" w:rsidP="0069491B">
            <w:pPr>
              <w:spacing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Por otro lado, se realizó una publicación para promover y fomentar el uso de la bicicleta, como un transporte sostenible y amigable con el medio ambiente.</w:t>
            </w:r>
          </w:p>
        </w:tc>
      </w:tr>
    </w:tbl>
    <w:p w14:paraId="2E206C48" w14:textId="77777777" w:rsidR="003C6A37" w:rsidRPr="00A003B6" w:rsidRDefault="003C6A37" w:rsidP="00C77DDE">
      <w:pPr>
        <w:pStyle w:val="Prrafodelista"/>
        <w:ind w:left="0"/>
        <w:contextualSpacing w:val="0"/>
        <w:rPr>
          <w:rFonts w:ascii="Arial" w:hAnsi="Arial" w:cs="Arial"/>
          <w:color w:val="000000"/>
          <w:sz w:val="22"/>
          <w:szCs w:val="22"/>
          <w:highlight w:val="yellow"/>
        </w:rPr>
      </w:pPr>
    </w:p>
    <w:p w14:paraId="6C189C69" w14:textId="507BDC61" w:rsidR="009839DB" w:rsidRPr="00EB7BE9" w:rsidRDefault="009839DB" w:rsidP="00C77DDE">
      <w:pPr>
        <w:pStyle w:val="Prrafodelista"/>
        <w:ind w:left="0"/>
        <w:contextualSpacing w:val="0"/>
        <w:rPr>
          <w:rFonts w:ascii="Arial" w:hAnsi="Arial" w:cs="Arial"/>
          <w:color w:val="000000"/>
          <w:sz w:val="22"/>
          <w:szCs w:val="22"/>
        </w:rPr>
      </w:pPr>
      <w:r w:rsidRPr="00EB7BE9">
        <w:rPr>
          <w:rFonts w:ascii="Arial" w:hAnsi="Arial" w:cs="Arial"/>
          <w:color w:val="000000"/>
          <w:sz w:val="22"/>
          <w:szCs w:val="22"/>
        </w:rPr>
        <w:t xml:space="preserve">Con respecto a lo anterior, se deduce que este Ministerio viene adelantando acciones en aras de lograr una sostenibilidad ambiental y dando cumplimiento de forma razonable a </w:t>
      </w:r>
      <w:r w:rsidR="00EB7BE9" w:rsidRPr="00EB7BE9">
        <w:rPr>
          <w:rFonts w:ascii="Arial" w:hAnsi="Arial" w:cs="Arial"/>
          <w:color w:val="000000"/>
          <w:sz w:val="22"/>
          <w:szCs w:val="22"/>
        </w:rPr>
        <w:t>la directriz</w:t>
      </w:r>
      <w:r w:rsidR="00EB7BE9">
        <w:rPr>
          <w:rFonts w:ascii="Arial" w:hAnsi="Arial" w:cs="Arial"/>
          <w:color w:val="000000"/>
          <w:sz w:val="22"/>
          <w:szCs w:val="22"/>
        </w:rPr>
        <w:t xml:space="preserve"> establecida en </w:t>
      </w:r>
      <w:r w:rsidRPr="00EB7BE9">
        <w:rPr>
          <w:rFonts w:ascii="Arial" w:hAnsi="Arial" w:cs="Arial"/>
          <w:color w:val="000000"/>
          <w:sz w:val="22"/>
          <w:szCs w:val="22"/>
        </w:rPr>
        <w:t>la Directiva Presidencial 0</w:t>
      </w:r>
      <w:r w:rsidR="00EB7BE9" w:rsidRPr="00EB7BE9">
        <w:rPr>
          <w:rFonts w:ascii="Arial" w:hAnsi="Arial" w:cs="Arial"/>
          <w:color w:val="000000"/>
          <w:sz w:val="22"/>
          <w:szCs w:val="22"/>
        </w:rPr>
        <w:t>9</w:t>
      </w:r>
      <w:r w:rsidR="00837450">
        <w:rPr>
          <w:rFonts w:ascii="Arial" w:hAnsi="Arial" w:cs="Arial"/>
          <w:color w:val="000000"/>
          <w:sz w:val="22"/>
          <w:szCs w:val="22"/>
        </w:rPr>
        <w:t xml:space="preserve"> de 2018</w:t>
      </w:r>
      <w:r w:rsidRPr="00EB7BE9">
        <w:rPr>
          <w:rFonts w:ascii="Arial" w:hAnsi="Arial" w:cs="Arial"/>
          <w:color w:val="000000"/>
          <w:sz w:val="22"/>
          <w:szCs w:val="22"/>
        </w:rPr>
        <w:t xml:space="preserve">. </w:t>
      </w:r>
    </w:p>
    <w:p w14:paraId="26DCD0E9" w14:textId="77777777" w:rsidR="009839DB" w:rsidRPr="00EB7BE9" w:rsidRDefault="009839DB" w:rsidP="00C77DDE">
      <w:pPr>
        <w:pStyle w:val="Prrafodelista"/>
        <w:ind w:left="0"/>
        <w:contextualSpacing w:val="0"/>
        <w:rPr>
          <w:rFonts w:ascii="Arial" w:hAnsi="Arial" w:cs="Arial"/>
          <w:color w:val="000000"/>
          <w:sz w:val="22"/>
          <w:szCs w:val="22"/>
        </w:rPr>
      </w:pPr>
    </w:p>
    <w:p w14:paraId="2CE6C386" w14:textId="00474A86" w:rsidR="00023DBB" w:rsidRPr="00920880" w:rsidRDefault="002639FA" w:rsidP="00C77DDE">
      <w:pPr>
        <w:pStyle w:val="Prrafodelista"/>
        <w:ind w:left="0"/>
        <w:contextualSpacing w:val="0"/>
        <w:rPr>
          <w:rFonts w:ascii="Arial" w:hAnsi="Arial" w:cs="Arial"/>
          <w:color w:val="000000"/>
          <w:sz w:val="22"/>
          <w:szCs w:val="22"/>
        </w:rPr>
      </w:pPr>
      <w:r w:rsidRPr="00920880">
        <w:rPr>
          <w:rFonts w:ascii="Arial" w:hAnsi="Arial" w:cs="Arial"/>
          <w:color w:val="000000"/>
          <w:sz w:val="22"/>
          <w:szCs w:val="22"/>
        </w:rPr>
        <w:t xml:space="preserve">A </w:t>
      </w:r>
      <w:r w:rsidR="00B26A5C" w:rsidRPr="00920880">
        <w:rPr>
          <w:rFonts w:ascii="Arial" w:hAnsi="Arial" w:cs="Arial"/>
          <w:color w:val="000000"/>
          <w:sz w:val="22"/>
          <w:szCs w:val="22"/>
        </w:rPr>
        <w:t>continuación,</w:t>
      </w:r>
      <w:r w:rsidRPr="00920880">
        <w:rPr>
          <w:rFonts w:ascii="Arial" w:hAnsi="Arial" w:cs="Arial"/>
          <w:color w:val="000000"/>
          <w:sz w:val="22"/>
          <w:szCs w:val="22"/>
        </w:rPr>
        <w:t xml:space="preserve"> se presenta</w:t>
      </w:r>
      <w:r w:rsidR="000C4A9C" w:rsidRPr="00920880">
        <w:rPr>
          <w:rFonts w:ascii="Arial" w:hAnsi="Arial" w:cs="Arial"/>
          <w:color w:val="000000"/>
          <w:sz w:val="22"/>
          <w:szCs w:val="22"/>
        </w:rPr>
        <w:t xml:space="preserve">n </w:t>
      </w:r>
      <w:r w:rsidR="00B26A5C" w:rsidRPr="00920880">
        <w:rPr>
          <w:rFonts w:ascii="Arial" w:hAnsi="Arial" w:cs="Arial"/>
          <w:color w:val="000000"/>
          <w:sz w:val="22"/>
          <w:szCs w:val="22"/>
        </w:rPr>
        <w:t xml:space="preserve">los conceptos de energía y acueducto, los cuales, están incluidos en las medidas de austeridad referentes a la sostenibilidad ambiental.  </w:t>
      </w:r>
      <w:r w:rsidRPr="00920880">
        <w:rPr>
          <w:rFonts w:ascii="Arial" w:hAnsi="Arial" w:cs="Arial"/>
          <w:color w:val="000000"/>
          <w:sz w:val="22"/>
          <w:szCs w:val="22"/>
        </w:rPr>
        <w:t xml:space="preserve"> </w:t>
      </w:r>
    </w:p>
    <w:p w14:paraId="69F1C4ED" w14:textId="6597F35C" w:rsidR="00EB4537" w:rsidRDefault="00EB4537" w:rsidP="00C77DDE">
      <w:pPr>
        <w:rPr>
          <w:rFonts w:ascii="Arial" w:hAnsi="Arial" w:cs="Arial"/>
          <w:b/>
          <w:color w:val="000000"/>
          <w:sz w:val="22"/>
          <w:szCs w:val="22"/>
        </w:rPr>
      </w:pPr>
    </w:p>
    <w:p w14:paraId="11600E28" w14:textId="77777777" w:rsidR="00F93D61" w:rsidRPr="00920880" w:rsidRDefault="00F93D61" w:rsidP="00C77DDE">
      <w:pPr>
        <w:rPr>
          <w:rFonts w:ascii="Arial" w:hAnsi="Arial" w:cs="Arial"/>
          <w:b/>
          <w:color w:val="000000"/>
          <w:sz w:val="22"/>
          <w:szCs w:val="22"/>
        </w:rPr>
      </w:pPr>
    </w:p>
    <w:p w14:paraId="2BE7BC74" w14:textId="605BDBC7" w:rsidR="00535509" w:rsidRPr="001B0320" w:rsidRDefault="00C47E49" w:rsidP="00C77DDE">
      <w:pPr>
        <w:rPr>
          <w:rFonts w:ascii="Arial" w:hAnsi="Arial" w:cs="Arial"/>
          <w:b/>
          <w:color w:val="000000"/>
          <w:sz w:val="22"/>
          <w:szCs w:val="22"/>
        </w:rPr>
      </w:pPr>
      <w:r>
        <w:rPr>
          <w:rFonts w:ascii="Arial" w:hAnsi="Arial" w:cs="Arial"/>
          <w:b/>
          <w:color w:val="000000"/>
          <w:sz w:val="22"/>
          <w:szCs w:val="22"/>
        </w:rPr>
        <w:t>8</w:t>
      </w:r>
      <w:r w:rsidR="00AD73A3" w:rsidRPr="001B0320">
        <w:rPr>
          <w:rFonts w:ascii="Arial" w:hAnsi="Arial" w:cs="Arial"/>
          <w:b/>
          <w:color w:val="000000"/>
          <w:sz w:val="22"/>
          <w:szCs w:val="22"/>
        </w:rPr>
        <w:t xml:space="preserve">.1 </w:t>
      </w:r>
      <w:r w:rsidR="00535509" w:rsidRPr="001B0320">
        <w:rPr>
          <w:rFonts w:ascii="Arial" w:hAnsi="Arial" w:cs="Arial"/>
          <w:b/>
          <w:color w:val="000000"/>
          <w:sz w:val="22"/>
          <w:szCs w:val="22"/>
        </w:rPr>
        <w:t>ENERG</w:t>
      </w:r>
      <w:r w:rsidR="00A959FB" w:rsidRPr="001B0320">
        <w:rPr>
          <w:rFonts w:ascii="Arial" w:hAnsi="Arial" w:cs="Arial"/>
          <w:b/>
          <w:color w:val="000000"/>
          <w:sz w:val="22"/>
          <w:szCs w:val="22"/>
        </w:rPr>
        <w:t>Í</w:t>
      </w:r>
      <w:r w:rsidR="00535509" w:rsidRPr="001B0320">
        <w:rPr>
          <w:rFonts w:ascii="Arial" w:hAnsi="Arial" w:cs="Arial"/>
          <w:b/>
          <w:color w:val="000000"/>
          <w:sz w:val="22"/>
          <w:szCs w:val="22"/>
        </w:rPr>
        <w:t>A</w:t>
      </w:r>
    </w:p>
    <w:p w14:paraId="743580A2" w14:textId="77777777" w:rsidR="00A90B93" w:rsidRPr="001B0320" w:rsidRDefault="00A90B93" w:rsidP="00C77DDE">
      <w:pPr>
        <w:pStyle w:val="Prrafodelista"/>
        <w:ind w:left="360"/>
        <w:contextualSpacing w:val="0"/>
        <w:rPr>
          <w:rFonts w:ascii="Arial" w:hAnsi="Arial" w:cs="Arial"/>
          <w:b/>
          <w:color w:val="000000"/>
          <w:sz w:val="22"/>
          <w:szCs w:val="22"/>
        </w:rPr>
      </w:pPr>
    </w:p>
    <w:p w14:paraId="4394C688" w14:textId="77777777" w:rsidR="002B2D1B" w:rsidRPr="001B0320" w:rsidRDefault="00B93162" w:rsidP="00C77DDE">
      <w:pPr>
        <w:pStyle w:val="Prrafodelista"/>
        <w:ind w:left="0"/>
        <w:contextualSpacing w:val="0"/>
        <w:rPr>
          <w:rFonts w:ascii="Arial" w:hAnsi="Arial" w:cs="Arial"/>
          <w:color w:val="000000"/>
          <w:sz w:val="22"/>
          <w:szCs w:val="22"/>
        </w:rPr>
      </w:pPr>
      <w:r w:rsidRPr="001B0320">
        <w:rPr>
          <w:rFonts w:ascii="Arial" w:hAnsi="Arial" w:cs="Arial"/>
          <w:color w:val="000000"/>
          <w:sz w:val="22"/>
          <w:szCs w:val="22"/>
        </w:rPr>
        <w:t xml:space="preserve">Para este concepto analizado, </w:t>
      </w:r>
      <w:r w:rsidR="00000FCA" w:rsidRPr="001B0320">
        <w:rPr>
          <w:rFonts w:ascii="Arial" w:hAnsi="Arial" w:cs="Arial"/>
          <w:color w:val="000000"/>
          <w:sz w:val="22"/>
          <w:szCs w:val="22"/>
        </w:rPr>
        <w:t xml:space="preserve">es importante precisar que el Ministerio de Hacienda y Crédito Público comparte la sede del Edificio San Agustín con la Dirección de Impuestos y Aduanas Nacionales de Colombia -DIAN (pisos </w:t>
      </w:r>
      <w:r w:rsidR="006975F4" w:rsidRPr="001B0320">
        <w:rPr>
          <w:rFonts w:ascii="Arial" w:hAnsi="Arial" w:cs="Arial"/>
          <w:color w:val="000000"/>
          <w:sz w:val="22"/>
          <w:szCs w:val="22"/>
        </w:rPr>
        <w:t xml:space="preserve">4°, </w:t>
      </w:r>
      <w:r w:rsidR="00000FCA" w:rsidRPr="001B0320">
        <w:rPr>
          <w:rFonts w:ascii="Arial" w:hAnsi="Arial" w:cs="Arial"/>
          <w:color w:val="000000"/>
          <w:sz w:val="22"/>
          <w:szCs w:val="22"/>
        </w:rPr>
        <w:t xml:space="preserve">5° y 6°). Por tal razón, la Subdirección de Servicios mediante un </w:t>
      </w:r>
      <w:r w:rsidR="00D57902" w:rsidRPr="001B0320">
        <w:rPr>
          <w:rFonts w:ascii="Arial" w:hAnsi="Arial" w:cs="Arial"/>
          <w:color w:val="000000"/>
          <w:sz w:val="22"/>
          <w:szCs w:val="22"/>
        </w:rPr>
        <w:t xml:space="preserve">ejercicio de </w:t>
      </w:r>
      <w:r w:rsidR="00000FCA" w:rsidRPr="001B0320">
        <w:rPr>
          <w:rFonts w:ascii="Arial" w:hAnsi="Arial" w:cs="Arial"/>
          <w:color w:val="000000"/>
          <w:sz w:val="22"/>
          <w:szCs w:val="22"/>
        </w:rPr>
        <w:t>prorrateo determina el valor que le corresponde a la DIAN por el servicio de energía</w:t>
      </w:r>
      <w:r w:rsidR="002869E9" w:rsidRPr="001B0320">
        <w:rPr>
          <w:rFonts w:ascii="Arial" w:hAnsi="Arial" w:cs="Arial"/>
          <w:color w:val="000000"/>
          <w:sz w:val="22"/>
          <w:szCs w:val="22"/>
        </w:rPr>
        <w:t xml:space="preserve"> y mes a mes envía a dicha entidad el </w:t>
      </w:r>
      <w:r w:rsidR="00431DA7" w:rsidRPr="001B0320">
        <w:rPr>
          <w:rFonts w:ascii="Arial" w:hAnsi="Arial" w:cs="Arial"/>
          <w:color w:val="000000"/>
          <w:sz w:val="22"/>
          <w:szCs w:val="22"/>
        </w:rPr>
        <w:t xml:space="preserve">oficio de </w:t>
      </w:r>
      <w:r w:rsidR="002869E9" w:rsidRPr="001B0320">
        <w:rPr>
          <w:rFonts w:ascii="Arial" w:hAnsi="Arial" w:cs="Arial"/>
          <w:color w:val="000000"/>
          <w:sz w:val="22"/>
          <w:szCs w:val="22"/>
        </w:rPr>
        <w:t xml:space="preserve">solicitud de pago del </w:t>
      </w:r>
      <w:r w:rsidR="004A2CA3" w:rsidRPr="001B0320">
        <w:rPr>
          <w:rFonts w:ascii="Arial" w:hAnsi="Arial" w:cs="Arial"/>
          <w:color w:val="000000"/>
          <w:sz w:val="22"/>
          <w:szCs w:val="22"/>
        </w:rPr>
        <w:t>respectivo v</w:t>
      </w:r>
      <w:r w:rsidR="002869E9" w:rsidRPr="001B0320">
        <w:rPr>
          <w:rFonts w:ascii="Arial" w:hAnsi="Arial" w:cs="Arial"/>
          <w:color w:val="000000"/>
          <w:sz w:val="22"/>
          <w:szCs w:val="22"/>
        </w:rPr>
        <w:t>alor</w:t>
      </w:r>
      <w:r w:rsidR="002026B1" w:rsidRPr="001B0320">
        <w:rPr>
          <w:rFonts w:ascii="Arial" w:hAnsi="Arial" w:cs="Arial"/>
          <w:color w:val="000000"/>
          <w:sz w:val="22"/>
          <w:szCs w:val="22"/>
        </w:rPr>
        <w:t xml:space="preserve">. Lo anterior, se evidenció a través de </w:t>
      </w:r>
      <w:r w:rsidR="0005785C" w:rsidRPr="001B0320">
        <w:rPr>
          <w:rFonts w:ascii="Arial" w:hAnsi="Arial" w:cs="Arial"/>
          <w:color w:val="000000"/>
          <w:sz w:val="22"/>
          <w:szCs w:val="22"/>
        </w:rPr>
        <w:t>las comunicaciones</w:t>
      </w:r>
      <w:r w:rsidR="00D57902" w:rsidRPr="001B0320">
        <w:rPr>
          <w:rFonts w:ascii="Arial" w:hAnsi="Arial" w:cs="Arial"/>
          <w:color w:val="000000"/>
          <w:sz w:val="22"/>
          <w:szCs w:val="22"/>
        </w:rPr>
        <w:t xml:space="preserve"> expedidas por la Subdirección de Servicios. Así mismo, con base en el reporte de reintegros consultados en el SIIF</w:t>
      </w:r>
      <w:r w:rsidRPr="001B0320">
        <w:rPr>
          <w:rFonts w:ascii="Arial" w:hAnsi="Arial" w:cs="Arial"/>
          <w:color w:val="000000"/>
          <w:sz w:val="22"/>
          <w:szCs w:val="22"/>
        </w:rPr>
        <w:t xml:space="preserve"> </w:t>
      </w:r>
      <w:r w:rsidR="00D57902" w:rsidRPr="001B0320">
        <w:rPr>
          <w:rFonts w:ascii="Arial" w:hAnsi="Arial" w:cs="Arial"/>
          <w:color w:val="000000"/>
          <w:sz w:val="22"/>
          <w:szCs w:val="22"/>
        </w:rPr>
        <w:t>se constat</w:t>
      </w:r>
      <w:r w:rsidRPr="001B0320">
        <w:rPr>
          <w:rFonts w:ascii="Arial" w:hAnsi="Arial" w:cs="Arial"/>
          <w:color w:val="000000"/>
          <w:sz w:val="22"/>
          <w:szCs w:val="22"/>
        </w:rPr>
        <w:t>ó que, a</w:t>
      </w:r>
      <w:r w:rsidR="00D57902" w:rsidRPr="001B0320">
        <w:rPr>
          <w:rFonts w:ascii="Arial" w:hAnsi="Arial" w:cs="Arial"/>
          <w:color w:val="000000"/>
          <w:sz w:val="22"/>
          <w:szCs w:val="22"/>
        </w:rPr>
        <w:t xml:space="preserve"> la fecha de este informe la DIAN había realizado los respectivos reembolsos, tal y como se presenta en la siguiente tabla: </w:t>
      </w:r>
    </w:p>
    <w:p w14:paraId="3D9116AA" w14:textId="77777777" w:rsidR="002B2D1B" w:rsidRPr="001B0320" w:rsidRDefault="002B2D1B" w:rsidP="00A90B93">
      <w:pPr>
        <w:pStyle w:val="Prrafodelista"/>
        <w:ind w:left="0"/>
        <w:contextualSpacing w:val="0"/>
        <w:rPr>
          <w:rFonts w:ascii="Arial" w:hAnsi="Arial" w:cs="Arial"/>
          <w:color w:val="000000"/>
          <w:sz w:val="22"/>
          <w:szCs w:val="22"/>
        </w:rPr>
      </w:pPr>
    </w:p>
    <w:tbl>
      <w:tblPr>
        <w:tblStyle w:val="Tabladecuadrcula1clara-nfasis1"/>
        <w:tblW w:w="0" w:type="auto"/>
        <w:jc w:val="center"/>
        <w:tblLook w:val="04A0" w:firstRow="1" w:lastRow="0" w:firstColumn="1" w:lastColumn="0" w:noHBand="0" w:noVBand="1"/>
      </w:tblPr>
      <w:tblGrid>
        <w:gridCol w:w="3484"/>
        <w:gridCol w:w="1573"/>
        <w:gridCol w:w="1573"/>
        <w:gridCol w:w="1573"/>
      </w:tblGrid>
      <w:tr w:rsidR="00E20F03" w:rsidRPr="006245B6" w14:paraId="050BDD75" w14:textId="77777777" w:rsidTr="006A6AB2">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bottom w:val="double" w:sz="4" w:space="0" w:color="4F81BD" w:themeColor="accent1"/>
            </w:tcBorders>
            <w:shd w:val="clear" w:color="auto" w:fill="4F81BD" w:themeFill="accent1"/>
            <w:vAlign w:val="center"/>
            <w:hideMark/>
          </w:tcPr>
          <w:p w14:paraId="021F47A3" w14:textId="77777777" w:rsidR="00041ED4" w:rsidRPr="006245B6" w:rsidRDefault="00041ED4" w:rsidP="00C93E7B">
            <w:pPr>
              <w:spacing w:before="80" w:after="80"/>
              <w:jc w:val="center"/>
              <w:rPr>
                <w:rFonts w:ascii="Arial" w:hAnsi="Arial" w:cs="Arial"/>
                <w:color w:val="0F243E" w:themeColor="text2" w:themeShade="80"/>
                <w:sz w:val="20"/>
                <w:szCs w:val="20"/>
              </w:rPr>
            </w:pPr>
            <w:r w:rsidRPr="006245B6">
              <w:rPr>
                <w:rFonts w:ascii="Arial" w:hAnsi="Arial" w:cs="Arial"/>
                <w:color w:val="FFFFFF" w:themeColor="background1"/>
                <w:sz w:val="20"/>
                <w:szCs w:val="20"/>
              </w:rPr>
              <w:t>Solicitud de Reintegro - Gasto de Energía</w:t>
            </w:r>
          </w:p>
        </w:tc>
      </w:tr>
      <w:tr w:rsidR="006A6AB2" w:rsidRPr="006245B6" w14:paraId="63C6ED24" w14:textId="77777777" w:rsidTr="006A6AB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shd w:val="clear" w:color="auto" w:fill="FFFFFF" w:themeFill="background1"/>
            <w:vAlign w:val="center"/>
            <w:hideMark/>
          </w:tcPr>
          <w:p w14:paraId="333B8F8C" w14:textId="77777777" w:rsidR="006A6AB2" w:rsidRPr="00FB7EA4" w:rsidRDefault="006A6AB2" w:rsidP="00C93E7B">
            <w:pPr>
              <w:spacing w:before="80" w:after="8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Periodo</w:t>
            </w:r>
          </w:p>
        </w:tc>
        <w:tc>
          <w:tcPr>
            <w:tcW w:w="0" w:type="auto"/>
            <w:tcBorders>
              <w:top w:val="double" w:sz="4" w:space="0" w:color="4F81BD" w:themeColor="accent1"/>
            </w:tcBorders>
            <w:vAlign w:val="center"/>
            <w:hideMark/>
          </w:tcPr>
          <w:p w14:paraId="0EFEC79E" w14:textId="3E2CE3FB" w:rsidR="006A6AB2" w:rsidRPr="00FB7EA4" w:rsidRDefault="006A6AB2" w:rsidP="00C93E7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Julio</w:t>
            </w:r>
          </w:p>
        </w:tc>
        <w:tc>
          <w:tcPr>
            <w:tcW w:w="0" w:type="auto"/>
            <w:tcBorders>
              <w:top w:val="double" w:sz="4" w:space="0" w:color="4F81BD" w:themeColor="accent1"/>
            </w:tcBorders>
            <w:vAlign w:val="center"/>
            <w:hideMark/>
          </w:tcPr>
          <w:p w14:paraId="5F3CB3DA" w14:textId="548C7391" w:rsidR="006A6AB2" w:rsidRPr="00FB7EA4" w:rsidRDefault="006A6AB2" w:rsidP="00C93E7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Agosto</w:t>
            </w:r>
          </w:p>
        </w:tc>
        <w:tc>
          <w:tcPr>
            <w:tcW w:w="0" w:type="auto"/>
            <w:tcBorders>
              <w:top w:val="double" w:sz="4" w:space="0" w:color="4F81BD" w:themeColor="accent1"/>
            </w:tcBorders>
            <w:vAlign w:val="center"/>
            <w:hideMark/>
          </w:tcPr>
          <w:p w14:paraId="36CCA446" w14:textId="6BE63044" w:rsidR="006A6AB2" w:rsidRPr="00FB7EA4" w:rsidRDefault="006A6AB2" w:rsidP="00C93E7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Septiembre</w:t>
            </w:r>
          </w:p>
        </w:tc>
      </w:tr>
      <w:tr w:rsidR="006A6AB2" w:rsidRPr="006245B6" w14:paraId="512CF88B" w14:textId="77777777" w:rsidTr="006A6AB2">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61846481" w14:textId="676FF3DB" w:rsidR="006A6AB2" w:rsidRPr="00FB7EA4" w:rsidRDefault="006A6AB2" w:rsidP="00C93E7B">
            <w:pPr>
              <w:spacing w:before="80" w:after="8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Fecha</w:t>
            </w:r>
          </w:p>
        </w:tc>
        <w:tc>
          <w:tcPr>
            <w:tcW w:w="0" w:type="auto"/>
            <w:shd w:val="clear" w:color="auto" w:fill="FFFFFF" w:themeFill="background1"/>
            <w:vAlign w:val="center"/>
            <w:hideMark/>
          </w:tcPr>
          <w:p w14:paraId="2F108E51" w14:textId="4AC87A86" w:rsidR="006A6AB2" w:rsidRPr="00FB7EA4" w:rsidRDefault="006A6AB2" w:rsidP="00C93E7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F243E" w:themeColor="text2" w:themeShade="80"/>
                <w:sz w:val="20"/>
                <w:szCs w:val="20"/>
              </w:rPr>
            </w:pPr>
            <w:r w:rsidRPr="00FB7EA4">
              <w:rPr>
                <w:rFonts w:ascii="Arial" w:hAnsi="Arial" w:cs="Arial"/>
                <w:color w:val="0F243E" w:themeColor="text2" w:themeShade="80"/>
                <w:sz w:val="20"/>
                <w:szCs w:val="20"/>
              </w:rPr>
              <w:t>1/08/2019</w:t>
            </w:r>
          </w:p>
        </w:tc>
        <w:tc>
          <w:tcPr>
            <w:tcW w:w="0" w:type="auto"/>
            <w:vAlign w:val="center"/>
            <w:hideMark/>
          </w:tcPr>
          <w:p w14:paraId="29309105" w14:textId="78A07B0D"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2/09/2019</w:t>
            </w:r>
          </w:p>
        </w:tc>
        <w:tc>
          <w:tcPr>
            <w:tcW w:w="0" w:type="auto"/>
            <w:vAlign w:val="center"/>
            <w:hideMark/>
          </w:tcPr>
          <w:p w14:paraId="47382D41" w14:textId="5AD10E15"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2/10/2019</w:t>
            </w:r>
          </w:p>
        </w:tc>
      </w:tr>
      <w:tr w:rsidR="006A6AB2" w:rsidRPr="006245B6" w14:paraId="7287FA4A" w14:textId="77777777" w:rsidTr="006A6AB2">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4547D5D8" w14:textId="77777777" w:rsidR="006A6AB2" w:rsidRPr="00FB7EA4" w:rsidRDefault="006A6AB2" w:rsidP="00C93E7B">
            <w:pPr>
              <w:spacing w:before="80" w:after="8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Radicado</w:t>
            </w:r>
          </w:p>
        </w:tc>
        <w:tc>
          <w:tcPr>
            <w:tcW w:w="0" w:type="auto"/>
            <w:shd w:val="clear" w:color="auto" w:fill="FFFFFF" w:themeFill="background1"/>
            <w:vAlign w:val="center"/>
            <w:hideMark/>
          </w:tcPr>
          <w:p w14:paraId="6FE3A824" w14:textId="1BDBDDD9" w:rsidR="006A6AB2" w:rsidRPr="00FB7EA4" w:rsidRDefault="006A6AB2" w:rsidP="00C93E7B">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2-2019-028719</w:t>
            </w:r>
          </w:p>
        </w:tc>
        <w:tc>
          <w:tcPr>
            <w:tcW w:w="0" w:type="auto"/>
            <w:vAlign w:val="center"/>
            <w:hideMark/>
          </w:tcPr>
          <w:p w14:paraId="0BB663C5" w14:textId="1DBB8E73"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2-2019-032630</w:t>
            </w:r>
          </w:p>
        </w:tc>
        <w:tc>
          <w:tcPr>
            <w:tcW w:w="0" w:type="auto"/>
            <w:vAlign w:val="center"/>
            <w:hideMark/>
          </w:tcPr>
          <w:p w14:paraId="6F1E2540" w14:textId="6822A42D"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2-2019-037908</w:t>
            </w:r>
          </w:p>
        </w:tc>
      </w:tr>
      <w:tr w:rsidR="006A6AB2" w:rsidRPr="006245B6" w14:paraId="1B679205" w14:textId="77777777" w:rsidTr="006A6AB2">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6599D467" w14:textId="77777777" w:rsidR="006A6AB2" w:rsidRPr="00FB7EA4" w:rsidRDefault="006A6AB2" w:rsidP="00C93E7B">
            <w:pPr>
              <w:spacing w:before="80" w:after="8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Número de Factura</w:t>
            </w:r>
          </w:p>
        </w:tc>
        <w:tc>
          <w:tcPr>
            <w:tcW w:w="0" w:type="auto"/>
            <w:vAlign w:val="center"/>
            <w:hideMark/>
          </w:tcPr>
          <w:p w14:paraId="5976666F" w14:textId="493D1BBA"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165602754-5</w:t>
            </w:r>
          </w:p>
        </w:tc>
        <w:tc>
          <w:tcPr>
            <w:tcW w:w="0" w:type="auto"/>
            <w:vAlign w:val="center"/>
            <w:hideMark/>
          </w:tcPr>
          <w:p w14:paraId="2E448332" w14:textId="2B829E04"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562622361-7</w:t>
            </w:r>
          </w:p>
        </w:tc>
        <w:tc>
          <w:tcPr>
            <w:tcW w:w="0" w:type="auto"/>
            <w:vAlign w:val="center"/>
            <w:hideMark/>
          </w:tcPr>
          <w:p w14:paraId="1569EAF6" w14:textId="0F89D6C3"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566078796-3</w:t>
            </w:r>
          </w:p>
        </w:tc>
      </w:tr>
      <w:tr w:rsidR="006A6AB2" w:rsidRPr="006245B6" w14:paraId="330D7AC9" w14:textId="77777777" w:rsidTr="006A6AB2">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6F599B90" w14:textId="77777777" w:rsidR="006A6AB2" w:rsidRPr="00FB7EA4" w:rsidRDefault="006A6AB2" w:rsidP="00C93E7B">
            <w:pPr>
              <w:spacing w:before="80" w:after="8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Total Factura ($)</w:t>
            </w:r>
          </w:p>
        </w:tc>
        <w:tc>
          <w:tcPr>
            <w:tcW w:w="0" w:type="auto"/>
            <w:vAlign w:val="center"/>
            <w:hideMark/>
          </w:tcPr>
          <w:p w14:paraId="5BB1C3AB" w14:textId="49915B6F"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130.087.397</w:t>
            </w:r>
          </w:p>
        </w:tc>
        <w:tc>
          <w:tcPr>
            <w:tcW w:w="0" w:type="auto"/>
            <w:vAlign w:val="center"/>
            <w:hideMark/>
          </w:tcPr>
          <w:p w14:paraId="4DAC67BD" w14:textId="6580A39A"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133.221.210</w:t>
            </w:r>
          </w:p>
        </w:tc>
        <w:tc>
          <w:tcPr>
            <w:tcW w:w="0" w:type="auto"/>
            <w:vAlign w:val="center"/>
            <w:hideMark/>
          </w:tcPr>
          <w:p w14:paraId="6A1497B9" w14:textId="554A57CD"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133.015.960</w:t>
            </w:r>
          </w:p>
        </w:tc>
      </w:tr>
      <w:tr w:rsidR="006A6AB2" w:rsidRPr="006245B6" w14:paraId="69AC1435" w14:textId="77777777" w:rsidTr="006A6AB2">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272C3E0C" w14:textId="77777777" w:rsidR="006A6AB2" w:rsidRPr="00FB7EA4" w:rsidRDefault="006A6AB2" w:rsidP="00C93E7B">
            <w:pPr>
              <w:spacing w:before="80" w:after="8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Valor de Solicitud de Reintegro ($)</w:t>
            </w:r>
          </w:p>
        </w:tc>
        <w:tc>
          <w:tcPr>
            <w:tcW w:w="0" w:type="auto"/>
            <w:vAlign w:val="center"/>
            <w:hideMark/>
          </w:tcPr>
          <w:p w14:paraId="675521B5" w14:textId="4DEDD704"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49.410.050</w:t>
            </w:r>
          </w:p>
        </w:tc>
        <w:tc>
          <w:tcPr>
            <w:tcW w:w="0" w:type="auto"/>
            <w:vAlign w:val="center"/>
            <w:hideMark/>
          </w:tcPr>
          <w:p w14:paraId="47FB044E" w14:textId="15805064"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50.600.341</w:t>
            </w:r>
          </w:p>
        </w:tc>
        <w:tc>
          <w:tcPr>
            <w:tcW w:w="0" w:type="auto"/>
            <w:vAlign w:val="center"/>
            <w:hideMark/>
          </w:tcPr>
          <w:p w14:paraId="03E0FF3A" w14:textId="3426A841"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50.522.382</w:t>
            </w:r>
          </w:p>
        </w:tc>
      </w:tr>
      <w:tr w:rsidR="006A6AB2" w:rsidRPr="006245B6" w14:paraId="7FD6CCAB" w14:textId="77777777" w:rsidTr="006A6AB2">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hideMark/>
          </w:tcPr>
          <w:p w14:paraId="099021AE" w14:textId="4CEB18C3" w:rsidR="006A6AB2" w:rsidRPr="00FB7EA4" w:rsidRDefault="006A6AB2" w:rsidP="00C93E7B">
            <w:pPr>
              <w:spacing w:before="80" w:after="8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Fecha de Reintegro</w:t>
            </w:r>
          </w:p>
        </w:tc>
        <w:tc>
          <w:tcPr>
            <w:tcW w:w="0" w:type="auto"/>
            <w:vAlign w:val="center"/>
            <w:hideMark/>
          </w:tcPr>
          <w:p w14:paraId="7968BD51" w14:textId="1DFBAB21"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20/08/2019</w:t>
            </w:r>
          </w:p>
        </w:tc>
        <w:tc>
          <w:tcPr>
            <w:tcW w:w="0" w:type="auto"/>
            <w:vAlign w:val="center"/>
            <w:hideMark/>
          </w:tcPr>
          <w:p w14:paraId="4233B39A" w14:textId="5DB82B5C"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24/09/2019</w:t>
            </w:r>
          </w:p>
        </w:tc>
        <w:tc>
          <w:tcPr>
            <w:tcW w:w="0" w:type="auto"/>
            <w:vAlign w:val="center"/>
            <w:hideMark/>
          </w:tcPr>
          <w:p w14:paraId="547DF96E" w14:textId="1DC65D5B" w:rsidR="006A6AB2" w:rsidRPr="00FB7EA4" w:rsidRDefault="006A6AB2" w:rsidP="00C93E7B">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22/10/2019</w:t>
            </w:r>
          </w:p>
        </w:tc>
      </w:tr>
    </w:tbl>
    <w:p w14:paraId="5E06782C" w14:textId="1DC1B607" w:rsidR="003961D3" w:rsidRDefault="00094EB0" w:rsidP="00A90B93">
      <w:pPr>
        <w:pStyle w:val="Prrafodelista"/>
        <w:ind w:left="0"/>
        <w:contextualSpacing w:val="0"/>
        <w:rPr>
          <w:rStyle w:val="fontstyle01"/>
          <w:rFonts w:ascii="Arial" w:hAnsi="Arial" w:cs="Arial"/>
          <w:color w:val="auto"/>
        </w:rPr>
      </w:pPr>
      <w:r w:rsidRPr="006245B6">
        <w:rPr>
          <w:rStyle w:val="fontstyle01"/>
          <w:rFonts w:ascii="Arial" w:hAnsi="Arial" w:cs="Arial"/>
          <w:color w:val="auto"/>
        </w:rPr>
        <w:t xml:space="preserve"> </w:t>
      </w:r>
    </w:p>
    <w:p w14:paraId="393D0E9F" w14:textId="77777777" w:rsidR="004A2CA3" w:rsidRPr="004E08BF" w:rsidRDefault="002869E9" w:rsidP="00A90B93">
      <w:pPr>
        <w:pStyle w:val="Prrafodelista"/>
        <w:ind w:left="0"/>
        <w:contextualSpacing w:val="0"/>
        <w:rPr>
          <w:rFonts w:ascii="Arial" w:hAnsi="Arial" w:cs="Arial"/>
          <w:color w:val="000000"/>
          <w:sz w:val="22"/>
          <w:szCs w:val="22"/>
        </w:rPr>
      </w:pPr>
      <w:r w:rsidRPr="004E08BF">
        <w:rPr>
          <w:rFonts w:ascii="Arial" w:hAnsi="Arial" w:cs="Arial"/>
          <w:color w:val="000000"/>
          <w:sz w:val="22"/>
          <w:szCs w:val="22"/>
        </w:rPr>
        <w:t>Es</w:t>
      </w:r>
      <w:r w:rsidR="00000FCA" w:rsidRPr="004E08BF">
        <w:rPr>
          <w:rFonts w:ascii="Arial" w:hAnsi="Arial" w:cs="Arial"/>
          <w:color w:val="000000"/>
          <w:sz w:val="22"/>
          <w:szCs w:val="22"/>
        </w:rPr>
        <w:t xml:space="preserve"> de aclarar, que este Ministerio tiene establecido como política realizar el pago</w:t>
      </w:r>
      <w:r w:rsidRPr="004E08BF">
        <w:rPr>
          <w:rFonts w:ascii="Arial" w:hAnsi="Arial" w:cs="Arial"/>
          <w:color w:val="000000"/>
          <w:sz w:val="22"/>
          <w:szCs w:val="22"/>
        </w:rPr>
        <w:t xml:space="preserve"> por el valor </w:t>
      </w:r>
      <w:r w:rsidR="00000FCA" w:rsidRPr="004E08BF">
        <w:rPr>
          <w:rFonts w:ascii="Arial" w:hAnsi="Arial" w:cs="Arial"/>
          <w:color w:val="000000"/>
          <w:sz w:val="22"/>
          <w:szCs w:val="22"/>
        </w:rPr>
        <w:t>total factur</w:t>
      </w:r>
      <w:r w:rsidR="000242A7" w:rsidRPr="004E08BF">
        <w:rPr>
          <w:rFonts w:ascii="Arial" w:hAnsi="Arial" w:cs="Arial"/>
          <w:color w:val="000000"/>
          <w:sz w:val="22"/>
          <w:szCs w:val="22"/>
        </w:rPr>
        <w:t>ado</w:t>
      </w:r>
      <w:r w:rsidR="004A2CA3" w:rsidRPr="004E08BF">
        <w:rPr>
          <w:rFonts w:ascii="Arial" w:hAnsi="Arial" w:cs="Arial"/>
          <w:color w:val="000000"/>
          <w:sz w:val="22"/>
          <w:szCs w:val="22"/>
        </w:rPr>
        <w:t xml:space="preserve"> por servicio de energía de</w:t>
      </w:r>
      <w:r w:rsidRPr="004E08BF">
        <w:rPr>
          <w:rFonts w:ascii="Arial" w:hAnsi="Arial" w:cs="Arial"/>
          <w:color w:val="000000"/>
          <w:sz w:val="22"/>
          <w:szCs w:val="22"/>
        </w:rPr>
        <w:t xml:space="preserve"> cada mes de la sede de San Agustín, con el fin de evitar posibles atrasos </w:t>
      </w:r>
      <w:r w:rsidR="004A2CA3" w:rsidRPr="004E08BF">
        <w:rPr>
          <w:rFonts w:ascii="Arial" w:hAnsi="Arial" w:cs="Arial"/>
          <w:color w:val="000000"/>
          <w:sz w:val="22"/>
          <w:szCs w:val="22"/>
        </w:rPr>
        <w:t>que generen intereses de mora.</w:t>
      </w:r>
      <w:r w:rsidRPr="004E08BF">
        <w:rPr>
          <w:rFonts w:ascii="Arial" w:hAnsi="Arial" w:cs="Arial"/>
          <w:color w:val="000000"/>
          <w:sz w:val="22"/>
          <w:szCs w:val="22"/>
        </w:rPr>
        <w:t xml:space="preserve"> </w:t>
      </w:r>
    </w:p>
    <w:p w14:paraId="7666AD0B" w14:textId="77777777" w:rsidR="00080935" w:rsidRPr="00A003B6" w:rsidRDefault="00080935" w:rsidP="00C77DDE">
      <w:pPr>
        <w:pStyle w:val="Prrafodelista"/>
        <w:spacing w:line="168" w:lineRule="auto"/>
        <w:ind w:left="0"/>
        <w:contextualSpacing w:val="0"/>
        <w:rPr>
          <w:rFonts w:ascii="Arial" w:hAnsi="Arial" w:cs="Arial"/>
          <w:color w:val="000000"/>
          <w:sz w:val="22"/>
          <w:szCs w:val="22"/>
          <w:highlight w:val="yellow"/>
        </w:rPr>
      </w:pPr>
    </w:p>
    <w:p w14:paraId="61DFC803" w14:textId="40C7E4CB" w:rsidR="00F31FB5" w:rsidRPr="004E08BF" w:rsidRDefault="00324897" w:rsidP="00A90B93">
      <w:pPr>
        <w:pStyle w:val="Prrafodelista"/>
        <w:ind w:left="0"/>
        <w:contextualSpacing w:val="0"/>
        <w:rPr>
          <w:rFonts w:ascii="Arial" w:hAnsi="Arial" w:cs="Arial"/>
          <w:color w:val="000000"/>
          <w:sz w:val="22"/>
          <w:szCs w:val="22"/>
        </w:rPr>
      </w:pPr>
      <w:r w:rsidRPr="004E08BF">
        <w:rPr>
          <w:rFonts w:ascii="Arial" w:hAnsi="Arial" w:cs="Arial"/>
          <w:color w:val="000000"/>
          <w:sz w:val="22"/>
          <w:szCs w:val="22"/>
        </w:rPr>
        <w:t>E</w:t>
      </w:r>
      <w:r w:rsidR="00436DD6" w:rsidRPr="004E08BF">
        <w:rPr>
          <w:rFonts w:ascii="Arial" w:hAnsi="Arial" w:cs="Arial"/>
          <w:color w:val="000000"/>
          <w:sz w:val="22"/>
          <w:szCs w:val="22"/>
        </w:rPr>
        <w:t>l</w:t>
      </w:r>
      <w:r w:rsidR="002869E9" w:rsidRPr="004E08BF">
        <w:rPr>
          <w:rFonts w:ascii="Arial" w:hAnsi="Arial" w:cs="Arial"/>
          <w:color w:val="000000"/>
          <w:sz w:val="22"/>
          <w:szCs w:val="22"/>
        </w:rPr>
        <w:t xml:space="preserve"> análisis del </w:t>
      </w:r>
      <w:r w:rsidR="00436DD6" w:rsidRPr="004E08BF">
        <w:rPr>
          <w:rFonts w:ascii="Arial" w:hAnsi="Arial" w:cs="Arial"/>
          <w:color w:val="000000"/>
          <w:sz w:val="22"/>
          <w:szCs w:val="22"/>
        </w:rPr>
        <w:t>servicio de energía</w:t>
      </w:r>
      <w:r w:rsidR="004A2CA3" w:rsidRPr="004E08BF">
        <w:rPr>
          <w:rFonts w:ascii="Arial" w:hAnsi="Arial" w:cs="Arial"/>
          <w:color w:val="000000"/>
          <w:sz w:val="22"/>
          <w:szCs w:val="22"/>
        </w:rPr>
        <w:t>,</w:t>
      </w:r>
      <w:r w:rsidR="002869E9" w:rsidRPr="004E08BF">
        <w:rPr>
          <w:rFonts w:ascii="Arial" w:hAnsi="Arial" w:cs="Arial"/>
          <w:color w:val="000000"/>
          <w:sz w:val="22"/>
          <w:szCs w:val="22"/>
        </w:rPr>
        <w:t xml:space="preserve"> se realizó teniendo en cuenta </w:t>
      </w:r>
      <w:r w:rsidR="004A2CA3" w:rsidRPr="004E08BF">
        <w:rPr>
          <w:rFonts w:ascii="Arial" w:hAnsi="Arial" w:cs="Arial"/>
          <w:color w:val="000000"/>
          <w:sz w:val="22"/>
          <w:szCs w:val="22"/>
        </w:rPr>
        <w:t>la porción de</w:t>
      </w:r>
      <w:r w:rsidR="00E33B7E" w:rsidRPr="004E08BF">
        <w:rPr>
          <w:rFonts w:ascii="Arial" w:hAnsi="Arial" w:cs="Arial"/>
          <w:color w:val="000000"/>
          <w:sz w:val="22"/>
          <w:szCs w:val="22"/>
        </w:rPr>
        <w:t xml:space="preserve">l valor facturado y el </w:t>
      </w:r>
      <w:r w:rsidR="00860405" w:rsidRPr="004E08BF">
        <w:rPr>
          <w:rFonts w:ascii="Arial" w:hAnsi="Arial" w:cs="Arial"/>
          <w:color w:val="000000"/>
          <w:sz w:val="22"/>
          <w:szCs w:val="22"/>
        </w:rPr>
        <w:t xml:space="preserve">consumo </w:t>
      </w:r>
      <w:r w:rsidR="00E33B7E" w:rsidRPr="004E08BF">
        <w:rPr>
          <w:rFonts w:ascii="Arial" w:hAnsi="Arial" w:cs="Arial"/>
          <w:color w:val="000000"/>
          <w:sz w:val="22"/>
          <w:szCs w:val="22"/>
        </w:rPr>
        <w:t xml:space="preserve">que le corresponde a </w:t>
      </w:r>
      <w:r w:rsidR="00860405" w:rsidRPr="004E08BF">
        <w:rPr>
          <w:rFonts w:ascii="Arial" w:hAnsi="Arial" w:cs="Arial"/>
          <w:color w:val="000000"/>
          <w:sz w:val="22"/>
          <w:szCs w:val="22"/>
        </w:rPr>
        <w:t>este Ministerio</w:t>
      </w:r>
      <w:r w:rsidR="00434988" w:rsidRPr="004E08BF">
        <w:rPr>
          <w:rFonts w:ascii="Arial" w:hAnsi="Arial" w:cs="Arial"/>
          <w:color w:val="000000"/>
          <w:sz w:val="22"/>
          <w:szCs w:val="22"/>
        </w:rPr>
        <w:t>, s</w:t>
      </w:r>
      <w:r w:rsidR="00860405" w:rsidRPr="004E08BF">
        <w:rPr>
          <w:rFonts w:ascii="Arial" w:hAnsi="Arial" w:cs="Arial"/>
          <w:color w:val="000000"/>
          <w:sz w:val="22"/>
          <w:szCs w:val="22"/>
        </w:rPr>
        <w:t>egún la información enviada por la Subdirección de Servicios</w:t>
      </w:r>
      <w:r w:rsidR="00434988" w:rsidRPr="004E08BF">
        <w:rPr>
          <w:rFonts w:ascii="Arial" w:hAnsi="Arial" w:cs="Arial"/>
          <w:color w:val="000000"/>
          <w:sz w:val="22"/>
          <w:szCs w:val="22"/>
        </w:rPr>
        <w:t xml:space="preserve"> correspondiente a </w:t>
      </w:r>
      <w:r w:rsidR="006C18CA" w:rsidRPr="004E08BF">
        <w:rPr>
          <w:rFonts w:ascii="Arial" w:hAnsi="Arial" w:cs="Arial"/>
          <w:color w:val="000000"/>
          <w:sz w:val="22"/>
          <w:szCs w:val="22"/>
        </w:rPr>
        <w:t>las sedes de San Ag</w:t>
      </w:r>
      <w:r w:rsidR="00434988" w:rsidRPr="004E08BF">
        <w:rPr>
          <w:rFonts w:ascii="Arial" w:hAnsi="Arial" w:cs="Arial"/>
          <w:color w:val="000000"/>
          <w:sz w:val="22"/>
          <w:szCs w:val="22"/>
        </w:rPr>
        <w:t xml:space="preserve">ustín y Casas de Santa Bárbara para el </w:t>
      </w:r>
      <w:r w:rsidR="00B40DA8">
        <w:rPr>
          <w:rFonts w:ascii="Arial" w:hAnsi="Arial" w:cs="Arial"/>
          <w:color w:val="000000"/>
          <w:sz w:val="22"/>
          <w:szCs w:val="22"/>
        </w:rPr>
        <w:t xml:space="preserve">tercer </w:t>
      </w:r>
      <w:r w:rsidR="00B40DA8" w:rsidRPr="004E08BF">
        <w:rPr>
          <w:rFonts w:ascii="Arial" w:hAnsi="Arial" w:cs="Arial"/>
          <w:color w:val="000000"/>
          <w:sz w:val="22"/>
          <w:szCs w:val="22"/>
        </w:rPr>
        <w:t>trimestre</w:t>
      </w:r>
      <w:r w:rsidR="00434988" w:rsidRPr="004E08BF">
        <w:rPr>
          <w:rFonts w:ascii="Arial" w:hAnsi="Arial" w:cs="Arial"/>
          <w:color w:val="000000"/>
          <w:sz w:val="22"/>
          <w:szCs w:val="22"/>
        </w:rPr>
        <w:t xml:space="preserve"> de 2019 y 2018. </w:t>
      </w:r>
      <w:r w:rsidR="00F31FB5" w:rsidRPr="004E08BF">
        <w:rPr>
          <w:rFonts w:ascii="Arial" w:hAnsi="Arial" w:cs="Arial"/>
          <w:color w:val="000000"/>
          <w:sz w:val="22"/>
          <w:szCs w:val="22"/>
        </w:rPr>
        <w:t xml:space="preserve">A continuación, se presenta el resultado obtenido: </w:t>
      </w:r>
    </w:p>
    <w:p w14:paraId="10E25876" w14:textId="77777777" w:rsidR="00346269" w:rsidRDefault="00346269" w:rsidP="00A90B93">
      <w:pPr>
        <w:pStyle w:val="Prrafodelista"/>
        <w:ind w:left="0"/>
        <w:contextualSpacing w:val="0"/>
        <w:rPr>
          <w:rFonts w:ascii="Arial" w:hAnsi="Arial" w:cs="Arial"/>
          <w:color w:val="000000"/>
          <w:sz w:val="22"/>
          <w:szCs w:val="22"/>
          <w:highlight w:val="yellow"/>
        </w:rPr>
      </w:pPr>
    </w:p>
    <w:p w14:paraId="267455ED" w14:textId="468D7FDF" w:rsidR="00425AB1" w:rsidRPr="00346269" w:rsidRDefault="00425AB1" w:rsidP="00346269">
      <w:pPr>
        <w:pStyle w:val="Prrafodelista"/>
        <w:numPr>
          <w:ilvl w:val="0"/>
          <w:numId w:val="23"/>
        </w:numPr>
        <w:rPr>
          <w:rFonts w:ascii="Arial" w:hAnsi="Arial" w:cs="Arial"/>
          <w:b/>
          <w:color w:val="000000" w:themeColor="text1"/>
          <w:sz w:val="22"/>
          <w:szCs w:val="22"/>
        </w:rPr>
      </w:pPr>
      <w:r w:rsidRPr="00346269">
        <w:rPr>
          <w:rFonts w:ascii="Arial" w:hAnsi="Arial" w:cs="Arial"/>
          <w:b/>
          <w:color w:val="000000" w:themeColor="text1"/>
          <w:sz w:val="22"/>
          <w:szCs w:val="22"/>
        </w:rPr>
        <w:lastRenderedPageBreak/>
        <w:t xml:space="preserve">SEDE EDIFICIO SAN AGUSTIN </w:t>
      </w:r>
    </w:p>
    <w:p w14:paraId="3D6F76E9" w14:textId="73B88F29" w:rsidR="00425AB1" w:rsidRDefault="00425AB1" w:rsidP="00425AB1">
      <w:pPr>
        <w:pStyle w:val="Prrafodelista"/>
        <w:ind w:left="360"/>
        <w:contextualSpacing w:val="0"/>
        <w:rPr>
          <w:rFonts w:ascii="Arial" w:hAnsi="Arial" w:cs="Arial"/>
          <w:b/>
          <w:color w:val="000000" w:themeColor="text1"/>
          <w:sz w:val="22"/>
          <w:szCs w:val="22"/>
        </w:rPr>
      </w:pPr>
    </w:p>
    <w:p w14:paraId="0A590644" w14:textId="0CE09B05" w:rsidR="00425AB1" w:rsidRDefault="00425AB1" w:rsidP="00425AB1">
      <w:pPr>
        <w:pStyle w:val="Prrafodelista"/>
        <w:ind w:left="360"/>
        <w:contextualSpacing w:val="0"/>
        <w:rPr>
          <w:rFonts w:ascii="Arial" w:hAnsi="Arial" w:cs="Arial"/>
          <w:b/>
          <w:color w:val="000000" w:themeColor="text1"/>
          <w:sz w:val="22"/>
          <w:szCs w:val="22"/>
        </w:rPr>
      </w:pPr>
      <w:r w:rsidRPr="00425AB1">
        <w:rPr>
          <w:rFonts w:ascii="Arial" w:hAnsi="Arial" w:cs="Arial"/>
          <w:color w:val="000000"/>
          <w:sz w:val="22"/>
          <w:szCs w:val="22"/>
        </w:rPr>
        <w:t xml:space="preserve">En lo que respecta a la sede San Agustín, el consumo de kilovatios y el valor facturado por el servicio de energía en el </w:t>
      </w:r>
      <w:r>
        <w:rPr>
          <w:rFonts w:ascii="Arial" w:hAnsi="Arial" w:cs="Arial"/>
          <w:color w:val="000000"/>
          <w:sz w:val="22"/>
          <w:szCs w:val="22"/>
        </w:rPr>
        <w:t xml:space="preserve">tercer </w:t>
      </w:r>
      <w:r w:rsidRPr="00425AB1">
        <w:rPr>
          <w:rFonts w:ascii="Arial" w:hAnsi="Arial" w:cs="Arial"/>
          <w:color w:val="000000"/>
          <w:sz w:val="22"/>
          <w:szCs w:val="22"/>
        </w:rPr>
        <w:t xml:space="preserve">trimestre de 2019 comparado con el mismo periodo de la vigencia 2018, presentó </w:t>
      </w:r>
      <w:r w:rsidRPr="00425AB1">
        <w:rPr>
          <w:rFonts w:ascii="Arial" w:hAnsi="Arial" w:cs="Arial"/>
          <w:b/>
          <w:color w:val="000000"/>
          <w:sz w:val="22"/>
          <w:szCs w:val="22"/>
        </w:rPr>
        <w:t>variaciones negativas</w:t>
      </w:r>
      <w:r w:rsidRPr="00425AB1">
        <w:rPr>
          <w:rFonts w:ascii="Arial" w:hAnsi="Arial" w:cs="Arial"/>
          <w:color w:val="000000"/>
          <w:sz w:val="22"/>
          <w:szCs w:val="22"/>
        </w:rPr>
        <w:t xml:space="preserve"> en los tres meses analizados. De lo anterior, se deduce que la disminución en el valor facturado está directamente relacionada con el ahorro observado en el número de kilovatios consumidos en el periodo objeto de verificación. Analizando de forma global, el consumo en kilovatios y el valor facturado de la sede San Agustín </w:t>
      </w:r>
      <w:r w:rsidRPr="00425AB1">
        <w:rPr>
          <w:rFonts w:ascii="Arial" w:hAnsi="Arial" w:cs="Arial"/>
          <w:b/>
          <w:color w:val="000000"/>
          <w:sz w:val="22"/>
          <w:szCs w:val="22"/>
        </w:rPr>
        <w:t>disminuyeron</w:t>
      </w:r>
      <w:r w:rsidRPr="00425AB1">
        <w:rPr>
          <w:rFonts w:ascii="Arial" w:hAnsi="Arial" w:cs="Arial"/>
          <w:color w:val="000000"/>
          <w:sz w:val="22"/>
          <w:szCs w:val="22"/>
        </w:rPr>
        <w:t xml:space="preserve"> el </w:t>
      </w:r>
      <w:r>
        <w:rPr>
          <w:rFonts w:ascii="Arial" w:hAnsi="Arial" w:cs="Arial"/>
          <w:color w:val="000000"/>
          <w:sz w:val="22"/>
          <w:szCs w:val="22"/>
        </w:rPr>
        <w:t>8</w:t>
      </w:r>
      <w:r w:rsidRPr="00425AB1">
        <w:rPr>
          <w:rFonts w:ascii="Arial" w:hAnsi="Arial" w:cs="Arial"/>
          <w:color w:val="000000"/>
          <w:sz w:val="22"/>
          <w:szCs w:val="22"/>
        </w:rPr>
        <w:t xml:space="preserve">% y el </w:t>
      </w:r>
      <w:r>
        <w:rPr>
          <w:rFonts w:ascii="Arial" w:hAnsi="Arial" w:cs="Arial"/>
          <w:color w:val="000000"/>
          <w:sz w:val="22"/>
          <w:szCs w:val="22"/>
        </w:rPr>
        <w:t>9</w:t>
      </w:r>
      <w:r w:rsidRPr="00425AB1">
        <w:rPr>
          <w:rFonts w:ascii="Arial" w:hAnsi="Arial" w:cs="Arial"/>
          <w:color w:val="000000"/>
          <w:sz w:val="22"/>
          <w:szCs w:val="22"/>
        </w:rPr>
        <w:t>%, respectivamente.</w:t>
      </w:r>
    </w:p>
    <w:p w14:paraId="5D9BC16D" w14:textId="77777777" w:rsidR="00425AB1" w:rsidRPr="00A003B6" w:rsidRDefault="00425AB1" w:rsidP="00A90B93">
      <w:pPr>
        <w:pStyle w:val="Prrafodelista"/>
        <w:ind w:left="0"/>
        <w:contextualSpacing w:val="0"/>
        <w:rPr>
          <w:rFonts w:ascii="Arial" w:hAnsi="Arial" w:cs="Arial"/>
          <w:color w:val="000000"/>
          <w:sz w:val="22"/>
          <w:szCs w:val="22"/>
          <w:highlight w:val="yellow"/>
        </w:rPr>
      </w:pPr>
    </w:p>
    <w:tbl>
      <w:tblPr>
        <w:tblStyle w:val="Tabladecuadrcula1clara-nfasis1"/>
        <w:tblW w:w="0" w:type="auto"/>
        <w:tblInd w:w="421" w:type="dxa"/>
        <w:tblLayout w:type="fixed"/>
        <w:tblLook w:val="04A0" w:firstRow="1" w:lastRow="0" w:firstColumn="1" w:lastColumn="0" w:noHBand="0" w:noVBand="1"/>
      </w:tblPr>
      <w:tblGrid>
        <w:gridCol w:w="1417"/>
        <w:gridCol w:w="1276"/>
        <w:gridCol w:w="992"/>
        <w:gridCol w:w="1276"/>
        <w:gridCol w:w="1276"/>
        <w:gridCol w:w="1417"/>
        <w:gridCol w:w="1559"/>
      </w:tblGrid>
      <w:tr w:rsidR="003050BC" w:rsidRPr="00A003B6" w14:paraId="131AB045" w14:textId="77777777" w:rsidTr="00425AB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213" w:type="dxa"/>
            <w:gridSpan w:val="7"/>
            <w:shd w:val="clear" w:color="auto" w:fill="4F81BD" w:themeFill="accent1"/>
            <w:vAlign w:val="center"/>
            <w:hideMark/>
          </w:tcPr>
          <w:p w14:paraId="07AD0162" w14:textId="4F3114B9" w:rsidR="003050BC" w:rsidRPr="00E24AB2" w:rsidRDefault="003050BC" w:rsidP="006C644E">
            <w:pPr>
              <w:spacing w:before="80" w:after="80"/>
              <w:jc w:val="center"/>
              <w:rPr>
                <w:rFonts w:ascii="Arial" w:hAnsi="Arial" w:cs="Arial"/>
                <w:color w:val="FFFFFF" w:themeColor="background1"/>
                <w:sz w:val="20"/>
                <w:szCs w:val="20"/>
              </w:rPr>
            </w:pPr>
            <w:r w:rsidRPr="00E24AB2">
              <w:rPr>
                <w:rFonts w:ascii="Arial" w:hAnsi="Arial" w:cs="Arial"/>
                <w:color w:val="FFFFFF" w:themeColor="background1"/>
                <w:sz w:val="20"/>
                <w:szCs w:val="20"/>
              </w:rPr>
              <w:t>Variaciones Energía II</w:t>
            </w:r>
            <w:r w:rsidR="00B62703">
              <w:rPr>
                <w:rFonts w:ascii="Arial" w:hAnsi="Arial" w:cs="Arial"/>
                <w:color w:val="FFFFFF" w:themeColor="background1"/>
                <w:sz w:val="20"/>
                <w:szCs w:val="20"/>
              </w:rPr>
              <w:t>I</w:t>
            </w:r>
            <w:r w:rsidRPr="00E24AB2">
              <w:rPr>
                <w:rFonts w:ascii="Arial" w:hAnsi="Arial" w:cs="Arial"/>
                <w:color w:val="FFFFFF" w:themeColor="background1"/>
                <w:sz w:val="20"/>
                <w:szCs w:val="20"/>
              </w:rPr>
              <w:t xml:space="preserve"> Trimestre de 2019</w:t>
            </w:r>
          </w:p>
        </w:tc>
      </w:tr>
      <w:tr w:rsidR="003050BC" w:rsidRPr="00A003B6" w14:paraId="71C023B9" w14:textId="77777777" w:rsidTr="00425AB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7" w:type="dxa"/>
            <w:shd w:val="clear" w:color="auto" w:fill="4F81BD" w:themeFill="accent1"/>
            <w:vAlign w:val="center"/>
            <w:hideMark/>
          </w:tcPr>
          <w:p w14:paraId="01E90C3B" w14:textId="77777777" w:rsidR="003050BC" w:rsidRPr="0073420E" w:rsidRDefault="003050BC" w:rsidP="006C644E">
            <w:pPr>
              <w:spacing w:before="80" w:after="80"/>
              <w:jc w:val="center"/>
              <w:rPr>
                <w:rFonts w:ascii="Arial" w:hAnsi="Arial" w:cs="Arial"/>
                <w:b w:val="0"/>
                <w:color w:val="000000"/>
                <w:sz w:val="20"/>
                <w:szCs w:val="20"/>
              </w:rPr>
            </w:pPr>
            <w:r w:rsidRPr="0073420E">
              <w:rPr>
                <w:rFonts w:ascii="Arial" w:hAnsi="Arial" w:cs="Arial"/>
                <w:b w:val="0"/>
                <w:color w:val="FFFFFF" w:themeColor="background1"/>
                <w:sz w:val="20"/>
                <w:szCs w:val="20"/>
              </w:rPr>
              <w:t>Sede</w:t>
            </w:r>
          </w:p>
        </w:tc>
        <w:tc>
          <w:tcPr>
            <w:tcW w:w="1276" w:type="dxa"/>
            <w:shd w:val="clear" w:color="auto" w:fill="4F81BD" w:themeFill="accent1"/>
            <w:vAlign w:val="center"/>
            <w:hideMark/>
          </w:tcPr>
          <w:p w14:paraId="6486D9A5" w14:textId="77777777" w:rsidR="003050BC" w:rsidRPr="0073420E" w:rsidRDefault="003050BC" w:rsidP="006C644E">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73420E">
              <w:rPr>
                <w:rFonts w:ascii="Arial" w:hAnsi="Arial" w:cs="Arial"/>
                <w:b w:val="0"/>
                <w:bCs w:val="0"/>
                <w:color w:val="FFFFFF" w:themeColor="background1"/>
                <w:sz w:val="20"/>
                <w:szCs w:val="20"/>
              </w:rPr>
              <w:t>Concepto</w:t>
            </w:r>
          </w:p>
        </w:tc>
        <w:tc>
          <w:tcPr>
            <w:tcW w:w="992" w:type="dxa"/>
            <w:shd w:val="clear" w:color="auto" w:fill="4F81BD" w:themeFill="accent1"/>
            <w:vAlign w:val="center"/>
            <w:hideMark/>
          </w:tcPr>
          <w:p w14:paraId="24588136" w14:textId="77777777" w:rsidR="003050BC" w:rsidRPr="0073420E" w:rsidRDefault="003050BC" w:rsidP="006C644E">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73420E">
              <w:rPr>
                <w:rFonts w:ascii="Arial" w:hAnsi="Arial" w:cs="Arial"/>
                <w:b w:val="0"/>
                <w:bCs w:val="0"/>
                <w:color w:val="FFFFFF" w:themeColor="background1"/>
                <w:sz w:val="20"/>
                <w:szCs w:val="20"/>
              </w:rPr>
              <w:t>Vigencia</w:t>
            </w:r>
          </w:p>
        </w:tc>
        <w:tc>
          <w:tcPr>
            <w:tcW w:w="1276" w:type="dxa"/>
            <w:shd w:val="clear" w:color="auto" w:fill="4F81BD" w:themeFill="accent1"/>
            <w:vAlign w:val="center"/>
            <w:hideMark/>
          </w:tcPr>
          <w:p w14:paraId="7261BF2B" w14:textId="18347A99" w:rsidR="003050BC" w:rsidRPr="0073420E" w:rsidRDefault="00B62703" w:rsidP="006C644E">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73420E">
              <w:rPr>
                <w:rFonts w:ascii="Arial" w:hAnsi="Arial" w:cs="Arial"/>
                <w:b w:val="0"/>
                <w:bCs w:val="0"/>
                <w:color w:val="FFFFFF" w:themeColor="background1"/>
                <w:sz w:val="20"/>
                <w:szCs w:val="20"/>
              </w:rPr>
              <w:t>Julio</w:t>
            </w:r>
          </w:p>
        </w:tc>
        <w:tc>
          <w:tcPr>
            <w:tcW w:w="1276" w:type="dxa"/>
            <w:shd w:val="clear" w:color="auto" w:fill="4F81BD" w:themeFill="accent1"/>
            <w:vAlign w:val="center"/>
            <w:hideMark/>
          </w:tcPr>
          <w:p w14:paraId="2AEFCA8F" w14:textId="69C92057" w:rsidR="003050BC" w:rsidRPr="0073420E" w:rsidRDefault="00B62703" w:rsidP="006C644E">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73420E">
              <w:rPr>
                <w:rFonts w:ascii="Arial" w:hAnsi="Arial" w:cs="Arial"/>
                <w:b w:val="0"/>
                <w:bCs w:val="0"/>
                <w:color w:val="FFFFFF" w:themeColor="background1"/>
                <w:sz w:val="20"/>
                <w:szCs w:val="20"/>
              </w:rPr>
              <w:t>Agosto</w:t>
            </w:r>
          </w:p>
        </w:tc>
        <w:tc>
          <w:tcPr>
            <w:tcW w:w="1417" w:type="dxa"/>
            <w:shd w:val="clear" w:color="auto" w:fill="4F81BD" w:themeFill="accent1"/>
            <w:vAlign w:val="center"/>
            <w:hideMark/>
          </w:tcPr>
          <w:p w14:paraId="4C3AA631" w14:textId="687CB341" w:rsidR="003050BC" w:rsidRPr="0073420E" w:rsidRDefault="00B62703" w:rsidP="006C644E">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73420E">
              <w:rPr>
                <w:rFonts w:ascii="Arial" w:hAnsi="Arial" w:cs="Arial"/>
                <w:b w:val="0"/>
                <w:bCs w:val="0"/>
                <w:color w:val="FFFFFF" w:themeColor="background1"/>
                <w:sz w:val="20"/>
                <w:szCs w:val="20"/>
              </w:rPr>
              <w:t xml:space="preserve">Septiembre </w:t>
            </w:r>
          </w:p>
        </w:tc>
        <w:tc>
          <w:tcPr>
            <w:tcW w:w="1559" w:type="dxa"/>
            <w:shd w:val="clear" w:color="auto" w:fill="4F81BD" w:themeFill="accent1"/>
            <w:vAlign w:val="center"/>
            <w:hideMark/>
          </w:tcPr>
          <w:p w14:paraId="01068244" w14:textId="65ADD48B" w:rsidR="003050BC" w:rsidRPr="0073420E" w:rsidRDefault="003050BC" w:rsidP="006C644E">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73420E">
              <w:rPr>
                <w:rFonts w:ascii="Arial" w:hAnsi="Arial" w:cs="Arial"/>
                <w:b w:val="0"/>
                <w:bCs w:val="0"/>
                <w:color w:val="FFFFFF" w:themeColor="background1"/>
                <w:sz w:val="20"/>
                <w:szCs w:val="20"/>
              </w:rPr>
              <w:t>T</w:t>
            </w:r>
            <w:r w:rsidR="00B62703" w:rsidRPr="0073420E">
              <w:rPr>
                <w:rFonts w:ascii="Arial" w:hAnsi="Arial" w:cs="Arial"/>
                <w:b w:val="0"/>
                <w:bCs w:val="0"/>
                <w:color w:val="FFFFFF" w:themeColor="background1"/>
                <w:sz w:val="20"/>
                <w:szCs w:val="20"/>
              </w:rPr>
              <w:t xml:space="preserve">otal III </w:t>
            </w:r>
            <w:r w:rsidRPr="0073420E">
              <w:rPr>
                <w:rFonts w:ascii="Arial" w:hAnsi="Arial" w:cs="Arial"/>
                <w:b w:val="0"/>
                <w:bCs w:val="0"/>
                <w:color w:val="FFFFFF" w:themeColor="background1"/>
                <w:sz w:val="20"/>
                <w:szCs w:val="20"/>
              </w:rPr>
              <w:t>Trimestre</w:t>
            </w:r>
          </w:p>
        </w:tc>
      </w:tr>
      <w:tr w:rsidR="008506DC" w:rsidRPr="00A003B6" w14:paraId="7F0ED715" w14:textId="77777777" w:rsidTr="00425AB1">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vAlign w:val="center"/>
            <w:hideMark/>
          </w:tcPr>
          <w:p w14:paraId="732752D0" w14:textId="77777777" w:rsidR="008506DC" w:rsidRPr="00E24AB2" w:rsidRDefault="008506DC" w:rsidP="006C644E">
            <w:pPr>
              <w:spacing w:before="80" w:after="80"/>
              <w:jc w:val="center"/>
              <w:rPr>
                <w:rFonts w:ascii="Arial" w:hAnsi="Arial" w:cs="Arial"/>
                <w:color w:val="0F243E" w:themeColor="text2" w:themeShade="80"/>
                <w:sz w:val="20"/>
                <w:szCs w:val="20"/>
              </w:rPr>
            </w:pPr>
            <w:r w:rsidRPr="00E24AB2">
              <w:rPr>
                <w:rFonts w:ascii="Arial" w:hAnsi="Arial" w:cs="Arial"/>
                <w:color w:val="0F243E" w:themeColor="text2" w:themeShade="80"/>
                <w:sz w:val="20"/>
                <w:szCs w:val="20"/>
              </w:rPr>
              <w:t>Edificio San Agustín</w:t>
            </w:r>
          </w:p>
        </w:tc>
        <w:tc>
          <w:tcPr>
            <w:tcW w:w="1276" w:type="dxa"/>
            <w:vMerge w:val="restart"/>
            <w:vAlign w:val="center"/>
            <w:hideMark/>
          </w:tcPr>
          <w:p w14:paraId="46A0DC70" w14:textId="77777777" w:rsidR="008506DC" w:rsidRPr="008506DC" w:rsidRDefault="008506D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06DC">
              <w:rPr>
                <w:rFonts w:ascii="Arial" w:hAnsi="Arial" w:cs="Arial"/>
                <w:color w:val="0F243E" w:themeColor="text2" w:themeShade="80"/>
                <w:sz w:val="20"/>
                <w:szCs w:val="20"/>
              </w:rPr>
              <w:t>Consumo Energía Kw/h</w:t>
            </w:r>
          </w:p>
        </w:tc>
        <w:tc>
          <w:tcPr>
            <w:tcW w:w="992" w:type="dxa"/>
            <w:vAlign w:val="center"/>
            <w:hideMark/>
          </w:tcPr>
          <w:p w14:paraId="24359DAA" w14:textId="77777777" w:rsidR="008506DC" w:rsidRPr="008506DC" w:rsidRDefault="008506D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06DC">
              <w:rPr>
                <w:rFonts w:ascii="Arial" w:hAnsi="Arial" w:cs="Arial"/>
                <w:color w:val="0F243E" w:themeColor="text2" w:themeShade="80"/>
                <w:sz w:val="20"/>
                <w:szCs w:val="20"/>
              </w:rPr>
              <w:t>2019</w:t>
            </w:r>
          </w:p>
        </w:tc>
        <w:tc>
          <w:tcPr>
            <w:tcW w:w="1276" w:type="dxa"/>
            <w:vAlign w:val="center"/>
          </w:tcPr>
          <w:p w14:paraId="37EE4898" w14:textId="4700D9A0" w:rsidR="008506DC" w:rsidRPr="008506DC" w:rsidRDefault="008506D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506DC">
              <w:rPr>
                <w:rFonts w:ascii="Arial" w:hAnsi="Arial" w:cs="Arial"/>
                <w:color w:val="0F243E" w:themeColor="text2" w:themeShade="80"/>
                <w:sz w:val="20"/>
                <w:szCs w:val="20"/>
              </w:rPr>
              <w:t>321.809</w:t>
            </w:r>
          </w:p>
        </w:tc>
        <w:tc>
          <w:tcPr>
            <w:tcW w:w="1276" w:type="dxa"/>
            <w:vAlign w:val="center"/>
          </w:tcPr>
          <w:p w14:paraId="4B63ADC9" w14:textId="08CBF4E6" w:rsidR="008506DC" w:rsidRPr="008506DC" w:rsidRDefault="008506D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506DC">
              <w:rPr>
                <w:rFonts w:ascii="Arial" w:hAnsi="Arial" w:cs="Arial"/>
                <w:color w:val="0F243E" w:themeColor="text2" w:themeShade="80"/>
                <w:sz w:val="20"/>
                <w:szCs w:val="20"/>
              </w:rPr>
              <w:t>333.078</w:t>
            </w:r>
          </w:p>
        </w:tc>
        <w:tc>
          <w:tcPr>
            <w:tcW w:w="1417" w:type="dxa"/>
            <w:vAlign w:val="center"/>
          </w:tcPr>
          <w:p w14:paraId="4A0EC532" w14:textId="1B195BB2" w:rsidR="008506DC" w:rsidRPr="008506DC" w:rsidRDefault="008506D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506DC">
              <w:rPr>
                <w:rFonts w:ascii="Arial" w:hAnsi="Arial" w:cs="Arial"/>
                <w:color w:val="0F243E" w:themeColor="text2" w:themeShade="80"/>
                <w:sz w:val="20"/>
                <w:szCs w:val="20"/>
              </w:rPr>
              <w:t>326.817</w:t>
            </w:r>
          </w:p>
        </w:tc>
        <w:tc>
          <w:tcPr>
            <w:tcW w:w="1559" w:type="dxa"/>
            <w:vAlign w:val="center"/>
          </w:tcPr>
          <w:p w14:paraId="33AFEC73" w14:textId="6F644305" w:rsidR="008506DC" w:rsidRPr="008506DC" w:rsidRDefault="008506D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506DC">
              <w:rPr>
                <w:rFonts w:ascii="Arial" w:hAnsi="Arial" w:cs="Arial"/>
                <w:b/>
                <w:bCs/>
                <w:color w:val="0F243E" w:themeColor="text2" w:themeShade="80"/>
                <w:sz w:val="20"/>
                <w:szCs w:val="20"/>
              </w:rPr>
              <w:t>981.704</w:t>
            </w:r>
          </w:p>
        </w:tc>
      </w:tr>
      <w:tr w:rsidR="008506DC" w:rsidRPr="00A003B6" w14:paraId="4278B0CA" w14:textId="77777777" w:rsidTr="00425AB1">
        <w:trPr>
          <w:cantSplit/>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775E42A0" w14:textId="77777777" w:rsidR="008506DC" w:rsidRPr="00E24AB2" w:rsidRDefault="008506DC" w:rsidP="006C644E">
            <w:pPr>
              <w:spacing w:before="80" w:after="80"/>
              <w:rPr>
                <w:rFonts w:ascii="Arial" w:hAnsi="Arial" w:cs="Arial"/>
                <w:color w:val="0F243E" w:themeColor="text2" w:themeShade="80"/>
                <w:sz w:val="20"/>
                <w:szCs w:val="20"/>
              </w:rPr>
            </w:pPr>
          </w:p>
        </w:tc>
        <w:tc>
          <w:tcPr>
            <w:tcW w:w="1276" w:type="dxa"/>
            <w:vMerge/>
            <w:vAlign w:val="center"/>
            <w:hideMark/>
          </w:tcPr>
          <w:p w14:paraId="762EFA05" w14:textId="77777777" w:rsidR="008506DC" w:rsidRPr="008506DC" w:rsidRDefault="008506DC" w:rsidP="006C644E">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992" w:type="dxa"/>
            <w:vAlign w:val="center"/>
            <w:hideMark/>
          </w:tcPr>
          <w:p w14:paraId="033A8270" w14:textId="77777777" w:rsidR="008506DC" w:rsidRPr="008506DC" w:rsidRDefault="008506D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06DC">
              <w:rPr>
                <w:rFonts w:ascii="Arial" w:hAnsi="Arial" w:cs="Arial"/>
                <w:color w:val="0F243E" w:themeColor="text2" w:themeShade="80"/>
                <w:sz w:val="20"/>
                <w:szCs w:val="20"/>
              </w:rPr>
              <w:t>2018</w:t>
            </w:r>
          </w:p>
        </w:tc>
        <w:tc>
          <w:tcPr>
            <w:tcW w:w="1276" w:type="dxa"/>
            <w:vAlign w:val="center"/>
          </w:tcPr>
          <w:p w14:paraId="76AAB676" w14:textId="06A9A453" w:rsidR="008506DC" w:rsidRPr="008506DC" w:rsidRDefault="008506D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06DC">
              <w:rPr>
                <w:rFonts w:ascii="Arial" w:hAnsi="Arial" w:cs="Arial"/>
                <w:color w:val="0F243E" w:themeColor="text2" w:themeShade="80"/>
                <w:sz w:val="20"/>
                <w:szCs w:val="20"/>
              </w:rPr>
              <w:t>351.861</w:t>
            </w:r>
          </w:p>
        </w:tc>
        <w:tc>
          <w:tcPr>
            <w:tcW w:w="1276" w:type="dxa"/>
            <w:vAlign w:val="center"/>
          </w:tcPr>
          <w:p w14:paraId="0E26BA6B" w14:textId="137ED0D5" w:rsidR="008506DC" w:rsidRPr="008506DC" w:rsidRDefault="008506D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06DC">
              <w:rPr>
                <w:rFonts w:ascii="Arial" w:hAnsi="Arial" w:cs="Arial"/>
                <w:color w:val="0F243E" w:themeColor="text2" w:themeShade="80"/>
                <w:sz w:val="20"/>
                <w:szCs w:val="20"/>
              </w:rPr>
              <w:t>363.130</w:t>
            </w:r>
          </w:p>
        </w:tc>
        <w:tc>
          <w:tcPr>
            <w:tcW w:w="1417" w:type="dxa"/>
            <w:vAlign w:val="center"/>
          </w:tcPr>
          <w:p w14:paraId="7ECA547D" w14:textId="36DF7E20" w:rsidR="008506DC" w:rsidRPr="008506DC" w:rsidRDefault="008506D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506DC">
              <w:rPr>
                <w:rFonts w:ascii="Arial" w:hAnsi="Arial" w:cs="Arial"/>
                <w:color w:val="0F243E" w:themeColor="text2" w:themeShade="80"/>
                <w:sz w:val="20"/>
                <w:szCs w:val="20"/>
              </w:rPr>
              <w:t>350.609</w:t>
            </w:r>
          </w:p>
        </w:tc>
        <w:tc>
          <w:tcPr>
            <w:tcW w:w="1559" w:type="dxa"/>
            <w:vAlign w:val="center"/>
          </w:tcPr>
          <w:p w14:paraId="33183366" w14:textId="746C076E" w:rsidR="008506DC" w:rsidRPr="008506DC" w:rsidRDefault="008506D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506DC">
              <w:rPr>
                <w:rFonts w:ascii="Arial" w:hAnsi="Arial" w:cs="Arial"/>
                <w:b/>
                <w:bCs/>
                <w:color w:val="0F243E" w:themeColor="text2" w:themeShade="80"/>
                <w:sz w:val="20"/>
                <w:szCs w:val="20"/>
              </w:rPr>
              <w:t>1.065.600</w:t>
            </w:r>
          </w:p>
        </w:tc>
      </w:tr>
      <w:tr w:rsidR="008506DC" w:rsidRPr="00A003B6" w14:paraId="236BACDC" w14:textId="77777777" w:rsidTr="00425AB1">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shd w:val="clear" w:color="auto" w:fill="4F81BD" w:themeFill="accent1"/>
            <w:vAlign w:val="center"/>
            <w:hideMark/>
          </w:tcPr>
          <w:p w14:paraId="2B22FBF8" w14:textId="77777777" w:rsidR="008506DC" w:rsidRPr="00E24AB2" w:rsidRDefault="008506DC" w:rsidP="006C644E">
            <w:pPr>
              <w:spacing w:before="80" w:after="80"/>
              <w:jc w:val="center"/>
              <w:rPr>
                <w:rFonts w:ascii="Arial" w:hAnsi="Arial" w:cs="Arial"/>
                <w:color w:val="FFFFFF" w:themeColor="background1"/>
                <w:sz w:val="20"/>
                <w:szCs w:val="20"/>
              </w:rPr>
            </w:pPr>
            <w:r w:rsidRPr="00E24AB2">
              <w:rPr>
                <w:rFonts w:ascii="Arial" w:hAnsi="Arial" w:cs="Arial"/>
                <w:color w:val="FFFFFF" w:themeColor="background1"/>
                <w:sz w:val="20"/>
                <w:szCs w:val="20"/>
              </w:rPr>
              <w:t>Variaciones</w:t>
            </w:r>
          </w:p>
        </w:tc>
        <w:tc>
          <w:tcPr>
            <w:tcW w:w="2268" w:type="dxa"/>
            <w:gridSpan w:val="2"/>
            <w:shd w:val="clear" w:color="auto" w:fill="4F81BD" w:themeFill="accent1"/>
            <w:vAlign w:val="center"/>
            <w:hideMark/>
          </w:tcPr>
          <w:p w14:paraId="7829109D" w14:textId="77777777" w:rsidR="008506DC" w:rsidRPr="00E24AB2" w:rsidRDefault="008506D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24AB2">
              <w:rPr>
                <w:rFonts w:ascii="Arial" w:hAnsi="Arial" w:cs="Arial"/>
                <w:b/>
                <w:bCs/>
                <w:color w:val="FFFFFF" w:themeColor="background1"/>
                <w:sz w:val="20"/>
                <w:szCs w:val="20"/>
              </w:rPr>
              <w:t>Cantidad</w:t>
            </w:r>
          </w:p>
        </w:tc>
        <w:tc>
          <w:tcPr>
            <w:tcW w:w="1276" w:type="dxa"/>
            <w:shd w:val="clear" w:color="auto" w:fill="4F81BD" w:themeFill="accent1"/>
            <w:vAlign w:val="center"/>
          </w:tcPr>
          <w:p w14:paraId="5A6F47BA" w14:textId="19C6385F" w:rsidR="008506DC" w:rsidRPr="008506DC" w:rsidRDefault="008506D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8506DC">
              <w:rPr>
                <w:rFonts w:ascii="Arial" w:hAnsi="Arial" w:cs="Arial"/>
                <w:b/>
                <w:bCs/>
                <w:color w:val="FFFFFF" w:themeColor="background1"/>
                <w:sz w:val="20"/>
                <w:szCs w:val="20"/>
              </w:rPr>
              <w:t>30.052</w:t>
            </w:r>
            <w:r>
              <w:rPr>
                <w:rFonts w:ascii="Arial" w:hAnsi="Arial" w:cs="Arial"/>
                <w:b/>
                <w:bCs/>
                <w:color w:val="FFFFFF" w:themeColor="background1"/>
                <w:sz w:val="20"/>
                <w:szCs w:val="20"/>
              </w:rPr>
              <w:t>)</w:t>
            </w:r>
          </w:p>
        </w:tc>
        <w:tc>
          <w:tcPr>
            <w:tcW w:w="1276" w:type="dxa"/>
            <w:shd w:val="clear" w:color="auto" w:fill="4F81BD" w:themeFill="accent1"/>
            <w:vAlign w:val="center"/>
          </w:tcPr>
          <w:p w14:paraId="7A1F8B99" w14:textId="6A95F93D" w:rsidR="008506DC" w:rsidRPr="008506DC" w:rsidRDefault="008506D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8506DC">
              <w:rPr>
                <w:rFonts w:ascii="Arial" w:hAnsi="Arial" w:cs="Arial"/>
                <w:b/>
                <w:bCs/>
                <w:color w:val="FFFFFF" w:themeColor="background1"/>
                <w:sz w:val="20"/>
                <w:szCs w:val="20"/>
              </w:rPr>
              <w:t>30.052</w:t>
            </w:r>
            <w:r>
              <w:rPr>
                <w:rFonts w:ascii="Arial" w:hAnsi="Arial" w:cs="Arial"/>
                <w:b/>
                <w:bCs/>
                <w:color w:val="FFFFFF" w:themeColor="background1"/>
                <w:sz w:val="20"/>
                <w:szCs w:val="20"/>
              </w:rPr>
              <w:t>)</w:t>
            </w:r>
          </w:p>
        </w:tc>
        <w:tc>
          <w:tcPr>
            <w:tcW w:w="1417" w:type="dxa"/>
            <w:shd w:val="clear" w:color="auto" w:fill="4F81BD" w:themeFill="accent1"/>
            <w:vAlign w:val="center"/>
          </w:tcPr>
          <w:p w14:paraId="273B7567" w14:textId="43D4BE95" w:rsidR="008506DC" w:rsidRPr="008506DC" w:rsidRDefault="008506D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8506DC">
              <w:rPr>
                <w:rFonts w:ascii="Arial" w:hAnsi="Arial" w:cs="Arial"/>
                <w:b/>
                <w:bCs/>
                <w:color w:val="FFFFFF" w:themeColor="background1"/>
                <w:sz w:val="20"/>
                <w:szCs w:val="20"/>
              </w:rPr>
              <w:t>23.792</w:t>
            </w:r>
            <w:r>
              <w:rPr>
                <w:rFonts w:ascii="Arial" w:hAnsi="Arial" w:cs="Arial"/>
                <w:b/>
                <w:bCs/>
                <w:color w:val="FFFFFF" w:themeColor="background1"/>
                <w:sz w:val="20"/>
                <w:szCs w:val="20"/>
              </w:rPr>
              <w:t>)</w:t>
            </w:r>
          </w:p>
        </w:tc>
        <w:tc>
          <w:tcPr>
            <w:tcW w:w="1559" w:type="dxa"/>
            <w:shd w:val="clear" w:color="auto" w:fill="4F81BD" w:themeFill="accent1"/>
            <w:vAlign w:val="center"/>
          </w:tcPr>
          <w:p w14:paraId="2F13BDF8" w14:textId="6F660776" w:rsidR="008506DC" w:rsidRPr="008506DC" w:rsidRDefault="008506D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8506DC">
              <w:rPr>
                <w:rFonts w:ascii="Arial" w:hAnsi="Arial" w:cs="Arial"/>
                <w:b/>
                <w:bCs/>
                <w:color w:val="FFFFFF" w:themeColor="background1"/>
                <w:sz w:val="20"/>
                <w:szCs w:val="20"/>
              </w:rPr>
              <w:t>83.896</w:t>
            </w:r>
            <w:r>
              <w:rPr>
                <w:rFonts w:ascii="Arial" w:hAnsi="Arial" w:cs="Arial"/>
                <w:b/>
                <w:bCs/>
                <w:color w:val="FFFFFF" w:themeColor="background1"/>
                <w:sz w:val="20"/>
                <w:szCs w:val="20"/>
              </w:rPr>
              <w:t>)</w:t>
            </w:r>
          </w:p>
        </w:tc>
      </w:tr>
      <w:tr w:rsidR="008506DC" w:rsidRPr="00A003B6" w14:paraId="6F937116" w14:textId="77777777" w:rsidTr="00425AB1">
        <w:trPr>
          <w:cantSplit/>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4F81BD" w:themeFill="accent1"/>
            <w:vAlign w:val="center"/>
            <w:hideMark/>
          </w:tcPr>
          <w:p w14:paraId="74D33E9F" w14:textId="77777777" w:rsidR="008506DC" w:rsidRPr="00E24AB2" w:rsidRDefault="008506DC" w:rsidP="006C644E">
            <w:pPr>
              <w:spacing w:before="80" w:after="80"/>
              <w:rPr>
                <w:rFonts w:ascii="Arial" w:hAnsi="Arial" w:cs="Arial"/>
                <w:color w:val="FFFFFF" w:themeColor="background1"/>
                <w:sz w:val="20"/>
                <w:szCs w:val="20"/>
              </w:rPr>
            </w:pPr>
          </w:p>
        </w:tc>
        <w:tc>
          <w:tcPr>
            <w:tcW w:w="2268" w:type="dxa"/>
            <w:gridSpan w:val="2"/>
            <w:shd w:val="clear" w:color="auto" w:fill="4F81BD" w:themeFill="accent1"/>
            <w:vAlign w:val="center"/>
            <w:hideMark/>
          </w:tcPr>
          <w:p w14:paraId="67165DA2" w14:textId="77777777" w:rsidR="008506DC" w:rsidRPr="00E24AB2" w:rsidRDefault="008506D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24AB2">
              <w:rPr>
                <w:rFonts w:ascii="Arial" w:hAnsi="Arial" w:cs="Arial"/>
                <w:b/>
                <w:bCs/>
                <w:color w:val="FFFFFF" w:themeColor="background1"/>
                <w:sz w:val="20"/>
                <w:szCs w:val="20"/>
              </w:rPr>
              <w:t>%</w:t>
            </w:r>
          </w:p>
        </w:tc>
        <w:tc>
          <w:tcPr>
            <w:tcW w:w="1276" w:type="dxa"/>
            <w:shd w:val="clear" w:color="auto" w:fill="4F81BD" w:themeFill="accent1"/>
            <w:vAlign w:val="center"/>
          </w:tcPr>
          <w:p w14:paraId="60130410" w14:textId="59F375FD" w:rsidR="008506DC" w:rsidRPr="008506DC" w:rsidRDefault="008506D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8506DC">
              <w:rPr>
                <w:rFonts w:ascii="Arial" w:hAnsi="Arial" w:cs="Arial"/>
                <w:b/>
                <w:bCs/>
                <w:color w:val="FFFFFF" w:themeColor="background1"/>
                <w:sz w:val="20"/>
                <w:szCs w:val="20"/>
              </w:rPr>
              <w:t>9%</w:t>
            </w:r>
            <w:r>
              <w:rPr>
                <w:rFonts w:ascii="Arial" w:hAnsi="Arial" w:cs="Arial"/>
                <w:b/>
                <w:bCs/>
                <w:color w:val="FFFFFF" w:themeColor="background1"/>
                <w:sz w:val="20"/>
                <w:szCs w:val="20"/>
              </w:rPr>
              <w:t>)</w:t>
            </w:r>
          </w:p>
        </w:tc>
        <w:tc>
          <w:tcPr>
            <w:tcW w:w="1276" w:type="dxa"/>
            <w:shd w:val="clear" w:color="auto" w:fill="4F81BD" w:themeFill="accent1"/>
            <w:vAlign w:val="center"/>
          </w:tcPr>
          <w:p w14:paraId="548FCF73" w14:textId="0E050789" w:rsidR="008506DC" w:rsidRPr="008506DC" w:rsidRDefault="008506D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8506DC">
              <w:rPr>
                <w:rFonts w:ascii="Arial" w:hAnsi="Arial" w:cs="Arial"/>
                <w:b/>
                <w:bCs/>
                <w:color w:val="FFFFFF" w:themeColor="background1"/>
                <w:sz w:val="20"/>
                <w:szCs w:val="20"/>
              </w:rPr>
              <w:t>8%</w:t>
            </w:r>
            <w:r>
              <w:rPr>
                <w:rFonts w:ascii="Arial" w:hAnsi="Arial" w:cs="Arial"/>
                <w:b/>
                <w:bCs/>
                <w:color w:val="FFFFFF" w:themeColor="background1"/>
                <w:sz w:val="20"/>
                <w:szCs w:val="20"/>
              </w:rPr>
              <w:t>)</w:t>
            </w:r>
          </w:p>
        </w:tc>
        <w:tc>
          <w:tcPr>
            <w:tcW w:w="1417" w:type="dxa"/>
            <w:shd w:val="clear" w:color="auto" w:fill="4F81BD" w:themeFill="accent1"/>
            <w:vAlign w:val="center"/>
          </w:tcPr>
          <w:p w14:paraId="2C164F5D" w14:textId="12D31E96" w:rsidR="008506DC" w:rsidRPr="008506DC" w:rsidRDefault="008506D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8506DC">
              <w:rPr>
                <w:rFonts w:ascii="Arial" w:hAnsi="Arial" w:cs="Arial"/>
                <w:b/>
                <w:bCs/>
                <w:color w:val="FFFFFF" w:themeColor="background1"/>
                <w:sz w:val="20"/>
                <w:szCs w:val="20"/>
              </w:rPr>
              <w:t>7%</w:t>
            </w:r>
            <w:r>
              <w:rPr>
                <w:rFonts w:ascii="Arial" w:hAnsi="Arial" w:cs="Arial"/>
                <w:b/>
                <w:bCs/>
                <w:color w:val="FFFFFF" w:themeColor="background1"/>
                <w:sz w:val="20"/>
                <w:szCs w:val="20"/>
              </w:rPr>
              <w:t>)</w:t>
            </w:r>
          </w:p>
        </w:tc>
        <w:tc>
          <w:tcPr>
            <w:tcW w:w="1559" w:type="dxa"/>
            <w:shd w:val="clear" w:color="auto" w:fill="4F81BD" w:themeFill="accent1"/>
            <w:vAlign w:val="center"/>
          </w:tcPr>
          <w:p w14:paraId="6EEF5B6E" w14:textId="25E8F14A" w:rsidR="008506DC" w:rsidRPr="008506DC" w:rsidRDefault="008506D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(8</w:t>
            </w:r>
            <w:r w:rsidRPr="008506DC">
              <w:rPr>
                <w:rFonts w:ascii="Arial" w:hAnsi="Arial" w:cs="Arial"/>
                <w:b/>
                <w:bCs/>
                <w:color w:val="FFFFFF" w:themeColor="background1"/>
                <w:sz w:val="20"/>
                <w:szCs w:val="20"/>
              </w:rPr>
              <w:t>%</w:t>
            </w:r>
            <w:r>
              <w:rPr>
                <w:rFonts w:ascii="Arial" w:hAnsi="Arial" w:cs="Arial"/>
                <w:b/>
                <w:bCs/>
                <w:color w:val="FFFFFF" w:themeColor="background1"/>
                <w:sz w:val="20"/>
                <w:szCs w:val="20"/>
              </w:rPr>
              <w:t>)</w:t>
            </w:r>
          </w:p>
        </w:tc>
      </w:tr>
      <w:tr w:rsidR="000C3BBC" w:rsidRPr="00A003B6" w14:paraId="36B6C546" w14:textId="77777777" w:rsidTr="00425AB1">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vAlign w:val="center"/>
            <w:hideMark/>
          </w:tcPr>
          <w:p w14:paraId="06664904" w14:textId="77777777" w:rsidR="000C3BBC" w:rsidRPr="00E24AB2" w:rsidRDefault="000C3BBC" w:rsidP="006C644E">
            <w:pPr>
              <w:spacing w:before="80" w:after="80"/>
              <w:jc w:val="center"/>
              <w:rPr>
                <w:rFonts w:ascii="Arial" w:hAnsi="Arial" w:cs="Arial"/>
                <w:color w:val="0F243E" w:themeColor="text2" w:themeShade="80"/>
                <w:sz w:val="20"/>
                <w:szCs w:val="20"/>
              </w:rPr>
            </w:pPr>
            <w:r w:rsidRPr="00E24AB2">
              <w:rPr>
                <w:rFonts w:ascii="Arial" w:hAnsi="Arial" w:cs="Arial"/>
                <w:color w:val="0F243E" w:themeColor="text2" w:themeShade="80"/>
                <w:sz w:val="20"/>
                <w:szCs w:val="20"/>
              </w:rPr>
              <w:t>Edificio San Agustín</w:t>
            </w:r>
          </w:p>
        </w:tc>
        <w:tc>
          <w:tcPr>
            <w:tcW w:w="1276" w:type="dxa"/>
            <w:vMerge w:val="restart"/>
            <w:vAlign w:val="center"/>
            <w:hideMark/>
          </w:tcPr>
          <w:p w14:paraId="1D0BC0D9" w14:textId="77777777" w:rsidR="000C3BBC" w:rsidRPr="00E24AB2" w:rsidRDefault="000C3BB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4AB2">
              <w:rPr>
                <w:rFonts w:ascii="Arial" w:hAnsi="Arial" w:cs="Arial"/>
                <w:color w:val="0F243E" w:themeColor="text2" w:themeShade="80"/>
                <w:sz w:val="20"/>
                <w:szCs w:val="20"/>
              </w:rPr>
              <w:t xml:space="preserve">Valor ($) Consumo </w:t>
            </w:r>
          </w:p>
        </w:tc>
        <w:tc>
          <w:tcPr>
            <w:tcW w:w="992" w:type="dxa"/>
            <w:vAlign w:val="center"/>
            <w:hideMark/>
          </w:tcPr>
          <w:p w14:paraId="66F2069E" w14:textId="77777777" w:rsidR="000C3BBC" w:rsidRPr="00E24AB2" w:rsidRDefault="000C3BB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4AB2">
              <w:rPr>
                <w:rFonts w:ascii="Arial" w:hAnsi="Arial" w:cs="Arial"/>
                <w:color w:val="0F243E" w:themeColor="text2" w:themeShade="80"/>
                <w:sz w:val="20"/>
                <w:szCs w:val="20"/>
              </w:rPr>
              <w:t>2019</w:t>
            </w:r>
          </w:p>
        </w:tc>
        <w:tc>
          <w:tcPr>
            <w:tcW w:w="1276" w:type="dxa"/>
            <w:noWrap/>
            <w:vAlign w:val="center"/>
          </w:tcPr>
          <w:p w14:paraId="6DF4C7AB" w14:textId="0C4E2E73" w:rsidR="000C3BBC" w:rsidRPr="000C3BBC" w:rsidRDefault="000C3BB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C3BBC">
              <w:rPr>
                <w:rFonts w:ascii="Arial" w:hAnsi="Arial" w:cs="Arial"/>
                <w:color w:val="0F243E" w:themeColor="text2" w:themeShade="80"/>
                <w:sz w:val="20"/>
                <w:szCs w:val="20"/>
              </w:rPr>
              <w:t xml:space="preserve">80.677.347 </w:t>
            </w:r>
          </w:p>
        </w:tc>
        <w:tc>
          <w:tcPr>
            <w:tcW w:w="1276" w:type="dxa"/>
            <w:noWrap/>
            <w:vAlign w:val="center"/>
          </w:tcPr>
          <w:p w14:paraId="629CD704" w14:textId="53F76173" w:rsidR="000C3BBC" w:rsidRPr="000C3BBC" w:rsidRDefault="000C3BB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C3BBC">
              <w:rPr>
                <w:rFonts w:ascii="Arial" w:hAnsi="Arial" w:cs="Arial"/>
                <w:color w:val="0F243E" w:themeColor="text2" w:themeShade="80"/>
                <w:sz w:val="20"/>
                <w:szCs w:val="20"/>
              </w:rPr>
              <w:t xml:space="preserve">82.620.869 </w:t>
            </w:r>
          </w:p>
        </w:tc>
        <w:tc>
          <w:tcPr>
            <w:tcW w:w="1417" w:type="dxa"/>
            <w:noWrap/>
            <w:vAlign w:val="center"/>
          </w:tcPr>
          <w:p w14:paraId="35F1A3DF" w14:textId="4C7E8335" w:rsidR="000C3BBC" w:rsidRPr="000C3BBC" w:rsidRDefault="000C3BB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C3BBC">
              <w:rPr>
                <w:rFonts w:ascii="Arial" w:hAnsi="Arial" w:cs="Arial"/>
                <w:color w:val="0F243E" w:themeColor="text2" w:themeShade="80"/>
                <w:sz w:val="20"/>
                <w:szCs w:val="20"/>
              </w:rPr>
              <w:t xml:space="preserve">82.493.578 </w:t>
            </w:r>
          </w:p>
        </w:tc>
        <w:tc>
          <w:tcPr>
            <w:tcW w:w="1559" w:type="dxa"/>
            <w:vAlign w:val="center"/>
          </w:tcPr>
          <w:p w14:paraId="12287FAD" w14:textId="68906AD4" w:rsidR="000C3BBC" w:rsidRPr="000C3BBC" w:rsidRDefault="000C3BB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C3BBC">
              <w:rPr>
                <w:rFonts w:ascii="Arial" w:hAnsi="Arial" w:cs="Arial"/>
                <w:b/>
                <w:bCs/>
                <w:color w:val="0F243E" w:themeColor="text2" w:themeShade="80"/>
                <w:sz w:val="20"/>
                <w:szCs w:val="20"/>
              </w:rPr>
              <w:t xml:space="preserve">245.791.794 </w:t>
            </w:r>
          </w:p>
        </w:tc>
      </w:tr>
      <w:tr w:rsidR="000C3BBC" w:rsidRPr="00A003B6" w14:paraId="7A16DA3C" w14:textId="77777777" w:rsidTr="00425AB1">
        <w:trPr>
          <w:cantSplit/>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1CBAD577" w14:textId="77777777" w:rsidR="000C3BBC" w:rsidRPr="00E24AB2" w:rsidRDefault="000C3BBC" w:rsidP="006C644E">
            <w:pPr>
              <w:spacing w:before="80" w:after="80"/>
              <w:rPr>
                <w:rFonts w:ascii="Arial" w:hAnsi="Arial" w:cs="Arial"/>
                <w:color w:val="0F243E" w:themeColor="text2" w:themeShade="80"/>
                <w:sz w:val="20"/>
                <w:szCs w:val="20"/>
              </w:rPr>
            </w:pPr>
          </w:p>
        </w:tc>
        <w:tc>
          <w:tcPr>
            <w:tcW w:w="1276" w:type="dxa"/>
            <w:vMerge/>
            <w:vAlign w:val="center"/>
            <w:hideMark/>
          </w:tcPr>
          <w:p w14:paraId="469BF133" w14:textId="77777777" w:rsidR="000C3BBC" w:rsidRPr="00E24AB2" w:rsidRDefault="000C3BBC" w:rsidP="006C644E">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992" w:type="dxa"/>
            <w:vAlign w:val="center"/>
            <w:hideMark/>
          </w:tcPr>
          <w:p w14:paraId="6781097E" w14:textId="77777777" w:rsidR="000C3BBC" w:rsidRPr="00E24AB2" w:rsidRDefault="000C3BB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4AB2">
              <w:rPr>
                <w:rFonts w:ascii="Arial" w:hAnsi="Arial" w:cs="Arial"/>
                <w:color w:val="0F243E" w:themeColor="text2" w:themeShade="80"/>
                <w:sz w:val="20"/>
                <w:szCs w:val="20"/>
              </w:rPr>
              <w:t>2018</w:t>
            </w:r>
          </w:p>
        </w:tc>
        <w:tc>
          <w:tcPr>
            <w:tcW w:w="1276" w:type="dxa"/>
            <w:noWrap/>
            <w:vAlign w:val="center"/>
          </w:tcPr>
          <w:p w14:paraId="5C560A0D" w14:textId="212A2534" w:rsidR="000C3BBC" w:rsidRPr="000C3BBC" w:rsidRDefault="000C3BB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C3BBC">
              <w:rPr>
                <w:rFonts w:ascii="Arial" w:hAnsi="Arial" w:cs="Arial"/>
                <w:color w:val="0F243E" w:themeColor="text2" w:themeShade="80"/>
                <w:sz w:val="20"/>
                <w:szCs w:val="20"/>
              </w:rPr>
              <w:t xml:space="preserve">89.597.824 </w:t>
            </w:r>
          </w:p>
        </w:tc>
        <w:tc>
          <w:tcPr>
            <w:tcW w:w="1276" w:type="dxa"/>
            <w:noWrap/>
            <w:vAlign w:val="center"/>
          </w:tcPr>
          <w:p w14:paraId="6BCC8869" w14:textId="716FCCDB" w:rsidR="000C3BBC" w:rsidRPr="000C3BBC" w:rsidRDefault="000C3BB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C3BBC">
              <w:rPr>
                <w:rFonts w:ascii="Arial" w:hAnsi="Arial" w:cs="Arial"/>
                <w:color w:val="0F243E" w:themeColor="text2" w:themeShade="80"/>
                <w:sz w:val="20"/>
                <w:szCs w:val="20"/>
              </w:rPr>
              <w:t xml:space="preserve">91.656.286 </w:t>
            </w:r>
          </w:p>
        </w:tc>
        <w:tc>
          <w:tcPr>
            <w:tcW w:w="1417" w:type="dxa"/>
            <w:noWrap/>
            <w:vAlign w:val="center"/>
          </w:tcPr>
          <w:p w14:paraId="209A0F5F" w14:textId="6F401EB6" w:rsidR="000C3BBC" w:rsidRPr="000C3BBC" w:rsidRDefault="000C3BB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C3BBC">
              <w:rPr>
                <w:rFonts w:ascii="Arial" w:hAnsi="Arial" w:cs="Arial"/>
                <w:color w:val="0F243E" w:themeColor="text2" w:themeShade="80"/>
                <w:sz w:val="20"/>
                <w:szCs w:val="20"/>
              </w:rPr>
              <w:t xml:space="preserve">88.998.191 </w:t>
            </w:r>
          </w:p>
        </w:tc>
        <w:tc>
          <w:tcPr>
            <w:tcW w:w="1559" w:type="dxa"/>
            <w:vAlign w:val="center"/>
          </w:tcPr>
          <w:p w14:paraId="514C604A" w14:textId="4D1611FC" w:rsidR="000C3BBC" w:rsidRPr="000C3BBC" w:rsidRDefault="000C3BB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C3BBC">
              <w:rPr>
                <w:rFonts w:ascii="Arial" w:hAnsi="Arial" w:cs="Arial"/>
                <w:b/>
                <w:bCs/>
                <w:color w:val="0F243E" w:themeColor="text2" w:themeShade="80"/>
                <w:sz w:val="20"/>
                <w:szCs w:val="20"/>
              </w:rPr>
              <w:t xml:space="preserve">270.252.301 </w:t>
            </w:r>
          </w:p>
        </w:tc>
      </w:tr>
      <w:tr w:rsidR="000C3BBC" w:rsidRPr="00A003B6" w14:paraId="6AEB2F76" w14:textId="77777777" w:rsidTr="00425AB1">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shd w:val="clear" w:color="auto" w:fill="4F81BD" w:themeFill="accent1"/>
            <w:vAlign w:val="center"/>
            <w:hideMark/>
          </w:tcPr>
          <w:p w14:paraId="59BF2A74" w14:textId="77777777" w:rsidR="000C3BBC" w:rsidRPr="00E24AB2" w:rsidRDefault="000C3BBC" w:rsidP="006C644E">
            <w:pPr>
              <w:spacing w:before="80" w:after="80"/>
              <w:jc w:val="center"/>
              <w:rPr>
                <w:rFonts w:ascii="Arial" w:hAnsi="Arial" w:cs="Arial"/>
                <w:color w:val="FFFFFF" w:themeColor="background1"/>
                <w:sz w:val="20"/>
                <w:szCs w:val="20"/>
              </w:rPr>
            </w:pPr>
            <w:r w:rsidRPr="00E24AB2">
              <w:rPr>
                <w:rFonts w:ascii="Arial" w:hAnsi="Arial" w:cs="Arial"/>
                <w:color w:val="FFFFFF" w:themeColor="background1"/>
                <w:sz w:val="20"/>
                <w:szCs w:val="20"/>
              </w:rPr>
              <w:t>Variaciones</w:t>
            </w:r>
          </w:p>
        </w:tc>
        <w:tc>
          <w:tcPr>
            <w:tcW w:w="2268" w:type="dxa"/>
            <w:gridSpan w:val="2"/>
            <w:shd w:val="clear" w:color="auto" w:fill="4F81BD" w:themeFill="accent1"/>
            <w:vAlign w:val="center"/>
            <w:hideMark/>
          </w:tcPr>
          <w:p w14:paraId="15CC8B52" w14:textId="08B46273" w:rsidR="000C3BBC" w:rsidRPr="00E24AB2" w:rsidRDefault="000C3BB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8506DC">
              <w:rPr>
                <w:rFonts w:ascii="Arial" w:hAnsi="Arial" w:cs="Arial"/>
                <w:b/>
                <w:bCs/>
                <w:color w:val="FFFFFF" w:themeColor="background1"/>
                <w:sz w:val="20"/>
                <w:szCs w:val="20"/>
              </w:rPr>
              <w:t>Valor ($) Consumo</w:t>
            </w:r>
          </w:p>
        </w:tc>
        <w:tc>
          <w:tcPr>
            <w:tcW w:w="1276" w:type="dxa"/>
            <w:shd w:val="clear" w:color="auto" w:fill="4F81BD" w:themeFill="accent1"/>
            <w:vAlign w:val="center"/>
          </w:tcPr>
          <w:p w14:paraId="630980D5" w14:textId="49A2ECD9" w:rsidR="000C3BBC" w:rsidRPr="000C3BBC" w:rsidRDefault="000C3BB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0C3BBC">
              <w:rPr>
                <w:rFonts w:ascii="Arial" w:hAnsi="Arial" w:cs="Arial"/>
                <w:b/>
                <w:bCs/>
                <w:color w:val="FFFFFF" w:themeColor="background1"/>
                <w:sz w:val="20"/>
                <w:szCs w:val="20"/>
              </w:rPr>
              <w:t>8.920.477</w:t>
            </w:r>
            <w:r>
              <w:rPr>
                <w:rFonts w:ascii="Arial" w:hAnsi="Arial" w:cs="Arial"/>
                <w:b/>
                <w:bCs/>
                <w:color w:val="FFFFFF" w:themeColor="background1"/>
                <w:sz w:val="20"/>
                <w:szCs w:val="20"/>
              </w:rPr>
              <w:t>)</w:t>
            </w:r>
          </w:p>
        </w:tc>
        <w:tc>
          <w:tcPr>
            <w:tcW w:w="1276" w:type="dxa"/>
            <w:shd w:val="clear" w:color="auto" w:fill="4F81BD" w:themeFill="accent1"/>
            <w:vAlign w:val="center"/>
          </w:tcPr>
          <w:p w14:paraId="7EA0667C" w14:textId="1454DA65" w:rsidR="000C3BBC" w:rsidRPr="000C3BBC" w:rsidRDefault="000C3BB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0C3BBC">
              <w:rPr>
                <w:rFonts w:ascii="Arial" w:hAnsi="Arial" w:cs="Arial"/>
                <w:b/>
                <w:bCs/>
                <w:color w:val="FFFFFF" w:themeColor="background1"/>
                <w:sz w:val="20"/>
                <w:szCs w:val="20"/>
              </w:rPr>
              <w:t>9.035.417</w:t>
            </w:r>
            <w:r>
              <w:rPr>
                <w:rFonts w:ascii="Arial" w:hAnsi="Arial" w:cs="Arial"/>
                <w:b/>
                <w:bCs/>
                <w:color w:val="FFFFFF" w:themeColor="background1"/>
                <w:sz w:val="20"/>
                <w:szCs w:val="20"/>
              </w:rPr>
              <w:t>)</w:t>
            </w:r>
          </w:p>
        </w:tc>
        <w:tc>
          <w:tcPr>
            <w:tcW w:w="1417" w:type="dxa"/>
            <w:shd w:val="clear" w:color="auto" w:fill="4F81BD" w:themeFill="accent1"/>
            <w:vAlign w:val="center"/>
          </w:tcPr>
          <w:p w14:paraId="6A888D98" w14:textId="78084FFB" w:rsidR="000C3BBC" w:rsidRPr="000C3BBC" w:rsidRDefault="000C3BB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0C3BBC">
              <w:rPr>
                <w:rFonts w:ascii="Arial" w:hAnsi="Arial" w:cs="Arial"/>
                <w:b/>
                <w:bCs/>
                <w:color w:val="FFFFFF" w:themeColor="background1"/>
                <w:sz w:val="20"/>
                <w:szCs w:val="20"/>
              </w:rPr>
              <w:t>6.504.613</w:t>
            </w:r>
            <w:r>
              <w:rPr>
                <w:rFonts w:ascii="Arial" w:hAnsi="Arial" w:cs="Arial"/>
                <w:b/>
                <w:bCs/>
                <w:color w:val="FFFFFF" w:themeColor="background1"/>
                <w:sz w:val="20"/>
                <w:szCs w:val="20"/>
              </w:rPr>
              <w:t>)</w:t>
            </w:r>
          </w:p>
        </w:tc>
        <w:tc>
          <w:tcPr>
            <w:tcW w:w="1559" w:type="dxa"/>
            <w:shd w:val="clear" w:color="auto" w:fill="4F81BD" w:themeFill="accent1"/>
            <w:vAlign w:val="center"/>
          </w:tcPr>
          <w:p w14:paraId="13ACE573" w14:textId="09099241" w:rsidR="000C3BBC" w:rsidRPr="000C3BBC" w:rsidRDefault="000C3BBC" w:rsidP="006C644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0C3BBC">
              <w:rPr>
                <w:rFonts w:ascii="Arial" w:hAnsi="Arial" w:cs="Arial"/>
                <w:b/>
                <w:bCs/>
                <w:color w:val="FFFFFF" w:themeColor="background1"/>
                <w:sz w:val="20"/>
                <w:szCs w:val="20"/>
              </w:rPr>
              <w:t>24.460.507</w:t>
            </w:r>
            <w:r>
              <w:rPr>
                <w:rFonts w:ascii="Arial" w:hAnsi="Arial" w:cs="Arial"/>
                <w:b/>
                <w:bCs/>
                <w:color w:val="FFFFFF" w:themeColor="background1"/>
                <w:sz w:val="20"/>
                <w:szCs w:val="20"/>
              </w:rPr>
              <w:t>)</w:t>
            </w:r>
          </w:p>
        </w:tc>
      </w:tr>
      <w:tr w:rsidR="000C3BBC" w:rsidRPr="00A003B6" w14:paraId="058803C8" w14:textId="77777777" w:rsidTr="00425AB1">
        <w:trPr>
          <w:cantSplit/>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4F81BD" w:themeFill="accent1"/>
            <w:vAlign w:val="center"/>
            <w:hideMark/>
          </w:tcPr>
          <w:p w14:paraId="5B88B508" w14:textId="77777777" w:rsidR="000C3BBC" w:rsidRPr="00E24AB2" w:rsidRDefault="000C3BBC" w:rsidP="006C644E">
            <w:pPr>
              <w:spacing w:before="80" w:after="80"/>
              <w:rPr>
                <w:rFonts w:ascii="Arial" w:hAnsi="Arial" w:cs="Arial"/>
                <w:color w:val="FFFFFF" w:themeColor="background1"/>
                <w:sz w:val="20"/>
                <w:szCs w:val="20"/>
              </w:rPr>
            </w:pPr>
          </w:p>
        </w:tc>
        <w:tc>
          <w:tcPr>
            <w:tcW w:w="2268" w:type="dxa"/>
            <w:gridSpan w:val="2"/>
            <w:shd w:val="clear" w:color="auto" w:fill="4F81BD" w:themeFill="accent1"/>
            <w:vAlign w:val="center"/>
            <w:hideMark/>
          </w:tcPr>
          <w:p w14:paraId="2695D4CA" w14:textId="77777777" w:rsidR="000C3BBC" w:rsidRPr="00E24AB2" w:rsidRDefault="000C3BB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E24AB2">
              <w:rPr>
                <w:rFonts w:ascii="Arial" w:hAnsi="Arial" w:cs="Arial"/>
                <w:b/>
                <w:bCs/>
                <w:color w:val="FFFFFF" w:themeColor="background1"/>
                <w:sz w:val="20"/>
                <w:szCs w:val="20"/>
              </w:rPr>
              <w:t>%</w:t>
            </w:r>
          </w:p>
        </w:tc>
        <w:tc>
          <w:tcPr>
            <w:tcW w:w="1276" w:type="dxa"/>
            <w:shd w:val="clear" w:color="auto" w:fill="4F81BD" w:themeFill="accent1"/>
            <w:vAlign w:val="center"/>
          </w:tcPr>
          <w:p w14:paraId="5D111DE7" w14:textId="331C8713" w:rsidR="000C3BBC" w:rsidRPr="000C3BBC" w:rsidRDefault="000C3BB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0C3BBC">
              <w:rPr>
                <w:rFonts w:ascii="Arial" w:hAnsi="Arial" w:cs="Arial"/>
                <w:b/>
                <w:bCs/>
                <w:color w:val="FFFFFF" w:themeColor="background1"/>
                <w:sz w:val="20"/>
                <w:szCs w:val="20"/>
              </w:rPr>
              <w:t>10%</w:t>
            </w:r>
            <w:r>
              <w:rPr>
                <w:rFonts w:ascii="Arial" w:hAnsi="Arial" w:cs="Arial"/>
                <w:b/>
                <w:bCs/>
                <w:color w:val="FFFFFF" w:themeColor="background1"/>
                <w:sz w:val="20"/>
                <w:szCs w:val="20"/>
              </w:rPr>
              <w:t>)</w:t>
            </w:r>
          </w:p>
        </w:tc>
        <w:tc>
          <w:tcPr>
            <w:tcW w:w="1276" w:type="dxa"/>
            <w:shd w:val="clear" w:color="auto" w:fill="4F81BD" w:themeFill="accent1"/>
            <w:vAlign w:val="center"/>
          </w:tcPr>
          <w:p w14:paraId="74B4FC8F" w14:textId="74C007EF" w:rsidR="000C3BBC" w:rsidRPr="000C3BBC" w:rsidRDefault="000C3BB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0C3BBC">
              <w:rPr>
                <w:rFonts w:ascii="Arial" w:hAnsi="Arial" w:cs="Arial"/>
                <w:b/>
                <w:bCs/>
                <w:color w:val="FFFFFF" w:themeColor="background1"/>
                <w:sz w:val="20"/>
                <w:szCs w:val="20"/>
              </w:rPr>
              <w:t>10%</w:t>
            </w:r>
            <w:r>
              <w:rPr>
                <w:rFonts w:ascii="Arial" w:hAnsi="Arial" w:cs="Arial"/>
                <w:b/>
                <w:bCs/>
                <w:color w:val="FFFFFF" w:themeColor="background1"/>
                <w:sz w:val="20"/>
                <w:szCs w:val="20"/>
              </w:rPr>
              <w:t>)</w:t>
            </w:r>
          </w:p>
        </w:tc>
        <w:tc>
          <w:tcPr>
            <w:tcW w:w="1417" w:type="dxa"/>
            <w:shd w:val="clear" w:color="auto" w:fill="4F81BD" w:themeFill="accent1"/>
            <w:vAlign w:val="center"/>
          </w:tcPr>
          <w:p w14:paraId="5E49EB64" w14:textId="40AC117B" w:rsidR="000C3BBC" w:rsidRPr="000C3BBC" w:rsidRDefault="000C3BB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0C3BBC">
              <w:rPr>
                <w:rFonts w:ascii="Arial" w:hAnsi="Arial" w:cs="Arial"/>
                <w:b/>
                <w:bCs/>
                <w:color w:val="FFFFFF" w:themeColor="background1"/>
                <w:sz w:val="20"/>
                <w:szCs w:val="20"/>
              </w:rPr>
              <w:t>7%</w:t>
            </w:r>
            <w:r>
              <w:rPr>
                <w:rFonts w:ascii="Arial" w:hAnsi="Arial" w:cs="Arial"/>
                <w:b/>
                <w:bCs/>
                <w:color w:val="FFFFFF" w:themeColor="background1"/>
                <w:sz w:val="20"/>
                <w:szCs w:val="20"/>
              </w:rPr>
              <w:t>)</w:t>
            </w:r>
          </w:p>
        </w:tc>
        <w:tc>
          <w:tcPr>
            <w:tcW w:w="1559" w:type="dxa"/>
            <w:shd w:val="clear" w:color="auto" w:fill="4F81BD" w:themeFill="accent1"/>
            <w:vAlign w:val="center"/>
          </w:tcPr>
          <w:p w14:paraId="54D83577" w14:textId="2ED792AC" w:rsidR="000C3BBC" w:rsidRPr="000C3BBC" w:rsidRDefault="000C3BBC" w:rsidP="006C644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0C3BBC">
              <w:rPr>
                <w:rFonts w:ascii="Arial" w:hAnsi="Arial" w:cs="Arial"/>
                <w:b/>
                <w:bCs/>
                <w:color w:val="FFFFFF" w:themeColor="background1"/>
                <w:sz w:val="20"/>
                <w:szCs w:val="20"/>
              </w:rPr>
              <w:t>9%</w:t>
            </w:r>
            <w:r>
              <w:rPr>
                <w:rFonts w:ascii="Arial" w:hAnsi="Arial" w:cs="Arial"/>
                <w:b/>
                <w:bCs/>
                <w:color w:val="FFFFFF" w:themeColor="background1"/>
                <w:sz w:val="20"/>
                <w:szCs w:val="20"/>
              </w:rPr>
              <w:t>)</w:t>
            </w:r>
          </w:p>
        </w:tc>
      </w:tr>
    </w:tbl>
    <w:p w14:paraId="4E05B233" w14:textId="77777777" w:rsidR="007D26AB" w:rsidRPr="00A003B6" w:rsidRDefault="007D26AB" w:rsidP="00A90B93">
      <w:pPr>
        <w:pStyle w:val="Prrafodelista"/>
        <w:ind w:left="0"/>
        <w:contextualSpacing w:val="0"/>
        <w:rPr>
          <w:rFonts w:ascii="Arial" w:hAnsi="Arial" w:cs="Arial"/>
          <w:color w:val="000000"/>
          <w:sz w:val="22"/>
          <w:szCs w:val="22"/>
          <w:highlight w:val="yellow"/>
        </w:rPr>
      </w:pPr>
    </w:p>
    <w:p w14:paraId="3F9F6148" w14:textId="3234E602" w:rsidR="001A18CB" w:rsidRPr="00B97B85" w:rsidRDefault="00F95B4B" w:rsidP="007F5B61">
      <w:pPr>
        <w:ind w:firstLine="360"/>
        <w:jc w:val="center"/>
        <w:rPr>
          <w:rFonts w:ascii="Arial" w:hAnsi="Arial" w:cs="Arial"/>
          <w:noProof/>
          <w:color w:val="000000" w:themeColor="text1"/>
        </w:rPr>
      </w:pPr>
      <w:r w:rsidRPr="00F94EED">
        <w:rPr>
          <w:rFonts w:ascii="Arial" w:hAnsi="Arial" w:cs="Arial"/>
          <w:noProof/>
        </w:rPr>
        <w:drawing>
          <wp:inline distT="0" distB="0" distL="0" distR="0" wp14:anchorId="32689C24" wp14:editId="554E039E">
            <wp:extent cx="5438775" cy="2428875"/>
            <wp:effectExtent l="0" t="0" r="0" b="0"/>
            <wp:docPr id="16" name="Gráfico 1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2C06577" w14:textId="2E4F9521" w:rsidR="007F5B61" w:rsidRDefault="007F5B61" w:rsidP="00B97B85">
      <w:pPr>
        <w:pStyle w:val="Prrafodelista"/>
        <w:ind w:left="360"/>
        <w:rPr>
          <w:rFonts w:ascii="Arial" w:hAnsi="Arial" w:cs="Arial"/>
          <w:color w:val="000000"/>
          <w:sz w:val="22"/>
          <w:szCs w:val="22"/>
        </w:rPr>
      </w:pPr>
    </w:p>
    <w:p w14:paraId="0E3B403A" w14:textId="60CF6E5F" w:rsidR="007F5B61" w:rsidRPr="00E77D76" w:rsidRDefault="007F5B61" w:rsidP="007F5B61">
      <w:pPr>
        <w:pStyle w:val="Prrafodelista"/>
        <w:ind w:left="360"/>
        <w:rPr>
          <w:rFonts w:ascii="Arial" w:hAnsi="Arial" w:cs="Arial"/>
          <w:color w:val="000000"/>
          <w:sz w:val="22"/>
          <w:szCs w:val="22"/>
        </w:rPr>
      </w:pPr>
      <w:r w:rsidRPr="00E77D76">
        <w:rPr>
          <w:rFonts w:ascii="Arial" w:hAnsi="Arial" w:cs="Arial"/>
          <w:color w:val="000000"/>
          <w:sz w:val="22"/>
          <w:szCs w:val="22"/>
        </w:rPr>
        <w:t xml:space="preserve">De acuerdo con lo reportado en el comentario del indicador orientador por parte del </w:t>
      </w:r>
      <w:r w:rsidRPr="00E77D76">
        <w:rPr>
          <w:rFonts w:ascii="Arial" w:hAnsi="Arial" w:cs="Arial"/>
          <w:noProof/>
          <w:sz w:val="22"/>
          <w:szCs w:val="22"/>
        </w:rPr>
        <w:t xml:space="preserve">Grupo de Infraestructura de la Subdirección de Servicios, </w:t>
      </w:r>
      <w:r w:rsidRPr="00E77D76">
        <w:rPr>
          <w:rFonts w:ascii="Arial" w:hAnsi="Arial" w:cs="Arial"/>
          <w:color w:val="000000"/>
          <w:sz w:val="22"/>
          <w:szCs w:val="22"/>
        </w:rPr>
        <w:t>el ahorro presentado en el Edificio de San Agustín se atribuye, en parte, a las jornadas de sensibilización para fomentar la cultura de ahorro de energía. Sumando a lo anterior, a las publicaciones e invitaciones que se han realizado por las pantallas y la intranet incentivando al ahorro de energía por medio del apagado de los computad</w:t>
      </w:r>
      <w:r w:rsidR="00E77D76" w:rsidRPr="00E77D76">
        <w:rPr>
          <w:rFonts w:ascii="Arial" w:hAnsi="Arial" w:cs="Arial"/>
          <w:color w:val="000000"/>
          <w:sz w:val="22"/>
          <w:szCs w:val="22"/>
        </w:rPr>
        <w:t xml:space="preserve">ores y demás equipos eléctricos y a la campaña en conjunto con la Oficina Asesora de Planeación en donde se vinculó la participación de cada proceso en el ahorro y uso eficiente del recurso mediante la implementación de acciones internas propuesta por cada proceso. </w:t>
      </w:r>
    </w:p>
    <w:p w14:paraId="6FCD2A0F" w14:textId="4D059BA7" w:rsidR="00847050" w:rsidRPr="00346269" w:rsidRDefault="00B97B85" w:rsidP="00346269">
      <w:pPr>
        <w:pStyle w:val="Prrafodelista"/>
        <w:numPr>
          <w:ilvl w:val="0"/>
          <w:numId w:val="23"/>
        </w:numPr>
        <w:rPr>
          <w:rFonts w:ascii="Arial" w:hAnsi="Arial" w:cs="Arial"/>
          <w:b/>
          <w:color w:val="000000"/>
          <w:sz w:val="22"/>
          <w:szCs w:val="22"/>
        </w:rPr>
      </w:pPr>
      <w:r w:rsidRPr="00346269">
        <w:rPr>
          <w:rFonts w:ascii="Arial" w:hAnsi="Arial" w:cs="Arial"/>
          <w:b/>
          <w:color w:val="000000"/>
          <w:sz w:val="22"/>
          <w:szCs w:val="22"/>
        </w:rPr>
        <w:lastRenderedPageBreak/>
        <w:t xml:space="preserve">SEDE CASAS DE SANTA BARBARA </w:t>
      </w:r>
    </w:p>
    <w:p w14:paraId="44A2505A" w14:textId="77777777" w:rsidR="00B97B85" w:rsidRPr="00B97B85" w:rsidRDefault="00B97B85" w:rsidP="004712F1">
      <w:pPr>
        <w:jc w:val="both"/>
        <w:rPr>
          <w:rFonts w:ascii="Arial" w:hAnsi="Arial" w:cs="Arial"/>
          <w:color w:val="000000"/>
          <w:sz w:val="22"/>
          <w:szCs w:val="22"/>
        </w:rPr>
      </w:pPr>
    </w:p>
    <w:p w14:paraId="43D4247E" w14:textId="77777777" w:rsidR="00D24164" w:rsidRDefault="00C34573" w:rsidP="00177D55">
      <w:pPr>
        <w:ind w:left="360"/>
        <w:jc w:val="both"/>
        <w:rPr>
          <w:rFonts w:ascii="Arial" w:hAnsi="Arial" w:cs="Arial"/>
          <w:noProof/>
          <w:sz w:val="22"/>
          <w:szCs w:val="22"/>
        </w:rPr>
      </w:pPr>
      <w:r w:rsidRPr="00ED0466">
        <w:rPr>
          <w:rFonts w:ascii="Arial" w:hAnsi="Arial" w:cs="Arial"/>
          <w:color w:val="000000"/>
          <w:sz w:val="22"/>
          <w:szCs w:val="22"/>
        </w:rPr>
        <w:t xml:space="preserve">Para la sede de Casas de Santa Bárbara, </w:t>
      </w:r>
      <w:r w:rsidRPr="00ED0466">
        <w:rPr>
          <w:rFonts w:ascii="Arial" w:hAnsi="Arial" w:cs="Arial"/>
          <w:noProof/>
          <w:sz w:val="22"/>
          <w:szCs w:val="22"/>
        </w:rPr>
        <w:t xml:space="preserve">durante el </w:t>
      </w:r>
      <w:r w:rsidR="00ED0466">
        <w:rPr>
          <w:rFonts w:ascii="Arial" w:hAnsi="Arial" w:cs="Arial"/>
          <w:noProof/>
          <w:sz w:val="22"/>
          <w:szCs w:val="22"/>
        </w:rPr>
        <w:t xml:space="preserve">tercer </w:t>
      </w:r>
      <w:r w:rsidR="00617A62" w:rsidRPr="00ED0466">
        <w:rPr>
          <w:rFonts w:ascii="Arial" w:hAnsi="Arial" w:cs="Arial"/>
          <w:noProof/>
          <w:sz w:val="22"/>
          <w:szCs w:val="22"/>
        </w:rPr>
        <w:t>t</w:t>
      </w:r>
      <w:r w:rsidRPr="00ED0466">
        <w:rPr>
          <w:rFonts w:ascii="Arial" w:hAnsi="Arial" w:cs="Arial"/>
          <w:noProof/>
          <w:sz w:val="22"/>
          <w:szCs w:val="22"/>
        </w:rPr>
        <w:t>rimestre de 201</w:t>
      </w:r>
      <w:r w:rsidR="00337A58" w:rsidRPr="00ED0466">
        <w:rPr>
          <w:rFonts w:ascii="Arial" w:hAnsi="Arial" w:cs="Arial"/>
          <w:noProof/>
          <w:sz w:val="22"/>
          <w:szCs w:val="22"/>
        </w:rPr>
        <w:t>9</w:t>
      </w:r>
      <w:r w:rsidRPr="00ED0466">
        <w:rPr>
          <w:rFonts w:ascii="Arial" w:hAnsi="Arial" w:cs="Arial"/>
          <w:noProof/>
          <w:sz w:val="22"/>
          <w:szCs w:val="22"/>
        </w:rPr>
        <w:t xml:space="preserve"> comparado con igual trimeste de 201</w:t>
      </w:r>
      <w:r w:rsidR="00337A58" w:rsidRPr="00ED0466">
        <w:rPr>
          <w:rFonts w:ascii="Arial" w:hAnsi="Arial" w:cs="Arial"/>
          <w:noProof/>
          <w:sz w:val="22"/>
          <w:szCs w:val="22"/>
        </w:rPr>
        <w:t>8</w:t>
      </w:r>
      <w:r w:rsidRPr="00ED0466">
        <w:rPr>
          <w:rFonts w:ascii="Arial" w:hAnsi="Arial" w:cs="Arial"/>
          <w:noProof/>
          <w:sz w:val="22"/>
          <w:szCs w:val="22"/>
        </w:rPr>
        <w:t xml:space="preserve">, </w:t>
      </w:r>
      <w:r w:rsidR="00617A62" w:rsidRPr="00ED0466">
        <w:rPr>
          <w:rFonts w:ascii="Arial" w:hAnsi="Arial" w:cs="Arial"/>
          <w:noProof/>
          <w:sz w:val="22"/>
          <w:szCs w:val="22"/>
        </w:rPr>
        <w:t xml:space="preserve">se presentaron </w:t>
      </w:r>
      <w:r w:rsidR="00B67EB6" w:rsidRPr="00ED0466">
        <w:rPr>
          <w:rFonts w:ascii="Arial" w:hAnsi="Arial" w:cs="Arial"/>
          <w:b/>
          <w:noProof/>
          <w:sz w:val="22"/>
          <w:szCs w:val="22"/>
        </w:rPr>
        <w:t>variaciones positivas</w:t>
      </w:r>
      <w:r w:rsidR="00B67EB6" w:rsidRPr="00ED0466">
        <w:rPr>
          <w:rFonts w:ascii="Arial" w:hAnsi="Arial" w:cs="Arial"/>
          <w:noProof/>
          <w:sz w:val="22"/>
          <w:szCs w:val="22"/>
        </w:rPr>
        <w:t xml:space="preserve"> </w:t>
      </w:r>
      <w:r w:rsidR="00302D99" w:rsidRPr="00ED0466">
        <w:rPr>
          <w:rFonts w:ascii="Arial" w:hAnsi="Arial" w:cs="Arial"/>
          <w:noProof/>
          <w:sz w:val="22"/>
          <w:szCs w:val="22"/>
        </w:rPr>
        <w:t xml:space="preserve">para los tres meses que conforman el trimestre analizado [ </w:t>
      </w:r>
      <w:r w:rsidR="00ED0466">
        <w:rPr>
          <w:rFonts w:ascii="Arial" w:hAnsi="Arial" w:cs="Arial"/>
          <w:noProof/>
          <w:sz w:val="22"/>
          <w:szCs w:val="22"/>
        </w:rPr>
        <w:t xml:space="preserve">julio, agosto y septiembre </w:t>
      </w:r>
      <w:r w:rsidR="00302D99" w:rsidRPr="00ED0466">
        <w:rPr>
          <w:rFonts w:ascii="Arial" w:hAnsi="Arial" w:cs="Arial"/>
          <w:noProof/>
          <w:sz w:val="22"/>
          <w:szCs w:val="22"/>
        </w:rPr>
        <w:t>], tanto en el consumo de energía en kilovatios</w:t>
      </w:r>
      <w:r w:rsidR="00D24164">
        <w:rPr>
          <w:rFonts w:ascii="Arial" w:hAnsi="Arial" w:cs="Arial"/>
          <w:noProof/>
          <w:sz w:val="22"/>
          <w:szCs w:val="22"/>
        </w:rPr>
        <w:t>,</w:t>
      </w:r>
      <w:r w:rsidR="00302D99" w:rsidRPr="00ED0466">
        <w:rPr>
          <w:rFonts w:ascii="Arial" w:hAnsi="Arial" w:cs="Arial"/>
          <w:noProof/>
          <w:sz w:val="22"/>
          <w:szCs w:val="22"/>
        </w:rPr>
        <w:t xml:space="preserve"> como en el valor </w:t>
      </w:r>
      <w:r w:rsidR="00BC2B90" w:rsidRPr="00ED0466">
        <w:rPr>
          <w:rFonts w:ascii="Arial" w:hAnsi="Arial" w:cs="Arial"/>
          <w:noProof/>
          <w:sz w:val="22"/>
          <w:szCs w:val="22"/>
        </w:rPr>
        <w:t xml:space="preserve">facturado por dichos consumos. </w:t>
      </w:r>
      <w:r w:rsidR="006826C1" w:rsidRPr="00ED0466">
        <w:rPr>
          <w:rFonts w:ascii="Arial" w:hAnsi="Arial" w:cs="Arial"/>
          <w:noProof/>
          <w:sz w:val="22"/>
          <w:szCs w:val="22"/>
        </w:rPr>
        <w:t xml:space="preserve">Para el mes de </w:t>
      </w:r>
      <w:r w:rsidR="00ED0466">
        <w:rPr>
          <w:rFonts w:ascii="Arial" w:hAnsi="Arial" w:cs="Arial"/>
          <w:noProof/>
          <w:sz w:val="22"/>
          <w:szCs w:val="22"/>
        </w:rPr>
        <w:t>septiembre</w:t>
      </w:r>
      <w:r w:rsidR="006826C1" w:rsidRPr="00ED0466">
        <w:rPr>
          <w:rFonts w:ascii="Arial" w:hAnsi="Arial" w:cs="Arial"/>
          <w:noProof/>
          <w:sz w:val="22"/>
          <w:szCs w:val="22"/>
        </w:rPr>
        <w:t>, se presentó un mayor incremento comparado con los meses anteriores [</w:t>
      </w:r>
      <w:r w:rsidR="00ED0466">
        <w:rPr>
          <w:rFonts w:ascii="Arial" w:hAnsi="Arial" w:cs="Arial"/>
          <w:noProof/>
          <w:sz w:val="22"/>
          <w:szCs w:val="22"/>
        </w:rPr>
        <w:t xml:space="preserve">julio y agosto]. </w:t>
      </w:r>
    </w:p>
    <w:p w14:paraId="6A37ED2F" w14:textId="77777777" w:rsidR="00D24164" w:rsidRDefault="00D24164" w:rsidP="00177D55">
      <w:pPr>
        <w:ind w:left="360"/>
        <w:jc w:val="both"/>
        <w:rPr>
          <w:rFonts w:ascii="Arial" w:hAnsi="Arial" w:cs="Arial"/>
          <w:noProof/>
          <w:sz w:val="22"/>
          <w:szCs w:val="22"/>
        </w:rPr>
      </w:pPr>
    </w:p>
    <w:p w14:paraId="4F1E4E7F" w14:textId="3379614C" w:rsidR="00C34573" w:rsidRPr="00ED0466" w:rsidRDefault="00ED0466" w:rsidP="00177D55">
      <w:pPr>
        <w:ind w:left="360"/>
        <w:jc w:val="both"/>
        <w:rPr>
          <w:rFonts w:ascii="Arial" w:hAnsi="Arial" w:cs="Arial"/>
          <w:noProof/>
          <w:sz w:val="22"/>
          <w:szCs w:val="22"/>
        </w:rPr>
      </w:pPr>
      <w:r>
        <w:rPr>
          <w:rFonts w:ascii="Arial" w:hAnsi="Arial" w:cs="Arial"/>
          <w:noProof/>
          <w:sz w:val="22"/>
          <w:szCs w:val="22"/>
        </w:rPr>
        <w:t xml:space="preserve">En términos generales </w:t>
      </w:r>
      <w:r w:rsidR="006826C1" w:rsidRPr="00ED0466">
        <w:rPr>
          <w:rFonts w:ascii="Arial" w:hAnsi="Arial" w:cs="Arial"/>
          <w:noProof/>
          <w:sz w:val="22"/>
          <w:szCs w:val="22"/>
        </w:rPr>
        <w:t xml:space="preserve"> </w:t>
      </w:r>
      <w:r>
        <w:rPr>
          <w:rFonts w:ascii="Arial" w:hAnsi="Arial" w:cs="Arial"/>
          <w:noProof/>
          <w:sz w:val="22"/>
          <w:szCs w:val="22"/>
        </w:rPr>
        <w:t xml:space="preserve">se observó que </w:t>
      </w:r>
      <w:r w:rsidR="002F3732">
        <w:rPr>
          <w:rFonts w:ascii="Arial" w:hAnsi="Arial" w:cs="Arial"/>
          <w:noProof/>
          <w:sz w:val="22"/>
          <w:szCs w:val="22"/>
        </w:rPr>
        <w:t xml:space="preserve">los aumentos tanto en </w:t>
      </w:r>
      <w:r w:rsidR="00FC1108">
        <w:rPr>
          <w:rFonts w:ascii="Arial" w:hAnsi="Arial" w:cs="Arial"/>
          <w:noProof/>
          <w:sz w:val="22"/>
          <w:szCs w:val="22"/>
        </w:rPr>
        <w:t xml:space="preserve">el </w:t>
      </w:r>
      <w:r w:rsidR="006826C1" w:rsidRPr="00ED0466">
        <w:rPr>
          <w:rFonts w:ascii="Arial" w:hAnsi="Arial" w:cs="Arial"/>
          <w:noProof/>
          <w:sz w:val="22"/>
          <w:szCs w:val="22"/>
        </w:rPr>
        <w:t>consumo</w:t>
      </w:r>
      <w:r w:rsidR="002F3732">
        <w:rPr>
          <w:rFonts w:ascii="Arial" w:hAnsi="Arial" w:cs="Arial"/>
          <w:noProof/>
          <w:sz w:val="22"/>
          <w:szCs w:val="22"/>
        </w:rPr>
        <w:t xml:space="preserve"> como</w:t>
      </w:r>
      <w:r w:rsidR="00FC1108">
        <w:rPr>
          <w:rFonts w:ascii="Arial" w:hAnsi="Arial" w:cs="Arial"/>
          <w:noProof/>
          <w:sz w:val="22"/>
          <w:szCs w:val="22"/>
        </w:rPr>
        <w:t xml:space="preserve"> en</w:t>
      </w:r>
      <w:r w:rsidR="002F3732">
        <w:rPr>
          <w:rFonts w:ascii="Arial" w:hAnsi="Arial" w:cs="Arial"/>
          <w:noProof/>
          <w:sz w:val="22"/>
          <w:szCs w:val="22"/>
        </w:rPr>
        <w:t xml:space="preserve"> el valor del gasto</w:t>
      </w:r>
      <w:r w:rsidR="00FC1108">
        <w:rPr>
          <w:rFonts w:ascii="Arial" w:hAnsi="Arial" w:cs="Arial"/>
          <w:noProof/>
          <w:sz w:val="22"/>
          <w:szCs w:val="22"/>
        </w:rPr>
        <w:t>,</w:t>
      </w:r>
      <w:r w:rsidR="002F3732">
        <w:rPr>
          <w:rFonts w:ascii="Arial" w:hAnsi="Arial" w:cs="Arial"/>
          <w:noProof/>
          <w:sz w:val="22"/>
          <w:szCs w:val="22"/>
        </w:rPr>
        <w:t xml:space="preserve"> están directamente relacionados, </w:t>
      </w:r>
      <w:r w:rsidR="006826C1" w:rsidRPr="00ED0466">
        <w:rPr>
          <w:rFonts w:ascii="Arial" w:hAnsi="Arial" w:cs="Arial"/>
          <w:noProof/>
          <w:sz w:val="22"/>
          <w:szCs w:val="22"/>
        </w:rPr>
        <w:t>consider</w:t>
      </w:r>
      <w:r w:rsidR="00D24164">
        <w:rPr>
          <w:rFonts w:ascii="Arial" w:hAnsi="Arial" w:cs="Arial"/>
          <w:noProof/>
          <w:sz w:val="22"/>
          <w:szCs w:val="22"/>
        </w:rPr>
        <w:t>á</w:t>
      </w:r>
      <w:r w:rsidR="006826C1" w:rsidRPr="00ED0466">
        <w:rPr>
          <w:rFonts w:ascii="Arial" w:hAnsi="Arial" w:cs="Arial"/>
          <w:noProof/>
          <w:sz w:val="22"/>
          <w:szCs w:val="22"/>
        </w:rPr>
        <w:t xml:space="preserve">ndose variaciones positivas significativas. </w:t>
      </w:r>
      <w:r w:rsidR="00C34573" w:rsidRPr="00ED0466">
        <w:rPr>
          <w:rFonts w:ascii="Arial" w:hAnsi="Arial" w:cs="Arial"/>
          <w:noProof/>
          <w:sz w:val="22"/>
          <w:szCs w:val="22"/>
        </w:rPr>
        <w:t>A nivel global, para el</w:t>
      </w:r>
      <w:r w:rsidR="003606F3" w:rsidRPr="00ED0466">
        <w:rPr>
          <w:rFonts w:ascii="Arial" w:hAnsi="Arial" w:cs="Arial"/>
          <w:noProof/>
          <w:sz w:val="22"/>
          <w:szCs w:val="22"/>
        </w:rPr>
        <w:t xml:space="preserve"> </w:t>
      </w:r>
      <w:r w:rsidR="002F3732">
        <w:rPr>
          <w:rFonts w:ascii="Arial" w:hAnsi="Arial" w:cs="Arial"/>
          <w:noProof/>
          <w:sz w:val="22"/>
          <w:szCs w:val="22"/>
        </w:rPr>
        <w:t xml:space="preserve">tercer </w:t>
      </w:r>
      <w:r w:rsidR="00C34573" w:rsidRPr="00ED0466">
        <w:rPr>
          <w:rFonts w:ascii="Arial" w:hAnsi="Arial" w:cs="Arial"/>
          <w:noProof/>
          <w:sz w:val="22"/>
          <w:szCs w:val="22"/>
        </w:rPr>
        <w:t>trimestre de 201</w:t>
      </w:r>
      <w:r w:rsidR="00D806E2" w:rsidRPr="00ED0466">
        <w:rPr>
          <w:rFonts w:ascii="Arial" w:hAnsi="Arial" w:cs="Arial"/>
          <w:noProof/>
          <w:sz w:val="22"/>
          <w:szCs w:val="22"/>
        </w:rPr>
        <w:t>9</w:t>
      </w:r>
      <w:r w:rsidR="00C34573" w:rsidRPr="00ED0466">
        <w:rPr>
          <w:rFonts w:ascii="Arial" w:hAnsi="Arial" w:cs="Arial"/>
          <w:noProof/>
          <w:sz w:val="22"/>
          <w:szCs w:val="22"/>
        </w:rPr>
        <w:t xml:space="preserve"> -201</w:t>
      </w:r>
      <w:r w:rsidR="00D806E2" w:rsidRPr="00ED0466">
        <w:rPr>
          <w:rFonts w:ascii="Arial" w:hAnsi="Arial" w:cs="Arial"/>
          <w:noProof/>
          <w:sz w:val="22"/>
          <w:szCs w:val="22"/>
        </w:rPr>
        <w:t>8</w:t>
      </w:r>
      <w:r w:rsidR="00C34573" w:rsidRPr="00ED0466">
        <w:rPr>
          <w:rFonts w:ascii="Arial" w:hAnsi="Arial" w:cs="Arial"/>
          <w:noProof/>
          <w:sz w:val="22"/>
          <w:szCs w:val="22"/>
        </w:rPr>
        <w:t xml:space="preserve"> </w:t>
      </w:r>
      <w:r w:rsidR="00617A62" w:rsidRPr="00ED0466">
        <w:rPr>
          <w:rFonts w:ascii="Arial" w:hAnsi="Arial" w:cs="Arial"/>
          <w:noProof/>
          <w:sz w:val="22"/>
          <w:szCs w:val="22"/>
        </w:rPr>
        <w:t xml:space="preserve">se presentó un </w:t>
      </w:r>
      <w:r w:rsidR="00617A62" w:rsidRPr="00ED0466">
        <w:rPr>
          <w:rFonts w:ascii="Arial" w:hAnsi="Arial" w:cs="Arial"/>
          <w:b/>
          <w:noProof/>
          <w:sz w:val="22"/>
          <w:szCs w:val="22"/>
        </w:rPr>
        <w:t>incremento</w:t>
      </w:r>
      <w:r w:rsidR="00617A62" w:rsidRPr="00ED0466">
        <w:rPr>
          <w:rFonts w:ascii="Arial" w:hAnsi="Arial" w:cs="Arial"/>
          <w:noProof/>
          <w:sz w:val="22"/>
          <w:szCs w:val="22"/>
        </w:rPr>
        <w:t xml:space="preserve"> de </w:t>
      </w:r>
      <w:r w:rsidR="002F3732">
        <w:rPr>
          <w:rFonts w:ascii="Arial" w:hAnsi="Arial" w:cs="Arial"/>
          <w:noProof/>
          <w:sz w:val="22"/>
          <w:szCs w:val="22"/>
        </w:rPr>
        <w:t>127.600</w:t>
      </w:r>
      <w:r w:rsidR="00D806E2" w:rsidRPr="00ED0466">
        <w:rPr>
          <w:rFonts w:ascii="Arial" w:hAnsi="Arial" w:cs="Arial"/>
          <w:noProof/>
          <w:sz w:val="22"/>
          <w:szCs w:val="22"/>
        </w:rPr>
        <w:t xml:space="preserve"> kw/h equivalente </w:t>
      </w:r>
      <w:r w:rsidR="00617A62" w:rsidRPr="00ED0466">
        <w:rPr>
          <w:rFonts w:ascii="Arial" w:hAnsi="Arial" w:cs="Arial"/>
          <w:noProof/>
          <w:sz w:val="22"/>
          <w:szCs w:val="22"/>
        </w:rPr>
        <w:t xml:space="preserve">al </w:t>
      </w:r>
      <w:r w:rsidR="002F3732">
        <w:rPr>
          <w:rFonts w:ascii="Arial" w:hAnsi="Arial" w:cs="Arial"/>
          <w:noProof/>
          <w:sz w:val="22"/>
          <w:szCs w:val="22"/>
        </w:rPr>
        <w:t>95</w:t>
      </w:r>
      <w:r w:rsidR="00111076" w:rsidRPr="00ED0466">
        <w:rPr>
          <w:rFonts w:ascii="Arial" w:hAnsi="Arial" w:cs="Arial"/>
          <w:noProof/>
          <w:sz w:val="22"/>
          <w:szCs w:val="22"/>
        </w:rPr>
        <w:t>%. En</w:t>
      </w:r>
      <w:r w:rsidR="002F3732">
        <w:rPr>
          <w:rFonts w:ascii="Arial" w:hAnsi="Arial" w:cs="Arial"/>
          <w:noProof/>
          <w:sz w:val="22"/>
          <w:szCs w:val="22"/>
        </w:rPr>
        <w:t xml:space="preserve"> cuanto al valor factrurado, el </w:t>
      </w:r>
      <w:r w:rsidR="00111076" w:rsidRPr="00ED0466">
        <w:rPr>
          <w:rFonts w:ascii="Arial" w:hAnsi="Arial" w:cs="Arial"/>
          <w:noProof/>
          <w:sz w:val="22"/>
          <w:szCs w:val="22"/>
        </w:rPr>
        <w:t xml:space="preserve">gasto </w:t>
      </w:r>
      <w:r w:rsidR="002F3732" w:rsidRPr="002F3732">
        <w:rPr>
          <w:rFonts w:ascii="Arial" w:hAnsi="Arial" w:cs="Arial"/>
          <w:b/>
          <w:noProof/>
          <w:sz w:val="22"/>
          <w:szCs w:val="22"/>
        </w:rPr>
        <w:t>aumentó</w:t>
      </w:r>
      <w:r w:rsidR="002F3732">
        <w:rPr>
          <w:rFonts w:ascii="Arial" w:hAnsi="Arial" w:cs="Arial"/>
          <w:noProof/>
          <w:sz w:val="22"/>
          <w:szCs w:val="22"/>
        </w:rPr>
        <w:t xml:space="preserve"> el </w:t>
      </w:r>
      <w:r w:rsidR="00FC1108">
        <w:rPr>
          <w:rFonts w:ascii="Arial" w:hAnsi="Arial" w:cs="Arial"/>
          <w:noProof/>
          <w:sz w:val="22"/>
          <w:szCs w:val="22"/>
        </w:rPr>
        <w:t>$</w:t>
      </w:r>
      <w:r w:rsidR="002F3732">
        <w:rPr>
          <w:rFonts w:ascii="Arial" w:hAnsi="Arial" w:cs="Arial"/>
          <w:noProof/>
          <w:sz w:val="22"/>
          <w:szCs w:val="22"/>
        </w:rPr>
        <w:t xml:space="preserve">51.417.060 </w:t>
      </w:r>
      <w:r w:rsidR="00111076" w:rsidRPr="00ED0466">
        <w:rPr>
          <w:rFonts w:ascii="Arial" w:hAnsi="Arial" w:cs="Arial"/>
          <w:noProof/>
          <w:sz w:val="22"/>
          <w:szCs w:val="22"/>
        </w:rPr>
        <w:t xml:space="preserve">representando </w:t>
      </w:r>
      <w:r w:rsidR="009158C2" w:rsidRPr="00ED0466">
        <w:rPr>
          <w:rFonts w:ascii="Arial" w:hAnsi="Arial" w:cs="Arial"/>
          <w:noProof/>
          <w:sz w:val="22"/>
          <w:szCs w:val="22"/>
        </w:rPr>
        <w:t xml:space="preserve">el </w:t>
      </w:r>
      <w:r w:rsidR="002F3732">
        <w:rPr>
          <w:rFonts w:ascii="Arial" w:hAnsi="Arial" w:cs="Arial"/>
          <w:noProof/>
          <w:sz w:val="22"/>
          <w:szCs w:val="22"/>
        </w:rPr>
        <w:t xml:space="preserve">95%. </w:t>
      </w:r>
      <w:r w:rsidR="009158C2" w:rsidRPr="00ED0466">
        <w:rPr>
          <w:rFonts w:ascii="Arial" w:hAnsi="Arial" w:cs="Arial"/>
          <w:noProof/>
          <w:sz w:val="22"/>
          <w:szCs w:val="22"/>
        </w:rPr>
        <w:t xml:space="preserve"> </w:t>
      </w:r>
      <w:r w:rsidR="00111076" w:rsidRPr="00ED0466">
        <w:rPr>
          <w:rFonts w:ascii="Arial" w:hAnsi="Arial" w:cs="Arial"/>
          <w:b/>
          <w:noProof/>
          <w:sz w:val="22"/>
          <w:szCs w:val="22"/>
        </w:rPr>
        <w:t xml:space="preserve"> </w:t>
      </w:r>
    </w:p>
    <w:p w14:paraId="58B648D5" w14:textId="77777777" w:rsidR="00617A62" w:rsidRPr="00ED0466" w:rsidRDefault="00617A62" w:rsidP="00617A62">
      <w:pPr>
        <w:spacing w:line="235" w:lineRule="auto"/>
        <w:rPr>
          <w:rFonts w:ascii="Arial" w:hAnsi="Arial" w:cs="Arial"/>
          <w:color w:val="000000"/>
          <w:sz w:val="22"/>
          <w:szCs w:val="22"/>
        </w:rPr>
      </w:pPr>
    </w:p>
    <w:tbl>
      <w:tblPr>
        <w:tblStyle w:val="Tabladecuadrcula1clara-nfasis1"/>
        <w:tblW w:w="9497" w:type="dxa"/>
        <w:tblInd w:w="421" w:type="dxa"/>
        <w:tblLayout w:type="fixed"/>
        <w:tblLook w:val="04A0" w:firstRow="1" w:lastRow="0" w:firstColumn="1" w:lastColumn="0" w:noHBand="0" w:noVBand="1"/>
      </w:tblPr>
      <w:tblGrid>
        <w:gridCol w:w="1417"/>
        <w:gridCol w:w="1418"/>
        <w:gridCol w:w="1275"/>
        <w:gridCol w:w="1276"/>
        <w:gridCol w:w="1276"/>
        <w:gridCol w:w="1417"/>
        <w:gridCol w:w="1418"/>
      </w:tblGrid>
      <w:tr w:rsidR="005236C0" w:rsidRPr="00A003B6" w14:paraId="15A32391" w14:textId="77777777" w:rsidTr="0063421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97" w:type="dxa"/>
            <w:gridSpan w:val="7"/>
            <w:shd w:val="clear" w:color="auto" w:fill="4F81BD" w:themeFill="accent1"/>
            <w:vAlign w:val="center"/>
            <w:hideMark/>
          </w:tcPr>
          <w:p w14:paraId="64150664" w14:textId="0558F2E5" w:rsidR="005236C0" w:rsidRPr="0073420E" w:rsidRDefault="005236C0" w:rsidP="00CA648A">
            <w:pPr>
              <w:spacing w:before="40" w:after="40"/>
              <w:jc w:val="center"/>
              <w:rPr>
                <w:rFonts w:ascii="Arial" w:hAnsi="Arial" w:cs="Arial"/>
                <w:color w:val="FFFFFF" w:themeColor="background1"/>
                <w:sz w:val="20"/>
                <w:szCs w:val="20"/>
              </w:rPr>
            </w:pPr>
            <w:r w:rsidRPr="0073420E">
              <w:rPr>
                <w:rFonts w:ascii="Arial" w:hAnsi="Arial" w:cs="Arial"/>
                <w:color w:val="FFFFFF" w:themeColor="background1"/>
                <w:sz w:val="20"/>
                <w:szCs w:val="20"/>
              </w:rPr>
              <w:t>I</w:t>
            </w:r>
            <w:r w:rsidR="0073420E">
              <w:rPr>
                <w:rFonts w:ascii="Arial" w:hAnsi="Arial" w:cs="Arial"/>
                <w:color w:val="FFFFFF" w:themeColor="background1"/>
                <w:sz w:val="20"/>
                <w:szCs w:val="20"/>
              </w:rPr>
              <w:t>I</w:t>
            </w:r>
            <w:r w:rsidRPr="0073420E">
              <w:rPr>
                <w:rFonts w:ascii="Arial" w:hAnsi="Arial" w:cs="Arial"/>
                <w:color w:val="FFFFFF" w:themeColor="background1"/>
                <w:sz w:val="20"/>
                <w:szCs w:val="20"/>
              </w:rPr>
              <w:t>I Trimestre de 2019 -2018</w:t>
            </w:r>
          </w:p>
        </w:tc>
      </w:tr>
      <w:tr w:rsidR="0073420E" w:rsidRPr="00A003B6" w14:paraId="23AC692A" w14:textId="77777777" w:rsidTr="0063421A">
        <w:trPr>
          <w:cantSplit/>
        </w:trPr>
        <w:tc>
          <w:tcPr>
            <w:cnfStyle w:val="001000000000" w:firstRow="0" w:lastRow="0" w:firstColumn="1" w:lastColumn="0" w:oddVBand="0" w:evenVBand="0" w:oddHBand="0" w:evenHBand="0" w:firstRowFirstColumn="0" w:firstRowLastColumn="0" w:lastRowFirstColumn="0" w:lastRowLastColumn="0"/>
            <w:tcW w:w="1417" w:type="dxa"/>
            <w:shd w:val="clear" w:color="auto" w:fill="4F81BD" w:themeFill="accent1"/>
            <w:vAlign w:val="center"/>
            <w:hideMark/>
          </w:tcPr>
          <w:p w14:paraId="2E98211B" w14:textId="77777777" w:rsidR="005236C0" w:rsidRPr="0073420E" w:rsidRDefault="005236C0" w:rsidP="00CA648A">
            <w:pPr>
              <w:spacing w:before="40" w:after="40"/>
              <w:rPr>
                <w:rFonts w:ascii="Arial" w:hAnsi="Arial" w:cs="Arial"/>
                <w:color w:val="FFFFFF" w:themeColor="background1"/>
                <w:sz w:val="20"/>
                <w:szCs w:val="20"/>
              </w:rPr>
            </w:pPr>
            <w:r w:rsidRPr="0073420E">
              <w:rPr>
                <w:rFonts w:ascii="Arial" w:hAnsi="Arial" w:cs="Arial"/>
                <w:color w:val="FFFFFF" w:themeColor="background1"/>
                <w:sz w:val="20"/>
                <w:szCs w:val="20"/>
              </w:rPr>
              <w:t>Sede</w:t>
            </w:r>
          </w:p>
        </w:tc>
        <w:tc>
          <w:tcPr>
            <w:tcW w:w="1418" w:type="dxa"/>
            <w:shd w:val="clear" w:color="auto" w:fill="4F81BD" w:themeFill="accent1"/>
            <w:vAlign w:val="center"/>
            <w:hideMark/>
          </w:tcPr>
          <w:p w14:paraId="1D3AE1D3" w14:textId="77777777" w:rsidR="005236C0" w:rsidRPr="0073420E" w:rsidRDefault="005236C0" w:rsidP="00CA648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Concepto</w:t>
            </w:r>
          </w:p>
        </w:tc>
        <w:tc>
          <w:tcPr>
            <w:tcW w:w="1275" w:type="dxa"/>
            <w:shd w:val="clear" w:color="auto" w:fill="4F81BD" w:themeFill="accent1"/>
            <w:vAlign w:val="center"/>
            <w:hideMark/>
          </w:tcPr>
          <w:p w14:paraId="76F62D65" w14:textId="77777777" w:rsidR="005236C0" w:rsidRPr="0073420E" w:rsidRDefault="005236C0" w:rsidP="00CA648A">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Vigencia</w:t>
            </w:r>
          </w:p>
        </w:tc>
        <w:tc>
          <w:tcPr>
            <w:tcW w:w="1276" w:type="dxa"/>
            <w:shd w:val="clear" w:color="auto" w:fill="4F81BD" w:themeFill="accent1"/>
            <w:vAlign w:val="center"/>
            <w:hideMark/>
          </w:tcPr>
          <w:p w14:paraId="5D388269" w14:textId="052D5C66" w:rsidR="005236C0" w:rsidRPr="0073420E" w:rsidRDefault="0073420E"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Julio</w:t>
            </w:r>
          </w:p>
        </w:tc>
        <w:tc>
          <w:tcPr>
            <w:tcW w:w="1276" w:type="dxa"/>
            <w:shd w:val="clear" w:color="auto" w:fill="4F81BD" w:themeFill="accent1"/>
            <w:vAlign w:val="center"/>
            <w:hideMark/>
          </w:tcPr>
          <w:p w14:paraId="5BEFE6C3" w14:textId="35B228A4" w:rsidR="005236C0"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 xml:space="preserve">Agosto </w:t>
            </w:r>
          </w:p>
        </w:tc>
        <w:tc>
          <w:tcPr>
            <w:tcW w:w="1417" w:type="dxa"/>
            <w:shd w:val="clear" w:color="auto" w:fill="4F81BD" w:themeFill="accent1"/>
            <w:vAlign w:val="center"/>
            <w:hideMark/>
          </w:tcPr>
          <w:p w14:paraId="1D74A0E8" w14:textId="3136BE5E" w:rsidR="005236C0"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 xml:space="preserve">Septiembre </w:t>
            </w:r>
          </w:p>
        </w:tc>
        <w:tc>
          <w:tcPr>
            <w:tcW w:w="1418" w:type="dxa"/>
            <w:shd w:val="clear" w:color="auto" w:fill="4F81BD" w:themeFill="accent1"/>
            <w:vAlign w:val="center"/>
            <w:hideMark/>
          </w:tcPr>
          <w:p w14:paraId="1E4DA47F" w14:textId="4C3CB12D" w:rsidR="005236C0" w:rsidRPr="0073420E" w:rsidRDefault="005236C0" w:rsidP="00CA648A">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 xml:space="preserve">Total </w:t>
            </w:r>
            <w:r w:rsidR="00047407" w:rsidRPr="0073420E">
              <w:rPr>
                <w:rFonts w:ascii="Arial" w:hAnsi="Arial" w:cs="Arial"/>
                <w:b/>
                <w:bCs/>
                <w:color w:val="FFFFFF" w:themeColor="background1"/>
                <w:sz w:val="20"/>
                <w:szCs w:val="20"/>
              </w:rPr>
              <w:t>II</w:t>
            </w:r>
            <w:r w:rsidR="0073420E">
              <w:rPr>
                <w:rFonts w:ascii="Arial" w:hAnsi="Arial" w:cs="Arial"/>
                <w:b/>
                <w:bCs/>
                <w:color w:val="FFFFFF" w:themeColor="background1"/>
                <w:sz w:val="20"/>
                <w:szCs w:val="20"/>
              </w:rPr>
              <w:t>I</w:t>
            </w:r>
            <w:r w:rsidR="00047407" w:rsidRPr="0073420E">
              <w:rPr>
                <w:rFonts w:ascii="Arial" w:hAnsi="Arial" w:cs="Arial"/>
                <w:b/>
                <w:bCs/>
                <w:color w:val="FFFFFF" w:themeColor="background1"/>
                <w:sz w:val="20"/>
                <w:szCs w:val="20"/>
              </w:rPr>
              <w:t xml:space="preserve"> Trimestre</w:t>
            </w:r>
          </w:p>
        </w:tc>
      </w:tr>
      <w:tr w:rsidR="0073420E" w:rsidRPr="00A003B6" w14:paraId="64E86738" w14:textId="77777777" w:rsidTr="0063421A">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vAlign w:val="center"/>
            <w:hideMark/>
          </w:tcPr>
          <w:p w14:paraId="284B3F9C" w14:textId="77777777" w:rsidR="0073420E" w:rsidRPr="0073420E" w:rsidRDefault="0073420E" w:rsidP="0073420E">
            <w:pPr>
              <w:spacing w:before="40" w:after="40"/>
              <w:jc w:val="center"/>
              <w:rPr>
                <w:rFonts w:ascii="Arial" w:hAnsi="Arial" w:cs="Arial"/>
                <w:color w:val="0F243E" w:themeColor="text2" w:themeShade="80"/>
                <w:sz w:val="20"/>
                <w:szCs w:val="20"/>
              </w:rPr>
            </w:pPr>
            <w:r w:rsidRPr="0073420E">
              <w:rPr>
                <w:rFonts w:ascii="Arial" w:hAnsi="Arial" w:cs="Arial"/>
                <w:color w:val="0F243E" w:themeColor="text2" w:themeShade="80"/>
                <w:sz w:val="20"/>
                <w:szCs w:val="20"/>
              </w:rPr>
              <w:t xml:space="preserve">Casa de Santa Bárbara </w:t>
            </w:r>
          </w:p>
        </w:tc>
        <w:tc>
          <w:tcPr>
            <w:tcW w:w="1418" w:type="dxa"/>
            <w:vMerge w:val="restart"/>
            <w:vAlign w:val="center"/>
            <w:hideMark/>
          </w:tcPr>
          <w:p w14:paraId="69D404DB" w14:textId="77777777" w:rsidR="0073420E" w:rsidRPr="00FB7EA4"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Consumo Energía Kw/h</w:t>
            </w:r>
          </w:p>
        </w:tc>
        <w:tc>
          <w:tcPr>
            <w:tcW w:w="1275" w:type="dxa"/>
            <w:vAlign w:val="center"/>
            <w:hideMark/>
          </w:tcPr>
          <w:p w14:paraId="05CB46D0" w14:textId="77777777" w:rsidR="0073420E" w:rsidRPr="00FB7EA4"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2019</w:t>
            </w:r>
          </w:p>
        </w:tc>
        <w:tc>
          <w:tcPr>
            <w:tcW w:w="1276" w:type="dxa"/>
            <w:vAlign w:val="center"/>
            <w:hideMark/>
          </w:tcPr>
          <w:p w14:paraId="626859B3" w14:textId="1D74315A"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84.000</w:t>
            </w:r>
          </w:p>
        </w:tc>
        <w:tc>
          <w:tcPr>
            <w:tcW w:w="1276" w:type="dxa"/>
            <w:vAlign w:val="center"/>
            <w:hideMark/>
          </w:tcPr>
          <w:p w14:paraId="58461473" w14:textId="07089413"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90.000</w:t>
            </w:r>
          </w:p>
        </w:tc>
        <w:tc>
          <w:tcPr>
            <w:tcW w:w="1417" w:type="dxa"/>
            <w:vAlign w:val="center"/>
            <w:hideMark/>
          </w:tcPr>
          <w:p w14:paraId="138B5340" w14:textId="45B96827"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88.000</w:t>
            </w:r>
          </w:p>
        </w:tc>
        <w:tc>
          <w:tcPr>
            <w:tcW w:w="1418" w:type="dxa"/>
            <w:vAlign w:val="center"/>
            <w:hideMark/>
          </w:tcPr>
          <w:p w14:paraId="63057F10" w14:textId="4FF0B36F"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262.000 </w:t>
            </w:r>
          </w:p>
        </w:tc>
      </w:tr>
      <w:tr w:rsidR="0073420E" w:rsidRPr="00A003B6" w14:paraId="4A9F7932" w14:textId="77777777" w:rsidTr="0063421A">
        <w:trPr>
          <w:cantSplit/>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42CCCA73" w14:textId="77777777" w:rsidR="0073420E" w:rsidRPr="0073420E" w:rsidRDefault="0073420E" w:rsidP="0073420E">
            <w:pPr>
              <w:spacing w:before="40" w:after="40"/>
              <w:rPr>
                <w:rFonts w:ascii="Arial" w:hAnsi="Arial" w:cs="Arial"/>
                <w:color w:val="0F243E" w:themeColor="text2" w:themeShade="80"/>
                <w:sz w:val="20"/>
                <w:szCs w:val="20"/>
              </w:rPr>
            </w:pPr>
          </w:p>
        </w:tc>
        <w:tc>
          <w:tcPr>
            <w:tcW w:w="1418" w:type="dxa"/>
            <w:vMerge/>
            <w:vAlign w:val="center"/>
            <w:hideMark/>
          </w:tcPr>
          <w:p w14:paraId="457F8853" w14:textId="77777777" w:rsidR="0073420E" w:rsidRPr="00FB7EA4" w:rsidRDefault="0073420E" w:rsidP="0073420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275" w:type="dxa"/>
            <w:vAlign w:val="center"/>
            <w:hideMark/>
          </w:tcPr>
          <w:p w14:paraId="489DBD3B" w14:textId="77777777" w:rsidR="0073420E" w:rsidRPr="00FB7EA4"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2018</w:t>
            </w:r>
          </w:p>
        </w:tc>
        <w:tc>
          <w:tcPr>
            <w:tcW w:w="1276" w:type="dxa"/>
            <w:vAlign w:val="center"/>
            <w:hideMark/>
          </w:tcPr>
          <w:p w14:paraId="66715B8B" w14:textId="2448997A"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45.600 </w:t>
            </w:r>
          </w:p>
        </w:tc>
        <w:tc>
          <w:tcPr>
            <w:tcW w:w="1276" w:type="dxa"/>
            <w:vAlign w:val="center"/>
            <w:hideMark/>
          </w:tcPr>
          <w:p w14:paraId="25D1DEE8" w14:textId="33122627"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45.600 </w:t>
            </w:r>
          </w:p>
        </w:tc>
        <w:tc>
          <w:tcPr>
            <w:tcW w:w="1417" w:type="dxa"/>
            <w:vAlign w:val="center"/>
            <w:hideMark/>
          </w:tcPr>
          <w:p w14:paraId="7F6123F9" w14:textId="1A383EF3"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43.200 </w:t>
            </w:r>
          </w:p>
        </w:tc>
        <w:tc>
          <w:tcPr>
            <w:tcW w:w="1418" w:type="dxa"/>
            <w:vAlign w:val="center"/>
            <w:hideMark/>
          </w:tcPr>
          <w:p w14:paraId="4CAE026A" w14:textId="470EDB7A"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134.400 </w:t>
            </w:r>
          </w:p>
        </w:tc>
      </w:tr>
      <w:tr w:rsidR="0073420E" w:rsidRPr="00A003B6" w14:paraId="405E1040" w14:textId="77777777" w:rsidTr="0063421A">
        <w:trPr>
          <w:cantSplit/>
          <w:trHeight w:val="475"/>
        </w:trPr>
        <w:tc>
          <w:tcPr>
            <w:cnfStyle w:val="001000000000" w:firstRow="0" w:lastRow="0" w:firstColumn="1" w:lastColumn="0" w:oddVBand="0" w:evenVBand="0" w:oddHBand="0" w:evenHBand="0" w:firstRowFirstColumn="0" w:firstRowLastColumn="0" w:lastRowFirstColumn="0" w:lastRowLastColumn="0"/>
            <w:tcW w:w="1417" w:type="dxa"/>
            <w:vMerge w:val="restart"/>
            <w:shd w:val="clear" w:color="auto" w:fill="4F81BD" w:themeFill="accent1"/>
            <w:vAlign w:val="center"/>
            <w:hideMark/>
          </w:tcPr>
          <w:p w14:paraId="62F94116" w14:textId="77777777" w:rsidR="0073420E" w:rsidRPr="0073420E" w:rsidRDefault="0073420E" w:rsidP="0073420E">
            <w:pPr>
              <w:spacing w:before="40" w:after="40"/>
              <w:jc w:val="center"/>
              <w:rPr>
                <w:rFonts w:ascii="Arial" w:hAnsi="Arial" w:cs="Arial"/>
                <w:color w:val="FFFFFF" w:themeColor="background1"/>
                <w:sz w:val="20"/>
                <w:szCs w:val="20"/>
              </w:rPr>
            </w:pPr>
            <w:r w:rsidRPr="0073420E">
              <w:rPr>
                <w:rFonts w:ascii="Arial" w:hAnsi="Arial" w:cs="Arial"/>
                <w:color w:val="FFFFFF" w:themeColor="background1"/>
                <w:sz w:val="20"/>
                <w:szCs w:val="20"/>
              </w:rPr>
              <w:t>Variaciones</w:t>
            </w:r>
          </w:p>
        </w:tc>
        <w:tc>
          <w:tcPr>
            <w:tcW w:w="2693" w:type="dxa"/>
            <w:gridSpan w:val="2"/>
            <w:shd w:val="clear" w:color="auto" w:fill="4F81BD" w:themeFill="accent1"/>
            <w:vAlign w:val="center"/>
            <w:hideMark/>
          </w:tcPr>
          <w:p w14:paraId="0F42E59A" w14:textId="77777777"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Cantidad</w:t>
            </w:r>
          </w:p>
        </w:tc>
        <w:tc>
          <w:tcPr>
            <w:tcW w:w="1276" w:type="dxa"/>
            <w:shd w:val="clear" w:color="auto" w:fill="4F81BD" w:themeFill="accent1"/>
            <w:vAlign w:val="center"/>
            <w:hideMark/>
          </w:tcPr>
          <w:p w14:paraId="146EFB0C" w14:textId="504AEC83"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 xml:space="preserve">        38.400 </w:t>
            </w:r>
          </w:p>
        </w:tc>
        <w:tc>
          <w:tcPr>
            <w:tcW w:w="1276" w:type="dxa"/>
            <w:shd w:val="clear" w:color="auto" w:fill="4F81BD" w:themeFill="accent1"/>
            <w:vAlign w:val="center"/>
            <w:hideMark/>
          </w:tcPr>
          <w:p w14:paraId="00A1B462" w14:textId="673DB834"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 xml:space="preserve">    44.400 </w:t>
            </w:r>
          </w:p>
        </w:tc>
        <w:tc>
          <w:tcPr>
            <w:tcW w:w="1417" w:type="dxa"/>
            <w:shd w:val="clear" w:color="auto" w:fill="4F81BD" w:themeFill="accent1"/>
            <w:vAlign w:val="center"/>
            <w:hideMark/>
          </w:tcPr>
          <w:p w14:paraId="5691CFD8" w14:textId="483CF6FC"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 xml:space="preserve">        44.800 </w:t>
            </w:r>
          </w:p>
        </w:tc>
        <w:tc>
          <w:tcPr>
            <w:tcW w:w="1418" w:type="dxa"/>
            <w:shd w:val="clear" w:color="auto" w:fill="4F81BD" w:themeFill="accent1"/>
            <w:vAlign w:val="center"/>
            <w:hideMark/>
          </w:tcPr>
          <w:p w14:paraId="32DF6CCF" w14:textId="2D5D5D3C"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 xml:space="preserve">  127.600 </w:t>
            </w:r>
          </w:p>
        </w:tc>
      </w:tr>
      <w:tr w:rsidR="0073420E" w:rsidRPr="00A003B6" w14:paraId="18D00DAC" w14:textId="77777777" w:rsidTr="0063421A">
        <w:trPr>
          <w:cantSplit/>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4F81BD" w:themeFill="accent1"/>
            <w:vAlign w:val="center"/>
            <w:hideMark/>
          </w:tcPr>
          <w:p w14:paraId="73A232ED" w14:textId="77777777" w:rsidR="0073420E" w:rsidRPr="0073420E" w:rsidRDefault="0073420E" w:rsidP="0073420E">
            <w:pPr>
              <w:spacing w:before="40" w:after="40"/>
              <w:rPr>
                <w:rFonts w:ascii="Arial" w:hAnsi="Arial" w:cs="Arial"/>
                <w:color w:val="FFFFFF" w:themeColor="background1"/>
                <w:sz w:val="20"/>
                <w:szCs w:val="20"/>
              </w:rPr>
            </w:pPr>
          </w:p>
        </w:tc>
        <w:tc>
          <w:tcPr>
            <w:tcW w:w="2693" w:type="dxa"/>
            <w:gridSpan w:val="2"/>
            <w:shd w:val="clear" w:color="auto" w:fill="4F81BD" w:themeFill="accent1"/>
            <w:vAlign w:val="center"/>
            <w:hideMark/>
          </w:tcPr>
          <w:p w14:paraId="30889979" w14:textId="77777777"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w:t>
            </w:r>
          </w:p>
        </w:tc>
        <w:tc>
          <w:tcPr>
            <w:tcW w:w="1276" w:type="dxa"/>
            <w:shd w:val="clear" w:color="auto" w:fill="4F81BD" w:themeFill="accent1"/>
            <w:vAlign w:val="center"/>
            <w:hideMark/>
          </w:tcPr>
          <w:p w14:paraId="037475AD" w14:textId="51DF7F58"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84%</w:t>
            </w:r>
          </w:p>
        </w:tc>
        <w:tc>
          <w:tcPr>
            <w:tcW w:w="1276" w:type="dxa"/>
            <w:shd w:val="clear" w:color="auto" w:fill="4F81BD" w:themeFill="accent1"/>
            <w:vAlign w:val="center"/>
            <w:hideMark/>
          </w:tcPr>
          <w:p w14:paraId="25D32299" w14:textId="1F8E1851"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97%</w:t>
            </w:r>
          </w:p>
        </w:tc>
        <w:tc>
          <w:tcPr>
            <w:tcW w:w="1417" w:type="dxa"/>
            <w:shd w:val="clear" w:color="auto" w:fill="4F81BD" w:themeFill="accent1"/>
            <w:vAlign w:val="center"/>
            <w:hideMark/>
          </w:tcPr>
          <w:p w14:paraId="2FE31CA0" w14:textId="41FB6594"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104%</w:t>
            </w:r>
          </w:p>
        </w:tc>
        <w:tc>
          <w:tcPr>
            <w:tcW w:w="1418" w:type="dxa"/>
            <w:shd w:val="clear" w:color="auto" w:fill="4F81BD" w:themeFill="accent1"/>
            <w:vAlign w:val="center"/>
            <w:hideMark/>
          </w:tcPr>
          <w:p w14:paraId="36CE062F" w14:textId="0D5E50A9"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95%</w:t>
            </w:r>
          </w:p>
        </w:tc>
      </w:tr>
      <w:tr w:rsidR="0073420E" w:rsidRPr="00A003B6" w14:paraId="5590D291" w14:textId="77777777" w:rsidTr="0063421A">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vAlign w:val="center"/>
            <w:hideMark/>
          </w:tcPr>
          <w:p w14:paraId="00A935BD" w14:textId="77777777" w:rsidR="0073420E" w:rsidRPr="0073420E" w:rsidRDefault="0073420E" w:rsidP="0073420E">
            <w:pPr>
              <w:spacing w:before="40" w:after="40"/>
              <w:jc w:val="center"/>
              <w:rPr>
                <w:rFonts w:ascii="Arial" w:hAnsi="Arial" w:cs="Arial"/>
                <w:color w:val="0F243E" w:themeColor="text2" w:themeShade="80"/>
                <w:sz w:val="20"/>
                <w:szCs w:val="20"/>
              </w:rPr>
            </w:pPr>
            <w:r w:rsidRPr="0073420E">
              <w:rPr>
                <w:rFonts w:ascii="Arial" w:hAnsi="Arial" w:cs="Arial"/>
                <w:color w:val="0F243E" w:themeColor="text2" w:themeShade="80"/>
                <w:sz w:val="20"/>
                <w:szCs w:val="20"/>
              </w:rPr>
              <w:t xml:space="preserve">Casa de Santa Bárbara </w:t>
            </w:r>
          </w:p>
        </w:tc>
        <w:tc>
          <w:tcPr>
            <w:tcW w:w="1418" w:type="dxa"/>
            <w:vMerge w:val="restart"/>
            <w:vAlign w:val="center"/>
            <w:hideMark/>
          </w:tcPr>
          <w:p w14:paraId="767F3440" w14:textId="77777777" w:rsidR="0073420E" w:rsidRPr="00FB7EA4"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Valor ($) Consumo </w:t>
            </w:r>
          </w:p>
        </w:tc>
        <w:tc>
          <w:tcPr>
            <w:tcW w:w="1275" w:type="dxa"/>
            <w:vAlign w:val="center"/>
            <w:hideMark/>
          </w:tcPr>
          <w:p w14:paraId="09047BFB" w14:textId="77777777" w:rsidR="0073420E" w:rsidRPr="00FB7EA4"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2019</w:t>
            </w:r>
          </w:p>
        </w:tc>
        <w:tc>
          <w:tcPr>
            <w:tcW w:w="1276" w:type="dxa"/>
            <w:noWrap/>
            <w:vAlign w:val="center"/>
            <w:hideMark/>
          </w:tcPr>
          <w:p w14:paraId="0C150D73" w14:textId="21B3AC83"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33.955.980 </w:t>
            </w:r>
          </w:p>
        </w:tc>
        <w:tc>
          <w:tcPr>
            <w:tcW w:w="1276" w:type="dxa"/>
            <w:noWrap/>
            <w:vAlign w:val="center"/>
            <w:hideMark/>
          </w:tcPr>
          <w:p w14:paraId="1EB1B046" w14:textId="40E0F24F"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35.997.300 </w:t>
            </w:r>
          </w:p>
        </w:tc>
        <w:tc>
          <w:tcPr>
            <w:tcW w:w="1417" w:type="dxa"/>
            <w:noWrap/>
            <w:vAlign w:val="center"/>
            <w:hideMark/>
          </w:tcPr>
          <w:p w14:paraId="21C42973" w14:textId="170A7239"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35.816.390 </w:t>
            </w:r>
          </w:p>
        </w:tc>
        <w:tc>
          <w:tcPr>
            <w:tcW w:w="1418" w:type="dxa"/>
            <w:vAlign w:val="center"/>
            <w:hideMark/>
          </w:tcPr>
          <w:p w14:paraId="7D76E735" w14:textId="461CAD2E"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 xml:space="preserve">105.769.670 </w:t>
            </w:r>
          </w:p>
        </w:tc>
      </w:tr>
      <w:tr w:rsidR="0073420E" w:rsidRPr="00A003B6" w14:paraId="02FE519F" w14:textId="77777777" w:rsidTr="0063421A">
        <w:trPr>
          <w:cantSplit/>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2FEAD753" w14:textId="77777777" w:rsidR="0073420E" w:rsidRPr="0073420E" w:rsidRDefault="0073420E" w:rsidP="0073420E">
            <w:pPr>
              <w:spacing w:before="40" w:after="40"/>
              <w:rPr>
                <w:rFonts w:ascii="Arial" w:hAnsi="Arial" w:cs="Arial"/>
                <w:color w:val="0F243E" w:themeColor="text2" w:themeShade="80"/>
                <w:sz w:val="20"/>
                <w:szCs w:val="20"/>
              </w:rPr>
            </w:pPr>
          </w:p>
        </w:tc>
        <w:tc>
          <w:tcPr>
            <w:tcW w:w="1418" w:type="dxa"/>
            <w:vMerge/>
            <w:vAlign w:val="center"/>
            <w:hideMark/>
          </w:tcPr>
          <w:p w14:paraId="5F534C0A" w14:textId="77777777" w:rsidR="0073420E" w:rsidRPr="00FB7EA4" w:rsidRDefault="0073420E" w:rsidP="0073420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275" w:type="dxa"/>
            <w:vAlign w:val="center"/>
            <w:hideMark/>
          </w:tcPr>
          <w:p w14:paraId="19990103" w14:textId="77777777" w:rsidR="0073420E" w:rsidRPr="00FB7EA4"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2018</w:t>
            </w:r>
          </w:p>
        </w:tc>
        <w:tc>
          <w:tcPr>
            <w:tcW w:w="1276" w:type="dxa"/>
            <w:noWrap/>
            <w:vAlign w:val="center"/>
            <w:hideMark/>
          </w:tcPr>
          <w:p w14:paraId="1DC8A0B7" w14:textId="49DC87D2"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18.112.110 </w:t>
            </w:r>
          </w:p>
        </w:tc>
        <w:tc>
          <w:tcPr>
            <w:tcW w:w="1276" w:type="dxa"/>
            <w:noWrap/>
            <w:vAlign w:val="center"/>
            <w:hideMark/>
          </w:tcPr>
          <w:p w14:paraId="34CA510A" w14:textId="6F69006C"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18.558.740 </w:t>
            </w:r>
          </w:p>
        </w:tc>
        <w:tc>
          <w:tcPr>
            <w:tcW w:w="1417" w:type="dxa"/>
            <w:noWrap/>
            <w:vAlign w:val="center"/>
            <w:hideMark/>
          </w:tcPr>
          <w:p w14:paraId="5093CE30" w14:textId="0D06E90A"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17.681.760 </w:t>
            </w:r>
          </w:p>
        </w:tc>
        <w:tc>
          <w:tcPr>
            <w:tcW w:w="1418" w:type="dxa"/>
            <w:vAlign w:val="center"/>
            <w:hideMark/>
          </w:tcPr>
          <w:p w14:paraId="5159F44F" w14:textId="17370384" w:rsidR="0073420E" w:rsidRPr="00FB7EA4" w:rsidRDefault="0073420E" w:rsidP="0063421A">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FB7EA4">
              <w:rPr>
                <w:rFonts w:ascii="Arial" w:hAnsi="Arial" w:cs="Arial"/>
                <w:b/>
                <w:color w:val="0F243E" w:themeColor="text2" w:themeShade="80"/>
                <w:sz w:val="20"/>
                <w:szCs w:val="20"/>
              </w:rPr>
              <w:t xml:space="preserve">54.352.610 </w:t>
            </w:r>
          </w:p>
        </w:tc>
      </w:tr>
      <w:tr w:rsidR="0073420E" w:rsidRPr="00A003B6" w14:paraId="014FC895" w14:textId="77777777" w:rsidTr="0063421A">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shd w:val="clear" w:color="auto" w:fill="4F81BD" w:themeFill="accent1"/>
            <w:vAlign w:val="center"/>
            <w:hideMark/>
          </w:tcPr>
          <w:p w14:paraId="718DE8D8" w14:textId="77777777" w:rsidR="0073420E" w:rsidRPr="0073420E" w:rsidRDefault="0073420E" w:rsidP="0073420E">
            <w:pPr>
              <w:spacing w:before="40" w:after="40"/>
              <w:jc w:val="center"/>
              <w:rPr>
                <w:rFonts w:ascii="Arial" w:hAnsi="Arial" w:cs="Arial"/>
                <w:color w:val="FFFFFF" w:themeColor="background1"/>
                <w:sz w:val="20"/>
                <w:szCs w:val="20"/>
              </w:rPr>
            </w:pPr>
            <w:r w:rsidRPr="0073420E">
              <w:rPr>
                <w:rFonts w:ascii="Arial" w:hAnsi="Arial" w:cs="Arial"/>
                <w:color w:val="FFFFFF" w:themeColor="background1"/>
                <w:sz w:val="20"/>
                <w:szCs w:val="20"/>
              </w:rPr>
              <w:t>Variaciones</w:t>
            </w:r>
          </w:p>
        </w:tc>
        <w:tc>
          <w:tcPr>
            <w:tcW w:w="2693" w:type="dxa"/>
            <w:gridSpan w:val="2"/>
            <w:shd w:val="clear" w:color="auto" w:fill="4F81BD" w:themeFill="accent1"/>
            <w:vAlign w:val="center"/>
            <w:hideMark/>
          </w:tcPr>
          <w:p w14:paraId="6C2AAD7D" w14:textId="77777777"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Cantidad</w:t>
            </w:r>
          </w:p>
        </w:tc>
        <w:tc>
          <w:tcPr>
            <w:tcW w:w="1276" w:type="dxa"/>
            <w:shd w:val="clear" w:color="auto" w:fill="4F81BD" w:themeFill="accent1"/>
            <w:vAlign w:val="center"/>
            <w:hideMark/>
          </w:tcPr>
          <w:p w14:paraId="3C4E9177" w14:textId="4EF4A2B0" w:rsidR="0073420E" w:rsidRPr="0073420E" w:rsidRDefault="0073420E" w:rsidP="0073420E">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15.843.870</w:t>
            </w:r>
          </w:p>
        </w:tc>
        <w:tc>
          <w:tcPr>
            <w:tcW w:w="1276" w:type="dxa"/>
            <w:shd w:val="clear" w:color="auto" w:fill="4F81BD" w:themeFill="accent1"/>
            <w:vAlign w:val="center"/>
            <w:hideMark/>
          </w:tcPr>
          <w:p w14:paraId="2D2F6237" w14:textId="3CE09E1F" w:rsidR="0073420E" w:rsidRPr="0073420E" w:rsidRDefault="0073420E" w:rsidP="0073420E">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17.438.560</w:t>
            </w:r>
          </w:p>
        </w:tc>
        <w:tc>
          <w:tcPr>
            <w:tcW w:w="1417" w:type="dxa"/>
            <w:shd w:val="clear" w:color="auto" w:fill="4F81BD" w:themeFill="accent1"/>
            <w:vAlign w:val="center"/>
            <w:hideMark/>
          </w:tcPr>
          <w:p w14:paraId="0DD7A59C" w14:textId="209C192B" w:rsidR="0073420E" w:rsidRPr="0073420E" w:rsidRDefault="0073420E" w:rsidP="0073420E">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18.134.630</w:t>
            </w:r>
          </w:p>
        </w:tc>
        <w:tc>
          <w:tcPr>
            <w:tcW w:w="1418" w:type="dxa"/>
            <w:shd w:val="clear" w:color="auto" w:fill="4F81BD" w:themeFill="accent1"/>
            <w:vAlign w:val="center"/>
            <w:hideMark/>
          </w:tcPr>
          <w:p w14:paraId="24F90C0B" w14:textId="394408A4" w:rsidR="0073420E" w:rsidRPr="0073420E" w:rsidRDefault="0073420E" w:rsidP="0073420E">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51.417.060</w:t>
            </w:r>
          </w:p>
        </w:tc>
      </w:tr>
      <w:tr w:rsidR="0073420E" w:rsidRPr="00A003B6" w14:paraId="6D59358C" w14:textId="77777777" w:rsidTr="0063421A">
        <w:trPr>
          <w:cantSplit/>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4F81BD" w:themeFill="accent1"/>
            <w:vAlign w:val="center"/>
            <w:hideMark/>
          </w:tcPr>
          <w:p w14:paraId="6CCEB3A6" w14:textId="77777777" w:rsidR="0073420E" w:rsidRPr="00A003B6" w:rsidRDefault="0073420E" w:rsidP="0073420E">
            <w:pPr>
              <w:spacing w:before="40" w:after="40"/>
              <w:rPr>
                <w:rFonts w:ascii="Arial" w:hAnsi="Arial" w:cs="Arial"/>
                <w:color w:val="FFFFFF" w:themeColor="background1"/>
                <w:sz w:val="20"/>
                <w:szCs w:val="20"/>
                <w:highlight w:val="yellow"/>
              </w:rPr>
            </w:pPr>
          </w:p>
        </w:tc>
        <w:tc>
          <w:tcPr>
            <w:tcW w:w="2693" w:type="dxa"/>
            <w:gridSpan w:val="2"/>
            <w:shd w:val="clear" w:color="auto" w:fill="4F81BD" w:themeFill="accent1"/>
            <w:vAlign w:val="center"/>
            <w:hideMark/>
          </w:tcPr>
          <w:p w14:paraId="50CED7FF" w14:textId="77777777"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w:t>
            </w:r>
          </w:p>
        </w:tc>
        <w:tc>
          <w:tcPr>
            <w:tcW w:w="1276" w:type="dxa"/>
            <w:shd w:val="clear" w:color="auto" w:fill="4F81BD" w:themeFill="accent1"/>
            <w:vAlign w:val="center"/>
            <w:hideMark/>
          </w:tcPr>
          <w:p w14:paraId="2A413E36" w14:textId="422BCF5D"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87%</w:t>
            </w:r>
          </w:p>
        </w:tc>
        <w:tc>
          <w:tcPr>
            <w:tcW w:w="1276" w:type="dxa"/>
            <w:shd w:val="clear" w:color="auto" w:fill="4F81BD" w:themeFill="accent1"/>
            <w:vAlign w:val="center"/>
            <w:hideMark/>
          </w:tcPr>
          <w:p w14:paraId="23FC58AA" w14:textId="098D678C"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94%</w:t>
            </w:r>
          </w:p>
        </w:tc>
        <w:tc>
          <w:tcPr>
            <w:tcW w:w="1417" w:type="dxa"/>
            <w:shd w:val="clear" w:color="auto" w:fill="4F81BD" w:themeFill="accent1"/>
            <w:vAlign w:val="center"/>
            <w:hideMark/>
          </w:tcPr>
          <w:p w14:paraId="22E22A55" w14:textId="4C2818FB"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103%</w:t>
            </w:r>
          </w:p>
        </w:tc>
        <w:tc>
          <w:tcPr>
            <w:tcW w:w="1418" w:type="dxa"/>
            <w:shd w:val="clear" w:color="auto" w:fill="4F81BD" w:themeFill="accent1"/>
            <w:vAlign w:val="center"/>
            <w:hideMark/>
          </w:tcPr>
          <w:p w14:paraId="597EB7AC" w14:textId="2AA6848A" w:rsidR="0073420E" w:rsidRPr="0073420E" w:rsidRDefault="0073420E" w:rsidP="0073420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73420E">
              <w:rPr>
                <w:rFonts w:ascii="Arial" w:hAnsi="Arial" w:cs="Arial"/>
                <w:b/>
                <w:bCs/>
                <w:color w:val="FFFFFF" w:themeColor="background1"/>
                <w:sz w:val="20"/>
                <w:szCs w:val="20"/>
              </w:rPr>
              <w:t>95%</w:t>
            </w:r>
          </w:p>
        </w:tc>
      </w:tr>
    </w:tbl>
    <w:p w14:paraId="544F95C8" w14:textId="77777777" w:rsidR="00837ED9" w:rsidRDefault="00837ED9" w:rsidP="00523BAF">
      <w:pPr>
        <w:spacing w:after="200" w:line="276" w:lineRule="auto"/>
        <w:ind w:firstLine="708"/>
        <w:rPr>
          <w:noProof/>
        </w:rPr>
      </w:pPr>
    </w:p>
    <w:p w14:paraId="40290DC6" w14:textId="259806F4" w:rsidR="005236C0" w:rsidRDefault="0073420E" w:rsidP="00523BAF">
      <w:pPr>
        <w:spacing w:after="200" w:line="276" w:lineRule="auto"/>
        <w:ind w:firstLine="708"/>
        <w:rPr>
          <w:noProof/>
          <w:highlight w:val="yellow"/>
        </w:rPr>
      </w:pPr>
      <w:r>
        <w:rPr>
          <w:noProof/>
        </w:rPr>
        <w:drawing>
          <wp:inline distT="0" distB="0" distL="0" distR="0" wp14:anchorId="732138F4" wp14:editId="76305E29">
            <wp:extent cx="5629275" cy="2390775"/>
            <wp:effectExtent l="0" t="0" r="0" b="0"/>
            <wp:docPr id="32" name="Gráfico 3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49C0F45" w14:textId="77777777" w:rsidR="00FA2334" w:rsidRDefault="00FA2334" w:rsidP="008D1EDE">
      <w:pPr>
        <w:ind w:left="360"/>
        <w:jc w:val="both"/>
        <w:rPr>
          <w:rFonts w:ascii="Arial" w:hAnsi="Arial" w:cs="Arial"/>
          <w:noProof/>
          <w:color w:val="000000" w:themeColor="text1"/>
          <w:sz w:val="22"/>
          <w:szCs w:val="22"/>
        </w:rPr>
      </w:pPr>
    </w:p>
    <w:p w14:paraId="02024332" w14:textId="30B492F0" w:rsidR="005A0AC0" w:rsidRPr="008D1EDE" w:rsidRDefault="001B5043" w:rsidP="008D1EDE">
      <w:pPr>
        <w:ind w:left="360"/>
        <w:jc w:val="both"/>
        <w:rPr>
          <w:rFonts w:ascii="Arial" w:hAnsi="Arial" w:cs="Arial"/>
          <w:noProof/>
          <w:color w:val="000000" w:themeColor="text1"/>
          <w:sz w:val="22"/>
          <w:szCs w:val="22"/>
        </w:rPr>
      </w:pPr>
      <w:r w:rsidRPr="008D1EDE">
        <w:rPr>
          <w:rFonts w:ascii="Arial" w:hAnsi="Arial" w:cs="Arial"/>
          <w:noProof/>
          <w:color w:val="000000" w:themeColor="text1"/>
          <w:sz w:val="22"/>
          <w:szCs w:val="22"/>
        </w:rPr>
        <w:t xml:space="preserve">Sobre los incrementos presentados para la </w:t>
      </w:r>
      <w:r w:rsidR="00D241A9" w:rsidRPr="008D1EDE">
        <w:rPr>
          <w:rFonts w:ascii="Arial" w:hAnsi="Arial" w:cs="Arial"/>
          <w:noProof/>
          <w:color w:val="000000" w:themeColor="text1"/>
          <w:sz w:val="22"/>
          <w:szCs w:val="22"/>
        </w:rPr>
        <w:t>sede de Casas de Santa Bábara</w:t>
      </w:r>
      <w:r w:rsidR="00505026" w:rsidRPr="008D1EDE">
        <w:rPr>
          <w:rFonts w:ascii="Arial" w:hAnsi="Arial" w:cs="Arial"/>
          <w:noProof/>
          <w:color w:val="000000" w:themeColor="text1"/>
          <w:sz w:val="22"/>
          <w:szCs w:val="22"/>
        </w:rPr>
        <w:t xml:space="preserve">, el Grupo de Infraestructura de la Subdirección de Servicios en el comentario del indicador orientador </w:t>
      </w:r>
      <w:r w:rsidR="00AE3DB0" w:rsidRPr="008D1EDE">
        <w:rPr>
          <w:rFonts w:ascii="Arial" w:hAnsi="Arial" w:cs="Arial"/>
          <w:noProof/>
          <w:color w:val="000000" w:themeColor="text1"/>
          <w:sz w:val="22"/>
          <w:szCs w:val="22"/>
        </w:rPr>
        <w:t xml:space="preserve">registró </w:t>
      </w:r>
      <w:r w:rsidR="005A0AC0" w:rsidRPr="008D1EDE">
        <w:rPr>
          <w:rFonts w:ascii="Arial" w:hAnsi="Arial" w:cs="Arial"/>
          <w:noProof/>
          <w:color w:val="000000" w:themeColor="text1"/>
          <w:sz w:val="22"/>
          <w:szCs w:val="22"/>
        </w:rPr>
        <w:t xml:space="preserve">los siguientes aspectos: </w:t>
      </w:r>
    </w:p>
    <w:p w14:paraId="6B5DA2C4" w14:textId="4978D283" w:rsidR="00E644AE" w:rsidRDefault="00E644AE" w:rsidP="00F90D06">
      <w:pPr>
        <w:spacing w:line="168" w:lineRule="auto"/>
        <w:jc w:val="both"/>
        <w:rPr>
          <w:rFonts w:ascii="Arial" w:hAnsi="Arial" w:cs="Arial"/>
          <w:color w:val="000000" w:themeColor="text1"/>
          <w:sz w:val="22"/>
          <w:szCs w:val="22"/>
          <w:highlight w:val="yellow"/>
        </w:rPr>
      </w:pPr>
    </w:p>
    <w:p w14:paraId="443B33A6" w14:textId="5415081F" w:rsidR="005D6B93" w:rsidRPr="00F160EB" w:rsidRDefault="005D6B93" w:rsidP="00F160EB">
      <w:pPr>
        <w:pStyle w:val="Prrafodelista"/>
        <w:numPr>
          <w:ilvl w:val="0"/>
          <w:numId w:val="21"/>
        </w:numPr>
        <w:shd w:val="clear" w:color="auto" w:fill="FFFFFF" w:themeFill="background1"/>
        <w:rPr>
          <w:rFonts w:ascii="Arial" w:hAnsi="Arial" w:cs="Arial"/>
          <w:color w:val="000000" w:themeColor="text1"/>
          <w:sz w:val="22"/>
          <w:szCs w:val="22"/>
        </w:rPr>
      </w:pPr>
      <w:r w:rsidRPr="00F160EB">
        <w:rPr>
          <w:rFonts w:ascii="Arial" w:hAnsi="Arial" w:cs="Arial"/>
          <w:color w:val="000000" w:themeColor="text1"/>
          <w:sz w:val="22"/>
          <w:szCs w:val="22"/>
        </w:rPr>
        <w:lastRenderedPageBreak/>
        <w:t xml:space="preserve">Es de precisar que, en la sede analizada se encuentra el auditorio central y salas </w:t>
      </w:r>
      <w:r w:rsidR="0003759B">
        <w:rPr>
          <w:rFonts w:ascii="Arial" w:hAnsi="Arial" w:cs="Arial"/>
          <w:color w:val="000000" w:themeColor="text1"/>
          <w:sz w:val="22"/>
          <w:szCs w:val="22"/>
        </w:rPr>
        <w:t>m</w:t>
      </w:r>
      <w:r w:rsidRPr="00F160EB">
        <w:rPr>
          <w:rFonts w:ascii="Arial" w:hAnsi="Arial" w:cs="Arial"/>
          <w:color w:val="000000" w:themeColor="text1"/>
          <w:sz w:val="22"/>
          <w:szCs w:val="22"/>
        </w:rPr>
        <w:t>últiples</w:t>
      </w:r>
      <w:r w:rsidR="0003759B">
        <w:rPr>
          <w:rFonts w:ascii="Arial" w:hAnsi="Arial" w:cs="Arial"/>
          <w:color w:val="000000" w:themeColor="text1"/>
          <w:sz w:val="22"/>
          <w:szCs w:val="22"/>
        </w:rPr>
        <w:t>, l</w:t>
      </w:r>
      <w:r w:rsidR="0026724C">
        <w:rPr>
          <w:rFonts w:ascii="Arial" w:hAnsi="Arial" w:cs="Arial"/>
          <w:color w:val="000000" w:themeColor="text1"/>
          <w:sz w:val="22"/>
          <w:szCs w:val="22"/>
        </w:rPr>
        <w:t xml:space="preserve">os cuales </w:t>
      </w:r>
      <w:r w:rsidRPr="00F160EB">
        <w:rPr>
          <w:rFonts w:ascii="Arial" w:hAnsi="Arial" w:cs="Arial"/>
          <w:color w:val="000000" w:themeColor="text1"/>
          <w:sz w:val="22"/>
          <w:szCs w:val="22"/>
        </w:rPr>
        <w:t xml:space="preserve">son utilizados constantemente por los funcionarios y entidades del sector. Para el periodo de julio de 2019, de los 22 días hábiles </w:t>
      </w:r>
      <w:r w:rsidR="00203A20">
        <w:rPr>
          <w:rFonts w:ascii="Arial" w:hAnsi="Arial" w:cs="Arial"/>
          <w:color w:val="000000" w:themeColor="text1"/>
          <w:sz w:val="22"/>
          <w:szCs w:val="22"/>
        </w:rPr>
        <w:t xml:space="preserve">del mes en mención, </w:t>
      </w:r>
      <w:r w:rsidRPr="00F160EB">
        <w:rPr>
          <w:rFonts w:ascii="Arial" w:hAnsi="Arial" w:cs="Arial"/>
          <w:color w:val="000000" w:themeColor="text1"/>
          <w:sz w:val="22"/>
          <w:szCs w:val="22"/>
        </w:rPr>
        <w:t>17 días de ellos</w:t>
      </w:r>
      <w:r w:rsidR="0026724C">
        <w:rPr>
          <w:rFonts w:ascii="Arial" w:hAnsi="Arial" w:cs="Arial"/>
          <w:color w:val="000000" w:themeColor="text1"/>
          <w:sz w:val="22"/>
          <w:szCs w:val="22"/>
        </w:rPr>
        <w:t>,</w:t>
      </w:r>
      <w:r w:rsidR="00203A20">
        <w:rPr>
          <w:rFonts w:ascii="Arial" w:hAnsi="Arial" w:cs="Arial"/>
          <w:color w:val="000000" w:themeColor="text1"/>
          <w:sz w:val="22"/>
          <w:szCs w:val="22"/>
        </w:rPr>
        <w:t xml:space="preserve"> </w:t>
      </w:r>
      <w:r w:rsidRPr="00F160EB">
        <w:rPr>
          <w:rFonts w:ascii="Arial" w:hAnsi="Arial" w:cs="Arial"/>
          <w:color w:val="000000" w:themeColor="text1"/>
          <w:sz w:val="22"/>
          <w:szCs w:val="22"/>
        </w:rPr>
        <w:t>el auditorio principal est</w:t>
      </w:r>
      <w:r w:rsidR="0026724C">
        <w:rPr>
          <w:rFonts w:ascii="Arial" w:hAnsi="Arial" w:cs="Arial"/>
          <w:color w:val="000000" w:themeColor="text1"/>
          <w:sz w:val="22"/>
          <w:szCs w:val="22"/>
        </w:rPr>
        <w:t>uvo disponible, r</w:t>
      </w:r>
      <w:r w:rsidRPr="00F160EB">
        <w:rPr>
          <w:rFonts w:ascii="Arial" w:hAnsi="Arial" w:cs="Arial"/>
          <w:color w:val="000000" w:themeColor="text1"/>
          <w:sz w:val="22"/>
          <w:szCs w:val="22"/>
        </w:rPr>
        <w:t>egistra</w:t>
      </w:r>
      <w:r w:rsidR="0026724C">
        <w:rPr>
          <w:rFonts w:ascii="Arial" w:hAnsi="Arial" w:cs="Arial"/>
          <w:color w:val="000000" w:themeColor="text1"/>
          <w:sz w:val="22"/>
          <w:szCs w:val="22"/>
        </w:rPr>
        <w:t>ndo 24 reuniones durante ese</w:t>
      </w:r>
      <w:r w:rsidRPr="00F160EB">
        <w:rPr>
          <w:rFonts w:ascii="Arial" w:hAnsi="Arial" w:cs="Arial"/>
          <w:color w:val="000000" w:themeColor="text1"/>
          <w:sz w:val="22"/>
          <w:szCs w:val="22"/>
        </w:rPr>
        <w:t xml:space="preserve"> periodo. Lo anterior, generó un incremento en el consumo de energía.</w:t>
      </w:r>
      <w:r w:rsidR="00C33F2F" w:rsidRPr="00F160EB">
        <w:rPr>
          <w:rFonts w:ascii="Arial" w:hAnsi="Arial" w:cs="Arial"/>
          <w:color w:val="000000" w:themeColor="text1"/>
          <w:sz w:val="22"/>
          <w:szCs w:val="22"/>
        </w:rPr>
        <w:t xml:space="preserve"> Referente a septiembre de 2019, </w:t>
      </w:r>
      <w:r w:rsidRPr="00F160EB">
        <w:rPr>
          <w:rFonts w:ascii="Arial" w:hAnsi="Arial" w:cs="Arial"/>
          <w:color w:val="000000" w:themeColor="text1"/>
          <w:sz w:val="22"/>
          <w:szCs w:val="22"/>
        </w:rPr>
        <w:t>se report</w:t>
      </w:r>
      <w:r w:rsidR="00C33F2F" w:rsidRPr="00F160EB">
        <w:rPr>
          <w:rFonts w:ascii="Arial" w:hAnsi="Arial" w:cs="Arial"/>
          <w:color w:val="000000" w:themeColor="text1"/>
          <w:sz w:val="22"/>
          <w:szCs w:val="22"/>
        </w:rPr>
        <w:t xml:space="preserve">ó que el auditorio y salas múltiples </w:t>
      </w:r>
      <w:r w:rsidRPr="00F160EB">
        <w:rPr>
          <w:rFonts w:ascii="Arial" w:hAnsi="Arial" w:cs="Arial"/>
          <w:color w:val="000000" w:themeColor="text1"/>
          <w:sz w:val="22"/>
          <w:szCs w:val="22"/>
        </w:rPr>
        <w:t xml:space="preserve">fueron </w:t>
      </w:r>
      <w:r w:rsidR="00C33F2F" w:rsidRPr="00F160EB">
        <w:rPr>
          <w:rFonts w:ascii="Arial" w:hAnsi="Arial" w:cs="Arial"/>
          <w:color w:val="000000" w:themeColor="text1"/>
          <w:sz w:val="22"/>
          <w:szCs w:val="22"/>
        </w:rPr>
        <w:t xml:space="preserve">utilizados </w:t>
      </w:r>
      <w:r w:rsidRPr="00F160EB">
        <w:rPr>
          <w:rFonts w:ascii="Arial" w:hAnsi="Arial" w:cs="Arial"/>
          <w:color w:val="000000" w:themeColor="text1"/>
          <w:sz w:val="22"/>
          <w:szCs w:val="22"/>
        </w:rPr>
        <w:t>9 y 11 veces</w:t>
      </w:r>
      <w:r w:rsidR="0026724C">
        <w:rPr>
          <w:rFonts w:ascii="Arial" w:hAnsi="Arial" w:cs="Arial"/>
          <w:color w:val="000000" w:themeColor="text1"/>
          <w:sz w:val="22"/>
          <w:szCs w:val="22"/>
        </w:rPr>
        <w:t>,</w:t>
      </w:r>
      <w:r w:rsidRPr="00F160EB">
        <w:rPr>
          <w:rFonts w:ascii="Arial" w:hAnsi="Arial" w:cs="Arial"/>
          <w:color w:val="000000" w:themeColor="text1"/>
          <w:sz w:val="22"/>
          <w:szCs w:val="22"/>
        </w:rPr>
        <w:t xml:space="preserve"> respectivamente </w:t>
      </w:r>
      <w:r w:rsidR="00C33F2F" w:rsidRPr="00F160EB">
        <w:rPr>
          <w:rFonts w:ascii="Arial" w:hAnsi="Arial" w:cs="Arial"/>
          <w:color w:val="000000" w:themeColor="text1"/>
          <w:sz w:val="22"/>
          <w:szCs w:val="22"/>
        </w:rPr>
        <w:t xml:space="preserve">en </w:t>
      </w:r>
      <w:r w:rsidRPr="00F160EB">
        <w:rPr>
          <w:rFonts w:ascii="Arial" w:hAnsi="Arial" w:cs="Arial"/>
          <w:color w:val="000000" w:themeColor="text1"/>
          <w:sz w:val="22"/>
          <w:szCs w:val="22"/>
        </w:rPr>
        <w:t xml:space="preserve">los 21 días hábiles. </w:t>
      </w:r>
      <w:r w:rsidR="00C33F2F" w:rsidRPr="00F160EB">
        <w:rPr>
          <w:rFonts w:ascii="Arial" w:hAnsi="Arial" w:cs="Arial"/>
          <w:color w:val="000000" w:themeColor="text1"/>
          <w:sz w:val="22"/>
          <w:szCs w:val="22"/>
        </w:rPr>
        <w:t xml:space="preserve">Si bien la </w:t>
      </w:r>
      <w:r w:rsidRPr="00F160EB">
        <w:rPr>
          <w:rFonts w:ascii="Arial" w:hAnsi="Arial" w:cs="Arial"/>
          <w:color w:val="000000" w:themeColor="text1"/>
          <w:sz w:val="22"/>
          <w:szCs w:val="22"/>
        </w:rPr>
        <w:t>sede es moderna y con variada tecnología, es necesario ajustar los sensores para controlar el consumo de energía.</w:t>
      </w:r>
    </w:p>
    <w:p w14:paraId="1A8564FE" w14:textId="6FA433DA" w:rsidR="00225B92" w:rsidRDefault="00225B92" w:rsidP="00225B92">
      <w:pPr>
        <w:shd w:val="clear" w:color="auto" w:fill="FFFFFF" w:themeFill="background1"/>
        <w:ind w:left="284"/>
        <w:jc w:val="both"/>
        <w:rPr>
          <w:rFonts w:ascii="Arial" w:hAnsi="Arial" w:cs="Arial"/>
          <w:color w:val="000000" w:themeColor="text1"/>
          <w:sz w:val="22"/>
          <w:szCs w:val="22"/>
        </w:rPr>
      </w:pPr>
    </w:p>
    <w:p w14:paraId="09662FDB" w14:textId="45D00997" w:rsidR="00225B92" w:rsidRPr="00F160EB" w:rsidRDefault="00225B92" w:rsidP="00F160EB">
      <w:pPr>
        <w:pStyle w:val="Prrafodelista"/>
        <w:numPr>
          <w:ilvl w:val="0"/>
          <w:numId w:val="21"/>
        </w:numPr>
        <w:shd w:val="clear" w:color="auto" w:fill="FFFFFF" w:themeFill="background1"/>
        <w:rPr>
          <w:rFonts w:ascii="Arial" w:hAnsi="Arial" w:cs="Arial"/>
          <w:color w:val="000000" w:themeColor="text1"/>
          <w:sz w:val="22"/>
          <w:szCs w:val="22"/>
        </w:rPr>
      </w:pPr>
      <w:r w:rsidRPr="00F160EB">
        <w:rPr>
          <w:rFonts w:ascii="Arial" w:hAnsi="Arial" w:cs="Arial"/>
          <w:color w:val="000000" w:themeColor="text1"/>
          <w:sz w:val="22"/>
          <w:szCs w:val="22"/>
        </w:rPr>
        <w:t>De acuerdo con la revisión a la base histórica, se observó que desde el mes de octubre de 2018 el factor de transformación se cambió, debido a un ajuste técnico con el fin de ampliar la capacidad de consumo instalado en dicha sede, por tanto, se colocó otra subestac</w:t>
      </w:r>
      <w:r w:rsidR="00AA1192">
        <w:rPr>
          <w:rFonts w:ascii="Arial" w:hAnsi="Arial" w:cs="Arial"/>
          <w:color w:val="000000" w:themeColor="text1"/>
          <w:sz w:val="22"/>
          <w:szCs w:val="22"/>
        </w:rPr>
        <w:t>ión con la cual CODENSA modificó el factor</w:t>
      </w:r>
      <w:r w:rsidRPr="00F160EB">
        <w:rPr>
          <w:rFonts w:ascii="Arial" w:hAnsi="Arial" w:cs="Arial"/>
          <w:color w:val="000000" w:themeColor="text1"/>
          <w:sz w:val="22"/>
          <w:szCs w:val="22"/>
        </w:rPr>
        <w:t>, pasando de 1200 a 2000. De allí la diferencia significativa en los indicadores realizados en la sede Casas de Santa Bárbara.</w:t>
      </w:r>
    </w:p>
    <w:p w14:paraId="1BB0B0D9" w14:textId="2289359A" w:rsidR="00511CA1" w:rsidRDefault="00511CA1" w:rsidP="00F90D06">
      <w:pPr>
        <w:spacing w:line="168" w:lineRule="auto"/>
        <w:jc w:val="both"/>
        <w:rPr>
          <w:rFonts w:ascii="Arial" w:hAnsi="Arial" w:cs="Arial"/>
          <w:color w:val="000000" w:themeColor="text1"/>
          <w:sz w:val="22"/>
          <w:szCs w:val="22"/>
          <w:highlight w:val="yellow"/>
        </w:rPr>
      </w:pPr>
    </w:p>
    <w:p w14:paraId="04DA207A" w14:textId="77777777" w:rsidR="00650116" w:rsidRPr="00A003B6" w:rsidRDefault="00650116" w:rsidP="00F90D06">
      <w:pPr>
        <w:spacing w:line="168" w:lineRule="auto"/>
        <w:jc w:val="both"/>
        <w:rPr>
          <w:rFonts w:ascii="Arial" w:hAnsi="Arial" w:cs="Arial"/>
          <w:color w:val="000000" w:themeColor="text1"/>
          <w:sz w:val="22"/>
          <w:szCs w:val="22"/>
          <w:highlight w:val="yellow"/>
        </w:rPr>
      </w:pPr>
    </w:p>
    <w:p w14:paraId="647D3F62" w14:textId="4CC3DFE1" w:rsidR="00B013C9" w:rsidRDefault="00FC2C59" w:rsidP="00F90D06">
      <w:pPr>
        <w:jc w:val="both"/>
        <w:rPr>
          <w:rFonts w:ascii="Arial" w:hAnsi="Arial" w:cs="Arial"/>
          <w:color w:val="000000" w:themeColor="text1"/>
          <w:sz w:val="22"/>
          <w:szCs w:val="22"/>
        </w:rPr>
      </w:pPr>
      <w:r w:rsidRPr="00E2222D">
        <w:rPr>
          <w:rFonts w:ascii="Arial" w:hAnsi="Arial" w:cs="Arial"/>
          <w:color w:val="000000" w:themeColor="text1"/>
          <w:sz w:val="22"/>
          <w:szCs w:val="22"/>
        </w:rPr>
        <w:t>Finalmente, t</w:t>
      </w:r>
      <w:r w:rsidR="00785E75" w:rsidRPr="00E2222D">
        <w:rPr>
          <w:rFonts w:ascii="Arial" w:hAnsi="Arial" w:cs="Arial"/>
          <w:color w:val="000000" w:themeColor="text1"/>
          <w:sz w:val="22"/>
          <w:szCs w:val="22"/>
        </w:rPr>
        <w:t xml:space="preserve">omando el total de gasto de energía </w:t>
      </w:r>
      <w:r w:rsidRPr="00E2222D">
        <w:rPr>
          <w:rFonts w:ascii="Arial" w:hAnsi="Arial" w:cs="Arial"/>
          <w:color w:val="000000" w:themeColor="text1"/>
          <w:sz w:val="22"/>
          <w:szCs w:val="22"/>
        </w:rPr>
        <w:t xml:space="preserve">y el total de consumo en kilovatios para las dos sedes analizadas, </w:t>
      </w:r>
      <w:r w:rsidR="00785E75" w:rsidRPr="00E2222D">
        <w:rPr>
          <w:rFonts w:ascii="Arial" w:hAnsi="Arial" w:cs="Arial"/>
          <w:color w:val="000000" w:themeColor="text1"/>
          <w:sz w:val="22"/>
          <w:szCs w:val="22"/>
        </w:rPr>
        <w:t>se concluye que</w:t>
      </w:r>
      <w:r w:rsidRPr="00E2222D">
        <w:rPr>
          <w:rFonts w:ascii="Arial" w:hAnsi="Arial" w:cs="Arial"/>
          <w:color w:val="000000" w:themeColor="text1"/>
          <w:sz w:val="22"/>
          <w:szCs w:val="22"/>
        </w:rPr>
        <w:t xml:space="preserve">, para el </w:t>
      </w:r>
      <w:r w:rsidR="00B8102D">
        <w:rPr>
          <w:rFonts w:ascii="Arial" w:hAnsi="Arial" w:cs="Arial"/>
          <w:color w:val="000000" w:themeColor="text1"/>
          <w:sz w:val="22"/>
          <w:szCs w:val="22"/>
        </w:rPr>
        <w:t xml:space="preserve">tercer </w:t>
      </w:r>
      <w:r w:rsidRPr="00E2222D">
        <w:rPr>
          <w:rFonts w:ascii="Arial" w:hAnsi="Arial" w:cs="Arial"/>
          <w:color w:val="000000" w:themeColor="text1"/>
          <w:sz w:val="22"/>
          <w:szCs w:val="22"/>
        </w:rPr>
        <w:t>trimestre de 2019 comparado con el mis</w:t>
      </w:r>
      <w:r w:rsidR="00682AC4">
        <w:rPr>
          <w:rFonts w:ascii="Arial" w:hAnsi="Arial" w:cs="Arial"/>
          <w:color w:val="000000" w:themeColor="text1"/>
          <w:sz w:val="22"/>
          <w:szCs w:val="22"/>
        </w:rPr>
        <w:t xml:space="preserve">mo periodo de la vigencia 2018 </w:t>
      </w:r>
      <w:r w:rsidR="00785E75" w:rsidRPr="00E2222D">
        <w:rPr>
          <w:rFonts w:ascii="Arial" w:hAnsi="Arial" w:cs="Arial"/>
          <w:color w:val="000000" w:themeColor="text1"/>
          <w:sz w:val="22"/>
          <w:szCs w:val="22"/>
        </w:rPr>
        <w:t xml:space="preserve">el </w:t>
      </w:r>
      <w:r w:rsidRPr="00E2222D">
        <w:rPr>
          <w:rFonts w:ascii="Arial" w:hAnsi="Arial" w:cs="Arial"/>
          <w:color w:val="000000" w:themeColor="text1"/>
          <w:sz w:val="22"/>
          <w:szCs w:val="22"/>
        </w:rPr>
        <w:t xml:space="preserve">gasto por el servicio </w:t>
      </w:r>
      <w:r w:rsidR="00785E75" w:rsidRPr="00E2222D">
        <w:rPr>
          <w:rFonts w:ascii="Arial" w:hAnsi="Arial" w:cs="Arial"/>
          <w:color w:val="000000" w:themeColor="text1"/>
          <w:sz w:val="22"/>
          <w:szCs w:val="22"/>
        </w:rPr>
        <w:t xml:space="preserve">de energía </w:t>
      </w:r>
      <w:r w:rsidRPr="00E2222D">
        <w:rPr>
          <w:rFonts w:ascii="Arial" w:hAnsi="Arial" w:cs="Arial"/>
          <w:b/>
          <w:color w:val="000000" w:themeColor="text1"/>
          <w:sz w:val="22"/>
          <w:szCs w:val="22"/>
        </w:rPr>
        <w:t>aumentó</w:t>
      </w:r>
      <w:r w:rsidRPr="00E2222D">
        <w:rPr>
          <w:rFonts w:ascii="Arial" w:hAnsi="Arial" w:cs="Arial"/>
          <w:color w:val="000000" w:themeColor="text1"/>
          <w:sz w:val="22"/>
          <w:szCs w:val="22"/>
        </w:rPr>
        <w:t xml:space="preserve"> </w:t>
      </w:r>
      <w:r w:rsidR="0077290C" w:rsidRPr="00E2222D">
        <w:rPr>
          <w:rFonts w:ascii="Arial" w:hAnsi="Arial" w:cs="Arial"/>
          <w:color w:val="000000" w:themeColor="text1"/>
          <w:sz w:val="22"/>
          <w:szCs w:val="22"/>
        </w:rPr>
        <w:t xml:space="preserve">en </w:t>
      </w:r>
      <w:r w:rsidRPr="00E2222D">
        <w:rPr>
          <w:rFonts w:ascii="Arial" w:hAnsi="Arial" w:cs="Arial"/>
          <w:color w:val="000000" w:themeColor="text1"/>
          <w:sz w:val="22"/>
          <w:szCs w:val="22"/>
        </w:rPr>
        <w:t xml:space="preserve">$ </w:t>
      </w:r>
      <w:r w:rsidR="00B8102D">
        <w:rPr>
          <w:rFonts w:ascii="Arial" w:hAnsi="Arial" w:cs="Arial"/>
          <w:color w:val="000000" w:themeColor="text1"/>
          <w:sz w:val="22"/>
          <w:szCs w:val="22"/>
        </w:rPr>
        <w:t>26.956.553</w:t>
      </w:r>
      <w:r w:rsidRPr="00E2222D">
        <w:rPr>
          <w:rFonts w:ascii="Arial" w:hAnsi="Arial" w:cs="Arial"/>
          <w:color w:val="000000" w:themeColor="text1"/>
          <w:sz w:val="22"/>
          <w:szCs w:val="22"/>
        </w:rPr>
        <w:t xml:space="preserve"> equivalente al </w:t>
      </w:r>
      <w:r w:rsidR="00B8102D">
        <w:rPr>
          <w:rFonts w:ascii="Arial" w:hAnsi="Arial" w:cs="Arial"/>
          <w:color w:val="000000" w:themeColor="text1"/>
          <w:sz w:val="22"/>
          <w:szCs w:val="22"/>
        </w:rPr>
        <w:t>8</w:t>
      </w:r>
      <w:r w:rsidRPr="00E2222D">
        <w:rPr>
          <w:rFonts w:ascii="Arial" w:hAnsi="Arial" w:cs="Arial"/>
          <w:color w:val="000000" w:themeColor="text1"/>
          <w:sz w:val="22"/>
          <w:szCs w:val="22"/>
        </w:rPr>
        <w:t xml:space="preserve">% y el consumo en kilovatios </w:t>
      </w:r>
      <w:r w:rsidR="00B83FFF">
        <w:rPr>
          <w:rFonts w:ascii="Arial" w:hAnsi="Arial" w:cs="Arial"/>
          <w:color w:val="000000" w:themeColor="text1"/>
          <w:sz w:val="22"/>
          <w:szCs w:val="22"/>
        </w:rPr>
        <w:t>se incrementó 43.704</w:t>
      </w:r>
      <w:r w:rsidR="009A5ABE" w:rsidRPr="00E2222D">
        <w:rPr>
          <w:rFonts w:ascii="Arial" w:hAnsi="Arial" w:cs="Arial"/>
          <w:color w:val="000000" w:themeColor="text1"/>
          <w:sz w:val="22"/>
          <w:szCs w:val="22"/>
        </w:rPr>
        <w:t xml:space="preserve"> </w:t>
      </w:r>
      <w:r w:rsidRPr="00E2222D">
        <w:rPr>
          <w:rFonts w:ascii="Arial" w:hAnsi="Arial" w:cs="Arial"/>
          <w:color w:val="000000" w:themeColor="text1"/>
          <w:sz w:val="22"/>
          <w:szCs w:val="22"/>
        </w:rPr>
        <w:t xml:space="preserve">kw/h, </w:t>
      </w:r>
      <w:r w:rsidR="00785E75" w:rsidRPr="00E2222D">
        <w:rPr>
          <w:rFonts w:ascii="Arial" w:hAnsi="Arial" w:cs="Arial"/>
          <w:color w:val="000000" w:themeColor="text1"/>
          <w:sz w:val="22"/>
          <w:szCs w:val="22"/>
        </w:rPr>
        <w:t>correspondie</w:t>
      </w:r>
      <w:r w:rsidR="00920C4F" w:rsidRPr="00E2222D">
        <w:rPr>
          <w:rFonts w:ascii="Arial" w:hAnsi="Arial" w:cs="Arial"/>
          <w:color w:val="000000" w:themeColor="text1"/>
          <w:sz w:val="22"/>
          <w:szCs w:val="22"/>
        </w:rPr>
        <w:t xml:space="preserve">nte al </w:t>
      </w:r>
      <w:r w:rsidR="00243B1B">
        <w:rPr>
          <w:rFonts w:ascii="Arial" w:hAnsi="Arial" w:cs="Arial"/>
          <w:color w:val="000000" w:themeColor="text1"/>
          <w:sz w:val="22"/>
          <w:szCs w:val="22"/>
        </w:rPr>
        <w:t>4</w:t>
      </w:r>
      <w:r w:rsidR="00785E75" w:rsidRPr="00E2222D">
        <w:rPr>
          <w:rFonts w:ascii="Arial" w:hAnsi="Arial" w:cs="Arial"/>
          <w:color w:val="000000" w:themeColor="text1"/>
          <w:sz w:val="22"/>
          <w:szCs w:val="22"/>
        </w:rPr>
        <w:t>%.</w:t>
      </w:r>
    </w:p>
    <w:p w14:paraId="33F5888A" w14:textId="77777777" w:rsidR="005F593E" w:rsidRPr="00A003B6" w:rsidRDefault="005F593E" w:rsidP="00AE5F81">
      <w:pPr>
        <w:rPr>
          <w:rFonts w:ascii="Arial" w:hAnsi="Arial" w:cs="Arial"/>
          <w:color w:val="000000"/>
          <w:sz w:val="22"/>
          <w:szCs w:val="22"/>
          <w:highlight w:val="yellow"/>
        </w:rPr>
      </w:pPr>
    </w:p>
    <w:tbl>
      <w:tblPr>
        <w:tblStyle w:val="Tabladecuadrcula1clara-nfasis1"/>
        <w:tblW w:w="9725" w:type="dxa"/>
        <w:tblLook w:val="04A0" w:firstRow="1" w:lastRow="0" w:firstColumn="1" w:lastColumn="0" w:noHBand="0" w:noVBand="1"/>
      </w:tblPr>
      <w:tblGrid>
        <w:gridCol w:w="597"/>
        <w:gridCol w:w="1310"/>
        <w:gridCol w:w="1360"/>
        <w:gridCol w:w="1467"/>
        <w:gridCol w:w="291"/>
        <w:gridCol w:w="803"/>
        <w:gridCol w:w="1324"/>
        <w:gridCol w:w="1106"/>
        <w:gridCol w:w="1467"/>
      </w:tblGrid>
      <w:tr w:rsidR="00A5739B" w:rsidRPr="00BF23A3" w14:paraId="224B900B" w14:textId="77777777" w:rsidTr="00BF2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14:paraId="790A3B98" w14:textId="6FB1FBB2" w:rsidR="00A5739B" w:rsidRPr="00BF23A3" w:rsidRDefault="00BF23A3" w:rsidP="00415D1F">
            <w:pPr>
              <w:widowControl w:val="0"/>
              <w:spacing w:before="60" w:after="40"/>
              <w:jc w:val="center"/>
              <w:rPr>
                <w:rFonts w:ascii="Arial" w:hAnsi="Arial" w:cs="Arial"/>
                <w:color w:val="000000"/>
                <w:sz w:val="18"/>
                <w:szCs w:val="18"/>
              </w:rPr>
            </w:pPr>
            <w:r>
              <w:rPr>
                <w:rFonts w:ascii="Arial" w:hAnsi="Arial" w:cs="Arial"/>
                <w:color w:val="FFFFFF" w:themeColor="background1"/>
                <w:sz w:val="18"/>
                <w:szCs w:val="18"/>
              </w:rPr>
              <w:t>I</w:t>
            </w:r>
            <w:r w:rsidR="00A5739B" w:rsidRPr="00BF23A3">
              <w:rPr>
                <w:rFonts w:ascii="Arial" w:hAnsi="Arial" w:cs="Arial"/>
                <w:color w:val="FFFFFF" w:themeColor="background1"/>
                <w:sz w:val="18"/>
                <w:szCs w:val="18"/>
              </w:rPr>
              <w:t xml:space="preserve">II Trimestre </w:t>
            </w:r>
          </w:p>
        </w:tc>
        <w:tc>
          <w:tcPr>
            <w:tcW w:w="4137" w:type="dxa"/>
            <w:gridSpan w:val="3"/>
            <w:tcBorders>
              <w:top w:val="single" w:sz="4" w:space="0" w:color="4F81BD" w:themeColor="accent1"/>
              <w:right w:val="single" w:sz="4" w:space="0" w:color="4F81BD" w:themeColor="accent1"/>
            </w:tcBorders>
            <w:shd w:val="clear" w:color="auto" w:fill="4F81BD" w:themeFill="accent1"/>
            <w:vAlign w:val="center"/>
            <w:hideMark/>
          </w:tcPr>
          <w:p w14:paraId="189D1DD9" w14:textId="77777777" w:rsidR="00A5739B" w:rsidRPr="00BF23A3" w:rsidRDefault="00A5739B" w:rsidP="00415D1F">
            <w:pPr>
              <w:widowControl w:val="0"/>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F23A3">
              <w:rPr>
                <w:rFonts w:ascii="Arial" w:hAnsi="Arial" w:cs="Arial"/>
                <w:color w:val="FFFFFF" w:themeColor="background1"/>
                <w:sz w:val="18"/>
                <w:szCs w:val="18"/>
              </w:rPr>
              <w:t>Valor Facturado por Energía</w:t>
            </w:r>
          </w:p>
        </w:tc>
        <w:tc>
          <w:tcPr>
            <w:tcW w:w="291" w:type="dxa"/>
            <w:tcBorders>
              <w:top w:val="nil"/>
              <w:left w:val="single" w:sz="4" w:space="0" w:color="4F81BD" w:themeColor="accent1"/>
              <w:bottom w:val="nil"/>
              <w:right w:val="single" w:sz="4" w:space="0" w:color="4F81BD" w:themeColor="accent1"/>
            </w:tcBorders>
            <w:noWrap/>
            <w:vAlign w:val="center"/>
            <w:hideMark/>
          </w:tcPr>
          <w:p w14:paraId="5E8EC966" w14:textId="77777777" w:rsidR="00A5739B" w:rsidRPr="00BF23A3" w:rsidRDefault="00A5739B" w:rsidP="00415D1F">
            <w:pPr>
              <w:widowControl w:val="0"/>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03" w:type="dxa"/>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14:paraId="26D13768" w14:textId="518A6141" w:rsidR="00A5739B" w:rsidRPr="00BF23A3" w:rsidRDefault="00BF23A3" w:rsidP="00415D1F">
            <w:pPr>
              <w:widowControl w:val="0"/>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FFFFFF" w:themeColor="background1"/>
                <w:sz w:val="18"/>
                <w:szCs w:val="18"/>
              </w:rPr>
              <w:t>I</w:t>
            </w:r>
            <w:r w:rsidR="00A5739B" w:rsidRPr="00BF23A3">
              <w:rPr>
                <w:rFonts w:ascii="Arial" w:hAnsi="Arial" w:cs="Arial"/>
                <w:color w:val="FFFFFF" w:themeColor="background1"/>
                <w:sz w:val="18"/>
                <w:szCs w:val="18"/>
              </w:rPr>
              <w:t xml:space="preserve">II Trimestre </w:t>
            </w:r>
          </w:p>
        </w:tc>
        <w:tc>
          <w:tcPr>
            <w:tcW w:w="3824" w:type="dxa"/>
            <w:gridSpan w:val="3"/>
            <w:tcBorders>
              <w:top w:val="single" w:sz="4" w:space="0" w:color="4F81BD" w:themeColor="accent1"/>
              <w:right w:val="single" w:sz="4" w:space="0" w:color="4F81BD" w:themeColor="accent1"/>
            </w:tcBorders>
            <w:shd w:val="clear" w:color="auto" w:fill="4F81BD" w:themeFill="accent1"/>
            <w:vAlign w:val="center"/>
            <w:hideMark/>
          </w:tcPr>
          <w:p w14:paraId="43475318" w14:textId="77777777" w:rsidR="00A5739B" w:rsidRPr="00BF23A3" w:rsidRDefault="00A5739B" w:rsidP="00415D1F">
            <w:pPr>
              <w:widowControl w:val="0"/>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F23A3">
              <w:rPr>
                <w:rFonts w:ascii="Arial" w:hAnsi="Arial" w:cs="Arial"/>
                <w:color w:val="FFFFFF" w:themeColor="background1"/>
                <w:sz w:val="18"/>
                <w:szCs w:val="18"/>
              </w:rPr>
              <w:t>Total de Consumo KW/H</w:t>
            </w:r>
          </w:p>
        </w:tc>
      </w:tr>
      <w:tr w:rsidR="00582D6C" w:rsidRPr="00BF23A3" w14:paraId="23D6DBB6" w14:textId="77777777" w:rsidTr="00650116">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tcBorders>
            <w:shd w:val="clear" w:color="auto" w:fill="4F81BD" w:themeFill="accent1"/>
            <w:vAlign w:val="center"/>
            <w:hideMark/>
          </w:tcPr>
          <w:p w14:paraId="47E1C50C" w14:textId="77777777" w:rsidR="00A5739B" w:rsidRPr="00BF23A3" w:rsidRDefault="00A5739B" w:rsidP="00415D1F">
            <w:pPr>
              <w:widowControl w:val="0"/>
              <w:spacing w:before="60" w:after="40"/>
              <w:rPr>
                <w:rFonts w:ascii="Arial" w:hAnsi="Arial" w:cs="Arial"/>
                <w:color w:val="000000"/>
                <w:sz w:val="18"/>
                <w:szCs w:val="18"/>
              </w:rPr>
            </w:pPr>
          </w:p>
        </w:tc>
        <w:tc>
          <w:tcPr>
            <w:tcW w:w="1310" w:type="dxa"/>
            <w:tcBorders>
              <w:bottom w:val="nil"/>
            </w:tcBorders>
            <w:shd w:val="clear" w:color="auto" w:fill="4F81BD" w:themeFill="accent1"/>
            <w:vAlign w:val="center"/>
            <w:hideMark/>
          </w:tcPr>
          <w:p w14:paraId="3B51290A" w14:textId="77777777" w:rsidR="00A5739B" w:rsidRPr="00BF23A3"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BF23A3">
              <w:rPr>
                <w:rFonts w:ascii="Arial" w:hAnsi="Arial" w:cs="Arial"/>
                <w:b/>
                <w:bCs/>
                <w:color w:val="FFFFFF" w:themeColor="background1"/>
                <w:sz w:val="18"/>
                <w:szCs w:val="18"/>
              </w:rPr>
              <w:t>Periodo</w:t>
            </w:r>
          </w:p>
        </w:tc>
        <w:tc>
          <w:tcPr>
            <w:tcW w:w="1360" w:type="dxa"/>
            <w:tcBorders>
              <w:bottom w:val="nil"/>
            </w:tcBorders>
            <w:shd w:val="clear" w:color="auto" w:fill="4F81BD" w:themeFill="accent1"/>
            <w:vAlign w:val="center"/>
            <w:hideMark/>
          </w:tcPr>
          <w:p w14:paraId="33A029A5" w14:textId="77777777" w:rsidR="00A5739B" w:rsidRPr="00BF23A3"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BF23A3">
              <w:rPr>
                <w:rFonts w:ascii="Arial" w:hAnsi="Arial" w:cs="Arial"/>
                <w:b/>
                <w:bCs/>
                <w:color w:val="FFFFFF" w:themeColor="background1"/>
                <w:sz w:val="18"/>
                <w:szCs w:val="18"/>
              </w:rPr>
              <w:t xml:space="preserve">Sede San Agustín </w:t>
            </w:r>
          </w:p>
        </w:tc>
        <w:tc>
          <w:tcPr>
            <w:tcW w:w="1467" w:type="dxa"/>
            <w:tcBorders>
              <w:bottom w:val="nil"/>
              <w:right w:val="single" w:sz="4" w:space="0" w:color="4F81BD" w:themeColor="accent1"/>
            </w:tcBorders>
            <w:shd w:val="clear" w:color="auto" w:fill="4F81BD" w:themeFill="accent1"/>
            <w:vAlign w:val="center"/>
            <w:hideMark/>
          </w:tcPr>
          <w:p w14:paraId="226A5D95" w14:textId="77777777" w:rsidR="00A5739B" w:rsidRPr="00BF23A3"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BF23A3">
              <w:rPr>
                <w:rFonts w:ascii="Arial" w:hAnsi="Arial" w:cs="Arial"/>
                <w:b/>
                <w:bCs/>
                <w:color w:val="FFFFFF" w:themeColor="background1"/>
                <w:sz w:val="18"/>
                <w:szCs w:val="18"/>
              </w:rPr>
              <w:t>Sede Casa de Santa Bárbara</w:t>
            </w:r>
          </w:p>
        </w:tc>
        <w:tc>
          <w:tcPr>
            <w:tcW w:w="291" w:type="dxa"/>
            <w:tcBorders>
              <w:top w:val="nil"/>
              <w:left w:val="single" w:sz="4" w:space="0" w:color="4F81BD" w:themeColor="accent1"/>
              <w:bottom w:val="nil"/>
              <w:right w:val="single" w:sz="4" w:space="0" w:color="4F81BD" w:themeColor="accent1"/>
            </w:tcBorders>
            <w:noWrap/>
            <w:vAlign w:val="center"/>
            <w:hideMark/>
          </w:tcPr>
          <w:p w14:paraId="6594F145" w14:textId="77777777" w:rsidR="00A5739B" w:rsidRPr="00BF23A3"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803" w:type="dxa"/>
            <w:vMerge/>
            <w:tcBorders>
              <w:left w:val="single" w:sz="4" w:space="0" w:color="4F81BD" w:themeColor="accent1"/>
            </w:tcBorders>
            <w:shd w:val="clear" w:color="auto" w:fill="4F81BD" w:themeFill="accent1"/>
            <w:vAlign w:val="center"/>
            <w:hideMark/>
          </w:tcPr>
          <w:p w14:paraId="1DF8E399" w14:textId="77777777" w:rsidR="00A5739B" w:rsidRPr="00BF23A3" w:rsidRDefault="00A5739B" w:rsidP="00415D1F">
            <w:pPr>
              <w:widowControl w:val="0"/>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324" w:type="dxa"/>
            <w:tcBorders>
              <w:bottom w:val="nil"/>
            </w:tcBorders>
            <w:shd w:val="clear" w:color="auto" w:fill="4F81BD" w:themeFill="accent1"/>
            <w:vAlign w:val="center"/>
            <w:hideMark/>
          </w:tcPr>
          <w:p w14:paraId="70401DE6" w14:textId="77777777" w:rsidR="00A5739B" w:rsidRPr="00BF23A3"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BF23A3">
              <w:rPr>
                <w:rFonts w:ascii="Arial" w:hAnsi="Arial" w:cs="Arial"/>
                <w:b/>
                <w:bCs/>
                <w:color w:val="FFFFFF" w:themeColor="background1"/>
                <w:sz w:val="18"/>
                <w:szCs w:val="18"/>
              </w:rPr>
              <w:t>Periodo</w:t>
            </w:r>
          </w:p>
        </w:tc>
        <w:tc>
          <w:tcPr>
            <w:tcW w:w="1033" w:type="dxa"/>
            <w:tcBorders>
              <w:bottom w:val="nil"/>
            </w:tcBorders>
            <w:shd w:val="clear" w:color="auto" w:fill="4F81BD" w:themeFill="accent1"/>
            <w:vAlign w:val="center"/>
            <w:hideMark/>
          </w:tcPr>
          <w:p w14:paraId="66C7FF08" w14:textId="77777777" w:rsidR="00A5739B" w:rsidRPr="00BF23A3"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BF23A3">
              <w:rPr>
                <w:rFonts w:ascii="Arial" w:hAnsi="Arial" w:cs="Arial"/>
                <w:b/>
                <w:bCs/>
                <w:color w:val="FFFFFF" w:themeColor="background1"/>
                <w:sz w:val="18"/>
                <w:szCs w:val="18"/>
              </w:rPr>
              <w:t xml:space="preserve">Sede San Agustín </w:t>
            </w:r>
          </w:p>
        </w:tc>
        <w:tc>
          <w:tcPr>
            <w:tcW w:w="1467" w:type="dxa"/>
            <w:tcBorders>
              <w:bottom w:val="nil"/>
              <w:right w:val="single" w:sz="4" w:space="0" w:color="4F81BD" w:themeColor="accent1"/>
            </w:tcBorders>
            <w:shd w:val="clear" w:color="auto" w:fill="4F81BD" w:themeFill="accent1"/>
            <w:vAlign w:val="center"/>
            <w:hideMark/>
          </w:tcPr>
          <w:p w14:paraId="218FC720" w14:textId="77777777" w:rsidR="00A5739B" w:rsidRPr="00BF23A3"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BF23A3">
              <w:rPr>
                <w:rFonts w:ascii="Arial" w:hAnsi="Arial" w:cs="Arial"/>
                <w:b/>
                <w:bCs/>
                <w:color w:val="FFFFFF" w:themeColor="background1"/>
                <w:sz w:val="18"/>
                <w:szCs w:val="18"/>
              </w:rPr>
              <w:t>Sede Casa de Santa Bárbara</w:t>
            </w:r>
          </w:p>
        </w:tc>
      </w:tr>
      <w:tr w:rsidR="00E51830" w:rsidRPr="00BF23A3" w14:paraId="03259206" w14:textId="77777777" w:rsidTr="00415D1F">
        <w:trPr>
          <w:trHeight w:val="485"/>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04B79ABB" w14:textId="77777777" w:rsidR="00E51830" w:rsidRPr="00BF23A3" w:rsidRDefault="00E51830" w:rsidP="00415D1F">
            <w:pPr>
              <w:widowControl w:val="0"/>
              <w:spacing w:before="60" w:after="40"/>
              <w:rPr>
                <w:rFonts w:ascii="Arial" w:hAnsi="Arial" w:cs="Arial"/>
                <w:color w:val="000000"/>
                <w:sz w:val="18"/>
                <w:szCs w:val="18"/>
              </w:rPr>
            </w:pPr>
          </w:p>
        </w:tc>
        <w:tc>
          <w:tcPr>
            <w:tcW w:w="1310" w:type="dxa"/>
            <w:tcBorders>
              <w:top w:val="nil"/>
              <w:left w:val="nil"/>
              <w:bottom w:val="nil"/>
              <w:right w:val="nil"/>
            </w:tcBorders>
            <w:vAlign w:val="center"/>
            <w:hideMark/>
          </w:tcPr>
          <w:p w14:paraId="12B7A199" w14:textId="77777777" w:rsidR="00E51830" w:rsidRPr="00FB7EA4"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2019</w:t>
            </w:r>
          </w:p>
        </w:tc>
        <w:tc>
          <w:tcPr>
            <w:tcW w:w="1360" w:type="dxa"/>
            <w:tcBorders>
              <w:top w:val="nil"/>
              <w:left w:val="nil"/>
              <w:bottom w:val="nil"/>
              <w:right w:val="nil"/>
            </w:tcBorders>
            <w:vAlign w:val="center"/>
            <w:hideMark/>
          </w:tcPr>
          <w:p w14:paraId="29BF1DC2" w14:textId="5618E34E" w:rsidR="00E51830" w:rsidRPr="00FB7EA4"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20"/>
                <w:szCs w:val="20"/>
              </w:rPr>
              <w:t xml:space="preserve">245.791.794 </w:t>
            </w:r>
          </w:p>
        </w:tc>
        <w:tc>
          <w:tcPr>
            <w:tcW w:w="1467" w:type="dxa"/>
            <w:tcBorders>
              <w:top w:val="nil"/>
              <w:left w:val="nil"/>
              <w:bottom w:val="nil"/>
              <w:right w:val="nil"/>
            </w:tcBorders>
            <w:vAlign w:val="center"/>
            <w:hideMark/>
          </w:tcPr>
          <w:p w14:paraId="23E577A4" w14:textId="1F2C35A6" w:rsidR="00E51830" w:rsidRPr="00FB7EA4"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20"/>
                <w:szCs w:val="20"/>
              </w:rPr>
              <w:t xml:space="preserve"> 105.769.670 </w:t>
            </w:r>
          </w:p>
        </w:tc>
        <w:tc>
          <w:tcPr>
            <w:tcW w:w="291" w:type="dxa"/>
            <w:tcBorders>
              <w:top w:val="nil"/>
              <w:left w:val="nil"/>
              <w:bottom w:val="nil"/>
              <w:right w:val="single" w:sz="4" w:space="0" w:color="4F81BD" w:themeColor="accent1"/>
            </w:tcBorders>
            <w:noWrap/>
            <w:vAlign w:val="center"/>
            <w:hideMark/>
          </w:tcPr>
          <w:p w14:paraId="352B9217" w14:textId="77777777" w:rsidR="00E51830" w:rsidRPr="00BF23A3"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03" w:type="dxa"/>
            <w:vMerge/>
            <w:tcBorders>
              <w:left w:val="single" w:sz="4" w:space="0" w:color="4F81BD" w:themeColor="accent1"/>
              <w:right w:val="nil"/>
            </w:tcBorders>
            <w:shd w:val="clear" w:color="auto" w:fill="4F81BD" w:themeFill="accent1"/>
            <w:vAlign w:val="center"/>
            <w:hideMark/>
          </w:tcPr>
          <w:p w14:paraId="63904915" w14:textId="77777777" w:rsidR="00E51830" w:rsidRPr="00BF23A3" w:rsidRDefault="00E51830" w:rsidP="00415D1F">
            <w:pPr>
              <w:widowControl w:val="0"/>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324" w:type="dxa"/>
            <w:tcBorders>
              <w:top w:val="nil"/>
              <w:left w:val="nil"/>
              <w:bottom w:val="nil"/>
              <w:right w:val="nil"/>
            </w:tcBorders>
            <w:vAlign w:val="center"/>
            <w:hideMark/>
          </w:tcPr>
          <w:p w14:paraId="31508478" w14:textId="77777777" w:rsidR="00E51830" w:rsidRPr="00FB7EA4"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2019</w:t>
            </w:r>
          </w:p>
        </w:tc>
        <w:tc>
          <w:tcPr>
            <w:tcW w:w="1033" w:type="dxa"/>
            <w:tcBorders>
              <w:top w:val="nil"/>
              <w:left w:val="nil"/>
              <w:bottom w:val="nil"/>
              <w:right w:val="nil"/>
            </w:tcBorders>
            <w:vAlign w:val="center"/>
            <w:hideMark/>
          </w:tcPr>
          <w:p w14:paraId="78F6C143" w14:textId="3B31A8AC" w:rsidR="00E51830" w:rsidRPr="00FB7EA4"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   981.704 </w:t>
            </w:r>
          </w:p>
        </w:tc>
        <w:tc>
          <w:tcPr>
            <w:tcW w:w="1467" w:type="dxa"/>
            <w:tcBorders>
              <w:top w:val="nil"/>
              <w:left w:val="nil"/>
              <w:bottom w:val="nil"/>
              <w:right w:val="nil"/>
            </w:tcBorders>
            <w:vAlign w:val="center"/>
            <w:hideMark/>
          </w:tcPr>
          <w:p w14:paraId="2D612718" w14:textId="55399D01" w:rsidR="00E51830" w:rsidRPr="00FB7EA4"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262.000 </w:t>
            </w:r>
          </w:p>
        </w:tc>
      </w:tr>
      <w:tr w:rsidR="00E51830" w:rsidRPr="00BF23A3" w14:paraId="17091C58" w14:textId="77777777" w:rsidTr="00415D1F">
        <w:trPr>
          <w:trHeight w:val="421"/>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535F9C89" w14:textId="77777777" w:rsidR="00E51830" w:rsidRPr="00BF23A3" w:rsidRDefault="00E51830" w:rsidP="00415D1F">
            <w:pPr>
              <w:widowControl w:val="0"/>
              <w:spacing w:before="60" w:after="40"/>
              <w:rPr>
                <w:rFonts w:ascii="Arial" w:hAnsi="Arial" w:cs="Arial"/>
                <w:color w:val="000000"/>
                <w:sz w:val="18"/>
                <w:szCs w:val="18"/>
              </w:rPr>
            </w:pPr>
          </w:p>
        </w:tc>
        <w:tc>
          <w:tcPr>
            <w:tcW w:w="1310" w:type="dxa"/>
            <w:tcBorders>
              <w:top w:val="nil"/>
              <w:left w:val="nil"/>
              <w:bottom w:val="double" w:sz="4" w:space="0" w:color="4F81BD" w:themeColor="accent1"/>
              <w:right w:val="nil"/>
            </w:tcBorders>
            <w:vAlign w:val="center"/>
            <w:hideMark/>
          </w:tcPr>
          <w:p w14:paraId="160521FF" w14:textId="77777777" w:rsidR="00E51830" w:rsidRPr="00FB7EA4"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2018</w:t>
            </w:r>
          </w:p>
        </w:tc>
        <w:tc>
          <w:tcPr>
            <w:tcW w:w="1360" w:type="dxa"/>
            <w:tcBorders>
              <w:top w:val="nil"/>
              <w:left w:val="nil"/>
              <w:bottom w:val="double" w:sz="4" w:space="0" w:color="4F81BD" w:themeColor="accent1"/>
              <w:right w:val="nil"/>
            </w:tcBorders>
            <w:vAlign w:val="center"/>
            <w:hideMark/>
          </w:tcPr>
          <w:p w14:paraId="5DF5DF2B" w14:textId="51F42E65" w:rsidR="00E51830" w:rsidRPr="00FB7EA4" w:rsidRDefault="00E51830" w:rsidP="00415D1F">
            <w:pPr>
              <w:widowControl w:val="0"/>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20"/>
                <w:szCs w:val="20"/>
              </w:rPr>
              <w:t xml:space="preserve">270.252.301 </w:t>
            </w:r>
          </w:p>
        </w:tc>
        <w:tc>
          <w:tcPr>
            <w:tcW w:w="1467" w:type="dxa"/>
            <w:tcBorders>
              <w:top w:val="nil"/>
              <w:left w:val="nil"/>
              <w:bottom w:val="double" w:sz="4" w:space="0" w:color="4F81BD" w:themeColor="accent1"/>
              <w:right w:val="nil"/>
            </w:tcBorders>
            <w:vAlign w:val="center"/>
            <w:hideMark/>
          </w:tcPr>
          <w:p w14:paraId="3C7F62EB" w14:textId="1D9893DB" w:rsidR="00E51830" w:rsidRPr="00FB7EA4"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20"/>
                <w:szCs w:val="20"/>
              </w:rPr>
              <w:t xml:space="preserve">  54.352.610 </w:t>
            </w:r>
          </w:p>
        </w:tc>
        <w:tc>
          <w:tcPr>
            <w:tcW w:w="291" w:type="dxa"/>
            <w:tcBorders>
              <w:top w:val="nil"/>
              <w:left w:val="nil"/>
              <w:bottom w:val="nil"/>
              <w:right w:val="single" w:sz="4" w:space="0" w:color="4F81BD" w:themeColor="accent1"/>
            </w:tcBorders>
            <w:noWrap/>
            <w:vAlign w:val="center"/>
            <w:hideMark/>
          </w:tcPr>
          <w:p w14:paraId="7E02933B" w14:textId="77777777" w:rsidR="00E51830" w:rsidRPr="00BF23A3"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03" w:type="dxa"/>
            <w:vMerge/>
            <w:tcBorders>
              <w:left w:val="single" w:sz="4" w:space="0" w:color="4F81BD" w:themeColor="accent1"/>
              <w:right w:val="nil"/>
            </w:tcBorders>
            <w:shd w:val="clear" w:color="auto" w:fill="4F81BD" w:themeFill="accent1"/>
            <w:vAlign w:val="center"/>
            <w:hideMark/>
          </w:tcPr>
          <w:p w14:paraId="43D731AC" w14:textId="77777777" w:rsidR="00E51830" w:rsidRPr="00BF23A3" w:rsidRDefault="00E51830" w:rsidP="00415D1F">
            <w:pPr>
              <w:widowControl w:val="0"/>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324" w:type="dxa"/>
            <w:tcBorders>
              <w:top w:val="nil"/>
              <w:left w:val="nil"/>
              <w:bottom w:val="double" w:sz="4" w:space="0" w:color="4F81BD" w:themeColor="accent1"/>
              <w:right w:val="nil"/>
            </w:tcBorders>
            <w:vAlign w:val="center"/>
            <w:hideMark/>
          </w:tcPr>
          <w:p w14:paraId="31997B69" w14:textId="77777777" w:rsidR="00E51830" w:rsidRPr="00FB7EA4"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rial"/>
                <w:color w:val="0F243E" w:themeColor="text2" w:themeShade="80"/>
                <w:sz w:val="18"/>
                <w:szCs w:val="18"/>
              </w:rPr>
              <w:t>2018</w:t>
            </w:r>
          </w:p>
        </w:tc>
        <w:tc>
          <w:tcPr>
            <w:tcW w:w="1033" w:type="dxa"/>
            <w:tcBorders>
              <w:top w:val="nil"/>
              <w:left w:val="nil"/>
              <w:bottom w:val="double" w:sz="4" w:space="0" w:color="4F81BD" w:themeColor="accent1"/>
              <w:right w:val="nil"/>
            </w:tcBorders>
            <w:vAlign w:val="center"/>
            <w:hideMark/>
          </w:tcPr>
          <w:p w14:paraId="68204282" w14:textId="2C669D43" w:rsidR="00E51830" w:rsidRPr="00FB7EA4"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1.065.600 </w:t>
            </w:r>
          </w:p>
        </w:tc>
        <w:tc>
          <w:tcPr>
            <w:tcW w:w="1467" w:type="dxa"/>
            <w:tcBorders>
              <w:top w:val="nil"/>
              <w:left w:val="nil"/>
              <w:bottom w:val="double" w:sz="4" w:space="0" w:color="4F81BD" w:themeColor="accent1"/>
              <w:right w:val="nil"/>
            </w:tcBorders>
            <w:vAlign w:val="center"/>
            <w:hideMark/>
          </w:tcPr>
          <w:p w14:paraId="38A46D7D" w14:textId="1E161CDD" w:rsidR="00E51830" w:rsidRPr="00FB7EA4" w:rsidRDefault="00E51830"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134.400 </w:t>
            </w:r>
          </w:p>
        </w:tc>
      </w:tr>
      <w:tr w:rsidR="00A5739B" w:rsidRPr="00BF23A3" w14:paraId="3B449039" w14:textId="77777777" w:rsidTr="00415D1F">
        <w:trPr>
          <w:trHeight w:val="339"/>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4F81BD" w:themeColor="accent1"/>
              <w:left w:val="single" w:sz="4" w:space="0" w:color="4F81BD" w:themeColor="accent1"/>
              <w:right w:val="nil"/>
            </w:tcBorders>
            <w:shd w:val="clear" w:color="auto" w:fill="4F81BD" w:themeFill="accent1"/>
            <w:vAlign w:val="center"/>
            <w:hideMark/>
          </w:tcPr>
          <w:p w14:paraId="53911DD4" w14:textId="77777777" w:rsidR="00A5739B" w:rsidRPr="00BF23A3" w:rsidRDefault="00A5739B" w:rsidP="00415D1F">
            <w:pPr>
              <w:widowControl w:val="0"/>
              <w:spacing w:before="60" w:after="40"/>
              <w:rPr>
                <w:rFonts w:ascii="Arial" w:hAnsi="Arial" w:cs="Arial"/>
                <w:color w:val="000000"/>
                <w:sz w:val="18"/>
                <w:szCs w:val="18"/>
              </w:rPr>
            </w:pPr>
          </w:p>
        </w:tc>
        <w:tc>
          <w:tcPr>
            <w:tcW w:w="1310" w:type="dxa"/>
            <w:tcBorders>
              <w:top w:val="double" w:sz="4" w:space="0" w:color="4F81BD" w:themeColor="accent1"/>
              <w:left w:val="nil"/>
              <w:bottom w:val="nil"/>
              <w:right w:val="nil"/>
            </w:tcBorders>
            <w:shd w:val="clear" w:color="auto" w:fill="FFFFFF" w:themeFill="background1"/>
            <w:vAlign w:val="center"/>
            <w:hideMark/>
          </w:tcPr>
          <w:p w14:paraId="01324142" w14:textId="77777777" w:rsidR="00A5739B" w:rsidRPr="00FB7EA4"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FB7EA4">
              <w:rPr>
                <w:rFonts w:ascii="Arial" w:hAnsi="Arial" w:cs="Arial"/>
                <w:b/>
                <w:bCs/>
                <w:color w:val="0F243E" w:themeColor="text2" w:themeShade="80"/>
                <w:sz w:val="18"/>
                <w:szCs w:val="18"/>
              </w:rPr>
              <w:t>Variación  $</w:t>
            </w:r>
          </w:p>
        </w:tc>
        <w:tc>
          <w:tcPr>
            <w:tcW w:w="2827" w:type="dxa"/>
            <w:gridSpan w:val="2"/>
            <w:tcBorders>
              <w:top w:val="double" w:sz="4" w:space="0" w:color="4F81BD" w:themeColor="accent1"/>
              <w:left w:val="nil"/>
              <w:bottom w:val="nil"/>
              <w:right w:val="nil"/>
            </w:tcBorders>
            <w:shd w:val="clear" w:color="auto" w:fill="FFFFFF" w:themeFill="background1"/>
            <w:vAlign w:val="center"/>
            <w:hideMark/>
          </w:tcPr>
          <w:p w14:paraId="7FFE4263" w14:textId="57610AD6" w:rsidR="00A5739B" w:rsidRPr="00FB7EA4" w:rsidRDefault="00BF23A3" w:rsidP="00415D1F">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26.956.553 </w:t>
            </w:r>
          </w:p>
        </w:tc>
        <w:tc>
          <w:tcPr>
            <w:tcW w:w="291" w:type="dxa"/>
            <w:tcBorders>
              <w:top w:val="nil"/>
              <w:left w:val="nil"/>
              <w:bottom w:val="nil"/>
              <w:right w:val="single" w:sz="4" w:space="0" w:color="4F81BD" w:themeColor="accent1"/>
            </w:tcBorders>
            <w:noWrap/>
            <w:vAlign w:val="center"/>
            <w:hideMark/>
          </w:tcPr>
          <w:p w14:paraId="5845BFC2" w14:textId="77777777" w:rsidR="00A5739B" w:rsidRPr="00BF23A3"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803" w:type="dxa"/>
            <w:vMerge/>
            <w:tcBorders>
              <w:left w:val="single" w:sz="4" w:space="0" w:color="4F81BD" w:themeColor="accent1"/>
              <w:right w:val="nil"/>
            </w:tcBorders>
            <w:shd w:val="clear" w:color="auto" w:fill="4F81BD" w:themeFill="accent1"/>
            <w:vAlign w:val="center"/>
            <w:hideMark/>
          </w:tcPr>
          <w:p w14:paraId="06DA5B28" w14:textId="77777777" w:rsidR="00A5739B" w:rsidRPr="00BF23A3" w:rsidRDefault="00A5739B" w:rsidP="00415D1F">
            <w:pPr>
              <w:widowControl w:val="0"/>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324" w:type="dxa"/>
            <w:tcBorders>
              <w:top w:val="double" w:sz="4" w:space="0" w:color="4F81BD" w:themeColor="accent1"/>
              <w:left w:val="nil"/>
              <w:bottom w:val="nil"/>
              <w:right w:val="nil"/>
            </w:tcBorders>
            <w:vAlign w:val="center"/>
            <w:hideMark/>
          </w:tcPr>
          <w:p w14:paraId="01E7D3AB" w14:textId="77777777" w:rsidR="00A5739B" w:rsidRPr="00FB7EA4"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FB7EA4">
              <w:rPr>
                <w:rFonts w:ascii="Arial" w:hAnsi="Arial" w:cs="Arial"/>
                <w:b/>
                <w:bCs/>
                <w:color w:val="0F243E" w:themeColor="text2" w:themeShade="80"/>
                <w:sz w:val="18"/>
                <w:szCs w:val="18"/>
              </w:rPr>
              <w:t> Variación KW/H</w:t>
            </w:r>
          </w:p>
        </w:tc>
        <w:tc>
          <w:tcPr>
            <w:tcW w:w="2500" w:type="dxa"/>
            <w:gridSpan w:val="2"/>
            <w:tcBorders>
              <w:top w:val="double" w:sz="4" w:space="0" w:color="4F81BD" w:themeColor="accent1"/>
              <w:left w:val="nil"/>
              <w:bottom w:val="nil"/>
              <w:right w:val="nil"/>
            </w:tcBorders>
            <w:vAlign w:val="center"/>
            <w:hideMark/>
          </w:tcPr>
          <w:p w14:paraId="35AFFB32" w14:textId="2762CA07" w:rsidR="00A5739B" w:rsidRPr="00FB7EA4" w:rsidRDefault="00E51830" w:rsidP="00415D1F">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                  43.704 </w:t>
            </w:r>
          </w:p>
        </w:tc>
      </w:tr>
      <w:tr w:rsidR="00A5739B" w:rsidRPr="00A003B6" w14:paraId="4CD44C94" w14:textId="77777777" w:rsidTr="00650116">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505DAA21" w14:textId="77777777" w:rsidR="00A5739B" w:rsidRPr="00BF23A3" w:rsidRDefault="00A5739B" w:rsidP="00415D1F">
            <w:pPr>
              <w:widowControl w:val="0"/>
              <w:spacing w:before="60" w:after="40"/>
              <w:rPr>
                <w:rFonts w:ascii="Arial" w:hAnsi="Arial" w:cs="Arial"/>
                <w:color w:val="000000"/>
                <w:sz w:val="18"/>
                <w:szCs w:val="18"/>
              </w:rPr>
            </w:pPr>
          </w:p>
        </w:tc>
        <w:tc>
          <w:tcPr>
            <w:tcW w:w="1310" w:type="dxa"/>
            <w:tcBorders>
              <w:top w:val="nil"/>
              <w:left w:val="nil"/>
              <w:bottom w:val="double" w:sz="4" w:space="0" w:color="4F81BD" w:themeColor="accent1"/>
              <w:right w:val="nil"/>
            </w:tcBorders>
            <w:shd w:val="clear" w:color="auto" w:fill="FFFFFF" w:themeFill="background1"/>
            <w:vAlign w:val="center"/>
            <w:hideMark/>
          </w:tcPr>
          <w:p w14:paraId="3454A282" w14:textId="77777777" w:rsidR="00A5739B" w:rsidRPr="00FB7EA4"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FB7EA4">
              <w:rPr>
                <w:rFonts w:ascii="Arial" w:hAnsi="Arial" w:cs="Arial"/>
                <w:b/>
                <w:bCs/>
                <w:color w:val="0F243E" w:themeColor="text2" w:themeShade="80"/>
                <w:sz w:val="18"/>
                <w:szCs w:val="18"/>
              </w:rPr>
              <w:t xml:space="preserve">Variación % </w:t>
            </w:r>
          </w:p>
        </w:tc>
        <w:tc>
          <w:tcPr>
            <w:tcW w:w="2827" w:type="dxa"/>
            <w:gridSpan w:val="2"/>
            <w:tcBorders>
              <w:top w:val="nil"/>
              <w:left w:val="nil"/>
              <w:bottom w:val="double" w:sz="4" w:space="0" w:color="4F81BD" w:themeColor="accent1"/>
              <w:right w:val="nil"/>
            </w:tcBorders>
            <w:shd w:val="clear" w:color="auto" w:fill="FFFFFF" w:themeFill="background1"/>
            <w:vAlign w:val="center"/>
            <w:hideMark/>
          </w:tcPr>
          <w:p w14:paraId="2DEB2BFF" w14:textId="2A6D5946" w:rsidR="00A5739B" w:rsidRPr="00FB7EA4" w:rsidRDefault="00BF23A3"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FB7EA4">
              <w:rPr>
                <w:rFonts w:ascii="Arial" w:hAnsi="Arial" w:cs="Arial"/>
                <w:b/>
                <w:bCs/>
                <w:color w:val="0F243E" w:themeColor="text2" w:themeShade="80"/>
                <w:sz w:val="18"/>
                <w:szCs w:val="18"/>
              </w:rPr>
              <w:t>8</w:t>
            </w:r>
            <w:r w:rsidR="00A5739B" w:rsidRPr="00FB7EA4">
              <w:rPr>
                <w:rFonts w:ascii="Arial" w:hAnsi="Arial" w:cs="Arial"/>
                <w:b/>
                <w:bCs/>
                <w:color w:val="0F243E" w:themeColor="text2" w:themeShade="80"/>
                <w:sz w:val="18"/>
                <w:szCs w:val="18"/>
              </w:rPr>
              <w:t>%</w:t>
            </w:r>
          </w:p>
        </w:tc>
        <w:tc>
          <w:tcPr>
            <w:tcW w:w="291" w:type="dxa"/>
            <w:tcBorders>
              <w:top w:val="nil"/>
              <w:left w:val="nil"/>
              <w:bottom w:val="nil"/>
              <w:right w:val="single" w:sz="4" w:space="0" w:color="4F81BD" w:themeColor="accent1"/>
            </w:tcBorders>
            <w:noWrap/>
            <w:vAlign w:val="center"/>
            <w:hideMark/>
          </w:tcPr>
          <w:p w14:paraId="32039627" w14:textId="77777777" w:rsidR="00A5739B" w:rsidRPr="00BF23A3"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803" w:type="dxa"/>
            <w:vMerge/>
            <w:tcBorders>
              <w:left w:val="single" w:sz="4" w:space="0" w:color="4F81BD" w:themeColor="accent1"/>
              <w:right w:val="nil"/>
            </w:tcBorders>
            <w:shd w:val="clear" w:color="auto" w:fill="4F81BD" w:themeFill="accent1"/>
            <w:vAlign w:val="center"/>
            <w:hideMark/>
          </w:tcPr>
          <w:p w14:paraId="4EA418B4" w14:textId="77777777" w:rsidR="00A5739B" w:rsidRPr="00BF23A3" w:rsidRDefault="00A5739B" w:rsidP="00415D1F">
            <w:pPr>
              <w:widowControl w:val="0"/>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324" w:type="dxa"/>
            <w:tcBorders>
              <w:top w:val="nil"/>
              <w:left w:val="nil"/>
              <w:bottom w:val="double" w:sz="4" w:space="0" w:color="4F81BD" w:themeColor="accent1"/>
              <w:right w:val="nil"/>
            </w:tcBorders>
            <w:vAlign w:val="center"/>
            <w:hideMark/>
          </w:tcPr>
          <w:p w14:paraId="0854969F" w14:textId="77777777" w:rsidR="00A5739B" w:rsidRPr="00FB7EA4" w:rsidRDefault="00A5739B" w:rsidP="00415D1F">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FB7EA4">
              <w:rPr>
                <w:rFonts w:ascii="Arial" w:hAnsi="Arial" w:cs="Arial"/>
                <w:b/>
                <w:bCs/>
                <w:color w:val="0F243E" w:themeColor="text2" w:themeShade="80"/>
                <w:sz w:val="18"/>
                <w:szCs w:val="18"/>
              </w:rPr>
              <w:t xml:space="preserve">Variación  % </w:t>
            </w:r>
          </w:p>
        </w:tc>
        <w:tc>
          <w:tcPr>
            <w:tcW w:w="2500" w:type="dxa"/>
            <w:gridSpan w:val="2"/>
            <w:tcBorders>
              <w:top w:val="nil"/>
              <w:left w:val="nil"/>
              <w:bottom w:val="double" w:sz="4" w:space="0" w:color="4F81BD" w:themeColor="accent1"/>
              <w:right w:val="nil"/>
            </w:tcBorders>
            <w:vAlign w:val="center"/>
            <w:hideMark/>
          </w:tcPr>
          <w:p w14:paraId="30231473" w14:textId="2AA98D3B" w:rsidR="00A5739B" w:rsidRPr="00FB7EA4" w:rsidRDefault="00E51830" w:rsidP="00415D1F">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4%</w:t>
            </w:r>
          </w:p>
        </w:tc>
      </w:tr>
    </w:tbl>
    <w:p w14:paraId="6DBE96F3" w14:textId="77777777" w:rsidR="00A5739B" w:rsidRPr="00A003B6" w:rsidRDefault="00A5739B" w:rsidP="00582D6C">
      <w:pPr>
        <w:rPr>
          <w:rFonts w:ascii="Arial" w:hAnsi="Arial" w:cs="Arial"/>
          <w:color w:val="000000"/>
          <w:sz w:val="12"/>
          <w:szCs w:val="22"/>
          <w:highlight w:val="yellow"/>
        </w:rPr>
      </w:pPr>
    </w:p>
    <w:p w14:paraId="43B1E868" w14:textId="77777777" w:rsidR="00E36547" w:rsidRPr="00A003B6" w:rsidRDefault="00E36547" w:rsidP="000E0AD2">
      <w:pPr>
        <w:rPr>
          <w:rFonts w:ascii="Arial" w:hAnsi="Arial" w:cs="Arial"/>
          <w:color w:val="000000" w:themeColor="text1"/>
          <w:sz w:val="22"/>
          <w:szCs w:val="22"/>
          <w:highlight w:val="yellow"/>
        </w:rPr>
      </w:pPr>
    </w:p>
    <w:p w14:paraId="1B2DA8A3" w14:textId="77777777" w:rsidR="001510F0" w:rsidRPr="00DC02B3" w:rsidRDefault="00216E33" w:rsidP="00BB2567">
      <w:pPr>
        <w:jc w:val="both"/>
        <w:rPr>
          <w:rFonts w:ascii="Arial" w:hAnsi="Arial" w:cs="Arial"/>
          <w:color w:val="000000"/>
          <w:sz w:val="22"/>
          <w:szCs w:val="22"/>
        </w:rPr>
      </w:pPr>
      <w:r w:rsidRPr="00DC02B3">
        <w:rPr>
          <w:rFonts w:ascii="Arial" w:hAnsi="Arial" w:cs="Arial"/>
          <w:color w:val="000000"/>
          <w:sz w:val="22"/>
          <w:szCs w:val="22"/>
        </w:rPr>
        <w:t>E</w:t>
      </w:r>
      <w:r w:rsidR="00D17A05" w:rsidRPr="00DC02B3">
        <w:rPr>
          <w:rFonts w:ascii="Arial" w:hAnsi="Arial" w:cs="Arial"/>
          <w:color w:val="000000"/>
          <w:sz w:val="22"/>
          <w:szCs w:val="22"/>
        </w:rPr>
        <w:t xml:space="preserve">s importante resaltar, que la Subdirección de Servicios ha venido aplicando los </w:t>
      </w:r>
      <w:r w:rsidR="00DA63FF" w:rsidRPr="00DC02B3">
        <w:rPr>
          <w:rFonts w:ascii="Arial" w:hAnsi="Arial" w:cs="Arial"/>
          <w:color w:val="000000"/>
          <w:sz w:val="22"/>
          <w:szCs w:val="22"/>
        </w:rPr>
        <w:t>controles</w:t>
      </w:r>
      <w:r w:rsidR="00D17A05" w:rsidRPr="00DC02B3">
        <w:rPr>
          <w:rFonts w:ascii="Arial" w:hAnsi="Arial" w:cs="Arial"/>
          <w:color w:val="000000"/>
          <w:sz w:val="22"/>
          <w:szCs w:val="22"/>
        </w:rPr>
        <w:t xml:space="preserve"> definidos para contribuir al uso eficiente de la energía en las dos sedes de este Ministerio, tales como: </w:t>
      </w:r>
      <w:r w:rsidR="00DA63FF" w:rsidRPr="00DC02B3">
        <w:rPr>
          <w:rFonts w:ascii="Arial" w:hAnsi="Arial" w:cs="Arial"/>
          <w:color w:val="000000"/>
          <w:sz w:val="22"/>
          <w:szCs w:val="22"/>
        </w:rPr>
        <w:t xml:space="preserve"> </w:t>
      </w:r>
    </w:p>
    <w:p w14:paraId="41AB3A4D" w14:textId="77777777" w:rsidR="00182B14" w:rsidRPr="00DC02B3" w:rsidRDefault="00182B14" w:rsidP="00E02623">
      <w:pPr>
        <w:rPr>
          <w:rFonts w:ascii="Arial" w:hAnsi="Arial" w:cs="Arial"/>
          <w:color w:val="000000"/>
          <w:sz w:val="22"/>
          <w:szCs w:val="22"/>
        </w:rPr>
      </w:pPr>
    </w:p>
    <w:p w14:paraId="60E86194" w14:textId="77777777" w:rsidR="000801BB" w:rsidRPr="00DC02B3" w:rsidRDefault="003D0C36" w:rsidP="00DC02B3">
      <w:pPr>
        <w:pStyle w:val="Prrafodelista"/>
        <w:numPr>
          <w:ilvl w:val="0"/>
          <w:numId w:val="6"/>
        </w:numPr>
        <w:spacing w:after="120"/>
        <w:ind w:left="357" w:hanging="357"/>
        <w:contextualSpacing w:val="0"/>
        <w:rPr>
          <w:rFonts w:ascii="Arial" w:hAnsi="Arial" w:cs="Arial"/>
          <w:sz w:val="22"/>
          <w:szCs w:val="22"/>
        </w:rPr>
      </w:pPr>
      <w:r w:rsidRPr="00DC02B3">
        <w:rPr>
          <w:rFonts w:ascii="Arial" w:hAnsi="Arial" w:cs="Arial"/>
          <w:sz w:val="22"/>
          <w:szCs w:val="22"/>
        </w:rPr>
        <w:t>Control periódico de los consumos de manera mensual para el servicio de energía</w:t>
      </w:r>
      <w:r w:rsidR="000827B3" w:rsidRPr="00DC02B3">
        <w:rPr>
          <w:rFonts w:ascii="Arial" w:hAnsi="Arial" w:cs="Arial"/>
          <w:sz w:val="22"/>
          <w:szCs w:val="22"/>
        </w:rPr>
        <w:t>.</w:t>
      </w:r>
      <w:r w:rsidRPr="00DC02B3">
        <w:rPr>
          <w:rFonts w:ascii="Arial" w:hAnsi="Arial" w:cs="Arial"/>
          <w:sz w:val="22"/>
          <w:szCs w:val="22"/>
        </w:rPr>
        <w:t xml:space="preserve"> </w:t>
      </w:r>
    </w:p>
    <w:p w14:paraId="4DF46127" w14:textId="77777777" w:rsidR="000827B3" w:rsidRPr="00DC02B3" w:rsidRDefault="003D0C36" w:rsidP="00DC02B3">
      <w:pPr>
        <w:pStyle w:val="Prrafodelista"/>
        <w:numPr>
          <w:ilvl w:val="0"/>
          <w:numId w:val="6"/>
        </w:numPr>
        <w:spacing w:after="120"/>
        <w:ind w:left="357" w:hanging="357"/>
        <w:contextualSpacing w:val="0"/>
        <w:rPr>
          <w:rFonts w:ascii="Arial" w:hAnsi="Arial" w:cs="Arial"/>
          <w:color w:val="000000" w:themeColor="text1"/>
          <w:sz w:val="22"/>
          <w:szCs w:val="22"/>
        </w:rPr>
      </w:pPr>
      <w:r w:rsidRPr="00DC02B3">
        <w:rPr>
          <w:rFonts w:ascii="Arial" w:hAnsi="Arial" w:cs="Arial"/>
          <w:sz w:val="22"/>
          <w:szCs w:val="22"/>
        </w:rPr>
        <w:t>Apagado diario de luces y equipos de cómputo en las of</w:t>
      </w:r>
      <w:r w:rsidR="00C316E6" w:rsidRPr="00DC02B3">
        <w:rPr>
          <w:rFonts w:ascii="Arial" w:hAnsi="Arial" w:cs="Arial"/>
          <w:sz w:val="22"/>
          <w:szCs w:val="22"/>
        </w:rPr>
        <w:t>icinas en donde no se encuentren</w:t>
      </w:r>
      <w:r w:rsidRPr="00DC02B3">
        <w:rPr>
          <w:rFonts w:ascii="Arial" w:hAnsi="Arial" w:cs="Arial"/>
          <w:sz w:val="22"/>
          <w:szCs w:val="22"/>
        </w:rPr>
        <w:t xml:space="preserve"> servidores púb</w:t>
      </w:r>
      <w:r w:rsidR="00634962" w:rsidRPr="00DC02B3">
        <w:rPr>
          <w:rFonts w:ascii="Arial" w:hAnsi="Arial" w:cs="Arial"/>
          <w:sz w:val="22"/>
          <w:szCs w:val="22"/>
        </w:rPr>
        <w:t>licos y hayan quedado encendido</w:t>
      </w:r>
      <w:r w:rsidR="000827B3" w:rsidRPr="00DC02B3">
        <w:rPr>
          <w:rFonts w:ascii="Arial" w:hAnsi="Arial" w:cs="Arial"/>
          <w:sz w:val="22"/>
          <w:szCs w:val="22"/>
        </w:rPr>
        <w:t>.</w:t>
      </w:r>
    </w:p>
    <w:p w14:paraId="333FEEB5" w14:textId="5CEDF131" w:rsidR="00B0648E" w:rsidRDefault="003D0C36" w:rsidP="00DC02B3">
      <w:pPr>
        <w:pStyle w:val="Prrafodelista"/>
        <w:numPr>
          <w:ilvl w:val="0"/>
          <w:numId w:val="6"/>
        </w:numPr>
        <w:spacing w:after="120"/>
        <w:ind w:left="357" w:hanging="357"/>
        <w:contextualSpacing w:val="0"/>
        <w:rPr>
          <w:rFonts w:ascii="Arial" w:hAnsi="Arial" w:cs="Arial"/>
          <w:color w:val="000000" w:themeColor="text1"/>
          <w:sz w:val="22"/>
          <w:szCs w:val="22"/>
        </w:rPr>
      </w:pPr>
      <w:r w:rsidRPr="00DC02B3">
        <w:rPr>
          <w:rFonts w:ascii="Arial" w:hAnsi="Arial" w:cs="Arial"/>
          <w:color w:val="000000" w:themeColor="text1"/>
          <w:sz w:val="22"/>
          <w:szCs w:val="22"/>
        </w:rPr>
        <w:t xml:space="preserve">Instalación de sensores de energía para el manejo de iluminación en baños en la </w:t>
      </w:r>
      <w:r w:rsidR="0026311A" w:rsidRPr="00DC02B3">
        <w:rPr>
          <w:rFonts w:ascii="Arial" w:hAnsi="Arial" w:cs="Arial"/>
          <w:color w:val="000000" w:themeColor="text1"/>
          <w:sz w:val="22"/>
          <w:szCs w:val="22"/>
        </w:rPr>
        <w:t xml:space="preserve">sede del Edificio San Agustín, así como para los baños, pasillos, oficinas y parqueaderos de </w:t>
      </w:r>
      <w:r w:rsidR="00646052" w:rsidRPr="00DC02B3">
        <w:rPr>
          <w:rFonts w:ascii="Arial" w:hAnsi="Arial" w:cs="Arial"/>
          <w:color w:val="000000" w:themeColor="text1"/>
          <w:sz w:val="22"/>
          <w:szCs w:val="22"/>
        </w:rPr>
        <w:t>Casas de Santa Bárbara</w:t>
      </w:r>
      <w:r w:rsidR="000827B3" w:rsidRPr="00DC02B3">
        <w:rPr>
          <w:rFonts w:ascii="Arial" w:hAnsi="Arial" w:cs="Arial"/>
          <w:color w:val="000000" w:themeColor="text1"/>
          <w:sz w:val="22"/>
          <w:szCs w:val="22"/>
        </w:rPr>
        <w:t>.</w:t>
      </w:r>
    </w:p>
    <w:p w14:paraId="2F4ACF20" w14:textId="238F0E46" w:rsidR="00DC02B3" w:rsidRPr="00DC02B3" w:rsidRDefault="00DC02B3" w:rsidP="0045629B">
      <w:pPr>
        <w:pStyle w:val="Prrafodelista"/>
        <w:numPr>
          <w:ilvl w:val="0"/>
          <w:numId w:val="6"/>
        </w:numPr>
        <w:ind w:left="357" w:hanging="357"/>
        <w:contextualSpacing w:val="0"/>
        <w:rPr>
          <w:rFonts w:ascii="Arial" w:hAnsi="Arial" w:cs="Arial"/>
          <w:color w:val="000000" w:themeColor="text1"/>
          <w:sz w:val="22"/>
          <w:szCs w:val="22"/>
        </w:rPr>
      </w:pPr>
      <w:r>
        <w:rPr>
          <w:rFonts w:ascii="Arial" w:hAnsi="Arial" w:cs="Arial"/>
          <w:color w:val="000000" w:themeColor="text1"/>
          <w:sz w:val="22"/>
          <w:szCs w:val="22"/>
        </w:rPr>
        <w:t>Campañas de sensibilización al ahorro de energía</w:t>
      </w:r>
      <w:r w:rsidR="0062142B">
        <w:rPr>
          <w:rFonts w:ascii="Arial" w:hAnsi="Arial" w:cs="Arial"/>
          <w:color w:val="000000" w:themeColor="text1"/>
          <w:sz w:val="22"/>
          <w:szCs w:val="22"/>
        </w:rPr>
        <w:t xml:space="preserve">. </w:t>
      </w:r>
      <w:r>
        <w:rPr>
          <w:rFonts w:ascii="Arial" w:hAnsi="Arial" w:cs="Arial"/>
          <w:color w:val="000000" w:themeColor="text1"/>
          <w:sz w:val="22"/>
          <w:szCs w:val="22"/>
        </w:rPr>
        <w:t xml:space="preserve"> </w:t>
      </w:r>
    </w:p>
    <w:p w14:paraId="1DBFA134" w14:textId="77777777" w:rsidR="007323A3" w:rsidRDefault="007323A3" w:rsidP="007323A3">
      <w:pPr>
        <w:jc w:val="both"/>
        <w:rPr>
          <w:rFonts w:ascii="Arial" w:hAnsi="Arial" w:cs="Arial"/>
          <w:b/>
          <w:color w:val="000000"/>
          <w:sz w:val="22"/>
          <w:szCs w:val="22"/>
        </w:rPr>
      </w:pPr>
    </w:p>
    <w:p w14:paraId="1E98D25F" w14:textId="77777777" w:rsidR="007323A3" w:rsidRDefault="007323A3" w:rsidP="007323A3">
      <w:pPr>
        <w:jc w:val="both"/>
        <w:rPr>
          <w:rFonts w:ascii="Arial" w:hAnsi="Arial" w:cs="Arial"/>
          <w:b/>
          <w:color w:val="000000"/>
          <w:sz w:val="22"/>
          <w:szCs w:val="22"/>
        </w:rPr>
      </w:pPr>
    </w:p>
    <w:p w14:paraId="69E007E1" w14:textId="75ED4406" w:rsidR="00422553" w:rsidRDefault="00DB1BF2" w:rsidP="007323A3">
      <w:pPr>
        <w:jc w:val="both"/>
        <w:rPr>
          <w:rFonts w:ascii="Arial" w:hAnsi="Arial" w:cs="Arial"/>
          <w:b/>
          <w:color w:val="000000"/>
          <w:sz w:val="22"/>
          <w:szCs w:val="22"/>
        </w:rPr>
      </w:pPr>
      <w:r>
        <w:rPr>
          <w:rFonts w:ascii="Arial" w:hAnsi="Arial" w:cs="Arial"/>
          <w:b/>
          <w:color w:val="000000"/>
          <w:sz w:val="22"/>
          <w:szCs w:val="22"/>
        </w:rPr>
        <w:t>8</w:t>
      </w:r>
      <w:r w:rsidR="00AD73A3" w:rsidRPr="00B6534F">
        <w:rPr>
          <w:rFonts w:ascii="Arial" w:hAnsi="Arial" w:cs="Arial"/>
          <w:b/>
          <w:color w:val="000000"/>
          <w:sz w:val="22"/>
          <w:szCs w:val="22"/>
        </w:rPr>
        <w:t xml:space="preserve">.2 </w:t>
      </w:r>
      <w:r w:rsidR="00535509" w:rsidRPr="00B6534F">
        <w:rPr>
          <w:rFonts w:ascii="Arial" w:hAnsi="Arial" w:cs="Arial"/>
          <w:b/>
          <w:color w:val="000000"/>
          <w:sz w:val="22"/>
          <w:szCs w:val="22"/>
        </w:rPr>
        <w:t>ACUEDUCTO Y ALCANTARILLADO</w:t>
      </w:r>
    </w:p>
    <w:p w14:paraId="2549AE8B" w14:textId="77777777" w:rsidR="007323A3" w:rsidRPr="00B6534F" w:rsidRDefault="007323A3" w:rsidP="007323A3">
      <w:pPr>
        <w:ind w:left="708"/>
        <w:jc w:val="both"/>
        <w:rPr>
          <w:rFonts w:ascii="Arial" w:hAnsi="Arial" w:cs="Arial"/>
          <w:b/>
          <w:color w:val="000000"/>
          <w:sz w:val="22"/>
          <w:szCs w:val="22"/>
        </w:rPr>
      </w:pPr>
    </w:p>
    <w:p w14:paraId="529B35D4" w14:textId="4A83CE43" w:rsidR="00473AEE" w:rsidRPr="00B6534F" w:rsidRDefault="00B853C9" w:rsidP="007323A3">
      <w:pPr>
        <w:jc w:val="both"/>
        <w:rPr>
          <w:rFonts w:ascii="Arial" w:hAnsi="Arial" w:cs="Arial"/>
          <w:color w:val="000000"/>
          <w:sz w:val="22"/>
          <w:szCs w:val="22"/>
        </w:rPr>
      </w:pPr>
      <w:r w:rsidRPr="00B6534F">
        <w:rPr>
          <w:rFonts w:ascii="Arial" w:hAnsi="Arial" w:cs="Arial"/>
          <w:color w:val="000000"/>
          <w:sz w:val="22"/>
          <w:szCs w:val="22"/>
        </w:rPr>
        <w:t xml:space="preserve">Para el </w:t>
      </w:r>
      <w:r w:rsidR="00DE247B" w:rsidRPr="00B6534F">
        <w:rPr>
          <w:rFonts w:ascii="Arial" w:hAnsi="Arial" w:cs="Arial"/>
          <w:color w:val="000000"/>
          <w:sz w:val="22"/>
          <w:szCs w:val="22"/>
        </w:rPr>
        <w:t>servicio de acueducto, alcantarillado y aseo,</w:t>
      </w:r>
      <w:r w:rsidR="008D2AE3" w:rsidRPr="00B6534F">
        <w:rPr>
          <w:rFonts w:ascii="Arial" w:hAnsi="Arial" w:cs="Arial"/>
          <w:color w:val="000000"/>
          <w:sz w:val="22"/>
          <w:szCs w:val="22"/>
        </w:rPr>
        <w:t xml:space="preserve"> al igual que el servicio de energía</w:t>
      </w:r>
      <w:r w:rsidR="00082A09" w:rsidRPr="00B6534F">
        <w:rPr>
          <w:rFonts w:ascii="Arial" w:hAnsi="Arial" w:cs="Arial"/>
          <w:color w:val="000000"/>
          <w:sz w:val="22"/>
          <w:szCs w:val="22"/>
        </w:rPr>
        <w:t>,</w:t>
      </w:r>
      <w:r w:rsidR="008D2AE3" w:rsidRPr="00B6534F">
        <w:rPr>
          <w:rFonts w:ascii="Arial" w:hAnsi="Arial" w:cs="Arial"/>
          <w:color w:val="000000"/>
          <w:sz w:val="22"/>
          <w:szCs w:val="22"/>
        </w:rPr>
        <w:t xml:space="preserve"> </w:t>
      </w:r>
      <w:r w:rsidR="008B1F9F" w:rsidRPr="00B6534F">
        <w:rPr>
          <w:rFonts w:ascii="Arial" w:hAnsi="Arial" w:cs="Arial"/>
          <w:color w:val="000000"/>
          <w:sz w:val="22"/>
          <w:szCs w:val="22"/>
        </w:rPr>
        <w:t xml:space="preserve">para la sede de San Agustín </w:t>
      </w:r>
      <w:r w:rsidR="008D2AE3" w:rsidRPr="00B6534F">
        <w:rPr>
          <w:rFonts w:ascii="Arial" w:hAnsi="Arial" w:cs="Arial"/>
          <w:color w:val="000000"/>
          <w:sz w:val="22"/>
          <w:szCs w:val="22"/>
        </w:rPr>
        <w:t xml:space="preserve">se realiza el prorrateo </w:t>
      </w:r>
      <w:r w:rsidR="002026B1" w:rsidRPr="00B6534F">
        <w:rPr>
          <w:rFonts w:ascii="Arial" w:hAnsi="Arial" w:cs="Arial"/>
          <w:color w:val="000000"/>
          <w:sz w:val="22"/>
          <w:szCs w:val="22"/>
        </w:rPr>
        <w:t xml:space="preserve">para determinar el valor a cargo del Ministerio de Hacienda y </w:t>
      </w:r>
      <w:r w:rsidR="00082A09" w:rsidRPr="00B6534F">
        <w:rPr>
          <w:rFonts w:ascii="Arial" w:hAnsi="Arial" w:cs="Arial"/>
          <w:color w:val="000000"/>
          <w:sz w:val="22"/>
          <w:szCs w:val="22"/>
        </w:rPr>
        <w:t>Crédito Público y la DIAN.</w:t>
      </w:r>
      <w:r w:rsidR="008B1F9F" w:rsidRPr="00B6534F">
        <w:rPr>
          <w:rFonts w:ascii="Arial" w:hAnsi="Arial" w:cs="Arial"/>
          <w:color w:val="000000"/>
          <w:sz w:val="22"/>
          <w:szCs w:val="22"/>
        </w:rPr>
        <w:t xml:space="preserve"> La gestión de cobro realizada por la Subdirección de Servicios concerniente al </w:t>
      </w:r>
      <w:r w:rsidR="0028287A">
        <w:rPr>
          <w:rFonts w:ascii="Arial" w:hAnsi="Arial" w:cs="Arial"/>
          <w:color w:val="000000"/>
          <w:sz w:val="22"/>
          <w:szCs w:val="22"/>
        </w:rPr>
        <w:t>tercer t</w:t>
      </w:r>
      <w:r w:rsidR="005E42B4" w:rsidRPr="00B6534F">
        <w:rPr>
          <w:rFonts w:ascii="Arial" w:hAnsi="Arial" w:cs="Arial"/>
          <w:color w:val="000000"/>
          <w:sz w:val="22"/>
          <w:szCs w:val="22"/>
        </w:rPr>
        <w:t>rimestre</w:t>
      </w:r>
      <w:r w:rsidR="008B1F9F" w:rsidRPr="00B6534F">
        <w:rPr>
          <w:rFonts w:ascii="Arial" w:hAnsi="Arial" w:cs="Arial"/>
          <w:color w:val="000000"/>
          <w:sz w:val="22"/>
          <w:szCs w:val="22"/>
        </w:rPr>
        <w:t xml:space="preserve"> de 201</w:t>
      </w:r>
      <w:r w:rsidR="005E42B4" w:rsidRPr="00B6534F">
        <w:rPr>
          <w:rFonts w:ascii="Arial" w:hAnsi="Arial" w:cs="Arial"/>
          <w:color w:val="000000"/>
          <w:sz w:val="22"/>
          <w:szCs w:val="22"/>
        </w:rPr>
        <w:t>9</w:t>
      </w:r>
      <w:r w:rsidR="008B1F9F" w:rsidRPr="00B6534F">
        <w:rPr>
          <w:rFonts w:ascii="Arial" w:hAnsi="Arial" w:cs="Arial"/>
          <w:color w:val="000000"/>
          <w:sz w:val="22"/>
          <w:szCs w:val="22"/>
        </w:rPr>
        <w:t xml:space="preserve"> se evidenció en los</w:t>
      </w:r>
      <w:r w:rsidR="005E42B4" w:rsidRPr="00B6534F">
        <w:rPr>
          <w:rFonts w:ascii="Arial" w:hAnsi="Arial" w:cs="Arial"/>
          <w:color w:val="000000"/>
          <w:sz w:val="22"/>
          <w:szCs w:val="22"/>
        </w:rPr>
        <w:t xml:space="preserve"> siguientes memorandos</w:t>
      </w:r>
      <w:r w:rsidR="005446B7" w:rsidRPr="00B6534F">
        <w:rPr>
          <w:rFonts w:ascii="Arial" w:hAnsi="Arial" w:cs="Arial"/>
          <w:color w:val="000000"/>
          <w:sz w:val="22"/>
          <w:szCs w:val="22"/>
        </w:rPr>
        <w:t xml:space="preserve">: </w:t>
      </w:r>
    </w:p>
    <w:tbl>
      <w:tblPr>
        <w:tblStyle w:val="Tabladecuadrcula1clara-nfasis1"/>
        <w:tblW w:w="0" w:type="auto"/>
        <w:tblLook w:val="04A0" w:firstRow="1" w:lastRow="0" w:firstColumn="1" w:lastColumn="0" w:noHBand="0" w:noVBand="1"/>
      </w:tblPr>
      <w:tblGrid>
        <w:gridCol w:w="1932"/>
        <w:gridCol w:w="1883"/>
        <w:gridCol w:w="2053"/>
        <w:gridCol w:w="1691"/>
        <w:gridCol w:w="2119"/>
      </w:tblGrid>
      <w:tr w:rsidR="001305BD" w:rsidRPr="001305BD" w14:paraId="07E29E6F" w14:textId="77777777" w:rsidTr="00203A2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4F81BD" w:themeFill="accent1"/>
            <w:vAlign w:val="center"/>
            <w:hideMark/>
          </w:tcPr>
          <w:p w14:paraId="5423B6B1" w14:textId="75952295" w:rsidR="001305BD" w:rsidRPr="001305BD" w:rsidRDefault="001305BD" w:rsidP="00203A20">
            <w:pPr>
              <w:spacing w:before="60" w:after="60"/>
              <w:jc w:val="center"/>
              <w:rPr>
                <w:rFonts w:ascii="Arial" w:hAnsi="Arial" w:cs="Arial"/>
                <w:b w:val="0"/>
                <w:bCs w:val="0"/>
                <w:color w:val="FFFFFF"/>
                <w:sz w:val="20"/>
                <w:szCs w:val="20"/>
              </w:rPr>
            </w:pPr>
            <w:r w:rsidRPr="001305BD">
              <w:rPr>
                <w:rFonts w:ascii="Arial" w:hAnsi="Arial" w:cs="Arial"/>
                <w:b w:val="0"/>
                <w:bCs w:val="0"/>
                <w:color w:val="FFFFFF"/>
                <w:sz w:val="20"/>
                <w:szCs w:val="20"/>
              </w:rPr>
              <w:lastRenderedPageBreak/>
              <w:t xml:space="preserve">Solicitud de Reintegro - Servicio de Acueducto </w:t>
            </w:r>
          </w:p>
        </w:tc>
        <w:tc>
          <w:tcPr>
            <w:tcW w:w="0" w:type="auto"/>
            <w:gridSpan w:val="3"/>
            <w:shd w:val="clear" w:color="auto" w:fill="4F81BD" w:themeFill="accent1"/>
            <w:vAlign w:val="center"/>
            <w:hideMark/>
          </w:tcPr>
          <w:p w14:paraId="79247D2A" w14:textId="7BD1CD3C" w:rsidR="001305BD" w:rsidRPr="001305BD" w:rsidRDefault="001305BD" w:rsidP="00203A2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1305BD">
              <w:rPr>
                <w:rFonts w:ascii="Arial" w:hAnsi="Arial" w:cs="Arial"/>
                <w:b w:val="0"/>
                <w:bCs w:val="0"/>
                <w:color w:val="FFFFFF"/>
                <w:sz w:val="20"/>
                <w:szCs w:val="20"/>
              </w:rPr>
              <w:t>Solicitud de Reintegro - Servicio de Aseo</w:t>
            </w:r>
          </w:p>
        </w:tc>
      </w:tr>
      <w:tr w:rsidR="001305BD" w:rsidRPr="001305BD" w14:paraId="5B761D44" w14:textId="77777777" w:rsidTr="00203A20">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E4CAA3" w14:textId="77777777" w:rsidR="001305BD" w:rsidRPr="00FB7EA4" w:rsidRDefault="001305BD" w:rsidP="00203A20">
            <w:pPr>
              <w:spacing w:before="60" w:after="60"/>
              <w:jc w:val="center"/>
              <w:rPr>
                <w:rFonts w:ascii="Arial" w:hAnsi="Arial" w:cs="Arial"/>
                <w:b w:val="0"/>
                <w:bCs w:val="0"/>
                <w:color w:val="0F243E" w:themeColor="text2" w:themeShade="80"/>
                <w:sz w:val="20"/>
                <w:szCs w:val="20"/>
              </w:rPr>
            </w:pPr>
            <w:r w:rsidRPr="00FB7EA4">
              <w:rPr>
                <w:rFonts w:ascii="Arial" w:hAnsi="Arial" w:cs="Arial"/>
                <w:b w:val="0"/>
                <w:bCs w:val="0"/>
                <w:color w:val="0F243E" w:themeColor="text2" w:themeShade="80"/>
                <w:sz w:val="20"/>
                <w:szCs w:val="20"/>
              </w:rPr>
              <w:t>Periodo</w:t>
            </w:r>
          </w:p>
        </w:tc>
        <w:tc>
          <w:tcPr>
            <w:tcW w:w="0" w:type="auto"/>
            <w:vAlign w:val="center"/>
            <w:hideMark/>
          </w:tcPr>
          <w:p w14:paraId="333E9F8A"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11/07/2019 al 6/09/2019</w:t>
            </w:r>
          </w:p>
        </w:tc>
        <w:tc>
          <w:tcPr>
            <w:tcW w:w="0" w:type="auto"/>
            <w:vAlign w:val="center"/>
            <w:hideMark/>
          </w:tcPr>
          <w:p w14:paraId="047B4030"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Periodo</w:t>
            </w:r>
          </w:p>
        </w:tc>
        <w:tc>
          <w:tcPr>
            <w:tcW w:w="0" w:type="auto"/>
            <w:vAlign w:val="center"/>
            <w:hideMark/>
          </w:tcPr>
          <w:p w14:paraId="075A16C1"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01/07/2019 a 29/08/2019</w:t>
            </w:r>
          </w:p>
        </w:tc>
        <w:tc>
          <w:tcPr>
            <w:tcW w:w="0" w:type="auto"/>
            <w:vAlign w:val="center"/>
            <w:hideMark/>
          </w:tcPr>
          <w:p w14:paraId="2627AF20"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30/08/2019 a 30 de septiembre</w:t>
            </w:r>
          </w:p>
        </w:tc>
      </w:tr>
      <w:tr w:rsidR="001305BD" w:rsidRPr="001305BD" w14:paraId="4F1B1BF7" w14:textId="77777777" w:rsidTr="00203A20">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4D8DD9" w14:textId="77777777" w:rsidR="001305BD" w:rsidRPr="00FB7EA4" w:rsidRDefault="001305BD" w:rsidP="00203A20">
            <w:pPr>
              <w:spacing w:before="60" w:after="60"/>
              <w:jc w:val="center"/>
              <w:rPr>
                <w:rFonts w:ascii="Arial" w:hAnsi="Arial" w:cs="Arial"/>
                <w:b w:val="0"/>
                <w:bCs w:val="0"/>
                <w:color w:val="0F243E" w:themeColor="text2" w:themeShade="80"/>
                <w:sz w:val="20"/>
                <w:szCs w:val="20"/>
              </w:rPr>
            </w:pPr>
            <w:r w:rsidRPr="00FB7EA4">
              <w:rPr>
                <w:rFonts w:ascii="Arial" w:hAnsi="Arial" w:cs="Arial"/>
                <w:b w:val="0"/>
                <w:bCs w:val="0"/>
                <w:color w:val="0F243E" w:themeColor="text2" w:themeShade="80"/>
                <w:sz w:val="20"/>
                <w:szCs w:val="20"/>
              </w:rPr>
              <w:t xml:space="preserve">Fecha </w:t>
            </w:r>
          </w:p>
        </w:tc>
        <w:tc>
          <w:tcPr>
            <w:tcW w:w="0" w:type="auto"/>
            <w:vAlign w:val="center"/>
            <w:hideMark/>
          </w:tcPr>
          <w:p w14:paraId="03479700"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8/10/2019</w:t>
            </w:r>
          </w:p>
        </w:tc>
        <w:tc>
          <w:tcPr>
            <w:tcW w:w="0" w:type="auto"/>
            <w:vAlign w:val="center"/>
            <w:hideMark/>
          </w:tcPr>
          <w:p w14:paraId="6C789451"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Fecha </w:t>
            </w:r>
          </w:p>
        </w:tc>
        <w:tc>
          <w:tcPr>
            <w:tcW w:w="0" w:type="auto"/>
            <w:vAlign w:val="center"/>
            <w:hideMark/>
          </w:tcPr>
          <w:p w14:paraId="68DEE5E8"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2/10/2019</w:t>
            </w:r>
          </w:p>
        </w:tc>
        <w:tc>
          <w:tcPr>
            <w:tcW w:w="0" w:type="auto"/>
            <w:vAlign w:val="center"/>
            <w:hideMark/>
          </w:tcPr>
          <w:p w14:paraId="4A26D736"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30/10/2019</w:t>
            </w:r>
          </w:p>
        </w:tc>
      </w:tr>
      <w:tr w:rsidR="001305BD" w:rsidRPr="001305BD" w14:paraId="1A2C6F63" w14:textId="77777777" w:rsidTr="00203A20">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0CBB67" w14:textId="77777777" w:rsidR="001305BD" w:rsidRPr="00FB7EA4" w:rsidRDefault="001305BD" w:rsidP="00203A20">
            <w:pPr>
              <w:spacing w:before="60" w:after="60"/>
              <w:jc w:val="center"/>
              <w:rPr>
                <w:rFonts w:ascii="Arial" w:hAnsi="Arial" w:cs="Arial"/>
                <w:b w:val="0"/>
                <w:bCs w:val="0"/>
                <w:color w:val="0F243E" w:themeColor="text2" w:themeShade="80"/>
                <w:sz w:val="20"/>
                <w:szCs w:val="20"/>
              </w:rPr>
            </w:pPr>
            <w:r w:rsidRPr="00FB7EA4">
              <w:rPr>
                <w:rFonts w:ascii="Arial" w:hAnsi="Arial" w:cs="Arial"/>
                <w:b w:val="0"/>
                <w:bCs w:val="0"/>
                <w:color w:val="0F243E" w:themeColor="text2" w:themeShade="80"/>
                <w:sz w:val="20"/>
                <w:szCs w:val="20"/>
              </w:rPr>
              <w:t>Radicado</w:t>
            </w:r>
          </w:p>
        </w:tc>
        <w:tc>
          <w:tcPr>
            <w:tcW w:w="0" w:type="auto"/>
            <w:noWrap/>
            <w:vAlign w:val="center"/>
            <w:hideMark/>
          </w:tcPr>
          <w:p w14:paraId="297E551B"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2-2019-039193</w:t>
            </w:r>
          </w:p>
        </w:tc>
        <w:tc>
          <w:tcPr>
            <w:tcW w:w="0" w:type="auto"/>
            <w:vAlign w:val="center"/>
            <w:hideMark/>
          </w:tcPr>
          <w:p w14:paraId="6E93BBDB"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Radicado</w:t>
            </w:r>
          </w:p>
        </w:tc>
        <w:tc>
          <w:tcPr>
            <w:tcW w:w="0" w:type="auto"/>
            <w:vAlign w:val="center"/>
            <w:hideMark/>
          </w:tcPr>
          <w:p w14:paraId="349AB29A"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3-2019-018489</w:t>
            </w:r>
          </w:p>
        </w:tc>
        <w:tc>
          <w:tcPr>
            <w:tcW w:w="0" w:type="auto"/>
            <w:noWrap/>
            <w:vAlign w:val="center"/>
            <w:hideMark/>
          </w:tcPr>
          <w:p w14:paraId="2DC2831B"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2-2019-042602</w:t>
            </w:r>
          </w:p>
        </w:tc>
      </w:tr>
      <w:tr w:rsidR="001305BD" w:rsidRPr="001305BD" w14:paraId="5057391E" w14:textId="77777777" w:rsidTr="00203A20">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B9F4DE" w14:textId="77777777" w:rsidR="001305BD" w:rsidRPr="00FB7EA4" w:rsidRDefault="001305BD" w:rsidP="00203A20">
            <w:pPr>
              <w:spacing w:before="60" w:after="60"/>
              <w:jc w:val="center"/>
              <w:rPr>
                <w:rFonts w:ascii="Arial" w:hAnsi="Arial" w:cs="Arial"/>
                <w:b w:val="0"/>
                <w:bCs w:val="0"/>
                <w:color w:val="0F243E" w:themeColor="text2" w:themeShade="80"/>
                <w:sz w:val="20"/>
                <w:szCs w:val="20"/>
              </w:rPr>
            </w:pPr>
            <w:r w:rsidRPr="00FB7EA4">
              <w:rPr>
                <w:rFonts w:ascii="Arial" w:hAnsi="Arial" w:cs="Arial"/>
                <w:b w:val="0"/>
                <w:bCs w:val="0"/>
                <w:color w:val="0F243E" w:themeColor="text2" w:themeShade="80"/>
                <w:sz w:val="20"/>
                <w:szCs w:val="20"/>
              </w:rPr>
              <w:t>Número de Factura</w:t>
            </w:r>
          </w:p>
        </w:tc>
        <w:tc>
          <w:tcPr>
            <w:tcW w:w="0" w:type="auto"/>
            <w:noWrap/>
            <w:vAlign w:val="center"/>
            <w:hideMark/>
          </w:tcPr>
          <w:p w14:paraId="39F3C290"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32277914217</w:t>
            </w:r>
          </w:p>
        </w:tc>
        <w:tc>
          <w:tcPr>
            <w:tcW w:w="0" w:type="auto"/>
            <w:vAlign w:val="center"/>
            <w:hideMark/>
          </w:tcPr>
          <w:p w14:paraId="577BE6F4"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Número de Factura</w:t>
            </w:r>
          </w:p>
        </w:tc>
        <w:tc>
          <w:tcPr>
            <w:tcW w:w="0" w:type="auto"/>
            <w:vAlign w:val="center"/>
            <w:hideMark/>
          </w:tcPr>
          <w:p w14:paraId="4757F3E9"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566078796</w:t>
            </w:r>
          </w:p>
        </w:tc>
        <w:tc>
          <w:tcPr>
            <w:tcW w:w="0" w:type="auto"/>
            <w:noWrap/>
            <w:vAlign w:val="center"/>
            <w:hideMark/>
          </w:tcPr>
          <w:p w14:paraId="1435003F"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24164861</w:t>
            </w:r>
          </w:p>
        </w:tc>
      </w:tr>
      <w:tr w:rsidR="001305BD" w:rsidRPr="001305BD" w14:paraId="7FA6101C" w14:textId="77777777" w:rsidTr="00203A20">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3711A2" w14:textId="77777777" w:rsidR="001305BD" w:rsidRPr="00FB7EA4" w:rsidRDefault="001305BD" w:rsidP="00203A20">
            <w:pPr>
              <w:spacing w:before="60" w:after="60"/>
              <w:jc w:val="center"/>
              <w:rPr>
                <w:rFonts w:ascii="Arial" w:hAnsi="Arial" w:cs="Arial"/>
                <w:b w:val="0"/>
                <w:bCs w:val="0"/>
                <w:color w:val="0F243E" w:themeColor="text2" w:themeShade="80"/>
                <w:sz w:val="20"/>
                <w:szCs w:val="20"/>
              </w:rPr>
            </w:pPr>
            <w:r w:rsidRPr="00FB7EA4">
              <w:rPr>
                <w:rFonts w:ascii="Arial" w:hAnsi="Arial" w:cs="Arial"/>
                <w:b w:val="0"/>
                <w:bCs w:val="0"/>
                <w:color w:val="0F243E" w:themeColor="text2" w:themeShade="80"/>
                <w:sz w:val="20"/>
                <w:szCs w:val="20"/>
              </w:rPr>
              <w:t>Valor de Solicitud de Reintegro ($)</w:t>
            </w:r>
          </w:p>
        </w:tc>
        <w:tc>
          <w:tcPr>
            <w:tcW w:w="0" w:type="auto"/>
            <w:vAlign w:val="center"/>
            <w:hideMark/>
          </w:tcPr>
          <w:p w14:paraId="04AC569C"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6.916.159</w:t>
            </w:r>
          </w:p>
        </w:tc>
        <w:tc>
          <w:tcPr>
            <w:tcW w:w="0" w:type="auto"/>
            <w:vAlign w:val="center"/>
            <w:hideMark/>
          </w:tcPr>
          <w:p w14:paraId="62836195"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Valor de Solicitud de Reintegro ($)</w:t>
            </w:r>
          </w:p>
        </w:tc>
        <w:tc>
          <w:tcPr>
            <w:tcW w:w="0" w:type="auto"/>
            <w:vAlign w:val="center"/>
            <w:hideMark/>
          </w:tcPr>
          <w:p w14:paraId="654372D5"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1.312.479</w:t>
            </w:r>
          </w:p>
        </w:tc>
        <w:tc>
          <w:tcPr>
            <w:tcW w:w="0" w:type="auto"/>
            <w:vAlign w:val="center"/>
            <w:hideMark/>
          </w:tcPr>
          <w:p w14:paraId="6799502F"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748.815</w:t>
            </w:r>
          </w:p>
        </w:tc>
      </w:tr>
      <w:tr w:rsidR="001305BD" w:rsidRPr="001305BD" w14:paraId="3CA8427B" w14:textId="77777777" w:rsidTr="00203A20">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0C4F7BD" w14:textId="77777777" w:rsidR="001305BD" w:rsidRPr="00FB7EA4" w:rsidRDefault="001305BD" w:rsidP="00203A20">
            <w:pPr>
              <w:spacing w:before="60" w:after="60"/>
              <w:jc w:val="center"/>
              <w:rPr>
                <w:rFonts w:ascii="Arial" w:hAnsi="Arial" w:cs="Arial"/>
                <w:b w:val="0"/>
                <w:bCs w:val="0"/>
                <w:color w:val="0F243E" w:themeColor="text2" w:themeShade="80"/>
                <w:sz w:val="20"/>
                <w:szCs w:val="20"/>
              </w:rPr>
            </w:pPr>
            <w:r w:rsidRPr="00FB7EA4">
              <w:rPr>
                <w:rFonts w:ascii="Arial" w:hAnsi="Arial" w:cs="Arial"/>
                <w:b w:val="0"/>
                <w:bCs w:val="0"/>
                <w:color w:val="0F243E" w:themeColor="text2" w:themeShade="80"/>
                <w:sz w:val="20"/>
                <w:szCs w:val="20"/>
              </w:rPr>
              <w:t xml:space="preserve">Fecha de Reintegro </w:t>
            </w:r>
          </w:p>
        </w:tc>
        <w:tc>
          <w:tcPr>
            <w:tcW w:w="0" w:type="auto"/>
            <w:vAlign w:val="center"/>
            <w:hideMark/>
          </w:tcPr>
          <w:p w14:paraId="3F60C0FD"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30/10/2019</w:t>
            </w:r>
          </w:p>
        </w:tc>
        <w:tc>
          <w:tcPr>
            <w:tcW w:w="0" w:type="auto"/>
            <w:vAlign w:val="center"/>
            <w:hideMark/>
          </w:tcPr>
          <w:p w14:paraId="7DD86DA4"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Fecha de Reintegro </w:t>
            </w:r>
          </w:p>
        </w:tc>
        <w:tc>
          <w:tcPr>
            <w:tcW w:w="0" w:type="auto"/>
            <w:vAlign w:val="center"/>
            <w:hideMark/>
          </w:tcPr>
          <w:p w14:paraId="72F33492"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22/10/2019</w:t>
            </w:r>
          </w:p>
        </w:tc>
        <w:tc>
          <w:tcPr>
            <w:tcW w:w="0" w:type="auto"/>
            <w:vAlign w:val="center"/>
            <w:hideMark/>
          </w:tcPr>
          <w:p w14:paraId="7734B8F3" w14:textId="77777777" w:rsidR="001305BD" w:rsidRPr="00FB7EA4" w:rsidRDefault="001305BD" w:rsidP="00203A2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Pendiente de Reintegro</w:t>
            </w:r>
          </w:p>
        </w:tc>
      </w:tr>
    </w:tbl>
    <w:p w14:paraId="37FCEA63" w14:textId="30E6C1B3" w:rsidR="00471FC7" w:rsidRDefault="00471FC7" w:rsidP="00367F1F">
      <w:pPr>
        <w:rPr>
          <w:rFonts w:ascii="Arial" w:hAnsi="Arial" w:cs="Arial"/>
          <w:color w:val="000000"/>
          <w:sz w:val="22"/>
          <w:szCs w:val="22"/>
          <w:highlight w:val="yellow"/>
        </w:rPr>
      </w:pPr>
    </w:p>
    <w:p w14:paraId="34DE4817" w14:textId="67EF0522" w:rsidR="007A0C5D" w:rsidRDefault="007A0C5D" w:rsidP="00367F1F">
      <w:pPr>
        <w:jc w:val="both"/>
        <w:rPr>
          <w:rFonts w:ascii="Arial" w:hAnsi="Arial" w:cs="Arial"/>
          <w:color w:val="000000"/>
          <w:sz w:val="22"/>
          <w:szCs w:val="22"/>
        </w:rPr>
      </w:pPr>
      <w:r>
        <w:rPr>
          <w:rFonts w:ascii="Arial" w:hAnsi="Arial" w:cs="Arial"/>
          <w:color w:val="000000"/>
          <w:sz w:val="22"/>
          <w:szCs w:val="22"/>
        </w:rPr>
        <w:t xml:space="preserve">Referente al reintegro que está pendiente, en el próximo seguimiento efectuado a las medidas de austeridad será objeto de verificación. </w:t>
      </w:r>
    </w:p>
    <w:p w14:paraId="4D54F10B" w14:textId="77777777" w:rsidR="007A0C5D" w:rsidRDefault="007A0C5D" w:rsidP="00367F1F">
      <w:pPr>
        <w:jc w:val="both"/>
        <w:rPr>
          <w:rFonts w:ascii="Arial" w:hAnsi="Arial" w:cs="Arial"/>
          <w:color w:val="000000"/>
          <w:sz w:val="22"/>
          <w:szCs w:val="22"/>
        </w:rPr>
      </w:pPr>
    </w:p>
    <w:p w14:paraId="7CB8AB22" w14:textId="29B9C6CA" w:rsidR="001A2001" w:rsidRDefault="003968E1" w:rsidP="00367F1F">
      <w:pPr>
        <w:jc w:val="both"/>
        <w:rPr>
          <w:rFonts w:ascii="Arial" w:hAnsi="Arial" w:cs="Arial"/>
          <w:color w:val="000000"/>
          <w:sz w:val="22"/>
          <w:szCs w:val="22"/>
        </w:rPr>
      </w:pPr>
      <w:r w:rsidRPr="003968E1">
        <w:rPr>
          <w:rFonts w:ascii="Arial" w:hAnsi="Arial" w:cs="Arial"/>
          <w:color w:val="000000"/>
          <w:sz w:val="22"/>
          <w:szCs w:val="22"/>
        </w:rPr>
        <w:t>Para este concepto, el trabajo de verificación c</w:t>
      </w:r>
      <w:r w:rsidR="00E40FD8" w:rsidRPr="003968E1">
        <w:rPr>
          <w:rFonts w:ascii="Arial" w:hAnsi="Arial" w:cs="Arial"/>
          <w:color w:val="000000"/>
          <w:sz w:val="22"/>
          <w:szCs w:val="22"/>
        </w:rPr>
        <w:t xml:space="preserve">onsistió en </w:t>
      </w:r>
      <w:r w:rsidR="00B66368" w:rsidRPr="003968E1">
        <w:rPr>
          <w:rFonts w:ascii="Arial" w:hAnsi="Arial" w:cs="Arial"/>
          <w:color w:val="000000"/>
          <w:sz w:val="22"/>
          <w:szCs w:val="22"/>
        </w:rPr>
        <w:t>comparar</w:t>
      </w:r>
      <w:r w:rsidR="00DE247B" w:rsidRPr="003968E1">
        <w:rPr>
          <w:rFonts w:ascii="Arial" w:hAnsi="Arial" w:cs="Arial"/>
          <w:color w:val="000000"/>
          <w:sz w:val="22"/>
          <w:szCs w:val="22"/>
        </w:rPr>
        <w:t xml:space="preserve"> </w:t>
      </w:r>
      <w:r w:rsidR="00D82EB6" w:rsidRPr="003968E1">
        <w:rPr>
          <w:rFonts w:ascii="Arial" w:hAnsi="Arial" w:cs="Arial"/>
          <w:color w:val="000000"/>
          <w:sz w:val="22"/>
          <w:szCs w:val="22"/>
        </w:rPr>
        <w:t>los valores facturados</w:t>
      </w:r>
      <w:r w:rsidRPr="003968E1">
        <w:rPr>
          <w:rFonts w:ascii="Arial" w:hAnsi="Arial" w:cs="Arial"/>
          <w:color w:val="000000"/>
          <w:sz w:val="22"/>
          <w:szCs w:val="22"/>
        </w:rPr>
        <w:t xml:space="preserve"> según la información suministrada</w:t>
      </w:r>
      <w:r w:rsidR="00DE247B" w:rsidRPr="003968E1">
        <w:rPr>
          <w:rFonts w:ascii="Arial" w:hAnsi="Arial" w:cs="Arial"/>
          <w:color w:val="000000"/>
          <w:sz w:val="22"/>
          <w:szCs w:val="22"/>
        </w:rPr>
        <w:t xml:space="preserve"> po</w:t>
      </w:r>
      <w:r w:rsidR="00B66368" w:rsidRPr="003968E1">
        <w:rPr>
          <w:rFonts w:ascii="Arial" w:hAnsi="Arial" w:cs="Arial"/>
          <w:color w:val="000000"/>
          <w:sz w:val="22"/>
          <w:szCs w:val="22"/>
        </w:rPr>
        <w:t xml:space="preserve">r la Subdirección de Servicios </w:t>
      </w:r>
      <w:r w:rsidR="00515E09" w:rsidRPr="003968E1">
        <w:rPr>
          <w:rFonts w:ascii="Arial" w:hAnsi="Arial" w:cs="Arial"/>
          <w:color w:val="000000"/>
          <w:sz w:val="22"/>
          <w:szCs w:val="22"/>
        </w:rPr>
        <w:t xml:space="preserve">y se procedió a verificarlos con el listado de obligaciones </w:t>
      </w:r>
      <w:r w:rsidR="00AF1878">
        <w:rPr>
          <w:rFonts w:ascii="Arial" w:hAnsi="Arial" w:cs="Arial"/>
          <w:color w:val="000000"/>
          <w:sz w:val="22"/>
          <w:szCs w:val="22"/>
        </w:rPr>
        <w:t>consultadas en el</w:t>
      </w:r>
      <w:r w:rsidR="00515E09" w:rsidRPr="003968E1">
        <w:rPr>
          <w:rFonts w:ascii="Arial" w:hAnsi="Arial" w:cs="Arial"/>
          <w:color w:val="000000"/>
          <w:sz w:val="22"/>
          <w:szCs w:val="22"/>
        </w:rPr>
        <w:t xml:space="preserve"> SIIF Naci</w:t>
      </w:r>
      <w:r w:rsidR="00B66368" w:rsidRPr="003968E1">
        <w:rPr>
          <w:rFonts w:ascii="Arial" w:hAnsi="Arial" w:cs="Arial"/>
          <w:color w:val="000000"/>
          <w:sz w:val="22"/>
          <w:szCs w:val="22"/>
        </w:rPr>
        <w:t xml:space="preserve">ón, en </w:t>
      </w:r>
      <w:r w:rsidR="00BB0AF9" w:rsidRPr="003968E1">
        <w:rPr>
          <w:rFonts w:ascii="Arial" w:hAnsi="Arial" w:cs="Arial"/>
          <w:color w:val="000000"/>
          <w:sz w:val="22"/>
          <w:szCs w:val="22"/>
        </w:rPr>
        <w:t xml:space="preserve">lo concerniente al </w:t>
      </w:r>
      <w:r w:rsidR="00AF1878">
        <w:rPr>
          <w:rFonts w:ascii="Arial" w:hAnsi="Arial" w:cs="Arial"/>
          <w:color w:val="000000"/>
          <w:sz w:val="22"/>
          <w:szCs w:val="22"/>
        </w:rPr>
        <w:t xml:space="preserve">tercer </w:t>
      </w:r>
      <w:r w:rsidR="00AF1878" w:rsidRPr="003968E1">
        <w:rPr>
          <w:rFonts w:ascii="Arial" w:hAnsi="Arial" w:cs="Arial"/>
          <w:color w:val="000000"/>
          <w:sz w:val="22"/>
          <w:szCs w:val="22"/>
        </w:rPr>
        <w:t>trimestre</w:t>
      </w:r>
      <w:r w:rsidR="00BB0AF9" w:rsidRPr="003968E1">
        <w:rPr>
          <w:rFonts w:ascii="Arial" w:hAnsi="Arial" w:cs="Arial"/>
          <w:color w:val="000000"/>
          <w:sz w:val="22"/>
          <w:szCs w:val="22"/>
        </w:rPr>
        <w:t xml:space="preserve"> de 201</w:t>
      </w:r>
      <w:r w:rsidR="00B12B03" w:rsidRPr="003968E1">
        <w:rPr>
          <w:rFonts w:ascii="Arial" w:hAnsi="Arial" w:cs="Arial"/>
          <w:color w:val="000000"/>
          <w:sz w:val="22"/>
          <w:szCs w:val="22"/>
        </w:rPr>
        <w:t>9</w:t>
      </w:r>
      <w:r w:rsidR="00BB0AF9" w:rsidRPr="003968E1">
        <w:rPr>
          <w:rFonts w:ascii="Arial" w:hAnsi="Arial" w:cs="Arial"/>
          <w:color w:val="000000"/>
          <w:sz w:val="22"/>
          <w:szCs w:val="22"/>
        </w:rPr>
        <w:t xml:space="preserve"> f</w:t>
      </w:r>
      <w:r w:rsidR="00B12B03" w:rsidRPr="003968E1">
        <w:rPr>
          <w:rFonts w:ascii="Arial" w:hAnsi="Arial" w:cs="Arial"/>
          <w:color w:val="000000"/>
          <w:sz w:val="22"/>
          <w:szCs w:val="22"/>
        </w:rPr>
        <w:t>rente al mismo trimestre de 2018</w:t>
      </w:r>
      <w:r w:rsidR="00B66368" w:rsidRPr="003968E1">
        <w:rPr>
          <w:rFonts w:ascii="Arial" w:hAnsi="Arial" w:cs="Arial"/>
          <w:color w:val="000000"/>
          <w:sz w:val="22"/>
          <w:szCs w:val="22"/>
        </w:rPr>
        <w:t>.</w:t>
      </w:r>
      <w:r w:rsidR="00B12B03" w:rsidRPr="003968E1">
        <w:rPr>
          <w:rFonts w:ascii="Arial" w:hAnsi="Arial" w:cs="Arial"/>
          <w:color w:val="000000"/>
          <w:sz w:val="22"/>
          <w:szCs w:val="22"/>
        </w:rPr>
        <w:t xml:space="preserve"> </w:t>
      </w:r>
      <w:r w:rsidR="00B66368" w:rsidRPr="003968E1">
        <w:rPr>
          <w:rFonts w:ascii="Arial" w:hAnsi="Arial" w:cs="Arial"/>
          <w:color w:val="000000"/>
          <w:sz w:val="22"/>
          <w:szCs w:val="22"/>
        </w:rPr>
        <w:t xml:space="preserve">A </w:t>
      </w:r>
      <w:r w:rsidR="00182B14" w:rsidRPr="003968E1">
        <w:rPr>
          <w:rFonts w:ascii="Arial" w:hAnsi="Arial" w:cs="Arial"/>
          <w:color w:val="000000"/>
          <w:sz w:val="22"/>
          <w:szCs w:val="22"/>
        </w:rPr>
        <w:t>continuación,</w:t>
      </w:r>
      <w:r w:rsidR="00B66368" w:rsidRPr="003968E1">
        <w:rPr>
          <w:rFonts w:ascii="Arial" w:hAnsi="Arial" w:cs="Arial"/>
          <w:color w:val="000000"/>
          <w:sz w:val="22"/>
          <w:szCs w:val="22"/>
        </w:rPr>
        <w:t xml:space="preserve"> se presenta </w:t>
      </w:r>
      <w:r w:rsidR="00646052" w:rsidRPr="003968E1">
        <w:rPr>
          <w:rFonts w:ascii="Arial" w:hAnsi="Arial" w:cs="Arial"/>
          <w:color w:val="000000"/>
          <w:sz w:val="22"/>
          <w:szCs w:val="22"/>
        </w:rPr>
        <w:t>el resultado:</w:t>
      </w:r>
    </w:p>
    <w:p w14:paraId="57E1037A" w14:textId="48CF57F0" w:rsidR="007A0C5D" w:rsidRDefault="007A0C5D" w:rsidP="00367F1F">
      <w:pPr>
        <w:jc w:val="both"/>
        <w:rPr>
          <w:rFonts w:ascii="Arial" w:hAnsi="Arial" w:cs="Arial"/>
          <w:color w:val="000000"/>
          <w:sz w:val="22"/>
          <w:szCs w:val="22"/>
        </w:rPr>
      </w:pPr>
    </w:p>
    <w:p w14:paraId="556D7218" w14:textId="77777777" w:rsidR="007A0C5D" w:rsidRDefault="007A0C5D" w:rsidP="00367F1F">
      <w:pPr>
        <w:jc w:val="both"/>
        <w:rPr>
          <w:rFonts w:ascii="Arial" w:hAnsi="Arial" w:cs="Arial"/>
          <w:color w:val="000000"/>
          <w:sz w:val="22"/>
          <w:szCs w:val="22"/>
        </w:rPr>
      </w:pPr>
    </w:p>
    <w:p w14:paraId="3BF5E8ED" w14:textId="578E26A5" w:rsidR="009B745C" w:rsidRPr="009B745C" w:rsidRDefault="00E462FD" w:rsidP="009B745C">
      <w:pPr>
        <w:pStyle w:val="Prrafodelista"/>
        <w:numPr>
          <w:ilvl w:val="0"/>
          <w:numId w:val="22"/>
        </w:numPr>
        <w:rPr>
          <w:rFonts w:ascii="Arial" w:hAnsi="Arial" w:cs="Arial"/>
          <w:b/>
          <w:color w:val="000000"/>
          <w:sz w:val="22"/>
          <w:szCs w:val="22"/>
        </w:rPr>
      </w:pPr>
      <w:r w:rsidRPr="009B745C">
        <w:rPr>
          <w:rFonts w:ascii="Arial" w:hAnsi="Arial" w:cs="Arial"/>
          <w:b/>
          <w:color w:val="000000"/>
          <w:sz w:val="22"/>
          <w:szCs w:val="22"/>
        </w:rPr>
        <w:t xml:space="preserve">SEDE EDIFICIO SAN AGUSTÍN </w:t>
      </w:r>
    </w:p>
    <w:p w14:paraId="359A6330" w14:textId="29AB4B65" w:rsidR="009B745C" w:rsidRDefault="009B745C" w:rsidP="00367F1F">
      <w:pPr>
        <w:jc w:val="both"/>
        <w:rPr>
          <w:rFonts w:ascii="Arial" w:hAnsi="Arial" w:cs="Arial"/>
          <w:color w:val="000000"/>
          <w:sz w:val="22"/>
          <w:szCs w:val="22"/>
        </w:rPr>
      </w:pPr>
    </w:p>
    <w:p w14:paraId="2B7831DE" w14:textId="44DF0F6D" w:rsidR="009B745C" w:rsidRDefault="009B745C" w:rsidP="009B745C">
      <w:pPr>
        <w:ind w:left="360"/>
        <w:jc w:val="both"/>
        <w:rPr>
          <w:rFonts w:ascii="Arial" w:hAnsi="Arial" w:cs="Arial"/>
          <w:color w:val="000000"/>
          <w:sz w:val="22"/>
          <w:szCs w:val="22"/>
        </w:rPr>
      </w:pPr>
      <w:r>
        <w:rPr>
          <w:rFonts w:ascii="Arial" w:hAnsi="Arial" w:cs="Arial"/>
          <w:color w:val="000000"/>
          <w:sz w:val="22"/>
          <w:szCs w:val="22"/>
        </w:rPr>
        <w:t xml:space="preserve">En </w:t>
      </w:r>
      <w:r w:rsidR="00E24866">
        <w:rPr>
          <w:rFonts w:ascii="Arial" w:hAnsi="Arial" w:cs="Arial"/>
          <w:color w:val="000000"/>
          <w:sz w:val="22"/>
          <w:szCs w:val="22"/>
        </w:rPr>
        <w:t xml:space="preserve">relación </w:t>
      </w:r>
      <w:r>
        <w:rPr>
          <w:rFonts w:ascii="Arial" w:hAnsi="Arial" w:cs="Arial"/>
          <w:color w:val="000000"/>
          <w:sz w:val="22"/>
          <w:szCs w:val="22"/>
        </w:rPr>
        <w:t xml:space="preserve">al gasto por servicio de aseo, se observó un ahorro de $ 265.655, representando el 7%. Para el caso del servicio de acueducto, </w:t>
      </w:r>
      <w:r w:rsidR="002733DF">
        <w:rPr>
          <w:rFonts w:ascii="Arial" w:hAnsi="Arial" w:cs="Arial"/>
          <w:color w:val="000000"/>
          <w:sz w:val="22"/>
          <w:szCs w:val="22"/>
        </w:rPr>
        <w:t xml:space="preserve">se observó un incrementó en el gasto por valor de $ 884.262, equivalente a 8%. </w:t>
      </w:r>
    </w:p>
    <w:p w14:paraId="19B1CD40" w14:textId="77777777" w:rsidR="006A3340" w:rsidRDefault="006A3340" w:rsidP="002733DF">
      <w:pPr>
        <w:ind w:left="360"/>
        <w:jc w:val="both"/>
        <w:rPr>
          <w:rFonts w:ascii="Arial" w:hAnsi="Arial" w:cs="Arial"/>
          <w:color w:val="000000"/>
          <w:sz w:val="22"/>
          <w:szCs w:val="22"/>
        </w:rPr>
      </w:pPr>
    </w:p>
    <w:p w14:paraId="6C44BAA3" w14:textId="2E883373" w:rsidR="006A3340" w:rsidRPr="006A3340" w:rsidRDefault="00E462FD" w:rsidP="006A3340">
      <w:pPr>
        <w:pStyle w:val="Prrafodelista"/>
        <w:numPr>
          <w:ilvl w:val="0"/>
          <w:numId w:val="22"/>
        </w:numPr>
        <w:rPr>
          <w:rFonts w:ascii="Arial" w:hAnsi="Arial" w:cs="Arial"/>
          <w:b/>
          <w:color w:val="000000"/>
          <w:sz w:val="22"/>
          <w:szCs w:val="22"/>
        </w:rPr>
      </w:pPr>
      <w:r w:rsidRPr="006A3340">
        <w:rPr>
          <w:rFonts w:ascii="Arial" w:hAnsi="Arial" w:cs="Arial"/>
          <w:b/>
          <w:color w:val="000000"/>
          <w:sz w:val="22"/>
          <w:szCs w:val="22"/>
        </w:rPr>
        <w:t>SEDE CASAS DE SANTA BÁRBARA</w:t>
      </w:r>
    </w:p>
    <w:p w14:paraId="4EE2CD48" w14:textId="2B533D03" w:rsidR="006A3340" w:rsidRDefault="006A3340" w:rsidP="002733DF">
      <w:pPr>
        <w:ind w:left="360"/>
        <w:jc w:val="both"/>
        <w:rPr>
          <w:rFonts w:ascii="Arial" w:hAnsi="Arial" w:cs="Arial"/>
          <w:b/>
          <w:color w:val="000000"/>
          <w:sz w:val="22"/>
          <w:szCs w:val="22"/>
        </w:rPr>
      </w:pPr>
    </w:p>
    <w:p w14:paraId="33585C74" w14:textId="08025EF3" w:rsidR="006A3340" w:rsidRPr="00CE5741" w:rsidRDefault="00CE5741" w:rsidP="002733DF">
      <w:pPr>
        <w:ind w:left="360"/>
        <w:jc w:val="both"/>
        <w:rPr>
          <w:rFonts w:ascii="Arial" w:hAnsi="Arial" w:cs="Arial"/>
          <w:color w:val="000000"/>
          <w:sz w:val="22"/>
          <w:szCs w:val="22"/>
        </w:rPr>
      </w:pPr>
      <w:r>
        <w:rPr>
          <w:rFonts w:ascii="Arial" w:hAnsi="Arial" w:cs="Arial"/>
          <w:color w:val="000000"/>
          <w:sz w:val="22"/>
          <w:szCs w:val="22"/>
        </w:rPr>
        <w:t xml:space="preserve">Para la sede analizada, se observó un incremento de 62% en el gasto por servicio de aseo. En relación al </w:t>
      </w:r>
      <w:r w:rsidR="00037C62">
        <w:rPr>
          <w:rFonts w:ascii="Arial" w:hAnsi="Arial" w:cs="Arial"/>
          <w:color w:val="000000"/>
          <w:sz w:val="22"/>
          <w:szCs w:val="22"/>
        </w:rPr>
        <w:t xml:space="preserve">valor de gasto por servicio de acueducto, se presentó una disminución del 30%. </w:t>
      </w:r>
      <w:r>
        <w:rPr>
          <w:rFonts w:ascii="Arial" w:hAnsi="Arial" w:cs="Arial"/>
          <w:color w:val="000000"/>
          <w:sz w:val="22"/>
          <w:szCs w:val="22"/>
        </w:rPr>
        <w:t xml:space="preserve">  </w:t>
      </w:r>
    </w:p>
    <w:p w14:paraId="085D439C" w14:textId="5168F603" w:rsidR="006A3340" w:rsidRDefault="006A3340" w:rsidP="002733DF">
      <w:pPr>
        <w:ind w:left="360"/>
        <w:jc w:val="both"/>
        <w:rPr>
          <w:rFonts w:ascii="Arial" w:hAnsi="Arial" w:cs="Arial"/>
          <w:color w:val="000000"/>
          <w:sz w:val="22"/>
          <w:szCs w:val="22"/>
        </w:rPr>
      </w:pPr>
    </w:p>
    <w:p w14:paraId="24112AE8" w14:textId="76F75DFB" w:rsidR="009B745C" w:rsidRPr="00BB7751" w:rsidRDefault="00037C62" w:rsidP="009B745C">
      <w:pPr>
        <w:jc w:val="both"/>
        <w:rPr>
          <w:rFonts w:ascii="Arial" w:hAnsi="Arial" w:cs="Arial"/>
          <w:color w:val="000000"/>
          <w:sz w:val="22"/>
          <w:szCs w:val="22"/>
        </w:rPr>
      </w:pPr>
      <w:r>
        <w:rPr>
          <w:rFonts w:ascii="Arial" w:hAnsi="Arial" w:cs="Arial"/>
          <w:color w:val="000000"/>
          <w:sz w:val="22"/>
          <w:szCs w:val="22"/>
        </w:rPr>
        <w:t xml:space="preserve">Las variaciones antes mencionadas se exponen a continuación: </w:t>
      </w:r>
      <w:r w:rsidR="009B745C" w:rsidRPr="00BB7751">
        <w:rPr>
          <w:rFonts w:ascii="Arial" w:hAnsi="Arial" w:cs="Arial"/>
          <w:color w:val="000000"/>
          <w:sz w:val="22"/>
          <w:szCs w:val="22"/>
        </w:rPr>
        <w:t xml:space="preserve"> </w:t>
      </w:r>
    </w:p>
    <w:p w14:paraId="4D318DCE" w14:textId="77777777" w:rsidR="009B745C" w:rsidRDefault="009B745C" w:rsidP="00367F1F">
      <w:pPr>
        <w:jc w:val="both"/>
        <w:rPr>
          <w:rFonts w:ascii="Arial" w:hAnsi="Arial" w:cs="Arial"/>
          <w:color w:val="000000"/>
          <w:sz w:val="22"/>
          <w:szCs w:val="22"/>
        </w:rPr>
      </w:pPr>
    </w:p>
    <w:tbl>
      <w:tblPr>
        <w:tblW w:w="0" w:type="auto"/>
        <w:jc w:val="center"/>
        <w:tblCellMar>
          <w:left w:w="70" w:type="dxa"/>
          <w:right w:w="70" w:type="dxa"/>
        </w:tblCellMar>
        <w:tblLook w:val="04A0" w:firstRow="1" w:lastRow="0" w:firstColumn="1" w:lastColumn="0" w:noHBand="0" w:noVBand="1"/>
      </w:tblPr>
      <w:tblGrid>
        <w:gridCol w:w="3127"/>
        <w:gridCol w:w="2064"/>
        <w:gridCol w:w="2064"/>
        <w:gridCol w:w="1163"/>
        <w:gridCol w:w="674"/>
      </w:tblGrid>
      <w:tr w:rsidR="00AF1878" w:rsidRPr="00AF1878" w14:paraId="3BE5CAE7" w14:textId="77777777" w:rsidTr="00AF1878">
        <w:trPr>
          <w:trHeight w:val="315"/>
          <w:jc w:val="center"/>
        </w:trPr>
        <w:tc>
          <w:tcPr>
            <w:tcW w:w="3127" w:type="dxa"/>
            <w:vMerge w:val="restart"/>
            <w:tcBorders>
              <w:top w:val="single" w:sz="8" w:space="0" w:color="B4C6E7"/>
              <w:left w:val="single" w:sz="8" w:space="0" w:color="B4C6E7"/>
              <w:bottom w:val="single" w:sz="8" w:space="0" w:color="B4C6E7"/>
              <w:right w:val="single" w:sz="8" w:space="0" w:color="B4C6E7"/>
            </w:tcBorders>
            <w:shd w:val="clear" w:color="auto" w:fill="4F81BD" w:themeFill="accent1"/>
            <w:vAlign w:val="center"/>
            <w:hideMark/>
          </w:tcPr>
          <w:p w14:paraId="068A6C59"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Servicio</w:t>
            </w:r>
          </w:p>
        </w:tc>
        <w:tc>
          <w:tcPr>
            <w:tcW w:w="0" w:type="auto"/>
            <w:gridSpan w:val="4"/>
            <w:tcBorders>
              <w:top w:val="single" w:sz="8" w:space="0" w:color="B4C6E7"/>
              <w:left w:val="nil"/>
              <w:bottom w:val="single" w:sz="12" w:space="0" w:color="8EAADB"/>
              <w:right w:val="single" w:sz="8" w:space="0" w:color="B4C6E7"/>
            </w:tcBorders>
            <w:shd w:val="clear" w:color="auto" w:fill="4F81BD" w:themeFill="accent1"/>
            <w:vAlign w:val="center"/>
            <w:hideMark/>
          </w:tcPr>
          <w:p w14:paraId="076B5698"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Valor Facturado ($)</w:t>
            </w:r>
          </w:p>
        </w:tc>
      </w:tr>
      <w:tr w:rsidR="00AF1878" w:rsidRPr="00AF1878" w14:paraId="5E1C24AF" w14:textId="77777777" w:rsidTr="00AF1878">
        <w:trPr>
          <w:trHeight w:val="330"/>
          <w:jc w:val="center"/>
        </w:trPr>
        <w:tc>
          <w:tcPr>
            <w:tcW w:w="3127" w:type="dxa"/>
            <w:vMerge/>
            <w:tcBorders>
              <w:top w:val="single" w:sz="8" w:space="0" w:color="B4C6E7"/>
              <w:left w:val="single" w:sz="8" w:space="0" w:color="B4C6E7"/>
              <w:bottom w:val="single" w:sz="8" w:space="0" w:color="B4C6E7"/>
              <w:right w:val="single" w:sz="8" w:space="0" w:color="B4C6E7"/>
            </w:tcBorders>
            <w:shd w:val="clear" w:color="auto" w:fill="4F81BD" w:themeFill="accent1"/>
            <w:vAlign w:val="center"/>
            <w:hideMark/>
          </w:tcPr>
          <w:p w14:paraId="79A5D6E8" w14:textId="77777777" w:rsidR="00AF1878" w:rsidRPr="00AF1878" w:rsidRDefault="00AF1878" w:rsidP="009B745C">
            <w:pPr>
              <w:rPr>
                <w:rFonts w:ascii="Arial" w:hAnsi="Arial" w:cs="Arial"/>
                <w:b/>
                <w:bCs/>
                <w:color w:val="FFFFFF"/>
                <w:sz w:val="20"/>
                <w:szCs w:val="20"/>
              </w:rPr>
            </w:pPr>
          </w:p>
        </w:tc>
        <w:tc>
          <w:tcPr>
            <w:tcW w:w="0" w:type="auto"/>
            <w:gridSpan w:val="2"/>
            <w:tcBorders>
              <w:top w:val="single" w:sz="12" w:space="0" w:color="8EAADB"/>
              <w:left w:val="nil"/>
              <w:bottom w:val="single" w:sz="8" w:space="0" w:color="B4C6E7"/>
              <w:right w:val="single" w:sz="8" w:space="0" w:color="B4C6E7"/>
            </w:tcBorders>
            <w:shd w:val="clear" w:color="auto" w:fill="4F81BD" w:themeFill="accent1"/>
            <w:vAlign w:val="center"/>
            <w:hideMark/>
          </w:tcPr>
          <w:p w14:paraId="6A327E0F"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Edificio San Agustín</w:t>
            </w:r>
          </w:p>
        </w:tc>
        <w:tc>
          <w:tcPr>
            <w:tcW w:w="0" w:type="auto"/>
            <w:gridSpan w:val="2"/>
            <w:tcBorders>
              <w:top w:val="single" w:sz="12" w:space="0" w:color="8EAADB"/>
              <w:left w:val="nil"/>
              <w:bottom w:val="single" w:sz="8" w:space="0" w:color="B4C6E7"/>
              <w:right w:val="single" w:sz="8" w:space="0" w:color="B4C6E7"/>
            </w:tcBorders>
            <w:shd w:val="clear" w:color="auto" w:fill="4F81BD" w:themeFill="accent1"/>
            <w:vAlign w:val="center"/>
            <w:hideMark/>
          </w:tcPr>
          <w:p w14:paraId="2E1B085A"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Variaciones</w:t>
            </w:r>
          </w:p>
        </w:tc>
      </w:tr>
      <w:tr w:rsidR="00AF1878" w:rsidRPr="00AF1878" w14:paraId="199A7E57" w14:textId="77777777" w:rsidTr="00AF1878">
        <w:trPr>
          <w:trHeight w:val="315"/>
          <w:jc w:val="center"/>
        </w:trPr>
        <w:tc>
          <w:tcPr>
            <w:tcW w:w="3127" w:type="dxa"/>
            <w:vMerge/>
            <w:tcBorders>
              <w:top w:val="single" w:sz="8" w:space="0" w:color="B4C6E7"/>
              <w:left w:val="single" w:sz="8" w:space="0" w:color="B4C6E7"/>
              <w:bottom w:val="single" w:sz="8" w:space="0" w:color="B4C6E7"/>
              <w:right w:val="single" w:sz="8" w:space="0" w:color="B4C6E7"/>
            </w:tcBorders>
            <w:shd w:val="clear" w:color="auto" w:fill="4F81BD" w:themeFill="accent1"/>
            <w:vAlign w:val="center"/>
            <w:hideMark/>
          </w:tcPr>
          <w:p w14:paraId="78B82C0E" w14:textId="77777777" w:rsidR="00AF1878" w:rsidRPr="00AF1878" w:rsidRDefault="00AF1878" w:rsidP="009B745C">
            <w:pPr>
              <w:rPr>
                <w:rFonts w:ascii="Arial" w:hAnsi="Arial" w:cs="Arial"/>
                <w:b/>
                <w:bCs/>
                <w:color w:val="FFFFFF"/>
                <w:sz w:val="20"/>
                <w:szCs w:val="20"/>
              </w:rPr>
            </w:pPr>
          </w:p>
        </w:tc>
        <w:tc>
          <w:tcPr>
            <w:tcW w:w="0" w:type="auto"/>
            <w:tcBorders>
              <w:top w:val="nil"/>
              <w:left w:val="nil"/>
              <w:bottom w:val="single" w:sz="8" w:space="0" w:color="B4C6E7"/>
              <w:right w:val="single" w:sz="8" w:space="0" w:color="B4C6E7"/>
            </w:tcBorders>
            <w:shd w:val="clear" w:color="auto" w:fill="4F81BD" w:themeFill="accent1"/>
            <w:vAlign w:val="center"/>
            <w:hideMark/>
          </w:tcPr>
          <w:p w14:paraId="4C7F1729"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III Trimestre de 2019</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42A86652"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III Trimestre de 2018</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516A3D3E"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73BC4B1D"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w:t>
            </w:r>
          </w:p>
        </w:tc>
      </w:tr>
      <w:tr w:rsidR="00AF1878" w:rsidRPr="00AF1878" w14:paraId="2A325F3C" w14:textId="77777777" w:rsidTr="00AF1878">
        <w:trPr>
          <w:trHeight w:val="409"/>
          <w:jc w:val="center"/>
        </w:trPr>
        <w:tc>
          <w:tcPr>
            <w:tcW w:w="3127" w:type="dxa"/>
            <w:tcBorders>
              <w:top w:val="nil"/>
              <w:left w:val="single" w:sz="8" w:space="0" w:color="B4C6E7"/>
              <w:bottom w:val="single" w:sz="8" w:space="0" w:color="B4C6E7"/>
              <w:right w:val="single" w:sz="8" w:space="0" w:color="B4C6E7"/>
            </w:tcBorders>
            <w:shd w:val="clear" w:color="auto" w:fill="auto"/>
            <w:vAlign w:val="center"/>
            <w:hideMark/>
          </w:tcPr>
          <w:p w14:paraId="56ED8B2C" w14:textId="77777777" w:rsidR="00AF1878" w:rsidRPr="00AF1878" w:rsidRDefault="00AF1878" w:rsidP="009B745C">
            <w:pPr>
              <w:jc w:val="center"/>
              <w:rPr>
                <w:rFonts w:ascii="Arial" w:hAnsi="Arial" w:cs="Arial"/>
                <w:b/>
                <w:bCs/>
                <w:color w:val="0F243E" w:themeColor="text2" w:themeShade="80"/>
                <w:sz w:val="20"/>
                <w:szCs w:val="20"/>
              </w:rPr>
            </w:pPr>
            <w:r w:rsidRPr="00AF1878">
              <w:rPr>
                <w:rFonts w:ascii="Arial" w:hAnsi="Arial" w:cs="Arial"/>
                <w:b/>
                <w:bCs/>
                <w:color w:val="0F243E" w:themeColor="text2" w:themeShade="80"/>
                <w:sz w:val="20"/>
                <w:szCs w:val="20"/>
              </w:rPr>
              <w:t>Servicio de Aseo</w:t>
            </w:r>
          </w:p>
        </w:tc>
        <w:tc>
          <w:tcPr>
            <w:tcW w:w="0" w:type="auto"/>
            <w:tcBorders>
              <w:top w:val="nil"/>
              <w:left w:val="nil"/>
              <w:bottom w:val="single" w:sz="8" w:space="0" w:color="B4C6E7"/>
              <w:right w:val="single" w:sz="8" w:space="0" w:color="B4C6E7"/>
            </w:tcBorders>
            <w:shd w:val="clear" w:color="auto" w:fill="auto"/>
            <w:vAlign w:val="center"/>
            <w:hideMark/>
          </w:tcPr>
          <w:p w14:paraId="72010055" w14:textId="77777777" w:rsidR="00AF1878" w:rsidRPr="00AF1878" w:rsidRDefault="00AF1878" w:rsidP="009B745C">
            <w:pPr>
              <w:jc w:val="center"/>
              <w:rPr>
                <w:rFonts w:ascii="Arial" w:hAnsi="Arial" w:cs="Arial"/>
                <w:color w:val="0F243E" w:themeColor="text2" w:themeShade="80"/>
                <w:sz w:val="20"/>
                <w:szCs w:val="20"/>
              </w:rPr>
            </w:pPr>
            <w:r w:rsidRPr="00AF1878">
              <w:rPr>
                <w:rFonts w:ascii="Arial" w:hAnsi="Arial" w:cs="Arial"/>
                <w:color w:val="0F243E" w:themeColor="text2" w:themeShade="80"/>
                <w:sz w:val="20"/>
                <w:szCs w:val="20"/>
              </w:rPr>
              <w:t>3.365.706</w:t>
            </w:r>
          </w:p>
        </w:tc>
        <w:tc>
          <w:tcPr>
            <w:tcW w:w="0" w:type="auto"/>
            <w:tcBorders>
              <w:top w:val="nil"/>
              <w:left w:val="nil"/>
              <w:bottom w:val="single" w:sz="8" w:space="0" w:color="B4C6E7"/>
              <w:right w:val="single" w:sz="8" w:space="0" w:color="B4C6E7"/>
            </w:tcBorders>
            <w:shd w:val="clear" w:color="auto" w:fill="auto"/>
            <w:vAlign w:val="center"/>
            <w:hideMark/>
          </w:tcPr>
          <w:p w14:paraId="2B76A58E" w14:textId="77777777" w:rsidR="00AF1878" w:rsidRPr="00AF1878" w:rsidRDefault="00AF1878" w:rsidP="009B745C">
            <w:pPr>
              <w:jc w:val="center"/>
              <w:rPr>
                <w:rFonts w:ascii="Arial" w:hAnsi="Arial" w:cs="Arial"/>
                <w:color w:val="0F243E" w:themeColor="text2" w:themeShade="80"/>
                <w:sz w:val="20"/>
                <w:szCs w:val="20"/>
              </w:rPr>
            </w:pPr>
            <w:r w:rsidRPr="00AF1878">
              <w:rPr>
                <w:rFonts w:ascii="Arial" w:hAnsi="Arial" w:cs="Arial"/>
                <w:color w:val="0F243E" w:themeColor="text2" w:themeShade="80"/>
                <w:sz w:val="20"/>
                <w:szCs w:val="20"/>
              </w:rPr>
              <w:t>3.631.361</w:t>
            </w:r>
          </w:p>
        </w:tc>
        <w:tc>
          <w:tcPr>
            <w:tcW w:w="0" w:type="auto"/>
            <w:tcBorders>
              <w:top w:val="nil"/>
              <w:left w:val="nil"/>
              <w:bottom w:val="single" w:sz="8" w:space="0" w:color="B4C6E7"/>
              <w:right w:val="single" w:sz="8" w:space="0" w:color="B4C6E7"/>
            </w:tcBorders>
            <w:shd w:val="clear" w:color="auto" w:fill="auto"/>
            <w:vAlign w:val="center"/>
            <w:hideMark/>
          </w:tcPr>
          <w:p w14:paraId="01BA08FD" w14:textId="443789A0" w:rsidR="00AF1878" w:rsidRPr="00AF1878" w:rsidRDefault="009B745C" w:rsidP="009B745C">
            <w:pPr>
              <w:jc w:val="center"/>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AF1878" w:rsidRPr="00AF1878">
              <w:rPr>
                <w:rFonts w:ascii="Arial" w:hAnsi="Arial" w:cs="Arial"/>
                <w:b/>
                <w:bCs/>
                <w:color w:val="0F243E" w:themeColor="text2" w:themeShade="80"/>
                <w:sz w:val="20"/>
                <w:szCs w:val="20"/>
              </w:rPr>
              <w:t>265.655</w:t>
            </w:r>
            <w:r>
              <w:rPr>
                <w:rFonts w:ascii="Arial" w:hAnsi="Arial" w:cs="Arial"/>
                <w:b/>
                <w:bCs/>
                <w:color w:val="0F243E" w:themeColor="text2" w:themeShade="80"/>
                <w:sz w:val="20"/>
                <w:szCs w:val="20"/>
              </w:rPr>
              <w:t>)</w:t>
            </w:r>
          </w:p>
        </w:tc>
        <w:tc>
          <w:tcPr>
            <w:tcW w:w="0" w:type="auto"/>
            <w:tcBorders>
              <w:top w:val="nil"/>
              <w:left w:val="nil"/>
              <w:bottom w:val="single" w:sz="8" w:space="0" w:color="B4C6E7"/>
              <w:right w:val="single" w:sz="8" w:space="0" w:color="B4C6E7"/>
            </w:tcBorders>
            <w:shd w:val="clear" w:color="auto" w:fill="auto"/>
            <w:vAlign w:val="center"/>
            <w:hideMark/>
          </w:tcPr>
          <w:p w14:paraId="58F78190" w14:textId="51C6FBC1" w:rsidR="00AF1878" w:rsidRPr="00AF1878" w:rsidRDefault="009B745C" w:rsidP="009B745C">
            <w:pPr>
              <w:jc w:val="center"/>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AF1878" w:rsidRPr="00AF1878">
              <w:rPr>
                <w:rFonts w:ascii="Arial" w:hAnsi="Arial" w:cs="Arial"/>
                <w:b/>
                <w:bCs/>
                <w:color w:val="0F243E" w:themeColor="text2" w:themeShade="80"/>
                <w:sz w:val="20"/>
                <w:szCs w:val="20"/>
              </w:rPr>
              <w:t>7%</w:t>
            </w:r>
            <w:r>
              <w:rPr>
                <w:rFonts w:ascii="Arial" w:hAnsi="Arial" w:cs="Arial"/>
                <w:b/>
                <w:bCs/>
                <w:color w:val="0F243E" w:themeColor="text2" w:themeShade="80"/>
                <w:sz w:val="20"/>
                <w:szCs w:val="20"/>
              </w:rPr>
              <w:t>)</w:t>
            </w:r>
          </w:p>
        </w:tc>
      </w:tr>
      <w:tr w:rsidR="00AF1878" w:rsidRPr="00AF1878" w14:paraId="73703477" w14:textId="77777777" w:rsidTr="00AF1878">
        <w:trPr>
          <w:trHeight w:val="557"/>
          <w:jc w:val="center"/>
        </w:trPr>
        <w:tc>
          <w:tcPr>
            <w:tcW w:w="3127" w:type="dxa"/>
            <w:tcBorders>
              <w:top w:val="nil"/>
              <w:left w:val="single" w:sz="8" w:space="0" w:color="B4C6E7"/>
              <w:bottom w:val="single" w:sz="8" w:space="0" w:color="B4C6E7"/>
              <w:right w:val="single" w:sz="8" w:space="0" w:color="B4C6E7"/>
            </w:tcBorders>
            <w:shd w:val="clear" w:color="auto" w:fill="auto"/>
            <w:vAlign w:val="center"/>
            <w:hideMark/>
          </w:tcPr>
          <w:p w14:paraId="697C5D2E" w14:textId="77777777" w:rsidR="00AF1878" w:rsidRPr="00AF1878" w:rsidRDefault="00AF1878" w:rsidP="009B745C">
            <w:pPr>
              <w:jc w:val="center"/>
              <w:rPr>
                <w:rFonts w:ascii="Arial" w:hAnsi="Arial" w:cs="Arial"/>
                <w:b/>
                <w:bCs/>
                <w:color w:val="0F243E" w:themeColor="text2" w:themeShade="80"/>
                <w:sz w:val="20"/>
                <w:szCs w:val="20"/>
              </w:rPr>
            </w:pPr>
            <w:r w:rsidRPr="00AF1878">
              <w:rPr>
                <w:rFonts w:ascii="Arial" w:hAnsi="Arial" w:cs="Arial"/>
                <w:b/>
                <w:bCs/>
                <w:color w:val="0F243E" w:themeColor="text2" w:themeShade="80"/>
                <w:sz w:val="20"/>
                <w:szCs w:val="20"/>
              </w:rPr>
              <w:t>Servicios de Acueducto</w:t>
            </w:r>
          </w:p>
        </w:tc>
        <w:tc>
          <w:tcPr>
            <w:tcW w:w="0" w:type="auto"/>
            <w:tcBorders>
              <w:top w:val="nil"/>
              <w:left w:val="nil"/>
              <w:bottom w:val="single" w:sz="8" w:space="0" w:color="B4C6E7"/>
              <w:right w:val="single" w:sz="8" w:space="0" w:color="B4C6E7"/>
            </w:tcBorders>
            <w:shd w:val="clear" w:color="auto" w:fill="auto"/>
            <w:vAlign w:val="center"/>
            <w:hideMark/>
          </w:tcPr>
          <w:p w14:paraId="630FAC7D" w14:textId="77777777" w:rsidR="00AF1878" w:rsidRPr="00AF1878" w:rsidRDefault="00AF1878" w:rsidP="009B745C">
            <w:pPr>
              <w:jc w:val="center"/>
              <w:rPr>
                <w:rFonts w:ascii="Arial" w:hAnsi="Arial" w:cs="Arial"/>
                <w:color w:val="0F243E" w:themeColor="text2" w:themeShade="80"/>
                <w:sz w:val="20"/>
                <w:szCs w:val="20"/>
              </w:rPr>
            </w:pPr>
            <w:r w:rsidRPr="00AF1878">
              <w:rPr>
                <w:rFonts w:ascii="Arial" w:hAnsi="Arial" w:cs="Arial"/>
                <w:color w:val="0F243E" w:themeColor="text2" w:themeShade="80"/>
                <w:sz w:val="20"/>
                <w:szCs w:val="20"/>
              </w:rPr>
              <w:t>11.292.791</w:t>
            </w:r>
          </w:p>
        </w:tc>
        <w:tc>
          <w:tcPr>
            <w:tcW w:w="0" w:type="auto"/>
            <w:tcBorders>
              <w:top w:val="nil"/>
              <w:left w:val="nil"/>
              <w:bottom w:val="single" w:sz="8" w:space="0" w:color="B4C6E7"/>
              <w:right w:val="single" w:sz="8" w:space="0" w:color="B4C6E7"/>
            </w:tcBorders>
            <w:shd w:val="clear" w:color="auto" w:fill="auto"/>
            <w:vAlign w:val="center"/>
            <w:hideMark/>
          </w:tcPr>
          <w:p w14:paraId="6B591E22" w14:textId="77777777" w:rsidR="00AF1878" w:rsidRPr="00AF1878" w:rsidRDefault="00AF1878" w:rsidP="009B745C">
            <w:pPr>
              <w:jc w:val="center"/>
              <w:rPr>
                <w:rFonts w:ascii="Arial" w:hAnsi="Arial" w:cs="Arial"/>
                <w:color w:val="0F243E" w:themeColor="text2" w:themeShade="80"/>
                <w:sz w:val="20"/>
                <w:szCs w:val="20"/>
              </w:rPr>
            </w:pPr>
            <w:r w:rsidRPr="00AF1878">
              <w:rPr>
                <w:rFonts w:ascii="Arial" w:hAnsi="Arial" w:cs="Arial"/>
                <w:color w:val="0F243E" w:themeColor="text2" w:themeShade="80"/>
                <w:sz w:val="20"/>
                <w:szCs w:val="20"/>
              </w:rPr>
              <w:t>10.408.529</w:t>
            </w:r>
          </w:p>
        </w:tc>
        <w:tc>
          <w:tcPr>
            <w:tcW w:w="0" w:type="auto"/>
            <w:tcBorders>
              <w:top w:val="nil"/>
              <w:left w:val="nil"/>
              <w:bottom w:val="single" w:sz="8" w:space="0" w:color="B4C6E7"/>
              <w:right w:val="single" w:sz="8" w:space="0" w:color="B4C6E7"/>
            </w:tcBorders>
            <w:shd w:val="clear" w:color="auto" w:fill="auto"/>
            <w:vAlign w:val="center"/>
            <w:hideMark/>
          </w:tcPr>
          <w:p w14:paraId="54E5FFAD" w14:textId="77777777" w:rsidR="00AF1878" w:rsidRPr="00AF1878" w:rsidRDefault="00AF1878" w:rsidP="009B745C">
            <w:pPr>
              <w:jc w:val="center"/>
              <w:rPr>
                <w:rFonts w:ascii="Arial" w:hAnsi="Arial" w:cs="Arial"/>
                <w:b/>
                <w:bCs/>
                <w:color w:val="0F243E" w:themeColor="text2" w:themeShade="80"/>
                <w:sz w:val="20"/>
                <w:szCs w:val="20"/>
              </w:rPr>
            </w:pPr>
            <w:r w:rsidRPr="00AF1878">
              <w:rPr>
                <w:rFonts w:ascii="Arial" w:hAnsi="Arial" w:cs="Arial"/>
                <w:b/>
                <w:bCs/>
                <w:color w:val="0F243E" w:themeColor="text2" w:themeShade="80"/>
                <w:sz w:val="20"/>
                <w:szCs w:val="20"/>
              </w:rPr>
              <w:t>884.262</w:t>
            </w:r>
          </w:p>
        </w:tc>
        <w:tc>
          <w:tcPr>
            <w:tcW w:w="0" w:type="auto"/>
            <w:tcBorders>
              <w:top w:val="nil"/>
              <w:left w:val="nil"/>
              <w:bottom w:val="single" w:sz="8" w:space="0" w:color="B4C6E7"/>
              <w:right w:val="single" w:sz="8" w:space="0" w:color="B4C6E7"/>
            </w:tcBorders>
            <w:shd w:val="clear" w:color="auto" w:fill="auto"/>
            <w:vAlign w:val="center"/>
            <w:hideMark/>
          </w:tcPr>
          <w:p w14:paraId="168E7D78" w14:textId="77777777" w:rsidR="00AF1878" w:rsidRPr="00AF1878" w:rsidRDefault="00AF1878" w:rsidP="009B745C">
            <w:pPr>
              <w:jc w:val="center"/>
              <w:rPr>
                <w:rFonts w:ascii="Arial" w:hAnsi="Arial" w:cs="Arial"/>
                <w:b/>
                <w:bCs/>
                <w:color w:val="0F243E" w:themeColor="text2" w:themeShade="80"/>
                <w:sz w:val="20"/>
                <w:szCs w:val="20"/>
              </w:rPr>
            </w:pPr>
            <w:r w:rsidRPr="00AF1878">
              <w:rPr>
                <w:rFonts w:ascii="Arial" w:hAnsi="Arial" w:cs="Arial"/>
                <w:b/>
                <w:bCs/>
                <w:color w:val="0F243E" w:themeColor="text2" w:themeShade="80"/>
                <w:sz w:val="20"/>
                <w:szCs w:val="20"/>
              </w:rPr>
              <w:t>8%</w:t>
            </w:r>
          </w:p>
        </w:tc>
      </w:tr>
      <w:tr w:rsidR="00AF1878" w:rsidRPr="00AF1878" w14:paraId="722C7621" w14:textId="77777777" w:rsidTr="00AF1878">
        <w:trPr>
          <w:trHeight w:val="315"/>
          <w:jc w:val="center"/>
        </w:trPr>
        <w:tc>
          <w:tcPr>
            <w:tcW w:w="3127" w:type="dxa"/>
            <w:vMerge w:val="restart"/>
            <w:tcBorders>
              <w:top w:val="nil"/>
              <w:left w:val="single" w:sz="8" w:space="0" w:color="B4C6E7"/>
              <w:bottom w:val="single" w:sz="8" w:space="0" w:color="B4C6E7"/>
              <w:right w:val="single" w:sz="8" w:space="0" w:color="B4C6E7"/>
            </w:tcBorders>
            <w:shd w:val="clear" w:color="auto" w:fill="4F81BD" w:themeFill="accent1"/>
            <w:vAlign w:val="center"/>
            <w:hideMark/>
          </w:tcPr>
          <w:p w14:paraId="3299AB33"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 Servicio</w:t>
            </w:r>
          </w:p>
        </w:tc>
        <w:tc>
          <w:tcPr>
            <w:tcW w:w="0" w:type="auto"/>
            <w:gridSpan w:val="2"/>
            <w:tcBorders>
              <w:top w:val="single" w:sz="8" w:space="0" w:color="B4C6E7"/>
              <w:left w:val="nil"/>
              <w:bottom w:val="single" w:sz="8" w:space="0" w:color="B4C6E7"/>
              <w:right w:val="single" w:sz="8" w:space="0" w:color="B4C6E7"/>
            </w:tcBorders>
            <w:shd w:val="clear" w:color="auto" w:fill="4F81BD" w:themeFill="accent1"/>
            <w:vAlign w:val="center"/>
            <w:hideMark/>
          </w:tcPr>
          <w:p w14:paraId="4C4981A4"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Casas de Santa Bárbara</w:t>
            </w:r>
          </w:p>
        </w:tc>
        <w:tc>
          <w:tcPr>
            <w:tcW w:w="0" w:type="auto"/>
            <w:gridSpan w:val="2"/>
            <w:tcBorders>
              <w:top w:val="single" w:sz="8" w:space="0" w:color="B4C6E7"/>
              <w:left w:val="nil"/>
              <w:bottom w:val="single" w:sz="8" w:space="0" w:color="B4C6E7"/>
              <w:right w:val="single" w:sz="8" w:space="0" w:color="B4C6E7"/>
            </w:tcBorders>
            <w:shd w:val="clear" w:color="auto" w:fill="4F81BD" w:themeFill="accent1"/>
            <w:vAlign w:val="center"/>
            <w:hideMark/>
          </w:tcPr>
          <w:p w14:paraId="3AFF60AC"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Variaciones</w:t>
            </w:r>
          </w:p>
        </w:tc>
      </w:tr>
      <w:tr w:rsidR="00AF1878" w:rsidRPr="00AF1878" w14:paraId="73C99A14" w14:textId="77777777" w:rsidTr="00AF1878">
        <w:trPr>
          <w:trHeight w:val="315"/>
          <w:jc w:val="center"/>
        </w:trPr>
        <w:tc>
          <w:tcPr>
            <w:tcW w:w="3127" w:type="dxa"/>
            <w:vMerge/>
            <w:tcBorders>
              <w:top w:val="nil"/>
              <w:left w:val="single" w:sz="8" w:space="0" w:color="B4C6E7"/>
              <w:bottom w:val="single" w:sz="8" w:space="0" w:color="B4C6E7"/>
              <w:right w:val="single" w:sz="8" w:space="0" w:color="B4C6E7"/>
            </w:tcBorders>
            <w:shd w:val="clear" w:color="auto" w:fill="4F81BD" w:themeFill="accent1"/>
            <w:vAlign w:val="center"/>
            <w:hideMark/>
          </w:tcPr>
          <w:p w14:paraId="2EBCD36A" w14:textId="77777777" w:rsidR="00AF1878" w:rsidRPr="00AF1878" w:rsidRDefault="00AF1878" w:rsidP="009B745C">
            <w:pPr>
              <w:rPr>
                <w:rFonts w:ascii="Arial" w:hAnsi="Arial" w:cs="Arial"/>
                <w:b/>
                <w:bCs/>
                <w:color w:val="FFFFFF"/>
                <w:sz w:val="20"/>
                <w:szCs w:val="20"/>
              </w:rPr>
            </w:pPr>
          </w:p>
        </w:tc>
        <w:tc>
          <w:tcPr>
            <w:tcW w:w="0" w:type="auto"/>
            <w:tcBorders>
              <w:top w:val="nil"/>
              <w:left w:val="nil"/>
              <w:bottom w:val="single" w:sz="8" w:space="0" w:color="B4C6E7"/>
              <w:right w:val="single" w:sz="8" w:space="0" w:color="B4C6E7"/>
            </w:tcBorders>
            <w:shd w:val="clear" w:color="auto" w:fill="4F81BD" w:themeFill="accent1"/>
            <w:vAlign w:val="center"/>
            <w:hideMark/>
          </w:tcPr>
          <w:p w14:paraId="1D075410"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III Trimestre de 2019</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3D30B963"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III Trimestre de 2018</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1144E110"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1A7ACAFA" w14:textId="77777777" w:rsidR="00AF1878" w:rsidRPr="00AF1878" w:rsidRDefault="00AF1878" w:rsidP="009B745C">
            <w:pPr>
              <w:jc w:val="center"/>
              <w:rPr>
                <w:rFonts w:ascii="Arial" w:hAnsi="Arial" w:cs="Arial"/>
                <w:b/>
                <w:bCs/>
                <w:color w:val="FFFFFF"/>
                <w:sz w:val="20"/>
                <w:szCs w:val="20"/>
              </w:rPr>
            </w:pPr>
            <w:r w:rsidRPr="00AF1878">
              <w:rPr>
                <w:rFonts w:ascii="Arial" w:hAnsi="Arial" w:cs="Arial"/>
                <w:b/>
                <w:bCs/>
                <w:color w:val="FFFFFF"/>
                <w:sz w:val="20"/>
                <w:szCs w:val="20"/>
              </w:rPr>
              <w:t>%</w:t>
            </w:r>
          </w:p>
        </w:tc>
      </w:tr>
      <w:tr w:rsidR="00AF1878" w:rsidRPr="00AF1878" w14:paraId="10B41A9C" w14:textId="77777777" w:rsidTr="00AF1878">
        <w:trPr>
          <w:trHeight w:val="447"/>
          <w:jc w:val="center"/>
        </w:trPr>
        <w:tc>
          <w:tcPr>
            <w:tcW w:w="3127" w:type="dxa"/>
            <w:tcBorders>
              <w:top w:val="nil"/>
              <w:left w:val="single" w:sz="8" w:space="0" w:color="B4C6E7"/>
              <w:bottom w:val="single" w:sz="8" w:space="0" w:color="B4C6E7"/>
              <w:right w:val="single" w:sz="8" w:space="0" w:color="B4C6E7"/>
            </w:tcBorders>
            <w:shd w:val="clear" w:color="auto" w:fill="auto"/>
            <w:vAlign w:val="center"/>
            <w:hideMark/>
          </w:tcPr>
          <w:p w14:paraId="1828F97D" w14:textId="77777777" w:rsidR="00AF1878" w:rsidRPr="00AF1878" w:rsidRDefault="00AF1878" w:rsidP="009B745C">
            <w:pPr>
              <w:jc w:val="center"/>
              <w:rPr>
                <w:rFonts w:ascii="Arial" w:hAnsi="Arial" w:cs="Arial"/>
                <w:b/>
                <w:bCs/>
                <w:color w:val="0F243E" w:themeColor="text2" w:themeShade="80"/>
                <w:sz w:val="20"/>
                <w:szCs w:val="20"/>
              </w:rPr>
            </w:pPr>
            <w:r w:rsidRPr="00AF1878">
              <w:rPr>
                <w:rFonts w:ascii="Arial" w:hAnsi="Arial" w:cs="Arial"/>
                <w:b/>
                <w:bCs/>
                <w:color w:val="0F243E" w:themeColor="text2" w:themeShade="80"/>
                <w:sz w:val="20"/>
                <w:szCs w:val="20"/>
              </w:rPr>
              <w:t>Servicio de Aseo</w:t>
            </w:r>
          </w:p>
        </w:tc>
        <w:tc>
          <w:tcPr>
            <w:tcW w:w="0" w:type="auto"/>
            <w:tcBorders>
              <w:top w:val="nil"/>
              <w:left w:val="nil"/>
              <w:bottom w:val="single" w:sz="8" w:space="0" w:color="B4C6E7"/>
              <w:right w:val="single" w:sz="8" w:space="0" w:color="B4C6E7"/>
            </w:tcBorders>
            <w:shd w:val="clear" w:color="auto" w:fill="auto"/>
            <w:vAlign w:val="center"/>
            <w:hideMark/>
          </w:tcPr>
          <w:p w14:paraId="76F7EC93" w14:textId="77777777" w:rsidR="00AF1878" w:rsidRPr="00AF1878" w:rsidRDefault="00AF1878" w:rsidP="009B745C">
            <w:pPr>
              <w:jc w:val="center"/>
              <w:rPr>
                <w:rFonts w:ascii="Arial" w:hAnsi="Arial" w:cs="Arial"/>
                <w:color w:val="0F243E" w:themeColor="text2" w:themeShade="80"/>
                <w:sz w:val="20"/>
                <w:szCs w:val="20"/>
              </w:rPr>
            </w:pPr>
            <w:r w:rsidRPr="00AF1878">
              <w:rPr>
                <w:rFonts w:ascii="Arial" w:hAnsi="Arial" w:cs="Arial"/>
                <w:color w:val="0F243E" w:themeColor="text2" w:themeShade="80"/>
                <w:sz w:val="20"/>
                <w:szCs w:val="20"/>
              </w:rPr>
              <w:t>1.600.940</w:t>
            </w:r>
          </w:p>
        </w:tc>
        <w:tc>
          <w:tcPr>
            <w:tcW w:w="0" w:type="auto"/>
            <w:tcBorders>
              <w:top w:val="nil"/>
              <w:left w:val="nil"/>
              <w:bottom w:val="single" w:sz="8" w:space="0" w:color="B4C6E7"/>
              <w:right w:val="single" w:sz="8" w:space="0" w:color="B4C6E7"/>
            </w:tcBorders>
            <w:shd w:val="clear" w:color="auto" w:fill="auto"/>
            <w:vAlign w:val="center"/>
            <w:hideMark/>
          </w:tcPr>
          <w:p w14:paraId="203BBE23" w14:textId="77777777" w:rsidR="00AF1878" w:rsidRPr="00AF1878" w:rsidRDefault="00AF1878" w:rsidP="009B745C">
            <w:pPr>
              <w:jc w:val="center"/>
              <w:rPr>
                <w:rFonts w:ascii="Arial" w:hAnsi="Arial" w:cs="Arial"/>
                <w:color w:val="0F243E" w:themeColor="text2" w:themeShade="80"/>
                <w:sz w:val="20"/>
                <w:szCs w:val="20"/>
              </w:rPr>
            </w:pPr>
            <w:r w:rsidRPr="00AF1878">
              <w:rPr>
                <w:rFonts w:ascii="Arial" w:hAnsi="Arial" w:cs="Arial"/>
                <w:color w:val="0F243E" w:themeColor="text2" w:themeShade="80"/>
                <w:sz w:val="20"/>
                <w:szCs w:val="20"/>
              </w:rPr>
              <w:t>987.830</w:t>
            </w:r>
          </w:p>
        </w:tc>
        <w:tc>
          <w:tcPr>
            <w:tcW w:w="0" w:type="auto"/>
            <w:tcBorders>
              <w:top w:val="nil"/>
              <w:left w:val="nil"/>
              <w:bottom w:val="single" w:sz="8" w:space="0" w:color="B4C6E7"/>
              <w:right w:val="single" w:sz="8" w:space="0" w:color="B4C6E7"/>
            </w:tcBorders>
            <w:shd w:val="clear" w:color="auto" w:fill="auto"/>
            <w:vAlign w:val="center"/>
            <w:hideMark/>
          </w:tcPr>
          <w:p w14:paraId="2EFA0C93" w14:textId="77777777" w:rsidR="00AF1878" w:rsidRPr="00AF1878" w:rsidRDefault="00AF1878" w:rsidP="009B745C">
            <w:pPr>
              <w:jc w:val="center"/>
              <w:rPr>
                <w:rFonts w:ascii="Arial" w:hAnsi="Arial" w:cs="Arial"/>
                <w:b/>
                <w:bCs/>
                <w:color w:val="0F243E" w:themeColor="text2" w:themeShade="80"/>
                <w:sz w:val="20"/>
                <w:szCs w:val="20"/>
              </w:rPr>
            </w:pPr>
            <w:r w:rsidRPr="00AF1878">
              <w:rPr>
                <w:rFonts w:ascii="Arial" w:hAnsi="Arial" w:cs="Arial"/>
                <w:b/>
                <w:bCs/>
                <w:color w:val="0F243E" w:themeColor="text2" w:themeShade="80"/>
                <w:sz w:val="20"/>
                <w:szCs w:val="20"/>
              </w:rPr>
              <w:t>613.110</w:t>
            </w:r>
          </w:p>
        </w:tc>
        <w:tc>
          <w:tcPr>
            <w:tcW w:w="0" w:type="auto"/>
            <w:tcBorders>
              <w:top w:val="nil"/>
              <w:left w:val="nil"/>
              <w:bottom w:val="single" w:sz="8" w:space="0" w:color="B4C6E7"/>
              <w:right w:val="single" w:sz="8" w:space="0" w:color="B4C6E7"/>
            </w:tcBorders>
            <w:shd w:val="clear" w:color="auto" w:fill="auto"/>
            <w:vAlign w:val="center"/>
            <w:hideMark/>
          </w:tcPr>
          <w:p w14:paraId="49C11E4C" w14:textId="77777777" w:rsidR="00AF1878" w:rsidRPr="00AF1878" w:rsidRDefault="00AF1878" w:rsidP="009B745C">
            <w:pPr>
              <w:jc w:val="center"/>
              <w:rPr>
                <w:rFonts w:ascii="Arial" w:hAnsi="Arial" w:cs="Arial"/>
                <w:b/>
                <w:bCs/>
                <w:color w:val="0F243E" w:themeColor="text2" w:themeShade="80"/>
                <w:sz w:val="20"/>
                <w:szCs w:val="20"/>
              </w:rPr>
            </w:pPr>
            <w:r w:rsidRPr="00AF1878">
              <w:rPr>
                <w:rFonts w:ascii="Arial" w:hAnsi="Arial" w:cs="Arial"/>
                <w:b/>
                <w:bCs/>
                <w:color w:val="0F243E" w:themeColor="text2" w:themeShade="80"/>
                <w:sz w:val="20"/>
                <w:szCs w:val="20"/>
              </w:rPr>
              <w:t>62%</w:t>
            </w:r>
          </w:p>
        </w:tc>
      </w:tr>
      <w:tr w:rsidR="00AF1878" w:rsidRPr="00AF1878" w14:paraId="7D693C1E" w14:textId="77777777" w:rsidTr="00AF1878">
        <w:trPr>
          <w:trHeight w:val="630"/>
          <w:jc w:val="center"/>
        </w:trPr>
        <w:tc>
          <w:tcPr>
            <w:tcW w:w="3127" w:type="dxa"/>
            <w:tcBorders>
              <w:top w:val="nil"/>
              <w:left w:val="single" w:sz="8" w:space="0" w:color="B4C6E7"/>
              <w:bottom w:val="single" w:sz="8" w:space="0" w:color="B4C6E7"/>
              <w:right w:val="single" w:sz="8" w:space="0" w:color="B4C6E7"/>
            </w:tcBorders>
            <w:shd w:val="clear" w:color="auto" w:fill="auto"/>
            <w:vAlign w:val="center"/>
            <w:hideMark/>
          </w:tcPr>
          <w:p w14:paraId="686D93B5" w14:textId="77777777" w:rsidR="00AF1878" w:rsidRPr="00AF1878" w:rsidRDefault="00AF1878" w:rsidP="009B745C">
            <w:pPr>
              <w:jc w:val="center"/>
              <w:rPr>
                <w:rFonts w:ascii="Arial" w:hAnsi="Arial" w:cs="Arial"/>
                <w:b/>
                <w:bCs/>
                <w:color w:val="0F243E" w:themeColor="text2" w:themeShade="80"/>
                <w:sz w:val="20"/>
                <w:szCs w:val="20"/>
              </w:rPr>
            </w:pPr>
            <w:r w:rsidRPr="00AF1878">
              <w:rPr>
                <w:rFonts w:ascii="Arial" w:hAnsi="Arial" w:cs="Arial"/>
                <w:b/>
                <w:bCs/>
                <w:color w:val="0F243E" w:themeColor="text2" w:themeShade="80"/>
                <w:sz w:val="20"/>
                <w:szCs w:val="20"/>
              </w:rPr>
              <w:t xml:space="preserve">Servicio de Acueducto </w:t>
            </w:r>
          </w:p>
        </w:tc>
        <w:tc>
          <w:tcPr>
            <w:tcW w:w="0" w:type="auto"/>
            <w:tcBorders>
              <w:top w:val="nil"/>
              <w:left w:val="nil"/>
              <w:bottom w:val="single" w:sz="8" w:space="0" w:color="B4C6E7"/>
              <w:right w:val="single" w:sz="8" w:space="0" w:color="B4C6E7"/>
            </w:tcBorders>
            <w:shd w:val="clear" w:color="auto" w:fill="auto"/>
            <w:vAlign w:val="center"/>
            <w:hideMark/>
          </w:tcPr>
          <w:p w14:paraId="4EC87A11" w14:textId="77777777" w:rsidR="00AF1878" w:rsidRPr="00AF1878" w:rsidRDefault="00AF1878" w:rsidP="009B745C">
            <w:pPr>
              <w:jc w:val="center"/>
              <w:rPr>
                <w:rFonts w:ascii="Arial" w:hAnsi="Arial" w:cs="Arial"/>
                <w:color w:val="0F243E" w:themeColor="text2" w:themeShade="80"/>
                <w:sz w:val="20"/>
                <w:szCs w:val="20"/>
              </w:rPr>
            </w:pPr>
            <w:r w:rsidRPr="00AF1878">
              <w:rPr>
                <w:rFonts w:ascii="Arial" w:hAnsi="Arial" w:cs="Arial"/>
                <w:color w:val="0F243E" w:themeColor="text2" w:themeShade="80"/>
                <w:sz w:val="20"/>
                <w:szCs w:val="20"/>
              </w:rPr>
              <w:t>3.880.760</w:t>
            </w:r>
          </w:p>
        </w:tc>
        <w:tc>
          <w:tcPr>
            <w:tcW w:w="0" w:type="auto"/>
            <w:tcBorders>
              <w:top w:val="nil"/>
              <w:left w:val="nil"/>
              <w:bottom w:val="single" w:sz="8" w:space="0" w:color="B4C6E7"/>
              <w:right w:val="single" w:sz="8" w:space="0" w:color="B4C6E7"/>
            </w:tcBorders>
            <w:shd w:val="clear" w:color="auto" w:fill="auto"/>
            <w:vAlign w:val="center"/>
            <w:hideMark/>
          </w:tcPr>
          <w:p w14:paraId="7BFFCCEB" w14:textId="77777777" w:rsidR="00AF1878" w:rsidRPr="00AF1878" w:rsidRDefault="00AF1878" w:rsidP="009B745C">
            <w:pPr>
              <w:jc w:val="center"/>
              <w:rPr>
                <w:rFonts w:ascii="Arial" w:hAnsi="Arial" w:cs="Arial"/>
                <w:color w:val="0F243E" w:themeColor="text2" w:themeShade="80"/>
                <w:sz w:val="20"/>
                <w:szCs w:val="20"/>
              </w:rPr>
            </w:pPr>
            <w:r w:rsidRPr="00AF1878">
              <w:rPr>
                <w:rFonts w:ascii="Arial" w:hAnsi="Arial" w:cs="Arial"/>
                <w:color w:val="0F243E" w:themeColor="text2" w:themeShade="80"/>
                <w:sz w:val="20"/>
                <w:szCs w:val="20"/>
              </w:rPr>
              <w:t>5.543.140</w:t>
            </w:r>
          </w:p>
        </w:tc>
        <w:tc>
          <w:tcPr>
            <w:tcW w:w="0" w:type="auto"/>
            <w:tcBorders>
              <w:top w:val="nil"/>
              <w:left w:val="nil"/>
              <w:bottom w:val="single" w:sz="8" w:space="0" w:color="B4C6E7"/>
              <w:right w:val="single" w:sz="8" w:space="0" w:color="B4C6E7"/>
            </w:tcBorders>
            <w:shd w:val="clear" w:color="auto" w:fill="auto"/>
            <w:vAlign w:val="center"/>
            <w:hideMark/>
          </w:tcPr>
          <w:p w14:paraId="1F653F0C" w14:textId="0286FEC1" w:rsidR="00AF1878" w:rsidRPr="00AF1878" w:rsidRDefault="009B745C" w:rsidP="009B745C">
            <w:pPr>
              <w:jc w:val="center"/>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AF1878" w:rsidRPr="00AF1878">
              <w:rPr>
                <w:rFonts w:ascii="Arial" w:hAnsi="Arial" w:cs="Arial"/>
                <w:b/>
                <w:bCs/>
                <w:color w:val="0F243E" w:themeColor="text2" w:themeShade="80"/>
                <w:sz w:val="20"/>
                <w:szCs w:val="20"/>
              </w:rPr>
              <w:t>1.662.380</w:t>
            </w:r>
            <w:r>
              <w:rPr>
                <w:rFonts w:ascii="Arial" w:hAnsi="Arial" w:cs="Arial"/>
                <w:b/>
                <w:bCs/>
                <w:color w:val="0F243E" w:themeColor="text2" w:themeShade="80"/>
                <w:sz w:val="20"/>
                <w:szCs w:val="20"/>
              </w:rPr>
              <w:t>)</w:t>
            </w:r>
          </w:p>
        </w:tc>
        <w:tc>
          <w:tcPr>
            <w:tcW w:w="0" w:type="auto"/>
            <w:tcBorders>
              <w:top w:val="nil"/>
              <w:left w:val="nil"/>
              <w:bottom w:val="single" w:sz="8" w:space="0" w:color="B4C6E7"/>
              <w:right w:val="single" w:sz="8" w:space="0" w:color="B4C6E7"/>
            </w:tcBorders>
            <w:shd w:val="clear" w:color="auto" w:fill="auto"/>
            <w:vAlign w:val="center"/>
            <w:hideMark/>
          </w:tcPr>
          <w:p w14:paraId="0A306397" w14:textId="360BC3C5" w:rsidR="00AF1878" w:rsidRPr="00AF1878" w:rsidRDefault="009B745C" w:rsidP="009B745C">
            <w:pPr>
              <w:jc w:val="center"/>
              <w:rPr>
                <w:rFonts w:ascii="Arial" w:hAnsi="Arial" w:cs="Arial"/>
                <w:b/>
                <w:bCs/>
                <w:color w:val="0F243E" w:themeColor="text2" w:themeShade="80"/>
                <w:sz w:val="20"/>
                <w:szCs w:val="20"/>
              </w:rPr>
            </w:pPr>
            <w:r>
              <w:rPr>
                <w:rFonts w:ascii="Arial" w:hAnsi="Arial" w:cs="Arial"/>
                <w:b/>
                <w:bCs/>
                <w:color w:val="0F243E" w:themeColor="text2" w:themeShade="80"/>
                <w:sz w:val="20"/>
                <w:szCs w:val="20"/>
              </w:rPr>
              <w:t>(30</w:t>
            </w:r>
            <w:r w:rsidR="00AF1878" w:rsidRPr="00AF1878">
              <w:rPr>
                <w:rFonts w:ascii="Arial" w:hAnsi="Arial" w:cs="Arial"/>
                <w:b/>
                <w:bCs/>
                <w:color w:val="0F243E" w:themeColor="text2" w:themeShade="80"/>
                <w:sz w:val="20"/>
                <w:szCs w:val="20"/>
              </w:rPr>
              <w:t>%</w:t>
            </w:r>
            <w:r>
              <w:rPr>
                <w:rFonts w:ascii="Arial" w:hAnsi="Arial" w:cs="Arial"/>
                <w:b/>
                <w:bCs/>
                <w:color w:val="0F243E" w:themeColor="text2" w:themeShade="80"/>
                <w:sz w:val="20"/>
                <w:szCs w:val="20"/>
              </w:rPr>
              <w:t>)</w:t>
            </w:r>
          </w:p>
        </w:tc>
      </w:tr>
    </w:tbl>
    <w:p w14:paraId="654CF24F" w14:textId="7EFB6089" w:rsidR="00AF1878" w:rsidRDefault="00AF1878" w:rsidP="00AF1878">
      <w:pPr>
        <w:spacing w:after="200" w:line="276" w:lineRule="auto"/>
        <w:jc w:val="center"/>
        <w:rPr>
          <w:rFonts w:ascii="Arial" w:hAnsi="Arial" w:cs="Arial"/>
          <w:color w:val="000000"/>
          <w:sz w:val="18"/>
          <w:szCs w:val="18"/>
          <w:highlight w:val="yellow"/>
        </w:rPr>
      </w:pPr>
      <w:r>
        <w:rPr>
          <w:noProof/>
        </w:rPr>
        <w:lastRenderedPageBreak/>
        <w:drawing>
          <wp:inline distT="0" distB="0" distL="0" distR="0" wp14:anchorId="0CB35C83" wp14:editId="02A2549F">
            <wp:extent cx="5133975" cy="2581275"/>
            <wp:effectExtent l="0" t="0" r="0" b="0"/>
            <wp:docPr id="34" name="Gráfico 3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8B097CD-09BA-4A02-8459-27F2C4E0F6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4A5D3B1" w14:textId="6D057F8A" w:rsidR="007339DA" w:rsidRPr="00BB7751" w:rsidRDefault="00616F60" w:rsidP="00896ADE">
      <w:pPr>
        <w:jc w:val="both"/>
        <w:rPr>
          <w:rFonts w:ascii="Arial" w:hAnsi="Arial" w:cs="Arial"/>
          <w:color w:val="000000" w:themeColor="text1"/>
          <w:sz w:val="22"/>
          <w:szCs w:val="22"/>
        </w:rPr>
      </w:pPr>
      <w:r w:rsidRPr="00BB7751">
        <w:rPr>
          <w:rFonts w:ascii="Arial" w:hAnsi="Arial" w:cs="Arial"/>
          <w:color w:val="000000" w:themeColor="text1"/>
          <w:sz w:val="22"/>
          <w:szCs w:val="22"/>
        </w:rPr>
        <w:t>De forma</w:t>
      </w:r>
      <w:r w:rsidR="007339DA" w:rsidRPr="00BB7751">
        <w:rPr>
          <w:rFonts w:ascii="Arial" w:hAnsi="Arial" w:cs="Arial"/>
          <w:color w:val="000000" w:themeColor="text1"/>
          <w:sz w:val="22"/>
          <w:szCs w:val="22"/>
        </w:rPr>
        <w:t xml:space="preserve"> global, en l</w:t>
      </w:r>
      <w:r w:rsidR="0044535F" w:rsidRPr="00BB7751">
        <w:rPr>
          <w:rFonts w:ascii="Arial" w:hAnsi="Arial" w:cs="Arial"/>
          <w:color w:val="000000" w:themeColor="text1"/>
          <w:sz w:val="22"/>
          <w:szCs w:val="22"/>
        </w:rPr>
        <w:t xml:space="preserve">o referente al valor del gasto facturado por los servicios de acueducto y aseo </w:t>
      </w:r>
      <w:r w:rsidR="007339DA" w:rsidRPr="00BB7751">
        <w:rPr>
          <w:rFonts w:ascii="Arial" w:hAnsi="Arial" w:cs="Arial"/>
          <w:color w:val="000000" w:themeColor="text1"/>
          <w:sz w:val="22"/>
          <w:szCs w:val="22"/>
        </w:rPr>
        <w:t xml:space="preserve">se observó </w:t>
      </w:r>
      <w:r w:rsidR="00D23292" w:rsidRPr="00BB7751">
        <w:rPr>
          <w:rFonts w:ascii="Arial" w:hAnsi="Arial" w:cs="Arial"/>
          <w:color w:val="000000" w:themeColor="text1"/>
          <w:sz w:val="22"/>
          <w:szCs w:val="22"/>
        </w:rPr>
        <w:t>que,</w:t>
      </w:r>
      <w:r w:rsidR="0044535F" w:rsidRPr="00BB7751">
        <w:rPr>
          <w:rFonts w:ascii="Arial" w:hAnsi="Arial" w:cs="Arial"/>
          <w:color w:val="000000" w:themeColor="text1"/>
          <w:sz w:val="22"/>
          <w:szCs w:val="22"/>
        </w:rPr>
        <w:t xml:space="preserve"> para el </w:t>
      </w:r>
      <w:r w:rsidR="00B86ABC">
        <w:rPr>
          <w:rFonts w:ascii="Arial" w:hAnsi="Arial" w:cs="Arial"/>
          <w:color w:val="000000" w:themeColor="text1"/>
          <w:sz w:val="22"/>
          <w:szCs w:val="22"/>
        </w:rPr>
        <w:t xml:space="preserve">tercer </w:t>
      </w:r>
      <w:r w:rsidR="0044535F" w:rsidRPr="00BB7751">
        <w:rPr>
          <w:rFonts w:ascii="Arial" w:hAnsi="Arial" w:cs="Arial"/>
          <w:color w:val="000000" w:themeColor="text1"/>
          <w:sz w:val="22"/>
          <w:szCs w:val="22"/>
        </w:rPr>
        <w:t>trimestre de 2019 comparado con el mismo periodo de 2018</w:t>
      </w:r>
      <w:r w:rsidR="002D4948">
        <w:rPr>
          <w:rFonts w:ascii="Arial" w:hAnsi="Arial" w:cs="Arial"/>
          <w:color w:val="000000" w:themeColor="text1"/>
          <w:sz w:val="22"/>
          <w:szCs w:val="22"/>
        </w:rPr>
        <w:t xml:space="preserve"> </w:t>
      </w:r>
      <w:r w:rsidR="00D23292">
        <w:rPr>
          <w:rFonts w:ascii="Arial" w:hAnsi="Arial" w:cs="Arial"/>
          <w:color w:val="000000" w:themeColor="text1"/>
          <w:sz w:val="22"/>
          <w:szCs w:val="22"/>
        </w:rPr>
        <w:t>se</w:t>
      </w:r>
      <w:r w:rsidR="002D4948">
        <w:rPr>
          <w:rFonts w:ascii="Arial" w:hAnsi="Arial" w:cs="Arial"/>
          <w:color w:val="000000" w:themeColor="text1"/>
          <w:sz w:val="22"/>
          <w:szCs w:val="22"/>
        </w:rPr>
        <w:t xml:space="preserve"> presentó una variación </w:t>
      </w:r>
      <w:r w:rsidR="002D4948" w:rsidRPr="002D4948">
        <w:rPr>
          <w:rFonts w:ascii="Arial" w:hAnsi="Arial" w:cs="Arial"/>
          <w:color w:val="000000" w:themeColor="text1"/>
          <w:sz w:val="22"/>
          <w:szCs w:val="22"/>
        </w:rPr>
        <w:t>positiva</w:t>
      </w:r>
      <w:r w:rsidR="0044535F" w:rsidRPr="00BB7751">
        <w:rPr>
          <w:rFonts w:ascii="Arial" w:hAnsi="Arial" w:cs="Arial"/>
          <w:color w:val="000000" w:themeColor="text1"/>
          <w:sz w:val="22"/>
          <w:szCs w:val="22"/>
        </w:rPr>
        <w:t xml:space="preserve"> </w:t>
      </w:r>
      <w:r w:rsidR="00306B4B" w:rsidRPr="00BB7751">
        <w:rPr>
          <w:rFonts w:ascii="Arial" w:hAnsi="Arial" w:cs="Arial"/>
          <w:color w:val="000000" w:themeColor="text1"/>
          <w:sz w:val="22"/>
          <w:szCs w:val="22"/>
        </w:rPr>
        <w:t>para la sede San Agustín</w:t>
      </w:r>
      <w:r w:rsidR="002D4948">
        <w:rPr>
          <w:rFonts w:ascii="Arial" w:hAnsi="Arial" w:cs="Arial"/>
          <w:color w:val="000000" w:themeColor="text1"/>
          <w:sz w:val="22"/>
          <w:szCs w:val="22"/>
        </w:rPr>
        <w:t xml:space="preserve">, la cual </w:t>
      </w:r>
      <w:r w:rsidR="0044535F" w:rsidRPr="00BB7751">
        <w:rPr>
          <w:rFonts w:ascii="Arial" w:hAnsi="Arial" w:cs="Arial"/>
          <w:color w:val="000000" w:themeColor="text1"/>
          <w:sz w:val="22"/>
          <w:szCs w:val="22"/>
        </w:rPr>
        <w:t xml:space="preserve">registró un </w:t>
      </w:r>
      <w:r w:rsidR="00034967" w:rsidRPr="00BB7751">
        <w:rPr>
          <w:rFonts w:ascii="Arial" w:hAnsi="Arial" w:cs="Arial"/>
          <w:color w:val="000000" w:themeColor="text1"/>
          <w:sz w:val="22"/>
          <w:szCs w:val="22"/>
        </w:rPr>
        <w:t>aumento</w:t>
      </w:r>
      <w:r w:rsidR="0044535F" w:rsidRPr="00BB7751">
        <w:rPr>
          <w:rFonts w:ascii="Arial" w:hAnsi="Arial" w:cs="Arial"/>
          <w:color w:val="000000" w:themeColor="text1"/>
          <w:sz w:val="22"/>
          <w:szCs w:val="22"/>
        </w:rPr>
        <w:t xml:space="preserve"> </w:t>
      </w:r>
      <w:r w:rsidR="00896ADE" w:rsidRPr="00BB7751">
        <w:rPr>
          <w:rFonts w:ascii="Arial" w:hAnsi="Arial" w:cs="Arial"/>
          <w:color w:val="000000" w:themeColor="text1"/>
          <w:sz w:val="22"/>
          <w:szCs w:val="22"/>
        </w:rPr>
        <w:t>d</w:t>
      </w:r>
      <w:r w:rsidR="0044535F" w:rsidRPr="00BB7751">
        <w:rPr>
          <w:rFonts w:ascii="Arial" w:hAnsi="Arial" w:cs="Arial"/>
          <w:color w:val="000000" w:themeColor="text1"/>
          <w:sz w:val="22"/>
          <w:szCs w:val="22"/>
        </w:rPr>
        <w:t xml:space="preserve">el </w:t>
      </w:r>
      <w:r w:rsidR="002D4948">
        <w:rPr>
          <w:rFonts w:ascii="Arial" w:hAnsi="Arial" w:cs="Arial"/>
          <w:color w:val="000000" w:themeColor="text1"/>
          <w:sz w:val="22"/>
          <w:szCs w:val="22"/>
        </w:rPr>
        <w:t>4</w:t>
      </w:r>
      <w:r w:rsidR="0044535F" w:rsidRPr="00BB7751">
        <w:rPr>
          <w:rFonts w:ascii="Arial" w:hAnsi="Arial" w:cs="Arial"/>
          <w:color w:val="000000" w:themeColor="text1"/>
          <w:sz w:val="22"/>
          <w:szCs w:val="22"/>
        </w:rPr>
        <w:t xml:space="preserve">% y </w:t>
      </w:r>
      <w:r w:rsidR="00896ADE" w:rsidRPr="00BB7751">
        <w:rPr>
          <w:rFonts w:ascii="Arial" w:hAnsi="Arial" w:cs="Arial"/>
          <w:color w:val="000000" w:themeColor="text1"/>
          <w:sz w:val="22"/>
          <w:szCs w:val="22"/>
        </w:rPr>
        <w:t>para la</w:t>
      </w:r>
      <w:r w:rsidR="00306B4B" w:rsidRPr="00BB7751">
        <w:rPr>
          <w:rFonts w:ascii="Arial" w:hAnsi="Arial" w:cs="Arial"/>
          <w:color w:val="000000" w:themeColor="text1"/>
          <w:sz w:val="22"/>
          <w:szCs w:val="22"/>
        </w:rPr>
        <w:t xml:space="preserve"> sede de Casas de Santa </w:t>
      </w:r>
      <w:r w:rsidR="00896ADE" w:rsidRPr="00BB7751">
        <w:rPr>
          <w:rFonts w:ascii="Arial" w:hAnsi="Arial" w:cs="Arial"/>
          <w:color w:val="000000" w:themeColor="text1"/>
          <w:sz w:val="22"/>
          <w:szCs w:val="22"/>
        </w:rPr>
        <w:t>Bárbara un</w:t>
      </w:r>
      <w:r w:rsidR="002D4948">
        <w:rPr>
          <w:rFonts w:ascii="Arial" w:hAnsi="Arial" w:cs="Arial"/>
          <w:color w:val="000000" w:themeColor="text1"/>
          <w:sz w:val="22"/>
          <w:szCs w:val="22"/>
        </w:rPr>
        <w:t xml:space="preserve">a disminución </w:t>
      </w:r>
      <w:r w:rsidR="00896ADE" w:rsidRPr="00BB7751">
        <w:rPr>
          <w:rFonts w:ascii="Arial" w:hAnsi="Arial" w:cs="Arial"/>
          <w:color w:val="000000" w:themeColor="text1"/>
          <w:sz w:val="22"/>
          <w:szCs w:val="22"/>
        </w:rPr>
        <w:t xml:space="preserve">del </w:t>
      </w:r>
      <w:r w:rsidR="002D4948">
        <w:rPr>
          <w:rFonts w:ascii="Arial" w:hAnsi="Arial" w:cs="Arial"/>
          <w:color w:val="000000" w:themeColor="text1"/>
          <w:sz w:val="22"/>
          <w:szCs w:val="22"/>
        </w:rPr>
        <w:t>16</w:t>
      </w:r>
      <w:r w:rsidR="00896ADE" w:rsidRPr="00BB7751">
        <w:rPr>
          <w:rFonts w:ascii="Arial" w:hAnsi="Arial" w:cs="Arial"/>
          <w:color w:val="000000" w:themeColor="text1"/>
          <w:sz w:val="22"/>
          <w:szCs w:val="22"/>
        </w:rPr>
        <w:t xml:space="preserve">%. </w:t>
      </w:r>
    </w:p>
    <w:p w14:paraId="68B6DF80" w14:textId="77777777" w:rsidR="00EF4260" w:rsidRPr="00BB7751" w:rsidRDefault="00EF4260" w:rsidP="000E0AD2">
      <w:pPr>
        <w:rPr>
          <w:rFonts w:ascii="Arial" w:hAnsi="Arial" w:cs="Arial"/>
          <w:color w:val="000000"/>
          <w:sz w:val="22"/>
          <w:szCs w:val="22"/>
        </w:rPr>
      </w:pPr>
    </w:p>
    <w:tbl>
      <w:tblPr>
        <w:tblStyle w:val="Tabladecuadrcula1clara-nfasis1"/>
        <w:tblW w:w="0" w:type="auto"/>
        <w:jc w:val="center"/>
        <w:tblLook w:val="04A0" w:firstRow="1" w:lastRow="0" w:firstColumn="1" w:lastColumn="0" w:noHBand="0" w:noVBand="1"/>
      </w:tblPr>
      <w:tblGrid>
        <w:gridCol w:w="1540"/>
        <w:gridCol w:w="2566"/>
        <w:gridCol w:w="2693"/>
      </w:tblGrid>
      <w:tr w:rsidR="00D42177" w:rsidRPr="00A003B6" w14:paraId="5629EBFA" w14:textId="77777777" w:rsidTr="004C6BC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6799" w:type="dxa"/>
            <w:gridSpan w:val="3"/>
            <w:tcBorders>
              <w:top w:val="double" w:sz="4" w:space="0" w:color="4F81BD" w:themeColor="accent1"/>
              <w:left w:val="nil"/>
              <w:bottom w:val="double" w:sz="4" w:space="0" w:color="4F81BD" w:themeColor="accent1"/>
              <w:right w:val="nil"/>
            </w:tcBorders>
            <w:shd w:val="clear" w:color="auto" w:fill="auto"/>
            <w:vAlign w:val="center"/>
            <w:hideMark/>
          </w:tcPr>
          <w:p w14:paraId="4AA9262A" w14:textId="5AC93ADA" w:rsidR="00D42177" w:rsidRPr="00B86ABC" w:rsidRDefault="00D42177" w:rsidP="009F15B7">
            <w:pPr>
              <w:spacing w:before="40" w:after="60"/>
              <w:jc w:val="center"/>
              <w:rPr>
                <w:rFonts w:ascii="Arial" w:hAnsi="Arial" w:cs="Arial"/>
                <w:color w:val="FFFFFF" w:themeColor="background1"/>
                <w:sz w:val="20"/>
                <w:szCs w:val="20"/>
              </w:rPr>
            </w:pPr>
            <w:r w:rsidRPr="00B86ABC">
              <w:rPr>
                <w:rFonts w:ascii="Arial" w:hAnsi="Arial" w:cs="Arial"/>
                <w:color w:val="0F243E" w:themeColor="text2" w:themeShade="80"/>
                <w:sz w:val="20"/>
                <w:szCs w:val="20"/>
              </w:rPr>
              <w:t xml:space="preserve">Valor </w:t>
            </w:r>
            <w:r w:rsidR="005E0585" w:rsidRPr="00B86ABC">
              <w:rPr>
                <w:rFonts w:ascii="Arial" w:hAnsi="Arial" w:cs="Arial"/>
                <w:color w:val="0F243E" w:themeColor="text2" w:themeShade="80"/>
                <w:sz w:val="20"/>
                <w:szCs w:val="20"/>
              </w:rPr>
              <w:t>Facturado I</w:t>
            </w:r>
            <w:r w:rsidR="00B86ABC">
              <w:rPr>
                <w:rFonts w:ascii="Arial" w:hAnsi="Arial" w:cs="Arial"/>
                <w:color w:val="0F243E" w:themeColor="text2" w:themeShade="80"/>
                <w:sz w:val="20"/>
                <w:szCs w:val="20"/>
              </w:rPr>
              <w:t>I</w:t>
            </w:r>
            <w:r w:rsidR="005E0585" w:rsidRPr="00B86ABC">
              <w:rPr>
                <w:rFonts w:ascii="Arial" w:hAnsi="Arial" w:cs="Arial"/>
                <w:color w:val="0F243E" w:themeColor="text2" w:themeShade="80"/>
                <w:sz w:val="20"/>
                <w:szCs w:val="20"/>
              </w:rPr>
              <w:t>I</w:t>
            </w:r>
            <w:r w:rsidRPr="00B86ABC">
              <w:rPr>
                <w:rFonts w:ascii="Arial" w:hAnsi="Arial" w:cs="Arial"/>
                <w:color w:val="0F243E" w:themeColor="text2" w:themeShade="80"/>
                <w:sz w:val="20"/>
                <w:szCs w:val="20"/>
              </w:rPr>
              <w:t xml:space="preserve"> Trimestre   2019-2018 ($)</w:t>
            </w:r>
            <w:r w:rsidRPr="00B86ABC">
              <w:rPr>
                <w:rFonts w:ascii="Arial" w:hAnsi="Arial" w:cs="Arial"/>
                <w:color w:val="FFFFFF" w:themeColor="background1"/>
                <w:sz w:val="20"/>
                <w:szCs w:val="20"/>
              </w:rPr>
              <w:t>($)</w:t>
            </w:r>
          </w:p>
        </w:tc>
      </w:tr>
      <w:tr w:rsidR="00D42177" w:rsidRPr="00A003B6" w14:paraId="65C394E3" w14:textId="77777777" w:rsidTr="004C6BCB">
        <w:trPr>
          <w:cantSplit/>
          <w:jc w:val="center"/>
        </w:trPr>
        <w:tc>
          <w:tcPr>
            <w:cnfStyle w:val="001000000000" w:firstRow="0" w:lastRow="0" w:firstColumn="1" w:lastColumn="0" w:oddVBand="0" w:evenVBand="0" w:oddHBand="0" w:evenHBand="0" w:firstRowFirstColumn="0" w:firstRowLastColumn="0" w:lastRowFirstColumn="0" w:lastRowLastColumn="0"/>
            <w:tcW w:w="6799" w:type="dxa"/>
            <w:gridSpan w:val="3"/>
            <w:tcBorders>
              <w:top w:val="double" w:sz="4" w:space="0" w:color="4F81BD" w:themeColor="accent1"/>
              <w:bottom w:val="nil"/>
            </w:tcBorders>
            <w:shd w:val="clear" w:color="auto" w:fill="4F81BD" w:themeFill="accent1"/>
            <w:vAlign w:val="center"/>
            <w:hideMark/>
          </w:tcPr>
          <w:p w14:paraId="214EC40B" w14:textId="77777777" w:rsidR="00D42177" w:rsidRPr="00B86ABC" w:rsidRDefault="00D42177" w:rsidP="009F15B7">
            <w:pPr>
              <w:spacing w:before="40" w:after="60"/>
              <w:jc w:val="center"/>
              <w:rPr>
                <w:rFonts w:ascii="Arial" w:hAnsi="Arial" w:cs="Arial"/>
                <w:color w:val="FFFFFF" w:themeColor="background1"/>
                <w:sz w:val="20"/>
                <w:szCs w:val="20"/>
              </w:rPr>
            </w:pPr>
            <w:r w:rsidRPr="00B86ABC">
              <w:rPr>
                <w:rFonts w:ascii="Arial" w:hAnsi="Arial" w:cs="Arial"/>
                <w:color w:val="FFFFFF" w:themeColor="background1"/>
                <w:sz w:val="20"/>
                <w:szCs w:val="20"/>
              </w:rPr>
              <w:t>Acueducto y Aseo</w:t>
            </w:r>
          </w:p>
        </w:tc>
      </w:tr>
      <w:tr w:rsidR="00D42177" w:rsidRPr="00A003B6" w14:paraId="36B9C704" w14:textId="77777777" w:rsidTr="00D4217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1B33BFD4" w14:textId="77777777" w:rsidR="00D42177" w:rsidRPr="00A610D0" w:rsidRDefault="00D42177" w:rsidP="009F15B7">
            <w:pPr>
              <w:spacing w:before="40" w:after="60"/>
              <w:jc w:val="center"/>
              <w:rPr>
                <w:rFonts w:ascii="Arial" w:hAnsi="Arial" w:cs="Arial"/>
                <w:color w:val="0F243E" w:themeColor="text2" w:themeShade="80"/>
                <w:sz w:val="20"/>
                <w:szCs w:val="20"/>
              </w:rPr>
            </w:pPr>
            <w:r w:rsidRPr="00A610D0">
              <w:rPr>
                <w:rFonts w:ascii="Arial" w:hAnsi="Arial" w:cs="Arial"/>
                <w:color w:val="0F243E" w:themeColor="text2" w:themeShade="80"/>
                <w:sz w:val="20"/>
                <w:szCs w:val="20"/>
              </w:rPr>
              <w:t>Periodo</w:t>
            </w:r>
          </w:p>
        </w:tc>
        <w:tc>
          <w:tcPr>
            <w:tcW w:w="2566" w:type="dxa"/>
            <w:tcBorders>
              <w:top w:val="nil"/>
              <w:left w:val="nil"/>
              <w:bottom w:val="nil"/>
              <w:right w:val="nil"/>
            </w:tcBorders>
            <w:vAlign w:val="center"/>
            <w:hideMark/>
          </w:tcPr>
          <w:p w14:paraId="2B52E90E" w14:textId="77777777" w:rsidR="00D42177" w:rsidRPr="00A610D0" w:rsidRDefault="00D42177" w:rsidP="009F15B7">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10D0">
              <w:rPr>
                <w:rFonts w:ascii="Arial" w:hAnsi="Arial" w:cs="Arial"/>
                <w:b/>
                <w:bCs/>
                <w:color w:val="0F243E" w:themeColor="text2" w:themeShade="80"/>
                <w:sz w:val="20"/>
                <w:szCs w:val="20"/>
              </w:rPr>
              <w:t xml:space="preserve">Edificio San Agustín </w:t>
            </w:r>
          </w:p>
        </w:tc>
        <w:tc>
          <w:tcPr>
            <w:tcW w:w="2693" w:type="dxa"/>
            <w:tcBorders>
              <w:top w:val="nil"/>
              <w:left w:val="nil"/>
              <w:bottom w:val="nil"/>
              <w:right w:val="nil"/>
            </w:tcBorders>
            <w:vAlign w:val="center"/>
            <w:hideMark/>
          </w:tcPr>
          <w:p w14:paraId="26C38B0A" w14:textId="77777777" w:rsidR="00D42177" w:rsidRPr="00A610D0" w:rsidRDefault="00D42177" w:rsidP="009F15B7">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10D0">
              <w:rPr>
                <w:rFonts w:ascii="Arial" w:hAnsi="Arial" w:cs="Arial"/>
                <w:b/>
                <w:bCs/>
                <w:color w:val="0F243E" w:themeColor="text2" w:themeShade="80"/>
                <w:sz w:val="20"/>
                <w:szCs w:val="20"/>
              </w:rPr>
              <w:t>Casas de Santa Bárbara</w:t>
            </w:r>
          </w:p>
        </w:tc>
      </w:tr>
      <w:tr w:rsidR="00B86ABC" w:rsidRPr="00A003B6" w14:paraId="2F62B382" w14:textId="77777777" w:rsidTr="00D4217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1014A9C4" w14:textId="77777777" w:rsidR="00B86ABC" w:rsidRPr="00A610D0" w:rsidRDefault="00B86ABC" w:rsidP="00B86ABC">
            <w:pPr>
              <w:spacing w:before="40" w:after="60"/>
              <w:jc w:val="center"/>
              <w:rPr>
                <w:rFonts w:ascii="Arial" w:hAnsi="Arial" w:cs="Arial"/>
                <w:color w:val="0F243E" w:themeColor="text2" w:themeShade="80"/>
                <w:sz w:val="20"/>
                <w:szCs w:val="20"/>
              </w:rPr>
            </w:pPr>
            <w:r w:rsidRPr="00A610D0">
              <w:rPr>
                <w:rFonts w:ascii="Arial" w:hAnsi="Arial" w:cs="Arial"/>
                <w:color w:val="0F243E" w:themeColor="text2" w:themeShade="80"/>
                <w:sz w:val="20"/>
                <w:szCs w:val="20"/>
              </w:rPr>
              <w:t>Vigencia 2019</w:t>
            </w:r>
          </w:p>
        </w:tc>
        <w:tc>
          <w:tcPr>
            <w:tcW w:w="2566" w:type="dxa"/>
            <w:tcBorders>
              <w:top w:val="nil"/>
              <w:left w:val="nil"/>
              <w:bottom w:val="nil"/>
              <w:right w:val="nil"/>
            </w:tcBorders>
            <w:vAlign w:val="center"/>
            <w:hideMark/>
          </w:tcPr>
          <w:p w14:paraId="03C1785B" w14:textId="40B66AA5" w:rsidR="00B86ABC" w:rsidRPr="00A610D0" w:rsidRDefault="00B86ABC" w:rsidP="00B86ABC">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10D0">
              <w:rPr>
                <w:rFonts w:ascii="Arial" w:hAnsi="Arial" w:cs="Arial"/>
                <w:color w:val="0F243E" w:themeColor="text2" w:themeShade="80"/>
                <w:sz w:val="20"/>
                <w:szCs w:val="20"/>
              </w:rPr>
              <w:t>14.658.497</w:t>
            </w:r>
          </w:p>
        </w:tc>
        <w:tc>
          <w:tcPr>
            <w:tcW w:w="2693" w:type="dxa"/>
            <w:tcBorders>
              <w:top w:val="nil"/>
              <w:left w:val="nil"/>
              <w:bottom w:val="nil"/>
              <w:right w:val="nil"/>
            </w:tcBorders>
            <w:vAlign w:val="center"/>
            <w:hideMark/>
          </w:tcPr>
          <w:p w14:paraId="3032FEB8" w14:textId="729E4E22" w:rsidR="00B86ABC" w:rsidRPr="00A610D0" w:rsidRDefault="00B86ABC" w:rsidP="00B86ABC">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10D0">
              <w:rPr>
                <w:rFonts w:ascii="Arial" w:hAnsi="Arial" w:cs="Arial"/>
                <w:color w:val="0F243E" w:themeColor="text2" w:themeShade="80"/>
                <w:sz w:val="20"/>
                <w:szCs w:val="20"/>
              </w:rPr>
              <w:t>5.481.700</w:t>
            </w:r>
          </w:p>
        </w:tc>
      </w:tr>
      <w:tr w:rsidR="00B86ABC" w:rsidRPr="00A003B6" w14:paraId="6415D9A0" w14:textId="77777777" w:rsidTr="00D4217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788D53D2" w14:textId="77777777" w:rsidR="00B86ABC" w:rsidRPr="00A610D0" w:rsidRDefault="00B86ABC" w:rsidP="00B86ABC">
            <w:pPr>
              <w:spacing w:before="40" w:after="60"/>
              <w:jc w:val="center"/>
              <w:rPr>
                <w:rFonts w:ascii="Arial" w:hAnsi="Arial" w:cs="Arial"/>
                <w:color w:val="0F243E" w:themeColor="text2" w:themeShade="80"/>
                <w:sz w:val="20"/>
                <w:szCs w:val="20"/>
              </w:rPr>
            </w:pPr>
            <w:r w:rsidRPr="00A610D0">
              <w:rPr>
                <w:rFonts w:ascii="Arial" w:hAnsi="Arial" w:cs="Arial"/>
                <w:color w:val="0F243E" w:themeColor="text2" w:themeShade="80"/>
                <w:sz w:val="20"/>
                <w:szCs w:val="20"/>
              </w:rPr>
              <w:t>Vigencia 2018</w:t>
            </w:r>
          </w:p>
        </w:tc>
        <w:tc>
          <w:tcPr>
            <w:tcW w:w="2566" w:type="dxa"/>
            <w:tcBorders>
              <w:top w:val="nil"/>
              <w:left w:val="nil"/>
              <w:bottom w:val="double" w:sz="4" w:space="0" w:color="4F81BD" w:themeColor="accent1"/>
              <w:right w:val="nil"/>
            </w:tcBorders>
            <w:vAlign w:val="center"/>
            <w:hideMark/>
          </w:tcPr>
          <w:p w14:paraId="60D59812" w14:textId="1DD6630E" w:rsidR="00B86ABC" w:rsidRPr="00A610D0" w:rsidRDefault="00B86ABC" w:rsidP="00B86ABC">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10D0">
              <w:rPr>
                <w:rFonts w:ascii="Arial" w:hAnsi="Arial" w:cs="Arial"/>
                <w:color w:val="0F243E" w:themeColor="text2" w:themeShade="80"/>
                <w:sz w:val="20"/>
                <w:szCs w:val="20"/>
              </w:rPr>
              <w:t>14.039.890</w:t>
            </w:r>
          </w:p>
        </w:tc>
        <w:tc>
          <w:tcPr>
            <w:tcW w:w="2693" w:type="dxa"/>
            <w:tcBorders>
              <w:top w:val="nil"/>
              <w:left w:val="nil"/>
              <w:bottom w:val="double" w:sz="4" w:space="0" w:color="4F81BD" w:themeColor="accent1"/>
              <w:right w:val="nil"/>
            </w:tcBorders>
            <w:vAlign w:val="center"/>
            <w:hideMark/>
          </w:tcPr>
          <w:p w14:paraId="7D37E33F" w14:textId="30DB2743" w:rsidR="00B86ABC" w:rsidRPr="00A610D0" w:rsidRDefault="00B86ABC" w:rsidP="00B86ABC">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10D0">
              <w:rPr>
                <w:rFonts w:ascii="Arial" w:hAnsi="Arial" w:cs="Arial"/>
                <w:color w:val="0F243E" w:themeColor="text2" w:themeShade="80"/>
                <w:sz w:val="20"/>
                <w:szCs w:val="20"/>
              </w:rPr>
              <w:t>6.530.970</w:t>
            </w:r>
          </w:p>
        </w:tc>
      </w:tr>
      <w:tr w:rsidR="00D42177" w:rsidRPr="00A003B6" w14:paraId="644E4CAA" w14:textId="77777777" w:rsidTr="00D4217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vAlign w:val="center"/>
            <w:hideMark/>
          </w:tcPr>
          <w:p w14:paraId="354AC523" w14:textId="77777777" w:rsidR="00D42177" w:rsidRPr="00A610D0" w:rsidRDefault="00D42177" w:rsidP="009F15B7">
            <w:pPr>
              <w:spacing w:before="40" w:after="60"/>
              <w:jc w:val="center"/>
              <w:rPr>
                <w:rFonts w:ascii="Arial" w:hAnsi="Arial" w:cs="Arial"/>
                <w:color w:val="0F243E" w:themeColor="text2" w:themeShade="80"/>
                <w:sz w:val="20"/>
                <w:szCs w:val="20"/>
              </w:rPr>
            </w:pPr>
            <w:r w:rsidRPr="00A610D0">
              <w:rPr>
                <w:rFonts w:ascii="Arial" w:hAnsi="Arial" w:cs="Arial"/>
                <w:color w:val="0F243E" w:themeColor="text2" w:themeShade="80"/>
                <w:sz w:val="20"/>
                <w:szCs w:val="20"/>
              </w:rPr>
              <w:t>Variación $</w:t>
            </w:r>
          </w:p>
        </w:tc>
        <w:tc>
          <w:tcPr>
            <w:tcW w:w="2566" w:type="dxa"/>
            <w:tcBorders>
              <w:top w:val="double" w:sz="4" w:space="0" w:color="4F81BD" w:themeColor="accent1"/>
              <w:left w:val="nil"/>
              <w:bottom w:val="nil"/>
              <w:right w:val="nil"/>
            </w:tcBorders>
            <w:vAlign w:val="center"/>
            <w:hideMark/>
          </w:tcPr>
          <w:p w14:paraId="1079ACC7" w14:textId="24627821" w:rsidR="00D42177" w:rsidRPr="00A610D0" w:rsidRDefault="00B86ABC" w:rsidP="00B86A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10D0">
              <w:rPr>
                <w:rFonts w:ascii="Arial" w:hAnsi="Arial" w:cs="Arial"/>
                <w:b/>
                <w:bCs/>
                <w:color w:val="0F243E" w:themeColor="text2" w:themeShade="80"/>
                <w:sz w:val="20"/>
                <w:szCs w:val="20"/>
              </w:rPr>
              <w:t>618.607</w:t>
            </w:r>
          </w:p>
        </w:tc>
        <w:tc>
          <w:tcPr>
            <w:tcW w:w="2693" w:type="dxa"/>
            <w:tcBorders>
              <w:top w:val="double" w:sz="4" w:space="0" w:color="4F81BD" w:themeColor="accent1"/>
              <w:left w:val="nil"/>
              <w:bottom w:val="nil"/>
              <w:right w:val="nil"/>
            </w:tcBorders>
            <w:vAlign w:val="center"/>
            <w:hideMark/>
          </w:tcPr>
          <w:p w14:paraId="26E618B3" w14:textId="07F891D0" w:rsidR="00D42177" w:rsidRPr="00A610D0" w:rsidRDefault="00B86ABC" w:rsidP="00B86A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10D0">
              <w:rPr>
                <w:rFonts w:ascii="Arial" w:hAnsi="Arial" w:cs="Arial"/>
                <w:b/>
                <w:bCs/>
                <w:color w:val="0F243E" w:themeColor="text2" w:themeShade="80"/>
                <w:sz w:val="20"/>
                <w:szCs w:val="20"/>
              </w:rPr>
              <w:t>(1.049.270)</w:t>
            </w:r>
          </w:p>
        </w:tc>
      </w:tr>
      <w:tr w:rsidR="00D42177" w:rsidRPr="00A003B6" w14:paraId="0CBA3DD5" w14:textId="77777777" w:rsidTr="00D4217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2ADFF418" w14:textId="77777777" w:rsidR="00D42177" w:rsidRPr="00A610D0" w:rsidRDefault="00D42177" w:rsidP="009F15B7">
            <w:pPr>
              <w:spacing w:before="40" w:after="60"/>
              <w:jc w:val="center"/>
              <w:rPr>
                <w:rFonts w:ascii="Arial" w:hAnsi="Arial" w:cs="Arial"/>
                <w:color w:val="0F243E" w:themeColor="text2" w:themeShade="80"/>
                <w:sz w:val="20"/>
                <w:szCs w:val="20"/>
              </w:rPr>
            </w:pPr>
            <w:r w:rsidRPr="00A610D0">
              <w:rPr>
                <w:rFonts w:ascii="Arial" w:hAnsi="Arial" w:cs="Arial"/>
                <w:color w:val="0F243E" w:themeColor="text2" w:themeShade="80"/>
                <w:sz w:val="20"/>
                <w:szCs w:val="20"/>
              </w:rPr>
              <w:t>Variación %</w:t>
            </w:r>
          </w:p>
        </w:tc>
        <w:tc>
          <w:tcPr>
            <w:tcW w:w="2566" w:type="dxa"/>
            <w:tcBorders>
              <w:top w:val="nil"/>
              <w:left w:val="nil"/>
              <w:bottom w:val="double" w:sz="4" w:space="0" w:color="4F81BD" w:themeColor="accent1"/>
              <w:right w:val="nil"/>
            </w:tcBorders>
            <w:vAlign w:val="center"/>
            <w:hideMark/>
          </w:tcPr>
          <w:p w14:paraId="6CA40A7E" w14:textId="5D618F79" w:rsidR="00D42177" w:rsidRPr="00A610D0" w:rsidRDefault="00B86ABC" w:rsidP="009F15B7">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10D0">
              <w:rPr>
                <w:rFonts w:ascii="Arial" w:hAnsi="Arial" w:cs="Arial"/>
                <w:b/>
                <w:bCs/>
                <w:color w:val="0F243E" w:themeColor="text2" w:themeShade="80"/>
                <w:sz w:val="20"/>
                <w:szCs w:val="20"/>
              </w:rPr>
              <w:t>4</w:t>
            </w:r>
            <w:r w:rsidR="00D42177" w:rsidRPr="00A610D0">
              <w:rPr>
                <w:rFonts w:ascii="Arial" w:hAnsi="Arial" w:cs="Arial"/>
                <w:b/>
                <w:bCs/>
                <w:color w:val="0F243E" w:themeColor="text2" w:themeShade="80"/>
                <w:sz w:val="20"/>
                <w:szCs w:val="20"/>
              </w:rPr>
              <w:t>%</w:t>
            </w:r>
          </w:p>
        </w:tc>
        <w:tc>
          <w:tcPr>
            <w:tcW w:w="2693" w:type="dxa"/>
            <w:tcBorders>
              <w:top w:val="nil"/>
              <w:left w:val="nil"/>
              <w:bottom w:val="double" w:sz="4" w:space="0" w:color="4F81BD" w:themeColor="accent1"/>
              <w:right w:val="nil"/>
            </w:tcBorders>
            <w:vAlign w:val="center"/>
            <w:hideMark/>
          </w:tcPr>
          <w:p w14:paraId="6C337271" w14:textId="2A4ED072" w:rsidR="00D42177" w:rsidRPr="00A610D0" w:rsidRDefault="00B86ABC" w:rsidP="00B86ABC">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10D0">
              <w:rPr>
                <w:rFonts w:ascii="Arial" w:hAnsi="Arial" w:cs="Arial"/>
                <w:b/>
                <w:bCs/>
                <w:color w:val="0F243E" w:themeColor="text2" w:themeShade="80"/>
                <w:sz w:val="20"/>
                <w:szCs w:val="20"/>
              </w:rPr>
              <w:t>(16</w:t>
            </w:r>
            <w:r w:rsidR="002D4948" w:rsidRPr="00A610D0">
              <w:rPr>
                <w:rFonts w:ascii="Arial" w:hAnsi="Arial" w:cs="Arial"/>
                <w:b/>
                <w:bCs/>
                <w:color w:val="0F243E" w:themeColor="text2" w:themeShade="80"/>
                <w:sz w:val="20"/>
                <w:szCs w:val="20"/>
              </w:rPr>
              <w:t>%</w:t>
            </w:r>
            <w:r w:rsidRPr="00A610D0">
              <w:rPr>
                <w:rFonts w:ascii="Arial" w:hAnsi="Arial" w:cs="Arial"/>
                <w:b/>
                <w:bCs/>
                <w:color w:val="0F243E" w:themeColor="text2" w:themeShade="80"/>
                <w:sz w:val="20"/>
                <w:szCs w:val="20"/>
              </w:rPr>
              <w:t>)</w:t>
            </w:r>
          </w:p>
        </w:tc>
      </w:tr>
    </w:tbl>
    <w:p w14:paraId="5FE2D3B1" w14:textId="77777777" w:rsidR="00D42177" w:rsidRPr="00A003B6" w:rsidRDefault="00D42177" w:rsidP="000E0AD2">
      <w:pPr>
        <w:rPr>
          <w:rFonts w:ascii="Arial" w:hAnsi="Arial" w:cs="Arial"/>
          <w:color w:val="000000"/>
          <w:sz w:val="22"/>
          <w:szCs w:val="22"/>
          <w:highlight w:val="yellow"/>
        </w:rPr>
      </w:pPr>
    </w:p>
    <w:p w14:paraId="6858BAEA" w14:textId="00D9381A" w:rsidR="00F41F90" w:rsidRDefault="004C6BCB" w:rsidP="00F41F90">
      <w:pPr>
        <w:jc w:val="both"/>
        <w:rPr>
          <w:rFonts w:ascii="Arial" w:hAnsi="Arial" w:cs="Arial"/>
          <w:color w:val="000000"/>
          <w:sz w:val="22"/>
          <w:szCs w:val="22"/>
        </w:rPr>
      </w:pPr>
      <w:r w:rsidRPr="009311F6">
        <w:rPr>
          <w:rFonts w:ascii="Arial" w:hAnsi="Arial" w:cs="Arial"/>
          <w:color w:val="000000"/>
          <w:sz w:val="22"/>
          <w:szCs w:val="22"/>
        </w:rPr>
        <w:t xml:space="preserve">Finalmente, </w:t>
      </w:r>
      <w:r w:rsidR="00F41F90" w:rsidRPr="009311F6">
        <w:rPr>
          <w:rFonts w:ascii="Arial" w:hAnsi="Arial" w:cs="Arial"/>
          <w:color w:val="000000"/>
          <w:sz w:val="22"/>
          <w:szCs w:val="22"/>
        </w:rPr>
        <w:t xml:space="preserve">los </w:t>
      </w:r>
      <w:r w:rsidRPr="009311F6">
        <w:rPr>
          <w:rFonts w:ascii="Arial" w:hAnsi="Arial" w:cs="Arial"/>
          <w:color w:val="000000"/>
          <w:sz w:val="22"/>
          <w:szCs w:val="22"/>
        </w:rPr>
        <w:t>gasto</w:t>
      </w:r>
      <w:r w:rsidR="00F41F90" w:rsidRPr="009311F6">
        <w:rPr>
          <w:rFonts w:ascii="Arial" w:hAnsi="Arial" w:cs="Arial"/>
          <w:color w:val="000000"/>
          <w:sz w:val="22"/>
          <w:szCs w:val="22"/>
        </w:rPr>
        <w:t>s</w:t>
      </w:r>
      <w:r w:rsidR="003501ED">
        <w:rPr>
          <w:rFonts w:ascii="Arial" w:hAnsi="Arial" w:cs="Arial"/>
          <w:color w:val="000000"/>
          <w:sz w:val="22"/>
          <w:szCs w:val="22"/>
        </w:rPr>
        <w:t xml:space="preserve"> de forma global </w:t>
      </w:r>
      <w:r w:rsidRPr="009311F6">
        <w:rPr>
          <w:rFonts w:ascii="Arial" w:hAnsi="Arial" w:cs="Arial"/>
          <w:color w:val="000000"/>
          <w:sz w:val="22"/>
          <w:szCs w:val="22"/>
        </w:rPr>
        <w:t>registrado</w:t>
      </w:r>
      <w:r w:rsidR="00F41F90" w:rsidRPr="009311F6">
        <w:rPr>
          <w:rFonts w:ascii="Arial" w:hAnsi="Arial" w:cs="Arial"/>
          <w:color w:val="000000"/>
          <w:sz w:val="22"/>
          <w:szCs w:val="22"/>
        </w:rPr>
        <w:t>s</w:t>
      </w:r>
      <w:r w:rsidRPr="009311F6">
        <w:rPr>
          <w:rFonts w:ascii="Arial" w:hAnsi="Arial" w:cs="Arial"/>
          <w:color w:val="000000"/>
          <w:sz w:val="22"/>
          <w:szCs w:val="22"/>
        </w:rPr>
        <w:t xml:space="preserve"> por</w:t>
      </w:r>
      <w:r w:rsidR="00F41F90" w:rsidRPr="009311F6">
        <w:rPr>
          <w:rFonts w:ascii="Arial" w:hAnsi="Arial" w:cs="Arial"/>
          <w:color w:val="000000"/>
          <w:sz w:val="22"/>
          <w:szCs w:val="22"/>
        </w:rPr>
        <w:t xml:space="preserve"> este Ministerio para los</w:t>
      </w:r>
      <w:r w:rsidRPr="009311F6">
        <w:rPr>
          <w:rFonts w:ascii="Arial" w:hAnsi="Arial" w:cs="Arial"/>
          <w:color w:val="000000"/>
          <w:sz w:val="22"/>
          <w:szCs w:val="22"/>
        </w:rPr>
        <w:t xml:space="preserve"> conceptos de acueducto y aseo </w:t>
      </w:r>
      <w:r w:rsidR="00F41F90" w:rsidRPr="009311F6">
        <w:rPr>
          <w:rFonts w:ascii="Arial" w:hAnsi="Arial" w:cs="Arial"/>
          <w:color w:val="000000"/>
          <w:sz w:val="22"/>
          <w:szCs w:val="22"/>
        </w:rPr>
        <w:t>correspondientes al</w:t>
      </w:r>
      <w:r w:rsidRPr="009311F6">
        <w:rPr>
          <w:rFonts w:ascii="Arial" w:hAnsi="Arial" w:cs="Arial"/>
          <w:color w:val="000000"/>
          <w:sz w:val="22"/>
          <w:szCs w:val="22"/>
        </w:rPr>
        <w:t xml:space="preserve"> </w:t>
      </w:r>
      <w:r w:rsidR="009311F6">
        <w:rPr>
          <w:rFonts w:ascii="Arial" w:hAnsi="Arial" w:cs="Arial"/>
          <w:color w:val="000000"/>
          <w:sz w:val="22"/>
          <w:szCs w:val="22"/>
        </w:rPr>
        <w:t xml:space="preserve">tercer </w:t>
      </w:r>
      <w:r w:rsidRPr="009311F6">
        <w:rPr>
          <w:rFonts w:ascii="Arial" w:hAnsi="Arial" w:cs="Arial"/>
          <w:color w:val="000000"/>
          <w:sz w:val="22"/>
          <w:szCs w:val="22"/>
        </w:rPr>
        <w:t>trimestre de 2019</w:t>
      </w:r>
      <w:r w:rsidR="003501ED">
        <w:rPr>
          <w:rFonts w:ascii="Arial" w:hAnsi="Arial" w:cs="Arial"/>
          <w:color w:val="000000"/>
          <w:sz w:val="22"/>
          <w:szCs w:val="22"/>
        </w:rPr>
        <w:t>,</w:t>
      </w:r>
      <w:r w:rsidRPr="009311F6">
        <w:rPr>
          <w:rFonts w:ascii="Arial" w:hAnsi="Arial" w:cs="Arial"/>
          <w:color w:val="000000"/>
          <w:sz w:val="22"/>
          <w:szCs w:val="22"/>
        </w:rPr>
        <w:t xml:space="preserve"> comparado con el </w:t>
      </w:r>
      <w:r w:rsidR="00CC2708">
        <w:rPr>
          <w:rFonts w:ascii="Arial" w:hAnsi="Arial" w:cs="Arial"/>
          <w:color w:val="000000"/>
          <w:sz w:val="22"/>
          <w:szCs w:val="22"/>
        </w:rPr>
        <w:t xml:space="preserve">mismo periodo de </w:t>
      </w:r>
      <w:r w:rsidR="00F41F90" w:rsidRPr="009311F6">
        <w:rPr>
          <w:rFonts w:ascii="Arial" w:hAnsi="Arial" w:cs="Arial"/>
          <w:color w:val="000000"/>
          <w:sz w:val="22"/>
          <w:szCs w:val="22"/>
        </w:rPr>
        <w:t xml:space="preserve">2018, </w:t>
      </w:r>
      <w:r w:rsidR="00250FF3" w:rsidRPr="00250FF3">
        <w:rPr>
          <w:rFonts w:ascii="Arial" w:hAnsi="Arial" w:cs="Arial"/>
          <w:b/>
          <w:color w:val="000000"/>
          <w:sz w:val="22"/>
          <w:szCs w:val="22"/>
        </w:rPr>
        <w:t>disminuyó</w:t>
      </w:r>
      <w:r w:rsidR="00250FF3">
        <w:rPr>
          <w:rFonts w:ascii="Arial" w:hAnsi="Arial" w:cs="Arial"/>
          <w:color w:val="000000"/>
          <w:sz w:val="22"/>
          <w:szCs w:val="22"/>
        </w:rPr>
        <w:t xml:space="preserve"> </w:t>
      </w:r>
      <w:r w:rsidR="00F41F90" w:rsidRPr="009311F6">
        <w:rPr>
          <w:rFonts w:ascii="Arial" w:hAnsi="Arial" w:cs="Arial"/>
          <w:color w:val="000000"/>
          <w:sz w:val="22"/>
          <w:szCs w:val="22"/>
        </w:rPr>
        <w:t xml:space="preserve">el </w:t>
      </w:r>
      <w:r w:rsidR="00250FF3">
        <w:rPr>
          <w:rFonts w:ascii="Arial" w:hAnsi="Arial" w:cs="Arial"/>
          <w:color w:val="000000"/>
          <w:sz w:val="22"/>
          <w:szCs w:val="22"/>
        </w:rPr>
        <w:t>2</w:t>
      </w:r>
      <w:r w:rsidR="00F41F90" w:rsidRPr="009311F6">
        <w:rPr>
          <w:rFonts w:ascii="Arial" w:hAnsi="Arial" w:cs="Arial"/>
          <w:color w:val="000000"/>
          <w:sz w:val="22"/>
          <w:szCs w:val="22"/>
        </w:rPr>
        <w:t xml:space="preserve">%. </w:t>
      </w:r>
    </w:p>
    <w:p w14:paraId="258982AD" w14:textId="77777777" w:rsidR="002C7BCA" w:rsidRPr="00A003B6" w:rsidRDefault="002C7BCA" w:rsidP="00F41F90">
      <w:pPr>
        <w:jc w:val="both"/>
        <w:rPr>
          <w:rFonts w:ascii="Arial" w:hAnsi="Arial" w:cs="Arial"/>
          <w:color w:val="000000"/>
          <w:sz w:val="22"/>
          <w:szCs w:val="22"/>
          <w:highlight w:val="yellow"/>
        </w:rPr>
      </w:pPr>
    </w:p>
    <w:tbl>
      <w:tblPr>
        <w:tblStyle w:val="Tabladecuadrcula5oscura-nfasis1"/>
        <w:tblW w:w="5812" w:type="dxa"/>
        <w:jc w:val="center"/>
        <w:tblLook w:val="04A0" w:firstRow="1" w:lastRow="0" w:firstColumn="1" w:lastColumn="0" w:noHBand="0" w:noVBand="1"/>
      </w:tblPr>
      <w:tblGrid>
        <w:gridCol w:w="704"/>
        <w:gridCol w:w="2557"/>
        <w:gridCol w:w="2551"/>
      </w:tblGrid>
      <w:tr w:rsidR="004C6BCB" w:rsidRPr="009311F6" w14:paraId="777CE8D1" w14:textId="77777777" w:rsidTr="004C6BCB">
        <w:trPr>
          <w:cnfStyle w:val="100000000000" w:firstRow="1" w:lastRow="0" w:firstColumn="0" w:lastColumn="0" w:oddVBand="0" w:evenVBand="0" w:oddHBand="0"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704" w:type="dxa"/>
            <w:vMerge w:val="restart"/>
            <w:noWrap/>
            <w:textDirection w:val="btLr"/>
            <w:vAlign w:val="center"/>
            <w:hideMark/>
          </w:tcPr>
          <w:p w14:paraId="2F0781F1" w14:textId="1F9488D0" w:rsidR="004C6BCB" w:rsidRPr="009311F6" w:rsidRDefault="009311F6" w:rsidP="00120E1F">
            <w:pPr>
              <w:spacing w:before="100" w:after="80"/>
              <w:jc w:val="center"/>
              <w:rPr>
                <w:rFonts w:ascii="Arial" w:hAnsi="Arial" w:cs="Arial"/>
                <w:color w:val="000000"/>
                <w:sz w:val="20"/>
                <w:szCs w:val="20"/>
              </w:rPr>
            </w:pPr>
            <w:r>
              <w:rPr>
                <w:rFonts w:ascii="Arial" w:hAnsi="Arial" w:cs="Arial"/>
                <w:sz w:val="20"/>
                <w:szCs w:val="20"/>
              </w:rPr>
              <w:t>I</w:t>
            </w:r>
            <w:r w:rsidR="004C6BCB" w:rsidRPr="009311F6">
              <w:rPr>
                <w:rFonts w:ascii="Arial" w:hAnsi="Arial" w:cs="Arial"/>
                <w:sz w:val="20"/>
                <w:szCs w:val="20"/>
              </w:rPr>
              <w:t xml:space="preserve">II Trimestre </w:t>
            </w:r>
          </w:p>
        </w:tc>
        <w:tc>
          <w:tcPr>
            <w:tcW w:w="5108" w:type="dxa"/>
            <w:gridSpan w:val="2"/>
            <w:vAlign w:val="center"/>
            <w:hideMark/>
          </w:tcPr>
          <w:p w14:paraId="4E10D9B6" w14:textId="77777777" w:rsidR="004C6BCB" w:rsidRPr="009311F6" w:rsidRDefault="004C6BCB" w:rsidP="00120E1F">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311F6">
              <w:rPr>
                <w:rFonts w:ascii="Arial" w:hAnsi="Arial" w:cs="Arial"/>
                <w:sz w:val="20"/>
                <w:szCs w:val="20"/>
              </w:rPr>
              <w:t>Valor Facturado por Acueducto y Aseo ($)</w:t>
            </w:r>
          </w:p>
        </w:tc>
      </w:tr>
      <w:tr w:rsidR="004C6BCB" w:rsidRPr="009311F6" w14:paraId="533E93F0" w14:textId="77777777" w:rsidTr="004C6B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0DFC81A1" w14:textId="77777777" w:rsidR="004C6BCB" w:rsidRPr="009311F6" w:rsidRDefault="004C6BCB" w:rsidP="00120E1F">
            <w:pPr>
              <w:spacing w:before="100" w:after="80"/>
              <w:rPr>
                <w:rFonts w:ascii="Arial" w:hAnsi="Arial" w:cs="Arial"/>
                <w:color w:val="000000"/>
                <w:sz w:val="20"/>
                <w:szCs w:val="20"/>
              </w:rPr>
            </w:pPr>
          </w:p>
        </w:tc>
        <w:tc>
          <w:tcPr>
            <w:tcW w:w="2557" w:type="dxa"/>
            <w:vAlign w:val="center"/>
            <w:hideMark/>
          </w:tcPr>
          <w:p w14:paraId="2B05BFF4" w14:textId="77777777" w:rsidR="004C6BCB" w:rsidRPr="009311F6" w:rsidRDefault="004C6BCB" w:rsidP="00120E1F">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9311F6">
              <w:rPr>
                <w:rFonts w:ascii="Arial" w:hAnsi="Arial" w:cs="Arial"/>
                <w:b/>
                <w:bCs/>
                <w:color w:val="0F243E" w:themeColor="text2" w:themeShade="80"/>
                <w:sz w:val="20"/>
                <w:szCs w:val="20"/>
              </w:rPr>
              <w:t>Periodo</w:t>
            </w:r>
          </w:p>
        </w:tc>
        <w:tc>
          <w:tcPr>
            <w:tcW w:w="2551" w:type="dxa"/>
            <w:vAlign w:val="center"/>
            <w:hideMark/>
          </w:tcPr>
          <w:p w14:paraId="16A1AB8A" w14:textId="77777777" w:rsidR="004C6BCB" w:rsidRPr="009311F6" w:rsidRDefault="004C6BCB" w:rsidP="00120E1F">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9311F6">
              <w:rPr>
                <w:rFonts w:ascii="Arial" w:hAnsi="Arial" w:cs="Arial"/>
                <w:b/>
                <w:bCs/>
                <w:color w:val="0F243E" w:themeColor="text2" w:themeShade="80"/>
                <w:sz w:val="20"/>
                <w:szCs w:val="20"/>
              </w:rPr>
              <w:t xml:space="preserve">Valor ($) </w:t>
            </w:r>
          </w:p>
        </w:tc>
      </w:tr>
      <w:tr w:rsidR="009311F6" w:rsidRPr="009311F6" w14:paraId="6BB31F68" w14:textId="77777777" w:rsidTr="004C6BCB">
        <w:trPr>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22BE50FB" w14:textId="77777777" w:rsidR="009311F6" w:rsidRPr="009311F6" w:rsidRDefault="009311F6" w:rsidP="009311F6">
            <w:pPr>
              <w:spacing w:before="100" w:after="80"/>
              <w:rPr>
                <w:rFonts w:ascii="Arial" w:hAnsi="Arial" w:cs="Arial"/>
                <w:color w:val="000000"/>
                <w:sz w:val="20"/>
                <w:szCs w:val="20"/>
              </w:rPr>
            </w:pPr>
          </w:p>
        </w:tc>
        <w:tc>
          <w:tcPr>
            <w:tcW w:w="2557" w:type="dxa"/>
            <w:noWrap/>
            <w:vAlign w:val="center"/>
            <w:hideMark/>
          </w:tcPr>
          <w:p w14:paraId="7A356B25" w14:textId="77777777" w:rsidR="009311F6" w:rsidRPr="00FB7EA4" w:rsidRDefault="009311F6" w:rsidP="009311F6">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2019</w:t>
            </w:r>
          </w:p>
        </w:tc>
        <w:tc>
          <w:tcPr>
            <w:tcW w:w="2551" w:type="dxa"/>
            <w:noWrap/>
            <w:vAlign w:val="center"/>
            <w:hideMark/>
          </w:tcPr>
          <w:p w14:paraId="6E5C72F5" w14:textId="4DA32606" w:rsidR="009311F6" w:rsidRPr="00FB7EA4" w:rsidRDefault="009311F6" w:rsidP="009311F6">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20.140.197</w:t>
            </w:r>
          </w:p>
        </w:tc>
      </w:tr>
      <w:tr w:rsidR="009311F6" w:rsidRPr="009311F6" w14:paraId="2B8D4735" w14:textId="77777777" w:rsidTr="004C6B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51C8C31B" w14:textId="77777777" w:rsidR="009311F6" w:rsidRPr="009311F6" w:rsidRDefault="009311F6" w:rsidP="009311F6">
            <w:pPr>
              <w:spacing w:before="100" w:after="80"/>
              <w:rPr>
                <w:rFonts w:ascii="Arial" w:hAnsi="Arial" w:cs="Arial"/>
                <w:color w:val="000000"/>
                <w:sz w:val="20"/>
                <w:szCs w:val="20"/>
              </w:rPr>
            </w:pPr>
          </w:p>
        </w:tc>
        <w:tc>
          <w:tcPr>
            <w:tcW w:w="2557" w:type="dxa"/>
            <w:noWrap/>
            <w:vAlign w:val="center"/>
            <w:hideMark/>
          </w:tcPr>
          <w:p w14:paraId="1DF1B30F" w14:textId="77777777" w:rsidR="009311F6" w:rsidRPr="00FB7EA4" w:rsidRDefault="009311F6" w:rsidP="009311F6">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2018</w:t>
            </w:r>
          </w:p>
        </w:tc>
        <w:tc>
          <w:tcPr>
            <w:tcW w:w="2551" w:type="dxa"/>
            <w:noWrap/>
            <w:vAlign w:val="center"/>
            <w:hideMark/>
          </w:tcPr>
          <w:p w14:paraId="5C6F0E87" w14:textId="399C7F8B" w:rsidR="009311F6" w:rsidRPr="00FB7EA4" w:rsidRDefault="009311F6" w:rsidP="009311F6">
            <w:pPr>
              <w:spacing w:before="100" w:after="8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20.570.860</w:t>
            </w:r>
          </w:p>
        </w:tc>
      </w:tr>
      <w:tr w:rsidR="004C6BCB" w:rsidRPr="009311F6" w14:paraId="419340D6" w14:textId="77777777" w:rsidTr="004C6BCB">
        <w:trPr>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65F180E3" w14:textId="77777777" w:rsidR="004C6BCB" w:rsidRPr="009311F6" w:rsidRDefault="004C6BCB" w:rsidP="00120E1F">
            <w:pPr>
              <w:spacing w:before="100" w:after="80"/>
              <w:rPr>
                <w:rFonts w:ascii="Arial" w:hAnsi="Arial" w:cs="Arial"/>
                <w:color w:val="000000"/>
                <w:sz w:val="20"/>
                <w:szCs w:val="20"/>
              </w:rPr>
            </w:pPr>
          </w:p>
        </w:tc>
        <w:tc>
          <w:tcPr>
            <w:tcW w:w="2557" w:type="dxa"/>
            <w:noWrap/>
            <w:vAlign w:val="center"/>
            <w:hideMark/>
          </w:tcPr>
          <w:p w14:paraId="7CEA6CFD" w14:textId="77777777" w:rsidR="004C6BCB" w:rsidRPr="00FB7EA4" w:rsidRDefault="004C6BCB" w:rsidP="00120E1F">
            <w:pPr>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Variación en $</w:t>
            </w:r>
          </w:p>
        </w:tc>
        <w:tc>
          <w:tcPr>
            <w:tcW w:w="2551" w:type="dxa"/>
            <w:noWrap/>
            <w:vAlign w:val="center"/>
            <w:hideMark/>
          </w:tcPr>
          <w:p w14:paraId="48640EA9" w14:textId="045052C7" w:rsidR="004C6BCB" w:rsidRPr="00FB7EA4" w:rsidRDefault="009311F6" w:rsidP="009311F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-430.663</w:t>
            </w:r>
          </w:p>
        </w:tc>
      </w:tr>
      <w:tr w:rsidR="004C6BCB" w:rsidRPr="00A003B6" w14:paraId="3B006AE0" w14:textId="77777777" w:rsidTr="004C6B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492B2A9B" w14:textId="77777777" w:rsidR="004C6BCB" w:rsidRPr="009311F6" w:rsidRDefault="004C6BCB" w:rsidP="00120E1F">
            <w:pPr>
              <w:spacing w:before="100" w:after="80"/>
              <w:rPr>
                <w:rFonts w:ascii="Arial" w:hAnsi="Arial" w:cs="Arial"/>
                <w:color w:val="000000"/>
                <w:sz w:val="20"/>
                <w:szCs w:val="20"/>
              </w:rPr>
            </w:pPr>
          </w:p>
        </w:tc>
        <w:tc>
          <w:tcPr>
            <w:tcW w:w="2557" w:type="dxa"/>
            <w:noWrap/>
            <w:vAlign w:val="center"/>
            <w:hideMark/>
          </w:tcPr>
          <w:p w14:paraId="180E667C" w14:textId="77777777" w:rsidR="004C6BCB" w:rsidRPr="00FB7EA4" w:rsidRDefault="004C6BCB" w:rsidP="00120E1F">
            <w:pPr>
              <w:spacing w:before="100" w:after="80"/>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 xml:space="preserve">Variación en % </w:t>
            </w:r>
          </w:p>
        </w:tc>
        <w:tc>
          <w:tcPr>
            <w:tcW w:w="2551" w:type="dxa"/>
            <w:noWrap/>
            <w:vAlign w:val="center"/>
            <w:hideMark/>
          </w:tcPr>
          <w:p w14:paraId="7B7E6548" w14:textId="6A35CA10" w:rsidR="004C6BCB" w:rsidRPr="00FB7EA4" w:rsidRDefault="009311F6" w:rsidP="009311F6">
            <w:pPr>
              <w:spacing w:before="100" w:after="8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(2%)</w:t>
            </w:r>
          </w:p>
        </w:tc>
      </w:tr>
    </w:tbl>
    <w:p w14:paraId="1A10E69F" w14:textId="77777777" w:rsidR="00D42177" w:rsidRPr="00A003B6" w:rsidRDefault="00D42177" w:rsidP="000E0AD2">
      <w:pPr>
        <w:rPr>
          <w:rFonts w:ascii="Arial" w:hAnsi="Arial" w:cs="Arial"/>
          <w:color w:val="000000"/>
          <w:sz w:val="22"/>
          <w:szCs w:val="22"/>
          <w:highlight w:val="yellow"/>
        </w:rPr>
      </w:pPr>
    </w:p>
    <w:p w14:paraId="156C3409" w14:textId="77777777" w:rsidR="00206150" w:rsidRPr="00AA09AE" w:rsidRDefault="0046364D" w:rsidP="00206150">
      <w:pPr>
        <w:jc w:val="both"/>
        <w:rPr>
          <w:rFonts w:ascii="Arial" w:hAnsi="Arial" w:cs="Arial"/>
          <w:color w:val="000000"/>
          <w:sz w:val="22"/>
          <w:szCs w:val="22"/>
        </w:rPr>
      </w:pPr>
      <w:r w:rsidRPr="00AA09AE">
        <w:rPr>
          <w:rFonts w:ascii="Arial" w:hAnsi="Arial" w:cs="Arial"/>
          <w:color w:val="000000"/>
          <w:sz w:val="22"/>
          <w:szCs w:val="22"/>
        </w:rPr>
        <w:t>De otra parte, se comp</w:t>
      </w:r>
      <w:r w:rsidR="00904435" w:rsidRPr="00AA09AE">
        <w:rPr>
          <w:rFonts w:ascii="Arial" w:hAnsi="Arial" w:cs="Arial"/>
          <w:color w:val="000000"/>
          <w:sz w:val="22"/>
          <w:szCs w:val="22"/>
        </w:rPr>
        <w:t>aró</w:t>
      </w:r>
      <w:r w:rsidRPr="00AA09AE">
        <w:rPr>
          <w:rFonts w:ascii="Arial" w:hAnsi="Arial" w:cs="Arial"/>
          <w:color w:val="000000"/>
          <w:sz w:val="22"/>
          <w:szCs w:val="22"/>
        </w:rPr>
        <w:t xml:space="preserve"> el consumo en metros cúbicos [m3] </w:t>
      </w:r>
      <w:r w:rsidR="006621F3" w:rsidRPr="00AA09AE">
        <w:rPr>
          <w:rFonts w:ascii="Arial" w:hAnsi="Arial" w:cs="Arial"/>
          <w:color w:val="000000"/>
          <w:sz w:val="22"/>
          <w:szCs w:val="22"/>
        </w:rPr>
        <w:t>de agua potable</w:t>
      </w:r>
      <w:r w:rsidRPr="00AA09AE">
        <w:rPr>
          <w:rFonts w:ascii="Arial" w:hAnsi="Arial" w:cs="Arial"/>
          <w:color w:val="000000"/>
          <w:sz w:val="22"/>
          <w:szCs w:val="22"/>
        </w:rPr>
        <w:t xml:space="preserve"> para las dos sedes de la e</w:t>
      </w:r>
      <w:r w:rsidR="00BC0FD3" w:rsidRPr="00AA09AE">
        <w:rPr>
          <w:rFonts w:ascii="Arial" w:hAnsi="Arial" w:cs="Arial"/>
          <w:color w:val="000000"/>
          <w:sz w:val="22"/>
          <w:szCs w:val="22"/>
        </w:rPr>
        <w:t>ntidad</w:t>
      </w:r>
      <w:r w:rsidR="00865D7E" w:rsidRPr="00AA09AE">
        <w:rPr>
          <w:rFonts w:ascii="Arial" w:hAnsi="Arial" w:cs="Arial"/>
          <w:color w:val="000000"/>
          <w:sz w:val="22"/>
          <w:szCs w:val="22"/>
        </w:rPr>
        <w:t xml:space="preserve">. Es de aclarar, que el periodo tomado fue </w:t>
      </w:r>
      <w:r w:rsidR="005A1CC0" w:rsidRPr="00AA09AE">
        <w:rPr>
          <w:rFonts w:ascii="Arial" w:hAnsi="Arial" w:cs="Arial"/>
          <w:color w:val="000000"/>
          <w:sz w:val="22"/>
          <w:szCs w:val="22"/>
        </w:rPr>
        <w:t xml:space="preserve">el correspondiente al facturado por la empresa de acueducto, el cual </w:t>
      </w:r>
      <w:r w:rsidR="00A71574" w:rsidRPr="00AA09AE">
        <w:rPr>
          <w:rFonts w:ascii="Arial" w:hAnsi="Arial" w:cs="Arial"/>
          <w:color w:val="000000"/>
          <w:sz w:val="22"/>
          <w:szCs w:val="22"/>
        </w:rPr>
        <w:t xml:space="preserve">pertenece </w:t>
      </w:r>
      <w:r w:rsidR="005A1CC0" w:rsidRPr="00AA09AE">
        <w:rPr>
          <w:rFonts w:ascii="Arial" w:hAnsi="Arial" w:cs="Arial"/>
          <w:color w:val="000000"/>
          <w:sz w:val="22"/>
          <w:szCs w:val="22"/>
        </w:rPr>
        <w:t xml:space="preserve">al trimestre analizado, </w:t>
      </w:r>
      <w:r w:rsidR="00904435" w:rsidRPr="00AA09AE">
        <w:rPr>
          <w:rFonts w:ascii="Arial" w:hAnsi="Arial" w:cs="Arial"/>
          <w:color w:val="000000"/>
          <w:sz w:val="22"/>
          <w:szCs w:val="22"/>
        </w:rPr>
        <w:t xml:space="preserve">así: </w:t>
      </w:r>
    </w:p>
    <w:p w14:paraId="731501AD" w14:textId="77777777" w:rsidR="005E0585" w:rsidRPr="00A003B6" w:rsidRDefault="005E0585" w:rsidP="00206150">
      <w:pPr>
        <w:jc w:val="both"/>
        <w:rPr>
          <w:rFonts w:ascii="Arial" w:hAnsi="Arial" w:cs="Arial"/>
          <w:color w:val="000000"/>
          <w:sz w:val="22"/>
          <w:szCs w:val="22"/>
          <w:highlight w:val="yellow"/>
        </w:rPr>
      </w:pPr>
    </w:p>
    <w:tbl>
      <w:tblPr>
        <w:tblStyle w:val="Tabladecuadrcula1clara-nfasis1"/>
        <w:tblW w:w="0" w:type="auto"/>
        <w:jc w:val="center"/>
        <w:tblLook w:val="04A0" w:firstRow="1" w:lastRow="0" w:firstColumn="1" w:lastColumn="0" w:noHBand="0" w:noVBand="1"/>
      </w:tblPr>
      <w:tblGrid>
        <w:gridCol w:w="2454"/>
        <w:gridCol w:w="2503"/>
        <w:gridCol w:w="1991"/>
        <w:gridCol w:w="2730"/>
      </w:tblGrid>
      <w:tr w:rsidR="00E75A1A" w:rsidRPr="00AA09AE" w14:paraId="5AAD1121" w14:textId="77777777" w:rsidTr="0033157E">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bottom w:val="double" w:sz="4" w:space="0" w:color="4F81BD" w:themeColor="accent1"/>
            </w:tcBorders>
            <w:vAlign w:val="center"/>
            <w:hideMark/>
          </w:tcPr>
          <w:p w14:paraId="07EE43D6" w14:textId="77777777" w:rsidR="00E75A1A" w:rsidRPr="00AA09AE" w:rsidRDefault="00206150" w:rsidP="00D42D1C">
            <w:pPr>
              <w:spacing w:before="20" w:after="20"/>
              <w:jc w:val="center"/>
              <w:rPr>
                <w:rFonts w:ascii="Arial" w:hAnsi="Arial" w:cs="Arial"/>
                <w:color w:val="000000"/>
                <w:sz w:val="20"/>
                <w:szCs w:val="20"/>
              </w:rPr>
            </w:pPr>
            <w:r w:rsidRPr="00AA09AE">
              <w:rPr>
                <w:rFonts w:ascii="Arial" w:hAnsi="Arial" w:cs="Arial"/>
                <w:color w:val="000000"/>
                <w:sz w:val="22"/>
                <w:szCs w:val="22"/>
              </w:rPr>
              <w:lastRenderedPageBreak/>
              <w:br w:type="page"/>
            </w:r>
            <w:r w:rsidR="00E75A1A" w:rsidRPr="00AA09AE">
              <w:rPr>
                <w:rFonts w:ascii="Arial" w:hAnsi="Arial" w:cs="Arial"/>
                <w:color w:val="0F243E" w:themeColor="text2" w:themeShade="80"/>
                <w:sz w:val="20"/>
                <w:szCs w:val="20"/>
              </w:rPr>
              <w:t>Consumo M3 Agua Potable</w:t>
            </w:r>
          </w:p>
        </w:tc>
      </w:tr>
      <w:tr w:rsidR="00E75A1A" w:rsidRPr="00AA09AE" w14:paraId="7B4986B1" w14:textId="77777777" w:rsidTr="00AA09AE">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shd w:val="clear" w:color="auto" w:fill="4F81BD" w:themeFill="accent1"/>
            <w:vAlign w:val="center"/>
            <w:hideMark/>
          </w:tcPr>
          <w:p w14:paraId="3C76F528" w14:textId="77777777" w:rsidR="00E75A1A" w:rsidRPr="00AA09AE" w:rsidRDefault="00E75A1A" w:rsidP="00D42D1C">
            <w:pPr>
              <w:spacing w:before="20" w:after="20"/>
              <w:jc w:val="center"/>
              <w:rPr>
                <w:rFonts w:ascii="Arial" w:hAnsi="Arial" w:cs="Arial"/>
                <w:color w:val="FFFFFF" w:themeColor="background1"/>
                <w:sz w:val="20"/>
                <w:szCs w:val="20"/>
              </w:rPr>
            </w:pPr>
            <w:r w:rsidRPr="00AA09AE">
              <w:rPr>
                <w:rFonts w:ascii="Arial" w:hAnsi="Arial" w:cs="Arial"/>
                <w:color w:val="FFFFFF" w:themeColor="background1"/>
                <w:sz w:val="20"/>
                <w:szCs w:val="20"/>
              </w:rPr>
              <w:t>Sede</w:t>
            </w:r>
          </w:p>
        </w:tc>
        <w:tc>
          <w:tcPr>
            <w:tcW w:w="2503" w:type="dxa"/>
            <w:tcBorders>
              <w:top w:val="double" w:sz="4" w:space="0" w:color="4F81BD" w:themeColor="accent1"/>
            </w:tcBorders>
            <w:shd w:val="clear" w:color="auto" w:fill="4F81BD" w:themeFill="accent1"/>
            <w:vAlign w:val="center"/>
            <w:hideMark/>
          </w:tcPr>
          <w:p w14:paraId="3AA7D506" w14:textId="77777777" w:rsidR="00E75A1A" w:rsidRPr="00AA09AE" w:rsidRDefault="00E75A1A"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A09AE">
              <w:rPr>
                <w:rFonts w:ascii="Arial" w:hAnsi="Arial" w:cs="Arial"/>
                <w:b/>
                <w:bCs/>
                <w:color w:val="FFFFFF" w:themeColor="background1"/>
                <w:sz w:val="20"/>
                <w:szCs w:val="20"/>
              </w:rPr>
              <w:t xml:space="preserve">Periodo </w:t>
            </w:r>
          </w:p>
        </w:tc>
        <w:tc>
          <w:tcPr>
            <w:tcW w:w="1991" w:type="dxa"/>
            <w:tcBorders>
              <w:top w:val="double" w:sz="4" w:space="0" w:color="4F81BD" w:themeColor="accent1"/>
            </w:tcBorders>
            <w:shd w:val="clear" w:color="auto" w:fill="4F81BD" w:themeFill="accent1"/>
            <w:vAlign w:val="center"/>
            <w:hideMark/>
          </w:tcPr>
          <w:p w14:paraId="53A42AAF" w14:textId="77777777" w:rsidR="00E75A1A" w:rsidRPr="00AA09AE" w:rsidRDefault="00E75A1A"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A09AE">
              <w:rPr>
                <w:rFonts w:ascii="Arial" w:hAnsi="Arial" w:cs="Arial"/>
                <w:b/>
                <w:bCs/>
                <w:color w:val="FFFFFF" w:themeColor="background1"/>
                <w:sz w:val="20"/>
                <w:szCs w:val="20"/>
              </w:rPr>
              <w:t>Vigencia</w:t>
            </w:r>
          </w:p>
        </w:tc>
        <w:tc>
          <w:tcPr>
            <w:tcW w:w="0" w:type="auto"/>
            <w:tcBorders>
              <w:top w:val="double" w:sz="4" w:space="0" w:color="4F81BD" w:themeColor="accent1"/>
            </w:tcBorders>
            <w:shd w:val="clear" w:color="auto" w:fill="4F81BD" w:themeFill="accent1"/>
            <w:vAlign w:val="center"/>
            <w:hideMark/>
          </w:tcPr>
          <w:p w14:paraId="5C065DCE" w14:textId="77777777" w:rsidR="00E75A1A" w:rsidRPr="00AA09AE" w:rsidRDefault="00E75A1A"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A09AE">
              <w:rPr>
                <w:rFonts w:ascii="Arial" w:hAnsi="Arial" w:cs="Arial"/>
                <w:b/>
                <w:bCs/>
                <w:color w:val="FFFFFF" w:themeColor="background1"/>
                <w:sz w:val="20"/>
                <w:szCs w:val="20"/>
              </w:rPr>
              <w:t>Consumo M3 Agua Potable</w:t>
            </w:r>
          </w:p>
        </w:tc>
      </w:tr>
      <w:tr w:rsidR="00AA09AE" w:rsidRPr="00AA09AE" w14:paraId="0249E11A" w14:textId="77777777" w:rsidTr="00AA09A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4EC132DB" w14:textId="77777777" w:rsidR="00AA09AE" w:rsidRPr="00FB7EA4" w:rsidRDefault="00AA09AE" w:rsidP="00D42D1C">
            <w:pPr>
              <w:spacing w:before="20" w:after="2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Edificio San Agustín</w:t>
            </w:r>
          </w:p>
        </w:tc>
        <w:tc>
          <w:tcPr>
            <w:tcW w:w="2503" w:type="dxa"/>
            <w:vMerge w:val="restart"/>
            <w:vAlign w:val="center"/>
            <w:hideMark/>
          </w:tcPr>
          <w:p w14:paraId="64C8CD74" w14:textId="1E02808F" w:rsidR="00AA09AE" w:rsidRPr="00FB7EA4"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11 de julio a 6 de septiembre de 2019</w:t>
            </w:r>
          </w:p>
        </w:tc>
        <w:tc>
          <w:tcPr>
            <w:tcW w:w="1991" w:type="dxa"/>
            <w:vAlign w:val="center"/>
            <w:hideMark/>
          </w:tcPr>
          <w:p w14:paraId="067EC970" w14:textId="77777777" w:rsidR="00AA09AE" w:rsidRPr="00FB7EA4"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2019</w:t>
            </w:r>
          </w:p>
        </w:tc>
        <w:tc>
          <w:tcPr>
            <w:tcW w:w="0" w:type="auto"/>
            <w:vAlign w:val="center"/>
            <w:hideMark/>
          </w:tcPr>
          <w:p w14:paraId="49028F8D" w14:textId="55308081" w:rsidR="00AA09AE" w:rsidRPr="00FB7EA4"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3.706</w:t>
            </w:r>
          </w:p>
        </w:tc>
      </w:tr>
      <w:tr w:rsidR="00AA09AE" w:rsidRPr="00AA09AE" w14:paraId="76D6DF6F" w14:textId="77777777" w:rsidTr="00AA09A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74D63DB" w14:textId="77777777" w:rsidR="00AA09AE" w:rsidRPr="00FB7EA4" w:rsidRDefault="00AA09AE" w:rsidP="00D42D1C">
            <w:pPr>
              <w:spacing w:before="20" w:after="20"/>
              <w:rPr>
                <w:rFonts w:ascii="Arial" w:hAnsi="Arial" w:cs="Arial"/>
                <w:color w:val="0F243E" w:themeColor="text2" w:themeShade="80"/>
                <w:sz w:val="20"/>
                <w:szCs w:val="20"/>
              </w:rPr>
            </w:pPr>
          </w:p>
        </w:tc>
        <w:tc>
          <w:tcPr>
            <w:tcW w:w="2503" w:type="dxa"/>
            <w:vMerge/>
            <w:vAlign w:val="center"/>
            <w:hideMark/>
          </w:tcPr>
          <w:p w14:paraId="1EFCB85B" w14:textId="77777777" w:rsidR="00AA09AE" w:rsidRPr="00FB7EA4" w:rsidRDefault="00AA09AE" w:rsidP="00D42D1C">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991" w:type="dxa"/>
            <w:vAlign w:val="center"/>
            <w:hideMark/>
          </w:tcPr>
          <w:p w14:paraId="603945D6" w14:textId="77777777" w:rsidR="00AA09AE" w:rsidRPr="00FB7EA4"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2018</w:t>
            </w:r>
          </w:p>
        </w:tc>
        <w:tc>
          <w:tcPr>
            <w:tcW w:w="0" w:type="auto"/>
            <w:vAlign w:val="center"/>
            <w:hideMark/>
          </w:tcPr>
          <w:p w14:paraId="10390739" w14:textId="6F749339" w:rsidR="00AA09AE" w:rsidRPr="00FB7EA4"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2.928</w:t>
            </w:r>
          </w:p>
        </w:tc>
      </w:tr>
      <w:tr w:rsidR="00AA09AE" w:rsidRPr="00AA09AE" w14:paraId="54E0BD8D" w14:textId="77777777"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2C469B56" w14:textId="77777777" w:rsidR="00AA09AE" w:rsidRPr="00AA09AE" w:rsidRDefault="00AA09AE" w:rsidP="00D42D1C">
            <w:pPr>
              <w:spacing w:before="20" w:after="20"/>
              <w:jc w:val="center"/>
              <w:rPr>
                <w:rFonts w:ascii="Arial" w:hAnsi="Arial" w:cs="Arial"/>
                <w:color w:val="FFFFFF" w:themeColor="background1"/>
                <w:sz w:val="20"/>
                <w:szCs w:val="20"/>
              </w:rPr>
            </w:pPr>
            <w:r w:rsidRPr="00AA09AE">
              <w:rPr>
                <w:rFonts w:ascii="Arial" w:hAnsi="Arial" w:cs="Arial"/>
                <w:color w:val="FFFFFF" w:themeColor="background1"/>
                <w:sz w:val="20"/>
                <w:szCs w:val="20"/>
              </w:rPr>
              <w:t>Variaciones</w:t>
            </w:r>
          </w:p>
        </w:tc>
        <w:tc>
          <w:tcPr>
            <w:tcW w:w="0" w:type="auto"/>
            <w:gridSpan w:val="2"/>
            <w:shd w:val="clear" w:color="auto" w:fill="4F81BD" w:themeFill="accent1"/>
            <w:vAlign w:val="center"/>
            <w:hideMark/>
          </w:tcPr>
          <w:p w14:paraId="2BC20F61" w14:textId="77777777" w:rsidR="00AA09AE" w:rsidRPr="00AA09AE"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A09AE">
              <w:rPr>
                <w:rFonts w:ascii="Arial" w:hAnsi="Arial" w:cs="Arial"/>
                <w:b/>
                <w:bCs/>
                <w:color w:val="FFFFFF" w:themeColor="background1"/>
                <w:sz w:val="20"/>
                <w:szCs w:val="20"/>
              </w:rPr>
              <w:t>Cantidad</w:t>
            </w:r>
          </w:p>
        </w:tc>
        <w:tc>
          <w:tcPr>
            <w:tcW w:w="0" w:type="auto"/>
            <w:shd w:val="clear" w:color="auto" w:fill="4F81BD" w:themeFill="accent1"/>
            <w:vAlign w:val="center"/>
            <w:hideMark/>
          </w:tcPr>
          <w:p w14:paraId="4ED4CD9C" w14:textId="51A4E0C6" w:rsidR="00AA09AE" w:rsidRPr="00AA09AE"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778</w:t>
            </w:r>
          </w:p>
        </w:tc>
      </w:tr>
      <w:tr w:rsidR="00AA09AE" w:rsidRPr="00AA09AE" w14:paraId="46114D18" w14:textId="77777777"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4CD4A8EE" w14:textId="77777777" w:rsidR="00AA09AE" w:rsidRPr="00AA09AE" w:rsidRDefault="00AA09AE" w:rsidP="00D42D1C">
            <w:pPr>
              <w:spacing w:before="20" w:after="20"/>
              <w:rPr>
                <w:rFonts w:ascii="Arial" w:hAnsi="Arial" w:cs="Arial"/>
                <w:color w:val="FFFFFF" w:themeColor="background1"/>
                <w:sz w:val="20"/>
                <w:szCs w:val="20"/>
              </w:rPr>
            </w:pPr>
          </w:p>
        </w:tc>
        <w:tc>
          <w:tcPr>
            <w:tcW w:w="0" w:type="auto"/>
            <w:gridSpan w:val="2"/>
            <w:shd w:val="clear" w:color="auto" w:fill="4F81BD" w:themeFill="accent1"/>
            <w:vAlign w:val="center"/>
            <w:hideMark/>
          </w:tcPr>
          <w:p w14:paraId="1561A315" w14:textId="77777777" w:rsidR="00AA09AE" w:rsidRPr="00AA09AE"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A09AE">
              <w:rPr>
                <w:rFonts w:ascii="Arial" w:hAnsi="Arial" w:cs="Arial"/>
                <w:b/>
                <w:bCs/>
                <w:color w:val="FFFFFF" w:themeColor="background1"/>
                <w:sz w:val="20"/>
                <w:szCs w:val="20"/>
              </w:rPr>
              <w:t>%</w:t>
            </w:r>
          </w:p>
        </w:tc>
        <w:tc>
          <w:tcPr>
            <w:tcW w:w="0" w:type="auto"/>
            <w:shd w:val="clear" w:color="auto" w:fill="4F81BD" w:themeFill="accent1"/>
            <w:vAlign w:val="center"/>
            <w:hideMark/>
          </w:tcPr>
          <w:p w14:paraId="5DBA1054" w14:textId="3C962F18" w:rsidR="00AA09AE" w:rsidRPr="00AA09AE"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27%</w:t>
            </w:r>
          </w:p>
        </w:tc>
      </w:tr>
      <w:tr w:rsidR="00AA09AE" w:rsidRPr="00AA09AE" w14:paraId="5359CB58" w14:textId="77777777" w:rsidTr="00AA09A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0C75EBF" w14:textId="77777777" w:rsidR="00AA09AE" w:rsidRPr="00FB7EA4" w:rsidRDefault="00AA09AE" w:rsidP="00D42D1C">
            <w:pPr>
              <w:spacing w:before="20" w:after="2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Casas de Santa Bárbara</w:t>
            </w:r>
          </w:p>
        </w:tc>
        <w:tc>
          <w:tcPr>
            <w:tcW w:w="2503" w:type="dxa"/>
            <w:vMerge w:val="restart"/>
            <w:vAlign w:val="center"/>
            <w:hideMark/>
          </w:tcPr>
          <w:p w14:paraId="1B8A94BD" w14:textId="266D8263" w:rsidR="00AA09AE" w:rsidRPr="00FB7EA4"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11 de julio a 6 de septiembre de 2019</w:t>
            </w:r>
          </w:p>
        </w:tc>
        <w:tc>
          <w:tcPr>
            <w:tcW w:w="1991" w:type="dxa"/>
            <w:vAlign w:val="center"/>
            <w:hideMark/>
          </w:tcPr>
          <w:p w14:paraId="2E78D7D9" w14:textId="77777777" w:rsidR="00AA09AE" w:rsidRPr="00FB7EA4"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2019</w:t>
            </w:r>
          </w:p>
        </w:tc>
        <w:tc>
          <w:tcPr>
            <w:tcW w:w="0" w:type="auto"/>
            <w:vAlign w:val="center"/>
            <w:hideMark/>
          </w:tcPr>
          <w:p w14:paraId="6CFD7AB8" w14:textId="54068C15" w:rsidR="00AA09AE" w:rsidRPr="00FB7EA4"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715</w:t>
            </w:r>
          </w:p>
        </w:tc>
      </w:tr>
      <w:tr w:rsidR="00AA09AE" w:rsidRPr="00AA09AE" w14:paraId="44EE2C34" w14:textId="77777777" w:rsidTr="00AA09A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6DADB64" w14:textId="77777777" w:rsidR="00AA09AE" w:rsidRPr="00FB7EA4" w:rsidRDefault="00AA09AE" w:rsidP="00D42D1C">
            <w:pPr>
              <w:spacing w:before="20" w:after="20"/>
              <w:rPr>
                <w:rFonts w:ascii="Arial" w:hAnsi="Arial" w:cs="Arial"/>
                <w:color w:val="0F243E" w:themeColor="text2" w:themeShade="80"/>
                <w:sz w:val="20"/>
                <w:szCs w:val="20"/>
              </w:rPr>
            </w:pPr>
          </w:p>
        </w:tc>
        <w:tc>
          <w:tcPr>
            <w:tcW w:w="2503" w:type="dxa"/>
            <w:vMerge/>
            <w:vAlign w:val="center"/>
            <w:hideMark/>
          </w:tcPr>
          <w:p w14:paraId="051F5ECD" w14:textId="77777777" w:rsidR="00AA09AE" w:rsidRPr="00FB7EA4" w:rsidRDefault="00AA09AE" w:rsidP="00D42D1C">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991" w:type="dxa"/>
            <w:vAlign w:val="center"/>
            <w:hideMark/>
          </w:tcPr>
          <w:p w14:paraId="1F849F4A" w14:textId="77777777" w:rsidR="00AA09AE" w:rsidRPr="00FB7EA4"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2018</w:t>
            </w:r>
          </w:p>
        </w:tc>
        <w:tc>
          <w:tcPr>
            <w:tcW w:w="0" w:type="auto"/>
            <w:vAlign w:val="center"/>
            <w:hideMark/>
          </w:tcPr>
          <w:p w14:paraId="3DDF91EE" w14:textId="15C6540C" w:rsidR="00AA09AE" w:rsidRPr="00FB7EA4"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FB7EA4">
              <w:rPr>
                <w:rFonts w:ascii="Arial" w:hAnsi="Arial" w:cs="Arial"/>
                <w:b/>
                <w:bCs/>
                <w:color w:val="0F243E" w:themeColor="text2" w:themeShade="80"/>
                <w:sz w:val="20"/>
                <w:szCs w:val="20"/>
              </w:rPr>
              <w:t>701</w:t>
            </w:r>
          </w:p>
        </w:tc>
      </w:tr>
      <w:tr w:rsidR="00AA09AE" w:rsidRPr="00AA09AE" w14:paraId="020762DC" w14:textId="77777777"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0022B171" w14:textId="77777777" w:rsidR="00AA09AE" w:rsidRPr="00AA09AE" w:rsidRDefault="00AA09AE" w:rsidP="00D42D1C">
            <w:pPr>
              <w:spacing w:before="20" w:after="20"/>
              <w:jc w:val="center"/>
              <w:rPr>
                <w:rFonts w:ascii="Arial" w:hAnsi="Arial" w:cs="Arial"/>
                <w:color w:val="FFFFFF" w:themeColor="background1"/>
                <w:sz w:val="20"/>
                <w:szCs w:val="20"/>
              </w:rPr>
            </w:pPr>
            <w:r w:rsidRPr="00AA09AE">
              <w:rPr>
                <w:rFonts w:ascii="Arial" w:hAnsi="Arial" w:cs="Arial"/>
                <w:color w:val="FFFFFF" w:themeColor="background1"/>
                <w:sz w:val="20"/>
                <w:szCs w:val="20"/>
              </w:rPr>
              <w:t>Variaciones</w:t>
            </w:r>
          </w:p>
        </w:tc>
        <w:tc>
          <w:tcPr>
            <w:tcW w:w="0" w:type="auto"/>
            <w:gridSpan w:val="2"/>
            <w:shd w:val="clear" w:color="auto" w:fill="4F81BD" w:themeFill="accent1"/>
            <w:vAlign w:val="center"/>
            <w:hideMark/>
          </w:tcPr>
          <w:p w14:paraId="4DFDFAC4" w14:textId="77777777" w:rsidR="00AA09AE" w:rsidRPr="00AA09AE"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A09AE">
              <w:rPr>
                <w:rFonts w:ascii="Arial" w:hAnsi="Arial" w:cs="Arial"/>
                <w:b/>
                <w:bCs/>
                <w:color w:val="FFFFFF" w:themeColor="background1"/>
                <w:sz w:val="20"/>
                <w:szCs w:val="20"/>
              </w:rPr>
              <w:t>Cantidad</w:t>
            </w:r>
          </w:p>
        </w:tc>
        <w:tc>
          <w:tcPr>
            <w:tcW w:w="0" w:type="auto"/>
            <w:shd w:val="clear" w:color="auto" w:fill="4F81BD" w:themeFill="accent1"/>
            <w:vAlign w:val="center"/>
            <w:hideMark/>
          </w:tcPr>
          <w:p w14:paraId="238A0C52" w14:textId="1A50F789" w:rsidR="00AA09AE" w:rsidRPr="00AA09AE"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14</w:t>
            </w:r>
          </w:p>
        </w:tc>
      </w:tr>
      <w:tr w:rsidR="00AA09AE" w:rsidRPr="00A003B6" w14:paraId="3B9CB2D1" w14:textId="77777777" w:rsidTr="0033157E">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706846D2" w14:textId="77777777" w:rsidR="00AA09AE" w:rsidRPr="00AA09AE" w:rsidRDefault="00AA09AE" w:rsidP="00D42D1C">
            <w:pPr>
              <w:spacing w:before="20" w:after="20"/>
              <w:rPr>
                <w:rFonts w:ascii="Arial" w:hAnsi="Arial" w:cs="Arial"/>
                <w:color w:val="FFFFFF" w:themeColor="background1"/>
                <w:sz w:val="20"/>
                <w:szCs w:val="20"/>
              </w:rPr>
            </w:pPr>
          </w:p>
        </w:tc>
        <w:tc>
          <w:tcPr>
            <w:tcW w:w="0" w:type="auto"/>
            <w:gridSpan w:val="2"/>
            <w:shd w:val="clear" w:color="auto" w:fill="4F81BD" w:themeFill="accent1"/>
            <w:vAlign w:val="center"/>
            <w:hideMark/>
          </w:tcPr>
          <w:p w14:paraId="6B71C945" w14:textId="77777777" w:rsidR="00AA09AE" w:rsidRPr="00AA09AE"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A09AE">
              <w:rPr>
                <w:rFonts w:ascii="Arial" w:hAnsi="Arial" w:cs="Arial"/>
                <w:b/>
                <w:bCs/>
                <w:color w:val="FFFFFF" w:themeColor="background1"/>
                <w:sz w:val="20"/>
                <w:szCs w:val="20"/>
              </w:rPr>
              <w:t>%</w:t>
            </w:r>
          </w:p>
        </w:tc>
        <w:tc>
          <w:tcPr>
            <w:tcW w:w="0" w:type="auto"/>
            <w:shd w:val="clear" w:color="auto" w:fill="4F81BD" w:themeFill="accent1"/>
            <w:vAlign w:val="center"/>
            <w:hideMark/>
          </w:tcPr>
          <w:p w14:paraId="07434AE4" w14:textId="790E0795" w:rsidR="00AA09AE" w:rsidRPr="00AA09AE" w:rsidRDefault="00AA09AE" w:rsidP="00D42D1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2</w:t>
            </w:r>
            <w:r w:rsidRPr="00AA09AE">
              <w:rPr>
                <w:rFonts w:ascii="Arial" w:hAnsi="Arial" w:cs="Arial"/>
                <w:b/>
                <w:bCs/>
                <w:color w:val="FFFFFF" w:themeColor="background1"/>
                <w:sz w:val="20"/>
                <w:szCs w:val="20"/>
              </w:rPr>
              <w:t>%</w:t>
            </w:r>
          </w:p>
        </w:tc>
      </w:tr>
    </w:tbl>
    <w:p w14:paraId="780C411D" w14:textId="77777777" w:rsidR="009778CD" w:rsidRDefault="009778CD" w:rsidP="006343F0">
      <w:pPr>
        <w:jc w:val="both"/>
        <w:rPr>
          <w:rFonts w:ascii="Arial" w:hAnsi="Arial" w:cs="Arial"/>
          <w:noProof/>
          <w:sz w:val="22"/>
          <w:szCs w:val="22"/>
          <w:highlight w:val="yellow"/>
        </w:rPr>
      </w:pPr>
    </w:p>
    <w:p w14:paraId="30ABE55F" w14:textId="77777777" w:rsidR="009778CD" w:rsidRDefault="009778CD" w:rsidP="006343F0">
      <w:pPr>
        <w:jc w:val="both"/>
        <w:rPr>
          <w:rFonts w:ascii="Arial" w:hAnsi="Arial" w:cs="Arial"/>
          <w:noProof/>
          <w:sz w:val="22"/>
          <w:szCs w:val="22"/>
          <w:highlight w:val="yellow"/>
        </w:rPr>
      </w:pPr>
    </w:p>
    <w:p w14:paraId="0584D94A" w14:textId="30C10628" w:rsidR="000F014A" w:rsidRPr="00FA3784" w:rsidRDefault="002E7979" w:rsidP="006343F0">
      <w:pPr>
        <w:jc w:val="both"/>
        <w:rPr>
          <w:rFonts w:ascii="Arial" w:hAnsi="Arial" w:cs="Arial"/>
          <w:noProof/>
          <w:sz w:val="22"/>
          <w:szCs w:val="22"/>
        </w:rPr>
      </w:pPr>
      <w:r w:rsidRPr="00FA3784">
        <w:rPr>
          <w:rFonts w:ascii="Arial" w:hAnsi="Arial" w:cs="Arial"/>
          <w:noProof/>
          <w:sz w:val="22"/>
          <w:szCs w:val="22"/>
        </w:rPr>
        <w:t>D</w:t>
      </w:r>
      <w:r w:rsidR="002D2231" w:rsidRPr="00FA3784">
        <w:rPr>
          <w:rFonts w:ascii="Arial" w:hAnsi="Arial" w:cs="Arial"/>
          <w:noProof/>
          <w:sz w:val="22"/>
          <w:szCs w:val="22"/>
        </w:rPr>
        <w:t xml:space="preserve">e lo antes expuesto, se obtuvo como resultado que </w:t>
      </w:r>
      <w:r w:rsidR="000A0841" w:rsidRPr="00FA3784">
        <w:rPr>
          <w:rFonts w:ascii="Arial" w:hAnsi="Arial" w:cs="Arial"/>
          <w:noProof/>
          <w:sz w:val="22"/>
          <w:szCs w:val="22"/>
        </w:rPr>
        <w:t>el consumo de agua</w:t>
      </w:r>
      <w:r w:rsidR="00135E0F" w:rsidRPr="00FA3784">
        <w:rPr>
          <w:rFonts w:ascii="Arial" w:hAnsi="Arial" w:cs="Arial"/>
          <w:noProof/>
          <w:sz w:val="22"/>
          <w:szCs w:val="22"/>
        </w:rPr>
        <w:t xml:space="preserve"> en metros cúbicos </w:t>
      </w:r>
      <w:r w:rsidR="000A0841" w:rsidRPr="00FA3784">
        <w:rPr>
          <w:rFonts w:ascii="Arial" w:hAnsi="Arial" w:cs="Arial"/>
          <w:noProof/>
          <w:sz w:val="22"/>
          <w:szCs w:val="22"/>
        </w:rPr>
        <w:t xml:space="preserve"> para la</w:t>
      </w:r>
      <w:r w:rsidR="005407DA" w:rsidRPr="00FA3784">
        <w:rPr>
          <w:rFonts w:ascii="Arial" w:hAnsi="Arial" w:cs="Arial"/>
          <w:noProof/>
          <w:sz w:val="22"/>
          <w:szCs w:val="22"/>
        </w:rPr>
        <w:t xml:space="preserve"> sede San Agustín </w:t>
      </w:r>
      <w:r w:rsidR="006343F0" w:rsidRPr="00FA3784">
        <w:rPr>
          <w:rFonts w:ascii="Arial" w:hAnsi="Arial" w:cs="Arial"/>
          <w:noProof/>
          <w:sz w:val="22"/>
          <w:szCs w:val="22"/>
        </w:rPr>
        <w:t xml:space="preserve">y la sede Casas de Santa Bárbara </w:t>
      </w:r>
      <w:r w:rsidR="006B56C0" w:rsidRPr="00FA3784">
        <w:rPr>
          <w:rFonts w:ascii="Arial" w:hAnsi="Arial" w:cs="Arial"/>
          <w:b/>
          <w:noProof/>
          <w:sz w:val="22"/>
          <w:szCs w:val="22"/>
        </w:rPr>
        <w:t>aumentó</w:t>
      </w:r>
      <w:r w:rsidR="006B56C0" w:rsidRPr="00FA3784">
        <w:rPr>
          <w:rFonts w:ascii="Arial" w:hAnsi="Arial" w:cs="Arial"/>
          <w:noProof/>
          <w:sz w:val="22"/>
          <w:szCs w:val="22"/>
        </w:rPr>
        <w:t xml:space="preserve"> </w:t>
      </w:r>
      <w:r w:rsidR="006343F0" w:rsidRPr="00FA3784">
        <w:rPr>
          <w:rFonts w:ascii="Arial" w:hAnsi="Arial" w:cs="Arial"/>
          <w:noProof/>
          <w:sz w:val="22"/>
          <w:szCs w:val="22"/>
        </w:rPr>
        <w:t>el 2</w:t>
      </w:r>
      <w:r w:rsidR="00290FA5">
        <w:rPr>
          <w:rFonts w:ascii="Arial" w:hAnsi="Arial" w:cs="Arial"/>
          <w:noProof/>
          <w:sz w:val="22"/>
          <w:szCs w:val="22"/>
        </w:rPr>
        <w:t>7</w:t>
      </w:r>
      <w:r w:rsidR="006343F0" w:rsidRPr="00FA3784">
        <w:rPr>
          <w:rFonts w:ascii="Arial" w:hAnsi="Arial" w:cs="Arial"/>
          <w:noProof/>
          <w:sz w:val="22"/>
          <w:szCs w:val="22"/>
        </w:rPr>
        <w:t xml:space="preserve">% y </w:t>
      </w:r>
      <w:r w:rsidR="00290FA5">
        <w:rPr>
          <w:rFonts w:ascii="Arial" w:hAnsi="Arial" w:cs="Arial"/>
          <w:noProof/>
          <w:sz w:val="22"/>
          <w:szCs w:val="22"/>
        </w:rPr>
        <w:t>2</w:t>
      </w:r>
      <w:r w:rsidR="006343F0" w:rsidRPr="00FA3784">
        <w:rPr>
          <w:rFonts w:ascii="Arial" w:hAnsi="Arial" w:cs="Arial"/>
          <w:noProof/>
          <w:sz w:val="22"/>
          <w:szCs w:val="22"/>
        </w:rPr>
        <w:t xml:space="preserve">% respectivamente. </w:t>
      </w:r>
    </w:p>
    <w:p w14:paraId="7E7A9092" w14:textId="77777777" w:rsidR="00FA3784" w:rsidRDefault="00FA3784" w:rsidP="00FA3784">
      <w:pPr>
        <w:jc w:val="both"/>
        <w:rPr>
          <w:rFonts w:ascii="Arial" w:hAnsi="Arial" w:cs="Arial"/>
          <w:noProof/>
          <w:sz w:val="22"/>
          <w:szCs w:val="22"/>
          <w:highlight w:val="yellow"/>
        </w:rPr>
      </w:pPr>
    </w:p>
    <w:p w14:paraId="6864724A" w14:textId="3E3359C0" w:rsidR="005361EB" w:rsidRDefault="00B21D78" w:rsidP="005361EB">
      <w:pPr>
        <w:ind w:right="49"/>
        <w:jc w:val="both"/>
        <w:rPr>
          <w:rFonts w:ascii="Arial" w:hAnsi="Arial" w:cs="Arial"/>
          <w:color w:val="000000"/>
          <w:sz w:val="22"/>
          <w:szCs w:val="22"/>
        </w:rPr>
      </w:pPr>
      <w:r w:rsidRPr="005361EB">
        <w:rPr>
          <w:rFonts w:ascii="Arial" w:hAnsi="Arial" w:cs="Arial"/>
          <w:noProof/>
          <w:sz w:val="22"/>
          <w:szCs w:val="22"/>
        </w:rPr>
        <w:t xml:space="preserve">De acuerdo con </w:t>
      </w:r>
      <w:r w:rsidR="0095756A" w:rsidRPr="005361EB">
        <w:rPr>
          <w:rFonts w:ascii="Arial" w:hAnsi="Arial" w:cs="Arial"/>
          <w:noProof/>
          <w:sz w:val="22"/>
          <w:szCs w:val="22"/>
        </w:rPr>
        <w:t>el comentario del indicador</w:t>
      </w:r>
      <w:r w:rsidR="00637F30" w:rsidRPr="005361EB">
        <w:rPr>
          <w:rFonts w:ascii="Arial" w:hAnsi="Arial" w:cs="Arial"/>
          <w:noProof/>
          <w:sz w:val="22"/>
          <w:szCs w:val="22"/>
        </w:rPr>
        <w:t xml:space="preserve"> orientador reportado por la Subdirección  de Servicios </w:t>
      </w:r>
      <w:r w:rsidR="00F95C08" w:rsidRPr="005361EB">
        <w:rPr>
          <w:rFonts w:ascii="Arial" w:hAnsi="Arial" w:cs="Arial"/>
          <w:noProof/>
          <w:sz w:val="22"/>
          <w:szCs w:val="22"/>
        </w:rPr>
        <w:t xml:space="preserve">el incremento presentado en la sede de San Agustín obedeció </w:t>
      </w:r>
      <w:r w:rsidR="005361EB">
        <w:rPr>
          <w:rFonts w:ascii="Arial" w:hAnsi="Arial" w:cs="Arial"/>
          <w:color w:val="000000"/>
          <w:sz w:val="22"/>
          <w:szCs w:val="22"/>
        </w:rPr>
        <w:t xml:space="preserve">en parte </w:t>
      </w:r>
      <w:r w:rsidR="005361EB" w:rsidRPr="002733DF">
        <w:rPr>
          <w:rFonts w:ascii="Arial" w:hAnsi="Arial" w:cs="Arial"/>
          <w:color w:val="000000"/>
          <w:sz w:val="22"/>
          <w:szCs w:val="22"/>
        </w:rPr>
        <w:t>a daños y fisuras en tuberías, los cuales proporcionan fugas del recurso. Por otro lado, para este mes se realizó el la</w:t>
      </w:r>
      <w:r w:rsidR="005361EB">
        <w:rPr>
          <w:rFonts w:ascii="Arial" w:hAnsi="Arial" w:cs="Arial"/>
          <w:color w:val="000000"/>
          <w:sz w:val="22"/>
          <w:szCs w:val="22"/>
        </w:rPr>
        <w:t xml:space="preserve">vado de tanques, lo cual generó </w:t>
      </w:r>
      <w:r w:rsidR="005361EB" w:rsidRPr="002733DF">
        <w:rPr>
          <w:rFonts w:ascii="Arial" w:hAnsi="Arial" w:cs="Arial"/>
          <w:color w:val="000000"/>
          <w:sz w:val="22"/>
          <w:szCs w:val="22"/>
        </w:rPr>
        <w:t xml:space="preserve">un </w:t>
      </w:r>
      <w:r w:rsidR="005361EB">
        <w:rPr>
          <w:rFonts w:ascii="Arial" w:hAnsi="Arial" w:cs="Arial"/>
          <w:color w:val="000000"/>
          <w:sz w:val="22"/>
          <w:szCs w:val="22"/>
        </w:rPr>
        <w:t xml:space="preserve">mayor </w:t>
      </w:r>
      <w:r w:rsidR="005361EB" w:rsidRPr="002733DF">
        <w:rPr>
          <w:rFonts w:ascii="Arial" w:hAnsi="Arial" w:cs="Arial"/>
          <w:color w:val="000000"/>
          <w:sz w:val="22"/>
          <w:szCs w:val="22"/>
        </w:rPr>
        <w:t xml:space="preserve">consumo </w:t>
      </w:r>
      <w:r w:rsidR="005361EB">
        <w:rPr>
          <w:rFonts w:ascii="Arial" w:hAnsi="Arial" w:cs="Arial"/>
          <w:color w:val="000000"/>
          <w:sz w:val="22"/>
          <w:szCs w:val="22"/>
        </w:rPr>
        <w:t xml:space="preserve">del servicio de agua, el cual se vio reflejado en un mayor valor de gasto. En lo referente a Casas de Santa Bárbara, el aumentó en metros cúbicos </w:t>
      </w:r>
      <w:r w:rsidR="005361EB" w:rsidRPr="005361EB">
        <w:rPr>
          <w:rFonts w:ascii="Arial" w:hAnsi="Arial" w:cs="Arial"/>
          <w:color w:val="000000"/>
          <w:sz w:val="22"/>
          <w:szCs w:val="22"/>
        </w:rPr>
        <w:t xml:space="preserve">se debe al constante uso de las </w:t>
      </w:r>
      <w:r w:rsidR="005361EB">
        <w:rPr>
          <w:rFonts w:ascii="Arial" w:hAnsi="Arial" w:cs="Arial"/>
          <w:color w:val="000000"/>
          <w:sz w:val="22"/>
          <w:szCs w:val="22"/>
        </w:rPr>
        <w:t>i</w:t>
      </w:r>
      <w:r w:rsidR="005361EB" w:rsidRPr="005361EB">
        <w:rPr>
          <w:rFonts w:ascii="Arial" w:hAnsi="Arial" w:cs="Arial"/>
          <w:color w:val="000000"/>
          <w:sz w:val="22"/>
          <w:szCs w:val="22"/>
        </w:rPr>
        <w:t>nstalaciones para diversas act</w:t>
      </w:r>
      <w:r w:rsidR="005361EB">
        <w:rPr>
          <w:rFonts w:ascii="Arial" w:hAnsi="Arial" w:cs="Arial"/>
          <w:color w:val="000000"/>
          <w:sz w:val="22"/>
          <w:szCs w:val="22"/>
        </w:rPr>
        <w:t xml:space="preserve">ividades, lo que genera un mayor flujo de personas, derivado de esto, un mayor consumo del recurso. </w:t>
      </w:r>
    </w:p>
    <w:p w14:paraId="3A35723A" w14:textId="77777777" w:rsidR="005361EB" w:rsidRPr="00A003B6" w:rsidRDefault="005361EB" w:rsidP="00307C5A">
      <w:pPr>
        <w:spacing w:line="168" w:lineRule="auto"/>
        <w:jc w:val="both"/>
        <w:rPr>
          <w:rFonts w:ascii="Arial" w:hAnsi="Arial" w:cs="Arial"/>
          <w:noProof/>
          <w:sz w:val="22"/>
          <w:szCs w:val="22"/>
          <w:highlight w:val="yellow"/>
        </w:rPr>
      </w:pPr>
    </w:p>
    <w:p w14:paraId="45D03A0E" w14:textId="41235B0D" w:rsidR="006F5242" w:rsidRPr="00EE6275" w:rsidRDefault="00EB1B27" w:rsidP="0025494B">
      <w:pPr>
        <w:jc w:val="both"/>
        <w:rPr>
          <w:rFonts w:ascii="Arial" w:hAnsi="Arial" w:cs="Arial"/>
          <w:sz w:val="22"/>
          <w:szCs w:val="22"/>
        </w:rPr>
      </w:pPr>
      <w:r>
        <w:rPr>
          <w:rFonts w:ascii="Arial" w:hAnsi="Arial" w:cs="Arial"/>
          <w:sz w:val="22"/>
          <w:szCs w:val="22"/>
        </w:rPr>
        <w:t>Conforme a l</w:t>
      </w:r>
      <w:r w:rsidR="00B75F98" w:rsidRPr="00EE6275">
        <w:rPr>
          <w:rFonts w:ascii="Arial" w:hAnsi="Arial" w:cs="Arial"/>
          <w:sz w:val="22"/>
          <w:szCs w:val="22"/>
        </w:rPr>
        <w:t xml:space="preserve">as variaciones obtenidas como resultado de las comparaciones se puede deducir que </w:t>
      </w:r>
      <w:r w:rsidR="00EE6275" w:rsidRPr="00EE6275">
        <w:rPr>
          <w:rFonts w:ascii="Arial" w:hAnsi="Arial" w:cs="Arial"/>
          <w:sz w:val="22"/>
          <w:szCs w:val="22"/>
        </w:rPr>
        <w:t>las variaciones registradas</w:t>
      </w:r>
      <w:r w:rsidR="00135E0F" w:rsidRPr="00EE6275">
        <w:rPr>
          <w:rFonts w:ascii="Arial" w:hAnsi="Arial" w:cs="Arial"/>
          <w:sz w:val="22"/>
          <w:szCs w:val="22"/>
        </w:rPr>
        <w:t xml:space="preserve"> </w:t>
      </w:r>
      <w:r w:rsidR="00B75F98" w:rsidRPr="00EE6275">
        <w:rPr>
          <w:rFonts w:ascii="Arial" w:hAnsi="Arial" w:cs="Arial"/>
          <w:sz w:val="22"/>
          <w:szCs w:val="22"/>
        </w:rPr>
        <w:t>el valor</w:t>
      </w:r>
      <w:r w:rsidR="00135E0F" w:rsidRPr="00EE6275">
        <w:rPr>
          <w:rFonts w:ascii="Arial" w:hAnsi="Arial" w:cs="Arial"/>
          <w:sz w:val="22"/>
          <w:szCs w:val="22"/>
        </w:rPr>
        <w:t xml:space="preserve"> del gasto</w:t>
      </w:r>
      <w:r w:rsidR="00B75F98" w:rsidRPr="00EE6275">
        <w:rPr>
          <w:rFonts w:ascii="Arial" w:hAnsi="Arial" w:cs="Arial"/>
          <w:sz w:val="22"/>
          <w:szCs w:val="22"/>
        </w:rPr>
        <w:t xml:space="preserve"> facturado por </w:t>
      </w:r>
      <w:r w:rsidR="00135E0F" w:rsidRPr="00EE6275">
        <w:rPr>
          <w:rFonts w:ascii="Arial" w:hAnsi="Arial" w:cs="Arial"/>
          <w:sz w:val="22"/>
          <w:szCs w:val="22"/>
        </w:rPr>
        <w:t xml:space="preserve">el </w:t>
      </w:r>
      <w:r w:rsidR="00B75F98" w:rsidRPr="00EE6275">
        <w:rPr>
          <w:rFonts w:ascii="Arial" w:hAnsi="Arial" w:cs="Arial"/>
          <w:sz w:val="22"/>
          <w:szCs w:val="22"/>
        </w:rPr>
        <w:t xml:space="preserve">servicio de acueducto para </w:t>
      </w:r>
      <w:r w:rsidR="00135E0F" w:rsidRPr="00EE6275">
        <w:rPr>
          <w:rFonts w:ascii="Arial" w:hAnsi="Arial" w:cs="Arial"/>
          <w:sz w:val="22"/>
          <w:szCs w:val="22"/>
        </w:rPr>
        <w:t>las sedes</w:t>
      </w:r>
      <w:r w:rsidR="00B75F98" w:rsidRPr="00EE6275">
        <w:rPr>
          <w:rFonts w:ascii="Arial" w:hAnsi="Arial" w:cs="Arial"/>
          <w:sz w:val="22"/>
          <w:szCs w:val="22"/>
        </w:rPr>
        <w:t xml:space="preserve"> San Agustín</w:t>
      </w:r>
      <w:r w:rsidR="00135E0F" w:rsidRPr="00EE6275">
        <w:rPr>
          <w:rFonts w:ascii="Arial" w:hAnsi="Arial" w:cs="Arial"/>
          <w:sz w:val="22"/>
          <w:szCs w:val="22"/>
        </w:rPr>
        <w:t xml:space="preserve"> [</w:t>
      </w:r>
      <w:r w:rsidR="00EE6275">
        <w:rPr>
          <w:rFonts w:ascii="Arial" w:hAnsi="Arial" w:cs="Arial"/>
          <w:sz w:val="22"/>
          <w:szCs w:val="22"/>
        </w:rPr>
        <w:t xml:space="preserve">8%] en parte estaría relacionada con el aumento en el consumo en metros cúbicos [27%]. Para el caso de </w:t>
      </w:r>
      <w:r w:rsidR="00135E0F" w:rsidRPr="00EE6275">
        <w:rPr>
          <w:rFonts w:ascii="Arial" w:hAnsi="Arial" w:cs="Arial"/>
          <w:sz w:val="22"/>
          <w:szCs w:val="22"/>
        </w:rPr>
        <w:t>Casas de Santa Bárbara</w:t>
      </w:r>
      <w:r w:rsidR="00EE6275">
        <w:rPr>
          <w:rFonts w:ascii="Arial" w:hAnsi="Arial" w:cs="Arial"/>
          <w:sz w:val="22"/>
          <w:szCs w:val="22"/>
        </w:rPr>
        <w:t xml:space="preserve">, si bien el valor del servicio de acueducto disminuyó el 30%, el consumo presentó un incremento del 2%. </w:t>
      </w:r>
    </w:p>
    <w:p w14:paraId="6050140F" w14:textId="77777777" w:rsidR="00135E0F" w:rsidRPr="00EE6275" w:rsidRDefault="00135E0F" w:rsidP="00307C5A">
      <w:pPr>
        <w:spacing w:line="168" w:lineRule="auto"/>
        <w:jc w:val="both"/>
        <w:rPr>
          <w:rFonts w:ascii="Arial" w:hAnsi="Arial" w:cs="Arial"/>
          <w:sz w:val="22"/>
          <w:szCs w:val="22"/>
        </w:rPr>
      </w:pPr>
    </w:p>
    <w:p w14:paraId="7B1E6FA4" w14:textId="5DB0A625" w:rsidR="008A03BD" w:rsidRDefault="00EB1B27" w:rsidP="0025494B">
      <w:pPr>
        <w:jc w:val="both"/>
        <w:rPr>
          <w:rFonts w:ascii="Arial" w:hAnsi="Arial" w:cs="Arial"/>
          <w:sz w:val="22"/>
          <w:szCs w:val="22"/>
        </w:rPr>
      </w:pPr>
      <w:r w:rsidRPr="00D42D1C">
        <w:rPr>
          <w:rFonts w:ascii="Arial" w:hAnsi="Arial" w:cs="Arial"/>
          <w:sz w:val="22"/>
          <w:szCs w:val="22"/>
        </w:rPr>
        <w:t xml:space="preserve">Finalmente, </w:t>
      </w:r>
      <w:r w:rsidR="008A03BD" w:rsidRPr="00D42D1C">
        <w:rPr>
          <w:rFonts w:ascii="Arial" w:hAnsi="Arial" w:cs="Arial"/>
          <w:sz w:val="22"/>
          <w:szCs w:val="22"/>
        </w:rPr>
        <w:t xml:space="preserve">se concluye </w:t>
      </w:r>
      <w:r w:rsidR="00194423" w:rsidRPr="00D42D1C">
        <w:rPr>
          <w:rFonts w:ascii="Arial" w:hAnsi="Arial" w:cs="Arial"/>
          <w:sz w:val="22"/>
          <w:szCs w:val="22"/>
        </w:rPr>
        <w:t xml:space="preserve">que </w:t>
      </w:r>
      <w:r w:rsidR="008A03BD" w:rsidRPr="00D42D1C">
        <w:rPr>
          <w:rFonts w:ascii="Arial" w:hAnsi="Arial" w:cs="Arial"/>
          <w:sz w:val="22"/>
          <w:szCs w:val="22"/>
        </w:rPr>
        <w:t>el comportamiento del consumo</w:t>
      </w:r>
      <w:r w:rsidR="00E63D2E" w:rsidRPr="00D42D1C">
        <w:rPr>
          <w:rFonts w:ascii="Arial" w:hAnsi="Arial" w:cs="Arial"/>
          <w:sz w:val="22"/>
          <w:szCs w:val="22"/>
        </w:rPr>
        <w:t xml:space="preserve"> de agua</w:t>
      </w:r>
      <w:r w:rsidR="008A03BD" w:rsidRPr="00D42D1C">
        <w:rPr>
          <w:rFonts w:ascii="Arial" w:hAnsi="Arial" w:cs="Arial"/>
          <w:sz w:val="22"/>
          <w:szCs w:val="22"/>
        </w:rPr>
        <w:t xml:space="preserve"> para la sede San Agustín presentó una tendencia </w:t>
      </w:r>
      <w:r w:rsidR="00006810" w:rsidRPr="00D42D1C">
        <w:rPr>
          <w:rFonts w:ascii="Arial" w:hAnsi="Arial" w:cs="Arial"/>
          <w:sz w:val="22"/>
          <w:szCs w:val="22"/>
        </w:rPr>
        <w:t xml:space="preserve">creciente para el periodo actual, </w:t>
      </w:r>
      <w:r w:rsidR="008A03BD" w:rsidRPr="00D42D1C">
        <w:rPr>
          <w:rFonts w:ascii="Arial" w:hAnsi="Arial" w:cs="Arial"/>
          <w:sz w:val="22"/>
          <w:szCs w:val="22"/>
        </w:rPr>
        <w:t>en comparación con el periodo inmediatamente anterior. Situación contraria se observó para la sede de Casas de Santa Bárbara</w:t>
      </w:r>
      <w:r w:rsidR="00006810" w:rsidRPr="00D42D1C">
        <w:rPr>
          <w:rFonts w:ascii="Arial" w:hAnsi="Arial" w:cs="Arial"/>
          <w:sz w:val="22"/>
          <w:szCs w:val="22"/>
        </w:rPr>
        <w:t xml:space="preserve">, toda vez que, para el periodo actual analizado </w:t>
      </w:r>
      <w:r w:rsidR="00813888">
        <w:rPr>
          <w:rFonts w:ascii="Arial" w:hAnsi="Arial" w:cs="Arial"/>
          <w:sz w:val="22"/>
          <w:szCs w:val="22"/>
        </w:rPr>
        <w:t xml:space="preserve">frente al </w:t>
      </w:r>
      <w:r w:rsidR="008A720B">
        <w:rPr>
          <w:rFonts w:ascii="Arial" w:hAnsi="Arial" w:cs="Arial"/>
          <w:sz w:val="22"/>
          <w:szCs w:val="22"/>
        </w:rPr>
        <w:t xml:space="preserve">III </w:t>
      </w:r>
      <w:r w:rsidR="00813888">
        <w:rPr>
          <w:rFonts w:ascii="Arial" w:hAnsi="Arial" w:cs="Arial"/>
          <w:sz w:val="22"/>
          <w:szCs w:val="22"/>
        </w:rPr>
        <w:t xml:space="preserve">periodo, </w:t>
      </w:r>
      <w:r w:rsidR="00006810" w:rsidRPr="00D42D1C">
        <w:rPr>
          <w:rFonts w:ascii="Arial" w:hAnsi="Arial" w:cs="Arial"/>
          <w:sz w:val="22"/>
          <w:szCs w:val="22"/>
        </w:rPr>
        <w:t>presentó una tendencia decreciente.</w:t>
      </w:r>
      <w:r w:rsidR="00006810">
        <w:rPr>
          <w:rFonts w:ascii="Arial" w:hAnsi="Arial" w:cs="Arial"/>
          <w:sz w:val="22"/>
          <w:szCs w:val="22"/>
        </w:rPr>
        <w:t xml:space="preserve"> </w:t>
      </w:r>
    </w:p>
    <w:p w14:paraId="1E82D669" w14:textId="77777777" w:rsidR="00006810" w:rsidRDefault="00006810" w:rsidP="0025494B">
      <w:pPr>
        <w:jc w:val="both"/>
        <w:rPr>
          <w:rFonts w:ascii="Arial" w:hAnsi="Arial" w:cs="Arial"/>
          <w:sz w:val="22"/>
          <w:szCs w:val="22"/>
        </w:rPr>
      </w:pPr>
    </w:p>
    <w:p w14:paraId="29AE4F1C" w14:textId="05E195CB" w:rsidR="00EB1B27" w:rsidRPr="00A003B6" w:rsidRDefault="000E405F" w:rsidP="0025494B">
      <w:pPr>
        <w:jc w:val="both"/>
        <w:rPr>
          <w:rFonts w:ascii="Arial" w:hAnsi="Arial" w:cs="Arial"/>
          <w:sz w:val="22"/>
          <w:szCs w:val="22"/>
          <w:highlight w:val="yellow"/>
        </w:rPr>
      </w:pPr>
      <w:r>
        <w:rPr>
          <w:noProof/>
        </w:rPr>
        <w:drawing>
          <wp:inline distT="0" distB="0" distL="0" distR="0" wp14:anchorId="3A3C46BE" wp14:editId="0C18BB0A">
            <wp:extent cx="5915025" cy="2486025"/>
            <wp:effectExtent l="0" t="0" r="0" b="0"/>
            <wp:docPr id="1" name="Gráfico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7BF6571-90D9-4B18-A4F6-08D4810350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D40CB70" w14:textId="12B5A3E1" w:rsidR="009808F8" w:rsidRDefault="009808F8" w:rsidP="008A03BD">
      <w:pPr>
        <w:jc w:val="center"/>
        <w:rPr>
          <w:rFonts w:ascii="Arial" w:hAnsi="Arial" w:cs="Arial"/>
          <w:sz w:val="22"/>
          <w:szCs w:val="22"/>
          <w:highlight w:val="yellow"/>
        </w:rPr>
      </w:pPr>
    </w:p>
    <w:p w14:paraId="7AB07F97" w14:textId="51FC41D2" w:rsidR="00E16F93" w:rsidRPr="00F7143D" w:rsidRDefault="00DB1BF2" w:rsidP="00BD70F9">
      <w:pPr>
        <w:spacing w:after="200" w:line="276" w:lineRule="auto"/>
        <w:rPr>
          <w:rFonts w:ascii="Arial" w:hAnsi="Arial" w:cs="Arial"/>
          <w:b/>
        </w:rPr>
      </w:pPr>
      <w:r>
        <w:rPr>
          <w:rFonts w:ascii="Arial" w:hAnsi="Arial" w:cs="Arial"/>
          <w:b/>
        </w:rPr>
        <w:lastRenderedPageBreak/>
        <w:t>9</w:t>
      </w:r>
      <w:r w:rsidR="00AD73A3" w:rsidRPr="00F7143D">
        <w:rPr>
          <w:rFonts w:ascii="Arial" w:hAnsi="Arial" w:cs="Arial"/>
          <w:b/>
        </w:rPr>
        <w:t xml:space="preserve">. </w:t>
      </w:r>
      <w:r w:rsidR="00473D56" w:rsidRPr="00F7143D">
        <w:rPr>
          <w:rFonts w:ascii="Arial" w:hAnsi="Arial" w:cs="Arial"/>
          <w:b/>
        </w:rPr>
        <w:t>SEGUIM</w:t>
      </w:r>
      <w:r w:rsidR="009F206E" w:rsidRPr="00F7143D">
        <w:rPr>
          <w:rFonts w:ascii="Arial" w:hAnsi="Arial" w:cs="Arial"/>
          <w:b/>
        </w:rPr>
        <w:t>IENTO ARTÍCULO</w:t>
      </w:r>
      <w:r w:rsidR="00473D56" w:rsidRPr="00F7143D">
        <w:rPr>
          <w:rFonts w:ascii="Arial" w:hAnsi="Arial" w:cs="Arial"/>
          <w:b/>
        </w:rPr>
        <w:t xml:space="preserve"> </w:t>
      </w:r>
      <w:r w:rsidR="000B0E44" w:rsidRPr="00F7143D">
        <w:rPr>
          <w:rFonts w:ascii="Arial" w:hAnsi="Arial" w:cs="Arial"/>
          <w:b/>
        </w:rPr>
        <w:t>8</w:t>
      </w:r>
      <w:r w:rsidR="0057060C" w:rsidRPr="00F7143D">
        <w:rPr>
          <w:rFonts w:ascii="Arial" w:hAnsi="Arial" w:cs="Arial"/>
          <w:b/>
        </w:rPr>
        <w:t>1</w:t>
      </w:r>
      <w:r w:rsidR="00257876" w:rsidRPr="00F7143D">
        <w:rPr>
          <w:rFonts w:ascii="Arial" w:hAnsi="Arial" w:cs="Arial"/>
          <w:b/>
        </w:rPr>
        <w:t xml:space="preserve"> y 83</w:t>
      </w:r>
      <w:r w:rsidR="000B0E44" w:rsidRPr="00F7143D">
        <w:rPr>
          <w:rFonts w:ascii="Arial" w:hAnsi="Arial" w:cs="Arial"/>
          <w:b/>
        </w:rPr>
        <w:t xml:space="preserve"> </w:t>
      </w:r>
      <w:r w:rsidR="0060227C" w:rsidRPr="00F7143D">
        <w:rPr>
          <w:rFonts w:ascii="Arial" w:hAnsi="Arial" w:cs="Arial"/>
          <w:b/>
        </w:rPr>
        <w:t>LEY 1</w:t>
      </w:r>
      <w:r w:rsidR="000B0E44" w:rsidRPr="00F7143D">
        <w:rPr>
          <w:rFonts w:ascii="Arial" w:hAnsi="Arial" w:cs="Arial"/>
          <w:b/>
        </w:rPr>
        <w:t xml:space="preserve">940 </w:t>
      </w:r>
      <w:r w:rsidR="0060227C" w:rsidRPr="00F7143D">
        <w:rPr>
          <w:rFonts w:ascii="Arial" w:hAnsi="Arial" w:cs="Arial"/>
          <w:b/>
        </w:rPr>
        <w:t xml:space="preserve">DE </w:t>
      </w:r>
      <w:r w:rsidR="000B0E44" w:rsidRPr="00F7143D">
        <w:rPr>
          <w:rFonts w:ascii="Arial" w:hAnsi="Arial" w:cs="Arial"/>
          <w:b/>
        </w:rPr>
        <w:t xml:space="preserve">26 </w:t>
      </w:r>
      <w:r w:rsidR="0060227C" w:rsidRPr="00F7143D">
        <w:rPr>
          <w:rFonts w:ascii="Arial" w:hAnsi="Arial" w:cs="Arial"/>
          <w:b/>
        </w:rPr>
        <w:t xml:space="preserve">DE </w:t>
      </w:r>
      <w:r w:rsidR="000B0E44" w:rsidRPr="00F7143D">
        <w:rPr>
          <w:rFonts w:ascii="Arial" w:hAnsi="Arial" w:cs="Arial"/>
          <w:b/>
        </w:rPr>
        <w:t>NOVIEMBRE DE 2018</w:t>
      </w:r>
    </w:p>
    <w:tbl>
      <w:tblPr>
        <w:tblStyle w:val="Tabladecuadrcula1clara-nfasis1"/>
        <w:tblW w:w="0" w:type="auto"/>
        <w:tblLook w:val="04A0" w:firstRow="1" w:lastRow="0" w:firstColumn="1" w:lastColumn="0" w:noHBand="0" w:noVBand="1"/>
      </w:tblPr>
      <w:tblGrid>
        <w:gridCol w:w="4816"/>
        <w:gridCol w:w="4862"/>
      </w:tblGrid>
      <w:tr w:rsidR="00F85212" w:rsidRPr="00FB7EA4" w14:paraId="20428DA4" w14:textId="77777777" w:rsidTr="00CF4C8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601BC568" w14:textId="77777777" w:rsidR="003C337D" w:rsidRPr="00FB7EA4" w:rsidRDefault="003C337D" w:rsidP="00A554E3">
            <w:pPr>
              <w:spacing w:before="60" w:after="60"/>
              <w:jc w:val="center"/>
              <w:rPr>
                <w:rFonts w:ascii="Arial" w:hAnsi="Arial" w:cs="Arial"/>
                <w:color w:val="FFFFFF" w:themeColor="background1"/>
                <w:sz w:val="20"/>
                <w:szCs w:val="20"/>
              </w:rPr>
            </w:pPr>
            <w:r w:rsidRPr="00FB7EA4">
              <w:rPr>
                <w:rFonts w:ascii="Arial" w:hAnsi="Arial" w:cs="Aharoni"/>
                <w:color w:val="FFFFFF" w:themeColor="background1"/>
                <w:sz w:val="20"/>
                <w:szCs w:val="20"/>
              </w:rPr>
              <w:t>Artículo 8</w:t>
            </w:r>
            <w:r w:rsidR="005E1303" w:rsidRPr="00FB7EA4">
              <w:rPr>
                <w:rFonts w:ascii="Arial" w:hAnsi="Arial" w:cs="Aharoni"/>
                <w:color w:val="FFFFFF" w:themeColor="background1"/>
                <w:sz w:val="20"/>
                <w:szCs w:val="20"/>
              </w:rPr>
              <w:t>1</w:t>
            </w:r>
            <w:r w:rsidRPr="00FB7EA4">
              <w:rPr>
                <w:rFonts w:ascii="Arial" w:hAnsi="Arial" w:cs="Aharoni"/>
                <w:color w:val="FFFFFF" w:themeColor="background1"/>
                <w:sz w:val="20"/>
                <w:szCs w:val="20"/>
              </w:rPr>
              <w:t>. Plan de Austeridad del Gasto</w:t>
            </w:r>
          </w:p>
        </w:tc>
        <w:tc>
          <w:tcPr>
            <w:tcW w:w="0" w:type="auto"/>
            <w:shd w:val="clear" w:color="auto" w:fill="4F81BD" w:themeFill="accent1"/>
            <w:vAlign w:val="center"/>
            <w:hideMark/>
          </w:tcPr>
          <w:p w14:paraId="24710E69" w14:textId="77777777" w:rsidR="003C337D" w:rsidRPr="00FB7EA4" w:rsidRDefault="003C337D" w:rsidP="00A554E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B7EA4">
              <w:rPr>
                <w:rFonts w:ascii="Arial" w:hAnsi="Arial" w:cs="Aharoni"/>
                <w:color w:val="FFFFFF" w:themeColor="background1"/>
                <w:sz w:val="20"/>
                <w:szCs w:val="20"/>
              </w:rPr>
              <w:t xml:space="preserve">Verificaciones efectuadas por la Oficina de Control Interno </w:t>
            </w:r>
          </w:p>
        </w:tc>
      </w:tr>
      <w:tr w:rsidR="00FB7EA4" w:rsidRPr="00FB7EA4" w14:paraId="66D09566" w14:textId="77777777" w:rsidTr="00802134">
        <w:trPr>
          <w:cantSplit/>
          <w:trHeight w:val="254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4408899" w14:textId="77777777" w:rsidR="003C337D" w:rsidRPr="00FB7EA4" w:rsidRDefault="003C337D" w:rsidP="00A554E3">
            <w:pPr>
              <w:spacing w:before="60" w:after="60"/>
              <w:jc w:val="both"/>
              <w:rPr>
                <w:rFonts w:ascii="Arial" w:hAnsi="Arial" w:cs="Arial"/>
                <w:b w:val="0"/>
                <w:color w:val="0F243E" w:themeColor="text2" w:themeShade="80"/>
                <w:sz w:val="18"/>
                <w:szCs w:val="18"/>
              </w:rPr>
            </w:pPr>
            <w:r w:rsidRPr="00FB7EA4">
              <w:rPr>
                <w:rFonts w:ascii="Arial" w:hAnsi="Arial" w:cs="Aharoni"/>
                <w:b w:val="0"/>
                <w:color w:val="0F243E" w:themeColor="text2" w:themeShade="80"/>
                <w:sz w:val="18"/>
                <w:szCs w:val="18"/>
              </w:rPr>
              <w:t>Celebrar contratos de prestación de servicios con personas naturales o jurídicas. Solo procederá la contratación cuando no exista personal de planta con capacidad para realizar las actividades que serán contratadas, en concordancia con lo previsto en el artículo 2.8.4.4.5. del Decreto 1068 de 2015.</w:t>
            </w:r>
          </w:p>
        </w:tc>
        <w:tc>
          <w:tcPr>
            <w:tcW w:w="0" w:type="auto"/>
            <w:vAlign w:val="center"/>
            <w:hideMark/>
          </w:tcPr>
          <w:p w14:paraId="2AC51C04" w14:textId="485D31C1" w:rsidR="003C337D" w:rsidRPr="00FB7EA4" w:rsidRDefault="003C337D" w:rsidP="00802134">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FB7EA4">
              <w:rPr>
                <w:rFonts w:ascii="Arial" w:hAnsi="Arial" w:cs="Aharoni"/>
                <w:color w:val="0F243E" w:themeColor="text2" w:themeShade="80"/>
                <w:sz w:val="18"/>
                <w:szCs w:val="18"/>
              </w:rPr>
              <w:t xml:space="preserve">Se verificó </w:t>
            </w:r>
            <w:r w:rsidR="00783CCF" w:rsidRPr="00FB7EA4">
              <w:rPr>
                <w:rFonts w:ascii="Arial" w:hAnsi="Arial" w:cs="Aharoni"/>
                <w:color w:val="0F243E" w:themeColor="text2" w:themeShade="80"/>
                <w:sz w:val="18"/>
                <w:szCs w:val="18"/>
              </w:rPr>
              <w:t xml:space="preserve">que </w:t>
            </w:r>
            <w:r w:rsidRPr="00FB7EA4">
              <w:rPr>
                <w:rFonts w:ascii="Arial" w:hAnsi="Arial" w:cs="Aharoni"/>
                <w:color w:val="0F243E" w:themeColor="text2" w:themeShade="80"/>
                <w:sz w:val="18"/>
                <w:szCs w:val="18"/>
              </w:rPr>
              <w:t>los contratos suscritos</w:t>
            </w:r>
            <w:r w:rsidR="009B48D0" w:rsidRPr="00FB7EA4">
              <w:rPr>
                <w:rFonts w:ascii="Arial" w:hAnsi="Arial" w:cs="Aharoni"/>
                <w:color w:val="0F243E" w:themeColor="text2" w:themeShade="80"/>
                <w:sz w:val="18"/>
                <w:szCs w:val="18"/>
              </w:rPr>
              <w:t xml:space="preserve"> </w:t>
            </w:r>
            <w:r w:rsidR="00783CCF" w:rsidRPr="00FB7EA4">
              <w:rPr>
                <w:rFonts w:ascii="Arial" w:hAnsi="Arial" w:cs="Aharoni"/>
                <w:color w:val="0F243E" w:themeColor="text2" w:themeShade="80"/>
                <w:sz w:val="18"/>
                <w:szCs w:val="18"/>
              </w:rPr>
              <w:t xml:space="preserve">correspondiente a servicios profesionales </w:t>
            </w:r>
            <w:r w:rsidRPr="00FB7EA4">
              <w:rPr>
                <w:rFonts w:ascii="Arial" w:hAnsi="Arial" w:cs="Aharoni"/>
                <w:color w:val="0F243E" w:themeColor="text2" w:themeShade="80"/>
                <w:sz w:val="18"/>
                <w:szCs w:val="18"/>
              </w:rPr>
              <w:t xml:space="preserve">durante el </w:t>
            </w:r>
            <w:r w:rsidR="00DB1BF2" w:rsidRPr="00FB7EA4">
              <w:rPr>
                <w:rFonts w:ascii="Arial" w:hAnsi="Arial" w:cs="Aharoni"/>
                <w:color w:val="0F243E" w:themeColor="text2" w:themeShade="80"/>
                <w:sz w:val="18"/>
                <w:szCs w:val="18"/>
              </w:rPr>
              <w:t>tercer trimestre</w:t>
            </w:r>
            <w:r w:rsidRPr="00FB7EA4">
              <w:rPr>
                <w:rFonts w:ascii="Arial" w:hAnsi="Arial" w:cs="Aharoni"/>
                <w:color w:val="0F243E" w:themeColor="text2" w:themeShade="80"/>
                <w:sz w:val="18"/>
                <w:szCs w:val="18"/>
              </w:rPr>
              <w:t xml:space="preserve"> de 2019 [ </w:t>
            </w:r>
            <w:r w:rsidR="00DB1BF2" w:rsidRPr="00FB7EA4">
              <w:rPr>
                <w:rFonts w:ascii="Arial" w:hAnsi="Arial" w:cs="Aharoni"/>
                <w:color w:val="0F243E" w:themeColor="text2" w:themeShade="80"/>
                <w:sz w:val="18"/>
                <w:szCs w:val="18"/>
              </w:rPr>
              <w:t>8]</w:t>
            </w:r>
            <w:r w:rsidRPr="00FB7EA4">
              <w:rPr>
                <w:rFonts w:ascii="Arial" w:hAnsi="Arial" w:cs="Aharoni"/>
                <w:color w:val="0F243E" w:themeColor="text2" w:themeShade="80"/>
                <w:sz w:val="18"/>
                <w:szCs w:val="18"/>
              </w:rPr>
              <w:t xml:space="preserve">, </w:t>
            </w:r>
            <w:r w:rsidR="009725A3" w:rsidRPr="00FB7EA4">
              <w:rPr>
                <w:rFonts w:ascii="Arial" w:hAnsi="Arial" w:cs="Aharoni"/>
                <w:color w:val="0F243E" w:themeColor="text2" w:themeShade="80"/>
                <w:sz w:val="18"/>
                <w:szCs w:val="18"/>
              </w:rPr>
              <w:t>contaron</w:t>
            </w:r>
            <w:r w:rsidR="00783CCF" w:rsidRPr="00FB7EA4">
              <w:rPr>
                <w:rFonts w:ascii="Arial" w:hAnsi="Arial" w:cs="Aharoni"/>
                <w:color w:val="0F243E" w:themeColor="text2" w:themeShade="80"/>
                <w:sz w:val="18"/>
                <w:szCs w:val="18"/>
              </w:rPr>
              <w:t xml:space="preserve"> con </w:t>
            </w:r>
            <w:r w:rsidRPr="00FB7EA4">
              <w:rPr>
                <w:rFonts w:ascii="Arial" w:hAnsi="Arial" w:cs="Aharoni"/>
                <w:color w:val="0F243E" w:themeColor="text2" w:themeShade="80"/>
                <w:sz w:val="18"/>
                <w:szCs w:val="18"/>
              </w:rPr>
              <w:t>la certificación de austeridad del gasto</w:t>
            </w:r>
            <w:r w:rsidR="009B48D0" w:rsidRPr="00FB7EA4">
              <w:rPr>
                <w:rFonts w:ascii="Arial" w:hAnsi="Arial" w:cs="Aharoni"/>
                <w:color w:val="0F243E" w:themeColor="text2" w:themeShade="80"/>
                <w:sz w:val="18"/>
                <w:szCs w:val="18"/>
              </w:rPr>
              <w:t xml:space="preserve"> </w:t>
            </w:r>
            <w:r w:rsidRPr="00FB7EA4">
              <w:rPr>
                <w:rFonts w:ascii="Arial" w:hAnsi="Arial" w:cs="Aharoni"/>
                <w:color w:val="0F243E" w:themeColor="text2" w:themeShade="80"/>
                <w:sz w:val="18"/>
                <w:szCs w:val="18"/>
              </w:rPr>
              <w:t>emitida por la Subdire</w:t>
            </w:r>
            <w:r w:rsidR="009B48D0" w:rsidRPr="00FB7EA4">
              <w:rPr>
                <w:rFonts w:ascii="Arial" w:hAnsi="Arial" w:cs="Aharoni"/>
                <w:color w:val="0F243E" w:themeColor="text2" w:themeShade="80"/>
                <w:sz w:val="18"/>
                <w:szCs w:val="18"/>
              </w:rPr>
              <w:t xml:space="preserve">cción de Gestión de Talento Humano </w:t>
            </w:r>
            <w:r w:rsidRPr="00FB7EA4">
              <w:rPr>
                <w:rFonts w:ascii="Arial" w:hAnsi="Arial" w:cs="Aharoni"/>
                <w:color w:val="0F243E" w:themeColor="text2" w:themeShade="80"/>
                <w:sz w:val="18"/>
                <w:szCs w:val="18"/>
              </w:rPr>
              <w:t xml:space="preserve">en la cual se especifica la insuficiencia o la inexistencia de personal en la planta de personal del Ministerio para atender las actividades técnicas o administrativas requeridas por el área, dando cumplimiento a las políticas de austeridad. Análisis efectuado en el numeral </w:t>
            </w:r>
            <w:r w:rsidRPr="00FB7EA4">
              <w:rPr>
                <w:rFonts w:ascii="Arial" w:hAnsi="Arial" w:cs="Arial"/>
                <w:i/>
                <w:iCs/>
                <w:color w:val="0F243E" w:themeColor="text2" w:themeShade="80"/>
                <w:sz w:val="18"/>
                <w:szCs w:val="18"/>
              </w:rPr>
              <w:t>" Prestación de Servicios Profesionales y de Apoyo a la Gestión"</w:t>
            </w:r>
          </w:p>
        </w:tc>
      </w:tr>
      <w:tr w:rsidR="00F85212" w:rsidRPr="00FB7EA4" w14:paraId="702A955F" w14:textId="77777777"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0062FD" w14:textId="77777777" w:rsidR="003C337D" w:rsidRPr="00FB7EA4" w:rsidRDefault="003C337D" w:rsidP="00A554E3">
            <w:pPr>
              <w:spacing w:before="60" w:after="60"/>
              <w:jc w:val="both"/>
              <w:rPr>
                <w:rFonts w:ascii="Arial" w:hAnsi="Arial" w:cs="Arial"/>
                <w:b w:val="0"/>
                <w:color w:val="0F243E" w:themeColor="text2" w:themeShade="80"/>
                <w:sz w:val="20"/>
                <w:szCs w:val="20"/>
              </w:rPr>
            </w:pPr>
            <w:r w:rsidRPr="00FB7EA4">
              <w:rPr>
                <w:rFonts w:ascii="Arial" w:hAnsi="Arial" w:cs="Aharoni"/>
                <w:b w:val="0"/>
                <w:color w:val="0F243E" w:themeColor="text2" w:themeShade="80"/>
                <w:sz w:val="20"/>
                <w:szCs w:val="20"/>
              </w:rPr>
              <w:t xml:space="preserve">Celebrar contratos de publicidad y/o propaganda personalizada o que promocione la gestión del Gobierno </w:t>
            </w:r>
            <w:r w:rsidR="006F1072" w:rsidRPr="00FB7EA4">
              <w:rPr>
                <w:rFonts w:ascii="Arial" w:hAnsi="Arial" w:cs="Aharoni"/>
                <w:b w:val="0"/>
                <w:color w:val="0F243E" w:themeColor="text2" w:themeShade="80"/>
                <w:sz w:val="20"/>
                <w:szCs w:val="20"/>
              </w:rPr>
              <w:t>N</w:t>
            </w:r>
            <w:r w:rsidRPr="00FB7EA4">
              <w:rPr>
                <w:rFonts w:ascii="Arial" w:hAnsi="Arial" w:cs="Aharoni"/>
                <w:b w:val="0"/>
                <w:color w:val="0F243E" w:themeColor="text2" w:themeShade="80"/>
                <w:sz w:val="20"/>
                <w:szCs w:val="20"/>
              </w:rPr>
              <w:t>acional, (agendas, almanaques, libretas, pocillos, vasos, esferos, etc.), adquirir libros, revistas, o similares; imprimir informes, folletos o textos institucionales</w:t>
            </w:r>
          </w:p>
        </w:tc>
        <w:tc>
          <w:tcPr>
            <w:tcW w:w="0" w:type="auto"/>
            <w:vAlign w:val="center"/>
            <w:hideMark/>
          </w:tcPr>
          <w:p w14:paraId="08E26432" w14:textId="1BC55626" w:rsidR="003C337D" w:rsidRPr="00FB7EA4" w:rsidRDefault="003C337D" w:rsidP="00C8512B">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haroni"/>
                <w:color w:val="0F243E" w:themeColor="text2" w:themeShade="80"/>
                <w:sz w:val="20"/>
                <w:szCs w:val="20"/>
              </w:rPr>
              <w:t>Se consultó el Plan</w:t>
            </w:r>
            <w:r w:rsidR="00C8512B">
              <w:rPr>
                <w:rFonts w:ascii="Arial" w:hAnsi="Arial" w:cs="Aharoni"/>
                <w:color w:val="0F243E" w:themeColor="text2" w:themeShade="80"/>
                <w:sz w:val="20"/>
                <w:szCs w:val="20"/>
              </w:rPr>
              <w:t xml:space="preserve"> de Compras </w:t>
            </w:r>
            <w:r w:rsidRPr="00FB7EA4">
              <w:rPr>
                <w:rFonts w:ascii="Arial" w:hAnsi="Arial" w:cs="Aharoni"/>
                <w:color w:val="0F243E" w:themeColor="text2" w:themeShade="80"/>
                <w:sz w:val="20"/>
                <w:szCs w:val="20"/>
              </w:rPr>
              <w:t>con corte a 3</w:t>
            </w:r>
            <w:r w:rsidR="006F1072" w:rsidRPr="00FB7EA4">
              <w:rPr>
                <w:rFonts w:ascii="Arial" w:hAnsi="Arial" w:cs="Aharoni"/>
                <w:color w:val="0F243E" w:themeColor="text2" w:themeShade="80"/>
                <w:sz w:val="20"/>
                <w:szCs w:val="20"/>
              </w:rPr>
              <w:t>0</w:t>
            </w:r>
            <w:r w:rsidRPr="00FB7EA4">
              <w:rPr>
                <w:rFonts w:ascii="Arial" w:hAnsi="Arial" w:cs="Aharoni"/>
                <w:color w:val="0F243E" w:themeColor="text2" w:themeShade="80"/>
                <w:sz w:val="20"/>
                <w:szCs w:val="20"/>
              </w:rPr>
              <w:t xml:space="preserve"> de</w:t>
            </w:r>
            <w:r w:rsidR="003F2986" w:rsidRPr="00FB7EA4">
              <w:rPr>
                <w:rFonts w:ascii="Arial" w:hAnsi="Arial" w:cs="Aharoni"/>
                <w:color w:val="0F243E" w:themeColor="text2" w:themeShade="80"/>
                <w:sz w:val="20"/>
                <w:szCs w:val="20"/>
              </w:rPr>
              <w:t xml:space="preserve"> septiembre </w:t>
            </w:r>
            <w:r w:rsidRPr="00FB7EA4">
              <w:rPr>
                <w:rFonts w:ascii="Arial" w:hAnsi="Arial" w:cs="Aharoni"/>
                <w:color w:val="0F243E" w:themeColor="text2" w:themeShade="80"/>
                <w:sz w:val="20"/>
                <w:szCs w:val="20"/>
              </w:rPr>
              <w:t xml:space="preserve">de 2019, en el cual se observó que no se asignaron recursos con cargo al presupuesto de este Ministerio para la contratación de Publicidad. </w:t>
            </w:r>
            <w:r w:rsidR="00084982" w:rsidRPr="00FB7EA4">
              <w:rPr>
                <w:rFonts w:ascii="Arial" w:hAnsi="Arial" w:cs="Aharoni"/>
                <w:color w:val="0F243E" w:themeColor="text2" w:themeShade="80"/>
                <w:sz w:val="20"/>
                <w:szCs w:val="20"/>
              </w:rPr>
              <w:t>De igual forma, se consultó en el SIIF las obligaciones registradas para el periodo analizado</w:t>
            </w:r>
            <w:r w:rsidR="00CA6D9F" w:rsidRPr="00FB7EA4">
              <w:rPr>
                <w:rFonts w:ascii="Arial" w:hAnsi="Arial" w:cs="Aharoni"/>
                <w:color w:val="0F243E" w:themeColor="text2" w:themeShade="80"/>
                <w:sz w:val="20"/>
                <w:szCs w:val="20"/>
              </w:rPr>
              <w:t xml:space="preserve">, </w:t>
            </w:r>
            <w:r w:rsidR="00084982" w:rsidRPr="00FB7EA4">
              <w:rPr>
                <w:rFonts w:ascii="Arial" w:hAnsi="Arial" w:cs="Aharoni"/>
                <w:color w:val="0F243E" w:themeColor="text2" w:themeShade="80"/>
                <w:sz w:val="20"/>
                <w:szCs w:val="20"/>
              </w:rPr>
              <w:t xml:space="preserve">constatando que se </w:t>
            </w:r>
            <w:r w:rsidR="00CA6D9F" w:rsidRPr="00FB7EA4">
              <w:rPr>
                <w:rFonts w:ascii="Arial" w:hAnsi="Arial" w:cs="Aharoni"/>
                <w:color w:val="0F243E" w:themeColor="text2" w:themeShade="80"/>
                <w:sz w:val="20"/>
                <w:szCs w:val="20"/>
              </w:rPr>
              <w:t>no presentaron</w:t>
            </w:r>
            <w:r w:rsidR="00084982" w:rsidRPr="00FB7EA4">
              <w:rPr>
                <w:rFonts w:ascii="Arial" w:hAnsi="Arial" w:cs="Aharoni"/>
                <w:color w:val="0F243E" w:themeColor="text2" w:themeShade="80"/>
                <w:sz w:val="20"/>
                <w:szCs w:val="20"/>
              </w:rPr>
              <w:t xml:space="preserve"> gastos por los conceptos expuestos en este punto</w:t>
            </w:r>
            <w:r w:rsidR="00CA6D9F" w:rsidRPr="00FB7EA4">
              <w:rPr>
                <w:rFonts w:ascii="Arial" w:hAnsi="Arial" w:cs="Aharoni"/>
                <w:color w:val="0F243E" w:themeColor="text2" w:themeShade="80"/>
                <w:sz w:val="20"/>
                <w:szCs w:val="20"/>
              </w:rPr>
              <w:t>.</w:t>
            </w:r>
          </w:p>
        </w:tc>
      </w:tr>
      <w:tr w:rsidR="00A87A04" w:rsidRPr="00FB7EA4" w14:paraId="4A2FC262" w14:textId="77777777"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B15B18" w14:textId="77777777" w:rsidR="003C337D" w:rsidRPr="00FB7EA4" w:rsidRDefault="003C337D" w:rsidP="00A554E3">
            <w:pPr>
              <w:spacing w:before="60" w:after="60"/>
              <w:jc w:val="both"/>
              <w:rPr>
                <w:rFonts w:ascii="Arial" w:hAnsi="Arial" w:cs="Arial"/>
                <w:b w:val="0"/>
                <w:color w:val="0F243E" w:themeColor="text2" w:themeShade="80"/>
                <w:sz w:val="20"/>
                <w:szCs w:val="20"/>
              </w:rPr>
            </w:pPr>
            <w:r w:rsidRPr="00FB7EA4">
              <w:rPr>
                <w:rFonts w:ascii="Arial" w:hAnsi="Arial" w:cs="Aharoni"/>
                <w:b w:val="0"/>
                <w:color w:val="0F243E" w:themeColor="text2" w:themeShade="80"/>
                <w:sz w:val="20"/>
                <w:szCs w:val="20"/>
              </w:rPr>
              <w:t>Realizar publicaciones impresas. Quedan prohibidas las publicaciones impresas y en especial las de costos elevados correspondientes a impresiones a color o en papeles especiales. Las publicaciones de toda entidad deberán hacerse en su espacio web.</w:t>
            </w:r>
          </w:p>
        </w:tc>
        <w:tc>
          <w:tcPr>
            <w:tcW w:w="0" w:type="auto"/>
            <w:vAlign w:val="center"/>
            <w:hideMark/>
          </w:tcPr>
          <w:p w14:paraId="2B006BAE" w14:textId="788203E3" w:rsidR="003C337D" w:rsidRPr="00FB7EA4" w:rsidRDefault="003C337D" w:rsidP="00A911ED">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haroni"/>
                <w:color w:val="0F243E" w:themeColor="text2" w:themeShade="80"/>
                <w:sz w:val="20"/>
                <w:szCs w:val="20"/>
              </w:rPr>
              <w:t>Se verificó en el Plan de Compras para la vigen</w:t>
            </w:r>
            <w:r w:rsidR="00A4412C" w:rsidRPr="00FB7EA4">
              <w:rPr>
                <w:rFonts w:ascii="Arial" w:hAnsi="Arial" w:cs="Aharoni"/>
                <w:color w:val="0F243E" w:themeColor="text2" w:themeShade="80"/>
                <w:sz w:val="20"/>
                <w:szCs w:val="20"/>
              </w:rPr>
              <w:t>cia 2019 y se consultaron los compromisos registrado</w:t>
            </w:r>
            <w:r w:rsidRPr="00FB7EA4">
              <w:rPr>
                <w:rFonts w:ascii="Arial" w:hAnsi="Arial" w:cs="Aharoni"/>
                <w:color w:val="0F243E" w:themeColor="text2" w:themeShade="80"/>
                <w:sz w:val="20"/>
                <w:szCs w:val="20"/>
              </w:rPr>
              <w:t xml:space="preserve">s en el SIIF Nación para el </w:t>
            </w:r>
            <w:r w:rsidR="00A911ED" w:rsidRPr="00FB7EA4">
              <w:rPr>
                <w:rFonts w:ascii="Arial" w:hAnsi="Arial" w:cs="Aharoni"/>
                <w:color w:val="0F243E" w:themeColor="text2" w:themeShade="80"/>
                <w:sz w:val="20"/>
                <w:szCs w:val="20"/>
              </w:rPr>
              <w:t xml:space="preserve">tercer </w:t>
            </w:r>
            <w:r w:rsidRPr="00FB7EA4">
              <w:rPr>
                <w:rFonts w:ascii="Arial" w:hAnsi="Arial" w:cs="Aharoni"/>
                <w:color w:val="0F243E" w:themeColor="text2" w:themeShade="80"/>
                <w:sz w:val="20"/>
                <w:szCs w:val="20"/>
              </w:rPr>
              <w:t>trimestre de 2019. Como resultado se evidenció que no se efectuaron contrataciones por los conceptos de edición de libros, revistas, escritos y trabajos tipográficos.</w:t>
            </w:r>
          </w:p>
        </w:tc>
      </w:tr>
      <w:tr w:rsidR="00A87A04" w:rsidRPr="00FB7EA4" w14:paraId="41C8F5B3" w14:textId="77777777"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411114" w14:textId="77777777" w:rsidR="003C337D" w:rsidRPr="00FB7EA4" w:rsidRDefault="003C337D" w:rsidP="009E04D5">
            <w:pPr>
              <w:jc w:val="both"/>
              <w:rPr>
                <w:rFonts w:ascii="Arial" w:hAnsi="Arial" w:cs="Arial"/>
                <w:b w:val="0"/>
                <w:color w:val="0F243E" w:themeColor="text2" w:themeShade="80"/>
                <w:sz w:val="20"/>
                <w:szCs w:val="20"/>
              </w:rPr>
            </w:pPr>
            <w:r w:rsidRPr="00FB7EA4">
              <w:rPr>
                <w:rFonts w:ascii="Arial" w:hAnsi="Arial" w:cs="Aharoni"/>
                <w:b w:val="0"/>
                <w:color w:val="0F243E" w:themeColor="text2" w:themeShade="80"/>
                <w:sz w:val="20"/>
                <w:szCs w:val="20"/>
              </w:rPr>
              <w:t>Iniciar cualquier tipo de contratación que implique mejoras suntuarias, tales como el embellecimiento, la ornamentación o la instalación o adecuación de acabados estéticos de bienes inmuebles. El mantenimiento a bienes inmuebles, solo procederá cuando de no hacerse se ponga en riesgo la seguridad de los funcionarios públicos</w:t>
            </w:r>
          </w:p>
        </w:tc>
        <w:tc>
          <w:tcPr>
            <w:tcW w:w="0" w:type="auto"/>
            <w:vAlign w:val="center"/>
            <w:hideMark/>
          </w:tcPr>
          <w:p w14:paraId="4C39002F" w14:textId="783F275B" w:rsidR="003C337D" w:rsidRPr="00FB7EA4" w:rsidRDefault="00F85212" w:rsidP="00FA2E7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haroni"/>
                <w:color w:val="0F243E" w:themeColor="text2" w:themeShade="80"/>
                <w:sz w:val="20"/>
                <w:szCs w:val="20"/>
              </w:rPr>
              <w:t xml:space="preserve">De acuerdo con la verificación a las obligaciones registradas durante el </w:t>
            </w:r>
            <w:r w:rsidR="00FA2E7B" w:rsidRPr="00FB7EA4">
              <w:rPr>
                <w:rFonts w:ascii="Arial" w:hAnsi="Arial" w:cs="Aharoni"/>
                <w:color w:val="0F243E" w:themeColor="text2" w:themeShade="80"/>
                <w:sz w:val="20"/>
                <w:szCs w:val="20"/>
              </w:rPr>
              <w:t xml:space="preserve">tercer </w:t>
            </w:r>
            <w:r w:rsidRPr="00FB7EA4">
              <w:rPr>
                <w:rFonts w:ascii="Arial" w:hAnsi="Arial" w:cs="Aharoni"/>
                <w:color w:val="0F243E" w:themeColor="text2" w:themeShade="80"/>
                <w:sz w:val="20"/>
                <w:szCs w:val="20"/>
              </w:rPr>
              <w:t>trimestre de 2019, no se evidenció que se hayan contratado servicios referentes a mejoras de las sedes de este Ministerio a las que hace alusión el artículo analizado. Los ga</w:t>
            </w:r>
            <w:r w:rsidR="00670C1C" w:rsidRPr="00FB7EA4">
              <w:rPr>
                <w:rFonts w:ascii="Arial" w:hAnsi="Arial" w:cs="Aharoni"/>
                <w:color w:val="0F243E" w:themeColor="text2" w:themeShade="80"/>
                <w:sz w:val="20"/>
                <w:szCs w:val="20"/>
              </w:rPr>
              <w:t>s</w:t>
            </w:r>
            <w:r w:rsidRPr="00FB7EA4">
              <w:rPr>
                <w:rFonts w:ascii="Arial" w:hAnsi="Arial" w:cs="Aharoni"/>
                <w:color w:val="0F243E" w:themeColor="text2" w:themeShade="80"/>
                <w:sz w:val="20"/>
                <w:szCs w:val="20"/>
              </w:rPr>
              <w:t xml:space="preserve">tos generados por mantenimientos corresponden a los preventivos y correctivos, </w:t>
            </w:r>
            <w:r w:rsidR="00B4361F" w:rsidRPr="00FB7EA4">
              <w:rPr>
                <w:rFonts w:ascii="Arial" w:hAnsi="Arial" w:cs="Aharoni"/>
                <w:color w:val="0F243E" w:themeColor="text2" w:themeShade="80"/>
                <w:sz w:val="20"/>
                <w:szCs w:val="20"/>
              </w:rPr>
              <w:t>entre los cuales están, el mantenimiento de ascensores, el cual t</w:t>
            </w:r>
            <w:r w:rsidRPr="00FB7EA4">
              <w:rPr>
                <w:rFonts w:ascii="Arial" w:hAnsi="Arial" w:cs="Aharoni"/>
                <w:color w:val="0F243E" w:themeColor="text2" w:themeShade="80"/>
                <w:sz w:val="20"/>
                <w:szCs w:val="20"/>
              </w:rPr>
              <w:t xml:space="preserve">iene la finalidad de conservar adecuadamente las instalaciones de este Ministerio y de contribuir a la seguridad de los funcionarios que trabajan en dicha entidad.   </w:t>
            </w:r>
            <w:r w:rsidR="003C337D" w:rsidRPr="00FB7EA4">
              <w:rPr>
                <w:rFonts w:ascii="Arial" w:hAnsi="Arial" w:cs="Arial"/>
                <w:color w:val="0F243E" w:themeColor="text2" w:themeShade="80"/>
                <w:sz w:val="20"/>
                <w:szCs w:val="20"/>
              </w:rPr>
              <w:t xml:space="preserve"> </w:t>
            </w:r>
          </w:p>
        </w:tc>
      </w:tr>
      <w:tr w:rsidR="00A87A04" w:rsidRPr="00FB7EA4" w14:paraId="1994B198" w14:textId="77777777"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8699B6" w14:textId="77777777" w:rsidR="003C337D" w:rsidRPr="00FB7EA4" w:rsidRDefault="003C337D" w:rsidP="009E04D5">
            <w:pPr>
              <w:jc w:val="both"/>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Adquirir bienes muebles no necesarios para el normal funcionamiento de las instituciones tales como neveras, televisores, equipos audiovisuales, video beam, computadores portátiles, tableros interactivos, calentadores, hornos.</w:t>
            </w:r>
          </w:p>
        </w:tc>
        <w:tc>
          <w:tcPr>
            <w:tcW w:w="0" w:type="auto"/>
            <w:vAlign w:val="center"/>
            <w:hideMark/>
          </w:tcPr>
          <w:p w14:paraId="27C3B21C" w14:textId="11D9B5F2" w:rsidR="003C337D" w:rsidRPr="00FB7EA4" w:rsidRDefault="003C337D" w:rsidP="000066B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Durante el </w:t>
            </w:r>
            <w:r w:rsidR="000066BF" w:rsidRPr="00FB7EA4">
              <w:rPr>
                <w:rFonts w:ascii="Arial" w:hAnsi="Arial" w:cs="Arial"/>
                <w:color w:val="0F243E" w:themeColor="text2" w:themeShade="80"/>
                <w:sz w:val="20"/>
                <w:szCs w:val="20"/>
              </w:rPr>
              <w:t xml:space="preserve">tercer </w:t>
            </w:r>
            <w:r w:rsidRPr="00FB7EA4">
              <w:rPr>
                <w:rFonts w:ascii="Arial" w:hAnsi="Arial" w:cs="Arial"/>
                <w:color w:val="0F243E" w:themeColor="text2" w:themeShade="80"/>
                <w:sz w:val="20"/>
                <w:szCs w:val="20"/>
              </w:rPr>
              <w:t>trimestre de 2019</w:t>
            </w:r>
            <w:r w:rsidR="00D0414C" w:rsidRPr="00FB7EA4">
              <w:rPr>
                <w:rFonts w:ascii="Arial" w:hAnsi="Arial" w:cs="Arial"/>
                <w:color w:val="0F243E" w:themeColor="text2" w:themeShade="80"/>
                <w:sz w:val="20"/>
                <w:szCs w:val="20"/>
              </w:rPr>
              <w:t xml:space="preserve">, este Ministerio </w:t>
            </w:r>
            <w:r w:rsidRPr="00FB7EA4">
              <w:rPr>
                <w:rFonts w:ascii="Arial" w:hAnsi="Arial" w:cs="Arial"/>
                <w:color w:val="0F243E" w:themeColor="text2" w:themeShade="80"/>
                <w:sz w:val="20"/>
                <w:szCs w:val="20"/>
              </w:rPr>
              <w:t>no adqui</w:t>
            </w:r>
            <w:r w:rsidR="00D0414C" w:rsidRPr="00FB7EA4">
              <w:rPr>
                <w:rFonts w:ascii="Arial" w:hAnsi="Arial" w:cs="Arial"/>
                <w:color w:val="0F243E" w:themeColor="text2" w:themeShade="80"/>
                <w:sz w:val="20"/>
                <w:szCs w:val="20"/>
              </w:rPr>
              <w:t xml:space="preserve">rió </w:t>
            </w:r>
            <w:r w:rsidRPr="00FB7EA4">
              <w:rPr>
                <w:rFonts w:ascii="Arial" w:hAnsi="Arial" w:cs="Arial"/>
                <w:color w:val="0F243E" w:themeColor="text2" w:themeShade="80"/>
                <w:sz w:val="20"/>
                <w:szCs w:val="20"/>
              </w:rPr>
              <w:t xml:space="preserve">bienes </w:t>
            </w:r>
            <w:r w:rsidR="00B4361F" w:rsidRPr="00FB7EA4">
              <w:rPr>
                <w:rFonts w:ascii="Arial" w:hAnsi="Arial" w:cs="Arial"/>
                <w:color w:val="0F243E" w:themeColor="text2" w:themeShade="80"/>
                <w:sz w:val="20"/>
                <w:szCs w:val="20"/>
              </w:rPr>
              <w:t xml:space="preserve">a los </w:t>
            </w:r>
            <w:r w:rsidRPr="00FB7EA4">
              <w:rPr>
                <w:rFonts w:ascii="Arial" w:hAnsi="Arial" w:cs="Arial"/>
                <w:color w:val="0F243E" w:themeColor="text2" w:themeShade="80"/>
                <w:sz w:val="20"/>
                <w:szCs w:val="20"/>
              </w:rPr>
              <w:t>que hace</w:t>
            </w:r>
            <w:r w:rsidR="00B4361F" w:rsidRPr="00FB7EA4">
              <w:rPr>
                <w:rFonts w:ascii="Arial" w:hAnsi="Arial" w:cs="Arial"/>
                <w:color w:val="0F243E" w:themeColor="text2" w:themeShade="80"/>
                <w:sz w:val="20"/>
                <w:szCs w:val="20"/>
              </w:rPr>
              <w:t xml:space="preserve"> referencia </w:t>
            </w:r>
            <w:r w:rsidRPr="00FB7EA4">
              <w:rPr>
                <w:rFonts w:ascii="Arial" w:hAnsi="Arial" w:cs="Arial"/>
                <w:color w:val="0F243E" w:themeColor="text2" w:themeShade="80"/>
                <w:sz w:val="20"/>
                <w:szCs w:val="20"/>
              </w:rPr>
              <w:t xml:space="preserve">el presente artículo.  </w:t>
            </w:r>
          </w:p>
        </w:tc>
      </w:tr>
      <w:tr w:rsidR="00A87A04" w:rsidRPr="00FB7EA4" w14:paraId="6A29A5D8" w14:textId="77777777"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6DCA64" w14:textId="77777777" w:rsidR="003C337D" w:rsidRPr="00FB7EA4" w:rsidRDefault="003C337D" w:rsidP="009E04D5">
            <w:pPr>
              <w:jc w:val="both"/>
              <w:rPr>
                <w:rFonts w:ascii="Arial" w:hAnsi="Arial" w:cs="Arial"/>
                <w:b w:val="0"/>
                <w:color w:val="0F243E" w:themeColor="text2" w:themeShade="80"/>
                <w:sz w:val="20"/>
                <w:szCs w:val="20"/>
              </w:rPr>
            </w:pPr>
            <w:r w:rsidRPr="00FB7EA4">
              <w:rPr>
                <w:rFonts w:ascii="Arial" w:hAnsi="Arial" w:cs="Aharoni"/>
                <w:b w:val="0"/>
                <w:color w:val="0F243E" w:themeColor="text2" w:themeShade="80"/>
                <w:sz w:val="20"/>
                <w:szCs w:val="20"/>
              </w:rPr>
              <w:t>Adquirir vehículos automotores</w:t>
            </w:r>
          </w:p>
        </w:tc>
        <w:tc>
          <w:tcPr>
            <w:tcW w:w="0" w:type="auto"/>
            <w:vAlign w:val="center"/>
            <w:hideMark/>
          </w:tcPr>
          <w:p w14:paraId="26FA44AF" w14:textId="19BF9914" w:rsidR="003C337D" w:rsidRPr="00FB7EA4" w:rsidRDefault="003C337D" w:rsidP="0045172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haroni"/>
                <w:color w:val="0F243E" w:themeColor="text2" w:themeShade="80"/>
                <w:sz w:val="20"/>
                <w:szCs w:val="20"/>
              </w:rPr>
              <w:t>No se adquirieron vehículos por parte de la Entidad durante el período objeto de seguimiento</w:t>
            </w:r>
            <w:r w:rsidR="00191D5E" w:rsidRPr="00FB7EA4">
              <w:rPr>
                <w:rFonts w:ascii="Arial" w:hAnsi="Arial" w:cs="Aharoni"/>
                <w:color w:val="0F243E" w:themeColor="text2" w:themeShade="80"/>
                <w:sz w:val="20"/>
                <w:szCs w:val="20"/>
              </w:rPr>
              <w:t>. L</w:t>
            </w:r>
            <w:r w:rsidRPr="00FB7EA4">
              <w:rPr>
                <w:rFonts w:ascii="Arial" w:hAnsi="Arial" w:cs="Aharoni"/>
                <w:color w:val="0F243E" w:themeColor="text2" w:themeShade="80"/>
                <w:sz w:val="20"/>
                <w:szCs w:val="20"/>
              </w:rPr>
              <w:t>os gastos generados correspondieron al mantenimiento básico</w:t>
            </w:r>
            <w:r w:rsidR="00191D5E" w:rsidRPr="00FB7EA4">
              <w:rPr>
                <w:rFonts w:ascii="Arial" w:hAnsi="Arial" w:cs="Aharoni"/>
                <w:color w:val="0F243E" w:themeColor="text2" w:themeShade="80"/>
                <w:sz w:val="20"/>
                <w:szCs w:val="20"/>
              </w:rPr>
              <w:t xml:space="preserve">, preventivo y correctivo </w:t>
            </w:r>
            <w:r w:rsidRPr="00FB7EA4">
              <w:rPr>
                <w:rFonts w:ascii="Arial" w:hAnsi="Arial" w:cs="Aharoni"/>
                <w:color w:val="0F243E" w:themeColor="text2" w:themeShade="80"/>
                <w:sz w:val="20"/>
                <w:szCs w:val="20"/>
              </w:rPr>
              <w:t>de los vehículos</w:t>
            </w:r>
            <w:r w:rsidR="00191D5E" w:rsidRPr="00FB7EA4">
              <w:rPr>
                <w:rFonts w:ascii="Arial" w:hAnsi="Arial" w:cs="Aharoni"/>
                <w:color w:val="0F243E" w:themeColor="text2" w:themeShade="80"/>
                <w:sz w:val="20"/>
                <w:szCs w:val="20"/>
              </w:rPr>
              <w:t xml:space="preserve"> que hacen parte del parque automotor de este Ministerio. </w:t>
            </w:r>
            <w:r w:rsidRPr="00FB7EA4">
              <w:rPr>
                <w:rFonts w:ascii="Arial" w:hAnsi="Arial" w:cs="Aharoni"/>
                <w:color w:val="0F243E" w:themeColor="text2" w:themeShade="80"/>
                <w:sz w:val="20"/>
                <w:szCs w:val="20"/>
              </w:rPr>
              <w:t xml:space="preserve"> A 3</w:t>
            </w:r>
            <w:r w:rsidR="00191D5E" w:rsidRPr="00FB7EA4">
              <w:rPr>
                <w:rFonts w:ascii="Arial" w:hAnsi="Arial" w:cs="Aharoni"/>
                <w:color w:val="0F243E" w:themeColor="text2" w:themeShade="80"/>
                <w:sz w:val="20"/>
                <w:szCs w:val="20"/>
              </w:rPr>
              <w:t>0</w:t>
            </w:r>
            <w:r w:rsidRPr="00FB7EA4">
              <w:rPr>
                <w:rFonts w:ascii="Arial" w:hAnsi="Arial" w:cs="Aharoni"/>
                <w:color w:val="0F243E" w:themeColor="text2" w:themeShade="80"/>
                <w:sz w:val="20"/>
                <w:szCs w:val="20"/>
              </w:rPr>
              <w:t xml:space="preserve"> de </w:t>
            </w:r>
            <w:r w:rsidR="0045172A" w:rsidRPr="00FB7EA4">
              <w:rPr>
                <w:rFonts w:ascii="Arial" w:hAnsi="Arial" w:cs="Aharoni"/>
                <w:color w:val="0F243E" w:themeColor="text2" w:themeShade="80"/>
                <w:sz w:val="20"/>
                <w:szCs w:val="20"/>
              </w:rPr>
              <w:t xml:space="preserve">septiembre de 2019, </w:t>
            </w:r>
            <w:r w:rsidR="00191D5E" w:rsidRPr="00FB7EA4">
              <w:rPr>
                <w:rFonts w:ascii="Arial" w:hAnsi="Arial" w:cs="Aharoni"/>
                <w:color w:val="0F243E" w:themeColor="text2" w:themeShade="80"/>
                <w:sz w:val="20"/>
                <w:szCs w:val="20"/>
              </w:rPr>
              <w:t xml:space="preserve">el número de vehículos asignados al </w:t>
            </w:r>
            <w:r w:rsidR="003A3A15" w:rsidRPr="00FB7EA4">
              <w:rPr>
                <w:rFonts w:ascii="Arial" w:hAnsi="Arial" w:cs="Aharoni"/>
                <w:color w:val="0F243E" w:themeColor="text2" w:themeShade="80"/>
                <w:sz w:val="20"/>
                <w:szCs w:val="20"/>
              </w:rPr>
              <w:t>MHCP asciende</w:t>
            </w:r>
            <w:r w:rsidRPr="00FB7EA4">
              <w:rPr>
                <w:rFonts w:ascii="Arial" w:hAnsi="Arial" w:cs="Aharoni"/>
                <w:color w:val="0F243E" w:themeColor="text2" w:themeShade="80"/>
                <w:sz w:val="20"/>
                <w:szCs w:val="20"/>
              </w:rPr>
              <w:t xml:space="preserve"> a 2</w:t>
            </w:r>
            <w:r w:rsidR="0045172A" w:rsidRPr="00FB7EA4">
              <w:rPr>
                <w:rFonts w:ascii="Arial" w:hAnsi="Arial" w:cs="Aharoni"/>
                <w:color w:val="0F243E" w:themeColor="text2" w:themeShade="80"/>
                <w:sz w:val="20"/>
                <w:szCs w:val="20"/>
              </w:rPr>
              <w:t>4</w:t>
            </w:r>
            <w:r w:rsidRPr="00FB7EA4">
              <w:rPr>
                <w:rFonts w:ascii="Arial" w:hAnsi="Arial" w:cs="Aharoni"/>
                <w:color w:val="0F243E" w:themeColor="text2" w:themeShade="80"/>
                <w:sz w:val="20"/>
                <w:szCs w:val="20"/>
              </w:rPr>
              <w:t>, cantidad que no aumentó en comparación con el trimestre inmediatamente anterior [ I</w:t>
            </w:r>
            <w:r w:rsidR="0045172A" w:rsidRPr="00FB7EA4">
              <w:rPr>
                <w:rFonts w:ascii="Arial" w:hAnsi="Arial" w:cs="Aharoni"/>
                <w:color w:val="0F243E" w:themeColor="text2" w:themeShade="80"/>
                <w:sz w:val="20"/>
                <w:szCs w:val="20"/>
              </w:rPr>
              <w:t>I</w:t>
            </w:r>
            <w:r w:rsidRPr="00FB7EA4">
              <w:rPr>
                <w:rFonts w:ascii="Arial" w:hAnsi="Arial" w:cs="Aharoni"/>
                <w:color w:val="0F243E" w:themeColor="text2" w:themeShade="80"/>
                <w:sz w:val="20"/>
                <w:szCs w:val="20"/>
              </w:rPr>
              <w:t xml:space="preserve"> </w:t>
            </w:r>
            <w:r w:rsidR="003A3A15" w:rsidRPr="00FB7EA4">
              <w:rPr>
                <w:rFonts w:ascii="Arial" w:hAnsi="Arial" w:cs="Aharoni"/>
                <w:color w:val="0F243E" w:themeColor="text2" w:themeShade="80"/>
                <w:sz w:val="20"/>
                <w:szCs w:val="20"/>
              </w:rPr>
              <w:t>T</w:t>
            </w:r>
            <w:r w:rsidRPr="00FB7EA4">
              <w:rPr>
                <w:rFonts w:ascii="Arial" w:hAnsi="Arial" w:cs="Aharoni"/>
                <w:color w:val="0F243E" w:themeColor="text2" w:themeShade="80"/>
                <w:sz w:val="20"/>
                <w:szCs w:val="20"/>
              </w:rPr>
              <w:t>rimestre de 201</w:t>
            </w:r>
            <w:r w:rsidR="003A3A15" w:rsidRPr="00FB7EA4">
              <w:rPr>
                <w:rFonts w:ascii="Arial" w:hAnsi="Arial" w:cs="Aharoni"/>
                <w:color w:val="0F243E" w:themeColor="text2" w:themeShade="80"/>
                <w:sz w:val="20"/>
                <w:szCs w:val="20"/>
              </w:rPr>
              <w:t>9</w:t>
            </w:r>
            <w:r w:rsidRPr="00FB7EA4">
              <w:rPr>
                <w:rFonts w:ascii="Arial" w:hAnsi="Arial" w:cs="Aharoni"/>
                <w:color w:val="0F243E" w:themeColor="text2" w:themeShade="80"/>
                <w:sz w:val="20"/>
                <w:szCs w:val="20"/>
              </w:rPr>
              <w:t xml:space="preserve">]. </w:t>
            </w:r>
          </w:p>
        </w:tc>
      </w:tr>
      <w:tr w:rsidR="00A87A04" w:rsidRPr="00FB7EA4" w14:paraId="1B9A95D5" w14:textId="77777777"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ACC391E" w14:textId="77777777" w:rsidR="003C337D" w:rsidRPr="00FB7EA4" w:rsidRDefault="003C337D" w:rsidP="00F60BDF">
            <w:pPr>
              <w:spacing w:before="40" w:after="40"/>
              <w:jc w:val="both"/>
              <w:rPr>
                <w:rFonts w:ascii="Arial" w:hAnsi="Arial" w:cs="Arial"/>
                <w:b w:val="0"/>
                <w:color w:val="0F243E" w:themeColor="text2" w:themeShade="80"/>
                <w:sz w:val="20"/>
                <w:szCs w:val="20"/>
              </w:rPr>
            </w:pPr>
            <w:r w:rsidRPr="00FB7EA4">
              <w:rPr>
                <w:rFonts w:ascii="Arial" w:hAnsi="Arial" w:cs="Aharoni"/>
                <w:b w:val="0"/>
                <w:color w:val="0F243E" w:themeColor="text2" w:themeShade="80"/>
                <w:sz w:val="20"/>
                <w:szCs w:val="20"/>
              </w:rPr>
              <w:lastRenderedPageBreak/>
              <w:t>Cambiar de sedes. Solo procederá cuando no genere impacto presupuestal o su necesidad haga inaplazable su construcción.</w:t>
            </w:r>
          </w:p>
        </w:tc>
        <w:tc>
          <w:tcPr>
            <w:tcW w:w="0" w:type="auto"/>
            <w:vAlign w:val="center"/>
            <w:hideMark/>
          </w:tcPr>
          <w:p w14:paraId="67B81215" w14:textId="77777777" w:rsidR="003C337D" w:rsidRPr="00FB7EA4" w:rsidRDefault="003C337D" w:rsidP="00F60BDF">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haroni"/>
                <w:color w:val="0F243E" w:themeColor="text2" w:themeShade="80"/>
                <w:sz w:val="20"/>
                <w:szCs w:val="20"/>
              </w:rPr>
              <w:t xml:space="preserve">El Ministerio de Hacienda y Crédito Público cuenta con sedes propias, por tanto, no requiere cambiar de sedes. </w:t>
            </w:r>
          </w:p>
        </w:tc>
      </w:tr>
      <w:tr w:rsidR="00A87A04" w:rsidRPr="00FB7EA4" w14:paraId="29AF5C67" w14:textId="77777777" w:rsidTr="00036A9B">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72DCEE" w14:textId="77777777" w:rsidR="003C337D" w:rsidRPr="00FB7EA4" w:rsidRDefault="003C337D" w:rsidP="00F60BDF">
            <w:pPr>
              <w:spacing w:before="40" w:after="40"/>
              <w:jc w:val="both"/>
              <w:rPr>
                <w:rFonts w:ascii="Arial" w:hAnsi="Arial" w:cs="Arial"/>
                <w:b w:val="0"/>
                <w:color w:val="0F243E" w:themeColor="text2" w:themeShade="80"/>
                <w:sz w:val="20"/>
                <w:szCs w:val="20"/>
              </w:rPr>
            </w:pPr>
            <w:r w:rsidRPr="00FB7EA4">
              <w:rPr>
                <w:rFonts w:ascii="Arial" w:hAnsi="Arial" w:cs="Aharoni"/>
                <w:b w:val="0"/>
                <w:color w:val="0F243E" w:themeColor="text2" w:themeShade="80"/>
                <w:sz w:val="20"/>
                <w:szCs w:val="20"/>
              </w:rPr>
              <w:t xml:space="preserve">Realizar recepciones, fiestas, agasajos o conmemoraciones de las entidades con cargo a los recursos </w:t>
            </w:r>
            <w:r w:rsidR="002E0ADA" w:rsidRPr="00FB7EA4">
              <w:rPr>
                <w:rFonts w:ascii="Arial" w:hAnsi="Arial" w:cs="Aharoni"/>
                <w:b w:val="0"/>
                <w:color w:val="0F243E" w:themeColor="text2" w:themeShade="80"/>
                <w:sz w:val="20"/>
                <w:szCs w:val="20"/>
              </w:rPr>
              <w:t>del Tesoro</w:t>
            </w:r>
            <w:r w:rsidRPr="00FB7EA4">
              <w:rPr>
                <w:rFonts w:ascii="Arial" w:hAnsi="Arial" w:cs="Aharoni"/>
                <w:b w:val="0"/>
                <w:color w:val="0F243E" w:themeColor="text2" w:themeShade="80"/>
                <w:sz w:val="20"/>
                <w:szCs w:val="20"/>
              </w:rPr>
              <w:t xml:space="preserve"> Público. Otorgar condecoraciones de cualquier tipo.</w:t>
            </w:r>
          </w:p>
        </w:tc>
        <w:tc>
          <w:tcPr>
            <w:tcW w:w="0" w:type="auto"/>
            <w:vMerge w:val="restart"/>
            <w:vAlign w:val="center"/>
            <w:hideMark/>
          </w:tcPr>
          <w:p w14:paraId="1592540E" w14:textId="2066A8B3" w:rsidR="003C337D" w:rsidRPr="00FB7EA4" w:rsidRDefault="003C337D" w:rsidP="00F60BDF">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haroni"/>
                <w:color w:val="0F243E" w:themeColor="text2" w:themeShade="80"/>
                <w:sz w:val="20"/>
                <w:szCs w:val="20"/>
              </w:rPr>
              <w:t xml:space="preserve">Durante el </w:t>
            </w:r>
            <w:r w:rsidR="00994528" w:rsidRPr="00FB7EA4">
              <w:rPr>
                <w:rFonts w:ascii="Arial" w:hAnsi="Arial" w:cs="Aharoni"/>
                <w:color w:val="0F243E" w:themeColor="text2" w:themeShade="80"/>
                <w:sz w:val="20"/>
                <w:szCs w:val="20"/>
              </w:rPr>
              <w:t xml:space="preserve">tercer </w:t>
            </w:r>
            <w:r w:rsidRPr="00FB7EA4">
              <w:rPr>
                <w:rFonts w:ascii="Arial" w:hAnsi="Arial" w:cs="Aharoni"/>
                <w:color w:val="0F243E" w:themeColor="text2" w:themeShade="80"/>
                <w:sz w:val="20"/>
                <w:szCs w:val="20"/>
              </w:rPr>
              <w:t>t</w:t>
            </w:r>
            <w:r w:rsidR="00994528" w:rsidRPr="00FB7EA4">
              <w:rPr>
                <w:rFonts w:ascii="Arial" w:hAnsi="Arial" w:cs="Aharoni"/>
                <w:color w:val="0F243E" w:themeColor="text2" w:themeShade="80"/>
                <w:sz w:val="20"/>
                <w:szCs w:val="20"/>
              </w:rPr>
              <w:t xml:space="preserve">rimestre de 2019, no se llevaron a cabo </w:t>
            </w:r>
            <w:r w:rsidRPr="00FB7EA4">
              <w:rPr>
                <w:rFonts w:ascii="Arial" w:hAnsi="Arial" w:cs="Aharoni"/>
                <w:color w:val="0F243E" w:themeColor="text2" w:themeShade="80"/>
                <w:sz w:val="20"/>
                <w:szCs w:val="20"/>
              </w:rPr>
              <w:t>actividades</w:t>
            </w:r>
            <w:r w:rsidR="00994528" w:rsidRPr="00FB7EA4">
              <w:rPr>
                <w:rFonts w:ascii="Arial" w:hAnsi="Arial" w:cs="Aharoni"/>
                <w:color w:val="0F243E" w:themeColor="text2" w:themeShade="80"/>
                <w:sz w:val="20"/>
                <w:szCs w:val="20"/>
              </w:rPr>
              <w:t xml:space="preserve"> como las referenciadas en este punto. De igual forma, </w:t>
            </w:r>
            <w:r w:rsidR="00A87A04" w:rsidRPr="00FB7EA4">
              <w:rPr>
                <w:rFonts w:ascii="Arial" w:hAnsi="Arial" w:cs="Aharoni"/>
                <w:color w:val="0F243E" w:themeColor="text2" w:themeShade="80"/>
                <w:sz w:val="20"/>
                <w:szCs w:val="20"/>
              </w:rPr>
              <w:t xml:space="preserve">no se realizó la </w:t>
            </w:r>
            <w:r w:rsidR="00FB3EA0" w:rsidRPr="00FB7EA4">
              <w:rPr>
                <w:rFonts w:ascii="Arial" w:hAnsi="Arial" w:cs="Aharoni"/>
                <w:color w:val="0F243E" w:themeColor="text2" w:themeShade="80"/>
                <w:sz w:val="20"/>
                <w:szCs w:val="20"/>
              </w:rPr>
              <w:t>adquisición de</w:t>
            </w:r>
            <w:r w:rsidR="00A87A04" w:rsidRPr="00FB7EA4">
              <w:rPr>
                <w:rFonts w:ascii="Arial" w:hAnsi="Arial" w:cs="Aharoni"/>
                <w:color w:val="0F243E" w:themeColor="text2" w:themeShade="80"/>
                <w:sz w:val="20"/>
                <w:szCs w:val="20"/>
              </w:rPr>
              <w:t xml:space="preserve"> regalos corporativos. </w:t>
            </w:r>
          </w:p>
        </w:tc>
      </w:tr>
      <w:tr w:rsidR="00A87A04" w:rsidRPr="00FB7EA4" w14:paraId="4D53CE73" w14:textId="77777777" w:rsidTr="00CF4C8A">
        <w:trPr>
          <w:cantSplit/>
          <w:trHeight w:val="90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78A18D" w14:textId="77777777" w:rsidR="003C337D" w:rsidRPr="00FB7EA4" w:rsidRDefault="003C337D" w:rsidP="009E04D5">
            <w:pPr>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Adquirir regalos corporativos, souvenir o recuerdos.</w:t>
            </w:r>
          </w:p>
        </w:tc>
        <w:tc>
          <w:tcPr>
            <w:tcW w:w="0" w:type="auto"/>
            <w:vMerge/>
            <w:vAlign w:val="center"/>
            <w:hideMark/>
          </w:tcPr>
          <w:p w14:paraId="79DA78A8" w14:textId="77777777" w:rsidR="003C337D" w:rsidRPr="00FB7EA4" w:rsidRDefault="003C337D" w:rsidP="009E04D5">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bl>
    <w:p w14:paraId="2323F0B7" w14:textId="77777777" w:rsidR="00A554E3" w:rsidRPr="00F7143D" w:rsidRDefault="00A554E3" w:rsidP="009E04D5">
      <w:pPr>
        <w:rPr>
          <w:rFonts w:ascii="Arial" w:hAnsi="Arial" w:cs="Arial"/>
          <w:b/>
        </w:rPr>
      </w:pPr>
    </w:p>
    <w:p w14:paraId="1D92527F" w14:textId="77777777" w:rsidR="00BA5A93" w:rsidRPr="00823B10" w:rsidRDefault="00BA5A93" w:rsidP="009E04D5">
      <w:pPr>
        <w:jc w:val="both"/>
        <w:rPr>
          <w:rFonts w:ascii="Arial" w:hAnsi="Arial" w:cs="Arial"/>
          <w:sz w:val="22"/>
          <w:szCs w:val="22"/>
        </w:rPr>
      </w:pPr>
      <w:r w:rsidRPr="00823B10">
        <w:rPr>
          <w:rFonts w:ascii="Arial" w:hAnsi="Arial" w:cs="Arial"/>
          <w:sz w:val="22"/>
          <w:szCs w:val="22"/>
        </w:rPr>
        <w:t xml:space="preserve">Ahora </w:t>
      </w:r>
      <w:r w:rsidR="003D0EEF" w:rsidRPr="00823B10">
        <w:rPr>
          <w:rFonts w:ascii="Arial" w:hAnsi="Arial" w:cs="Arial"/>
          <w:sz w:val="22"/>
          <w:szCs w:val="22"/>
        </w:rPr>
        <w:t xml:space="preserve">bien, </w:t>
      </w:r>
      <w:r w:rsidR="008731F2" w:rsidRPr="00823B10">
        <w:rPr>
          <w:rFonts w:ascii="Arial" w:hAnsi="Arial" w:cs="Arial"/>
          <w:sz w:val="22"/>
          <w:szCs w:val="22"/>
        </w:rPr>
        <w:t xml:space="preserve">en relación al </w:t>
      </w:r>
      <w:r w:rsidR="003D0EEF" w:rsidRPr="00823B10">
        <w:rPr>
          <w:rFonts w:ascii="Arial" w:hAnsi="Arial" w:cs="Arial"/>
          <w:sz w:val="22"/>
          <w:szCs w:val="22"/>
        </w:rPr>
        <w:t>literal A del artículo</w:t>
      </w:r>
      <w:r w:rsidRPr="00823B10">
        <w:rPr>
          <w:rFonts w:ascii="Arial" w:hAnsi="Arial" w:cs="Arial"/>
          <w:sz w:val="22"/>
          <w:szCs w:val="22"/>
        </w:rPr>
        <w:t xml:space="preserve"> 83 de la Ley 1940 de 2018 estableció como medida de austeridad del gasto, lo siguiente: </w:t>
      </w:r>
    </w:p>
    <w:p w14:paraId="1173937A" w14:textId="77777777" w:rsidR="00BA5A93" w:rsidRPr="00823B10" w:rsidRDefault="00BA5A93" w:rsidP="009E04D5">
      <w:pPr>
        <w:spacing w:line="168" w:lineRule="auto"/>
        <w:rPr>
          <w:rFonts w:ascii="Arial" w:hAnsi="Arial" w:cs="Arial"/>
          <w:sz w:val="22"/>
          <w:szCs w:val="22"/>
        </w:rPr>
      </w:pPr>
    </w:p>
    <w:p w14:paraId="19ED71C9" w14:textId="77777777" w:rsidR="00BA5A93" w:rsidRPr="00823B10" w:rsidRDefault="003D0EEF" w:rsidP="009E04D5">
      <w:pPr>
        <w:pStyle w:val="Default"/>
        <w:jc w:val="both"/>
        <w:rPr>
          <w:sz w:val="22"/>
          <w:szCs w:val="22"/>
        </w:rPr>
      </w:pPr>
      <w:r w:rsidRPr="00823B10">
        <w:rPr>
          <w:rFonts w:ascii="Agency FB" w:hAnsi="Agency FB"/>
          <w:sz w:val="22"/>
          <w:szCs w:val="22"/>
        </w:rPr>
        <w:t>«</w:t>
      </w:r>
      <w:r w:rsidR="00BA5A93" w:rsidRPr="00823B10">
        <w:rPr>
          <w:sz w:val="22"/>
          <w:szCs w:val="22"/>
        </w:rPr>
        <w:t xml:space="preserve">ASISTENCIA Y REPRESENTACIÓN JUDICIAL DE ENTIDADES PÚBLICAS. Austeridad en los gastos. Dentro del marco de austeridad presupuestal y de colaboración armónica que debe orientar las actuaciones administrativas de las distintas autoridades y entidades del Estado, y con el fin de reducir costos de desplazamientos y gastos judiciales: </w:t>
      </w:r>
    </w:p>
    <w:p w14:paraId="4532E3EB" w14:textId="77777777" w:rsidR="003D0EEF" w:rsidRPr="00823B10" w:rsidRDefault="003D0EEF" w:rsidP="009E04D5">
      <w:pPr>
        <w:spacing w:line="168" w:lineRule="auto"/>
        <w:rPr>
          <w:sz w:val="22"/>
          <w:szCs w:val="22"/>
        </w:rPr>
      </w:pPr>
    </w:p>
    <w:p w14:paraId="4C5E752E" w14:textId="77777777" w:rsidR="00BA5A93" w:rsidRPr="00823B10" w:rsidRDefault="00BA5A93" w:rsidP="0045629B">
      <w:pPr>
        <w:pStyle w:val="Prrafodelista"/>
        <w:numPr>
          <w:ilvl w:val="0"/>
          <w:numId w:val="17"/>
        </w:numPr>
        <w:autoSpaceDE w:val="0"/>
        <w:autoSpaceDN w:val="0"/>
        <w:adjustRightInd w:val="0"/>
        <w:spacing w:line="266" w:lineRule="atLeast"/>
        <w:rPr>
          <w:rFonts w:ascii="Arial" w:hAnsi="Arial" w:cs="Arial"/>
          <w:sz w:val="22"/>
          <w:szCs w:val="22"/>
        </w:rPr>
      </w:pPr>
      <w:r w:rsidRPr="00823B10">
        <w:rPr>
          <w:rFonts w:ascii="Arial" w:hAnsi="Arial" w:cs="Arial"/>
          <w:sz w:val="22"/>
          <w:szCs w:val="22"/>
        </w:rPr>
        <w:t>Cuando varias entidades de la administración púbica tanto del orden nacional como territorial, actúen como demandantes o demandadas dentro de un proceso judicial, podrán de común acuerdo con los apoderados judiciales que uno de ellos tome la representación judicial de las restantes para la comparecencia de las audiencias que dentro del respectivo proceso hayan sido convocadas o por ley deban asistir. Para tal efecto la entidad encomendada a asumir la representación judicial para la audiencia correspondiente, estará en capacidad y queda facultada para disponer de uno de sus apoderados o funcionarios que recib</w:t>
      </w:r>
      <w:r w:rsidR="003D0EEF" w:rsidRPr="00823B10">
        <w:rPr>
          <w:rFonts w:ascii="Arial" w:hAnsi="Arial" w:cs="Arial"/>
          <w:sz w:val="22"/>
          <w:szCs w:val="22"/>
        </w:rPr>
        <w:t>a los poderes que se requieran</w:t>
      </w:r>
      <w:r w:rsidR="003D0EEF" w:rsidRPr="00823B10">
        <w:rPr>
          <w:rFonts w:ascii="Agency FB" w:hAnsi="Agency FB" w:cs="Arial"/>
          <w:sz w:val="22"/>
          <w:szCs w:val="22"/>
        </w:rPr>
        <w:t>»</w:t>
      </w:r>
      <w:r w:rsidR="003D0EEF" w:rsidRPr="00823B10">
        <w:rPr>
          <w:rFonts w:ascii="Arial" w:hAnsi="Arial" w:cs="Arial"/>
          <w:sz w:val="22"/>
          <w:szCs w:val="22"/>
        </w:rPr>
        <w:t xml:space="preserve">. </w:t>
      </w:r>
    </w:p>
    <w:p w14:paraId="5EC23223" w14:textId="77777777" w:rsidR="009E04D5" w:rsidRPr="00A003B6" w:rsidRDefault="009E04D5" w:rsidP="009E04D5">
      <w:pPr>
        <w:autoSpaceDE w:val="0"/>
        <w:autoSpaceDN w:val="0"/>
        <w:adjustRightInd w:val="0"/>
        <w:spacing w:line="266" w:lineRule="atLeast"/>
        <w:ind w:left="360"/>
        <w:rPr>
          <w:rFonts w:ascii="Arial" w:eastAsiaTheme="minorHAnsi" w:hAnsi="Arial" w:cs="Arial"/>
          <w:sz w:val="22"/>
          <w:szCs w:val="22"/>
          <w:highlight w:val="yellow"/>
        </w:rPr>
      </w:pPr>
    </w:p>
    <w:p w14:paraId="5B0A4D0B" w14:textId="5320BDCB" w:rsidR="004F1204" w:rsidRPr="00E80124" w:rsidRDefault="00672849" w:rsidP="004F1204">
      <w:pPr>
        <w:jc w:val="both"/>
        <w:rPr>
          <w:rFonts w:ascii="Arial" w:eastAsiaTheme="minorHAnsi" w:hAnsi="Arial" w:cs="Arial"/>
          <w:sz w:val="22"/>
          <w:szCs w:val="22"/>
          <w:lang w:eastAsia="en-US"/>
        </w:rPr>
      </w:pPr>
      <w:r w:rsidRPr="00E80124">
        <w:rPr>
          <w:rFonts w:ascii="Arial" w:hAnsi="Arial" w:cs="Arial"/>
          <w:sz w:val="22"/>
          <w:szCs w:val="22"/>
        </w:rPr>
        <w:t xml:space="preserve">Sobre el particular, </w:t>
      </w:r>
      <w:r w:rsidR="004F1204" w:rsidRPr="00E80124">
        <w:rPr>
          <w:rFonts w:ascii="Arial" w:hAnsi="Arial" w:cs="Arial"/>
          <w:sz w:val="22"/>
          <w:szCs w:val="22"/>
        </w:rPr>
        <w:t>la Subdirección</w:t>
      </w:r>
      <w:r w:rsidRPr="00E80124">
        <w:rPr>
          <w:rFonts w:ascii="Arial" w:hAnsi="Arial" w:cs="Arial"/>
          <w:sz w:val="22"/>
          <w:szCs w:val="22"/>
        </w:rPr>
        <w:t xml:space="preserve"> Jurídica de este Ministerio </w:t>
      </w:r>
      <w:r w:rsidR="004F1204" w:rsidRPr="00E80124">
        <w:rPr>
          <w:rFonts w:ascii="Arial" w:hAnsi="Arial" w:cs="Arial"/>
          <w:sz w:val="22"/>
          <w:szCs w:val="22"/>
        </w:rPr>
        <w:t>inform</w:t>
      </w:r>
      <w:r w:rsidR="008731F2" w:rsidRPr="00E80124">
        <w:rPr>
          <w:rFonts w:ascii="Arial" w:hAnsi="Arial" w:cs="Arial"/>
          <w:sz w:val="22"/>
          <w:szCs w:val="22"/>
        </w:rPr>
        <w:t xml:space="preserve">ó </w:t>
      </w:r>
      <w:r w:rsidR="00E92051">
        <w:rPr>
          <w:rFonts w:ascii="Arial" w:hAnsi="Arial" w:cs="Arial"/>
          <w:sz w:val="22"/>
          <w:szCs w:val="22"/>
        </w:rPr>
        <w:t>que, para el tercer trimestre de 2019 e</w:t>
      </w:r>
      <w:r w:rsidR="004F1204" w:rsidRPr="00E80124">
        <w:rPr>
          <w:rFonts w:ascii="Arial" w:hAnsi="Arial" w:cs="Arial"/>
          <w:sz w:val="22"/>
          <w:szCs w:val="22"/>
        </w:rPr>
        <w:t xml:space="preserve">l </w:t>
      </w:r>
      <w:r w:rsidR="004F1204" w:rsidRPr="00E80124">
        <w:rPr>
          <w:rFonts w:ascii="Arial" w:eastAsiaTheme="minorHAnsi" w:hAnsi="Arial" w:cs="Arial"/>
          <w:sz w:val="22"/>
          <w:szCs w:val="22"/>
          <w:lang w:eastAsia="en-US"/>
        </w:rPr>
        <w:t xml:space="preserve">MHCP ha podido reducir el gasto en </w:t>
      </w:r>
      <w:r w:rsidR="00E80124">
        <w:rPr>
          <w:rFonts w:ascii="Arial" w:eastAsiaTheme="minorHAnsi" w:hAnsi="Arial" w:cs="Arial"/>
          <w:sz w:val="22"/>
          <w:szCs w:val="22"/>
          <w:lang w:eastAsia="en-US"/>
        </w:rPr>
        <w:t>8</w:t>
      </w:r>
      <w:r w:rsidR="004F1204" w:rsidRPr="00E80124">
        <w:rPr>
          <w:rFonts w:ascii="Arial" w:eastAsiaTheme="minorHAnsi" w:hAnsi="Arial" w:cs="Arial"/>
          <w:sz w:val="22"/>
          <w:szCs w:val="22"/>
          <w:lang w:eastAsia="en-US"/>
        </w:rPr>
        <w:t xml:space="preserve"> comisiones</w:t>
      </w:r>
      <w:r w:rsidR="00E92051">
        <w:rPr>
          <w:rFonts w:ascii="Arial" w:eastAsiaTheme="minorHAnsi" w:hAnsi="Arial" w:cs="Arial"/>
          <w:sz w:val="22"/>
          <w:szCs w:val="22"/>
          <w:lang w:eastAsia="en-US"/>
        </w:rPr>
        <w:t xml:space="preserve">, </w:t>
      </w:r>
      <w:r w:rsidR="004F1204" w:rsidRPr="00E80124">
        <w:rPr>
          <w:rFonts w:ascii="Arial" w:eastAsiaTheme="minorHAnsi" w:hAnsi="Arial" w:cs="Arial"/>
          <w:sz w:val="22"/>
          <w:szCs w:val="22"/>
          <w:lang w:eastAsia="en-US"/>
        </w:rPr>
        <w:t>cuy</w:t>
      </w:r>
      <w:r w:rsidR="00E92051">
        <w:rPr>
          <w:rFonts w:ascii="Arial" w:eastAsiaTheme="minorHAnsi" w:hAnsi="Arial" w:cs="Arial"/>
          <w:sz w:val="22"/>
          <w:szCs w:val="22"/>
          <w:lang w:eastAsia="en-US"/>
        </w:rPr>
        <w:t xml:space="preserve">a representación de los procesos </w:t>
      </w:r>
      <w:r w:rsidR="00103285">
        <w:rPr>
          <w:rFonts w:ascii="Arial" w:eastAsiaTheme="minorHAnsi" w:hAnsi="Arial" w:cs="Arial"/>
          <w:sz w:val="22"/>
          <w:szCs w:val="22"/>
          <w:lang w:eastAsia="en-US"/>
        </w:rPr>
        <w:t xml:space="preserve">que adelanta este Ministerio, </w:t>
      </w:r>
      <w:r w:rsidR="00E92051">
        <w:rPr>
          <w:rFonts w:ascii="Arial" w:eastAsiaTheme="minorHAnsi" w:hAnsi="Arial" w:cs="Arial"/>
          <w:sz w:val="22"/>
          <w:szCs w:val="22"/>
          <w:lang w:eastAsia="en-US"/>
        </w:rPr>
        <w:t xml:space="preserve">estuvo a cargo de la DIAN.  </w:t>
      </w:r>
    </w:p>
    <w:p w14:paraId="353A8127" w14:textId="77777777" w:rsidR="004F1204" w:rsidRPr="00A003B6" w:rsidRDefault="00EA467A" w:rsidP="00672849">
      <w:pPr>
        <w:jc w:val="both"/>
        <w:rPr>
          <w:rFonts w:ascii="Arial" w:hAnsi="Arial" w:cs="Arial"/>
          <w:sz w:val="22"/>
          <w:szCs w:val="22"/>
          <w:highlight w:val="yellow"/>
        </w:rPr>
      </w:pPr>
      <w:r w:rsidRPr="00A003B6">
        <w:rPr>
          <w:rFonts w:ascii="Arial" w:hAnsi="Arial" w:cs="Arial"/>
          <w:sz w:val="22"/>
          <w:szCs w:val="22"/>
          <w:highlight w:val="yellow"/>
        </w:rPr>
        <w:t xml:space="preserve"> </w:t>
      </w:r>
    </w:p>
    <w:p w14:paraId="20798D10" w14:textId="7E20B636" w:rsidR="00C17BBB" w:rsidRPr="00E92051" w:rsidRDefault="008E32A5" w:rsidP="00743327">
      <w:pPr>
        <w:spacing w:after="200"/>
        <w:jc w:val="both"/>
        <w:rPr>
          <w:rFonts w:ascii="Arial" w:hAnsi="Arial" w:cs="Arial"/>
          <w:sz w:val="22"/>
          <w:szCs w:val="22"/>
        </w:rPr>
      </w:pPr>
      <w:r w:rsidRPr="00E92051">
        <w:rPr>
          <w:rFonts w:ascii="Arial" w:hAnsi="Arial" w:cs="Arial"/>
          <w:sz w:val="22"/>
          <w:szCs w:val="22"/>
        </w:rPr>
        <w:t xml:space="preserve">A </w:t>
      </w:r>
      <w:r w:rsidR="00E06C10" w:rsidRPr="00E92051">
        <w:rPr>
          <w:rFonts w:ascii="Arial" w:hAnsi="Arial" w:cs="Arial"/>
          <w:sz w:val="22"/>
          <w:szCs w:val="22"/>
        </w:rPr>
        <w:t>continuación,</w:t>
      </w:r>
      <w:r w:rsidRPr="00E92051">
        <w:rPr>
          <w:rFonts w:ascii="Arial" w:hAnsi="Arial" w:cs="Arial"/>
          <w:sz w:val="22"/>
          <w:szCs w:val="22"/>
        </w:rPr>
        <w:t xml:space="preserve"> se relaciona</w:t>
      </w:r>
      <w:r w:rsidR="00E06C10" w:rsidRPr="00E92051">
        <w:rPr>
          <w:rFonts w:ascii="Arial" w:hAnsi="Arial" w:cs="Arial"/>
          <w:sz w:val="22"/>
          <w:szCs w:val="22"/>
        </w:rPr>
        <w:t>n</w:t>
      </w:r>
      <w:r w:rsidRPr="00E92051">
        <w:rPr>
          <w:rFonts w:ascii="Arial" w:hAnsi="Arial" w:cs="Arial"/>
          <w:sz w:val="22"/>
          <w:szCs w:val="22"/>
        </w:rPr>
        <w:t xml:space="preserve"> las audiencias en las que</w:t>
      </w:r>
      <w:r w:rsidR="008731F2" w:rsidRPr="00E92051">
        <w:rPr>
          <w:rFonts w:ascii="Arial" w:hAnsi="Arial" w:cs="Arial"/>
          <w:sz w:val="22"/>
          <w:szCs w:val="22"/>
        </w:rPr>
        <w:t xml:space="preserve"> el MHCP </w:t>
      </w:r>
      <w:r w:rsidRPr="00E92051">
        <w:rPr>
          <w:rFonts w:ascii="Arial" w:hAnsi="Arial" w:cs="Arial"/>
          <w:sz w:val="22"/>
          <w:szCs w:val="22"/>
        </w:rPr>
        <w:t xml:space="preserve">acudió a la coordinación entre entidades para la asistencia de </w:t>
      </w:r>
      <w:r w:rsidR="00E06C10" w:rsidRPr="00E92051">
        <w:rPr>
          <w:rFonts w:ascii="Arial" w:hAnsi="Arial" w:cs="Arial"/>
          <w:sz w:val="22"/>
          <w:szCs w:val="22"/>
        </w:rPr>
        <w:t>las</w:t>
      </w:r>
      <w:r w:rsidR="00930739">
        <w:rPr>
          <w:rFonts w:ascii="Arial" w:hAnsi="Arial" w:cs="Arial"/>
          <w:sz w:val="22"/>
          <w:szCs w:val="22"/>
        </w:rPr>
        <w:t xml:space="preserve"> mismas</w:t>
      </w:r>
      <w:r w:rsidRPr="00E92051">
        <w:rPr>
          <w:rFonts w:ascii="Arial" w:hAnsi="Arial" w:cs="Arial"/>
          <w:sz w:val="22"/>
          <w:szCs w:val="22"/>
        </w:rPr>
        <w:t xml:space="preserve">, en el marco de lo establecido en el artículo 83 de la Ley 1940 de 2018: </w:t>
      </w:r>
    </w:p>
    <w:tbl>
      <w:tblPr>
        <w:tblStyle w:val="Tablanormal2"/>
        <w:tblW w:w="0" w:type="auto"/>
        <w:tblLook w:val="04A0" w:firstRow="1" w:lastRow="0" w:firstColumn="1" w:lastColumn="0" w:noHBand="0" w:noVBand="1"/>
      </w:tblPr>
      <w:tblGrid>
        <w:gridCol w:w="1701"/>
        <w:gridCol w:w="1376"/>
        <w:gridCol w:w="3751"/>
        <w:gridCol w:w="1265"/>
        <w:gridCol w:w="1595"/>
      </w:tblGrid>
      <w:tr w:rsidR="00FB7EA4" w:rsidRPr="00FB7EA4" w14:paraId="4116ADE2" w14:textId="77777777" w:rsidTr="003B37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Borders>
              <w:top w:val="double" w:sz="4" w:space="0" w:color="4F81BD" w:themeColor="accent1"/>
            </w:tcBorders>
            <w:vAlign w:val="center"/>
            <w:hideMark/>
          </w:tcPr>
          <w:p w14:paraId="1D318E4A" w14:textId="77777777" w:rsidR="00E2020D" w:rsidRPr="00FB7EA4" w:rsidRDefault="00C17BBB" w:rsidP="00BF371C">
            <w:pPr>
              <w:spacing w:before="100" w:after="120"/>
              <w:jc w:val="center"/>
              <w:rPr>
                <w:rFonts w:ascii="Arial" w:hAnsi="Arial" w:cs="Arial"/>
                <w:color w:val="0F243E" w:themeColor="text2" w:themeShade="80"/>
                <w:sz w:val="20"/>
                <w:szCs w:val="20"/>
              </w:rPr>
            </w:pPr>
            <w:r w:rsidRPr="00FB7EA4">
              <w:rPr>
                <w:rFonts w:ascii="Arial" w:hAnsi="Arial" w:cs="Arial"/>
                <w:b w:val="0"/>
                <w:bCs w:val="0"/>
                <w:color w:val="0F243E" w:themeColor="text2" w:themeShade="80"/>
                <w:sz w:val="20"/>
                <w:szCs w:val="20"/>
              </w:rPr>
              <w:t>Ciudad</w:t>
            </w:r>
            <w:r w:rsidR="00E2020D" w:rsidRPr="00FB7EA4">
              <w:rPr>
                <w:rFonts w:ascii="Arial" w:hAnsi="Arial" w:cs="Arial"/>
                <w:color w:val="0F243E" w:themeColor="text2" w:themeShade="80"/>
                <w:sz w:val="20"/>
                <w:szCs w:val="20"/>
              </w:rPr>
              <w:t xml:space="preserve"> </w:t>
            </w:r>
          </w:p>
        </w:tc>
        <w:tc>
          <w:tcPr>
            <w:tcW w:w="1376" w:type="dxa"/>
            <w:tcBorders>
              <w:top w:val="double" w:sz="4" w:space="0" w:color="4F81BD" w:themeColor="accent1"/>
            </w:tcBorders>
            <w:vAlign w:val="center"/>
            <w:hideMark/>
          </w:tcPr>
          <w:p w14:paraId="112C7172" w14:textId="77777777" w:rsidR="00E2020D" w:rsidRPr="00FB7EA4" w:rsidRDefault="00E2020D" w:rsidP="00BF371C">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Radicado del Proceso</w:t>
            </w:r>
          </w:p>
        </w:tc>
        <w:tc>
          <w:tcPr>
            <w:tcW w:w="3751" w:type="dxa"/>
            <w:tcBorders>
              <w:top w:val="double" w:sz="4" w:space="0" w:color="4F81BD" w:themeColor="accent1"/>
            </w:tcBorders>
            <w:vAlign w:val="center"/>
            <w:hideMark/>
          </w:tcPr>
          <w:p w14:paraId="7108DD9B" w14:textId="77777777" w:rsidR="00E2020D" w:rsidRPr="00FB7EA4" w:rsidRDefault="00E2020D" w:rsidP="00BF371C">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Despacho Judicial </w:t>
            </w:r>
          </w:p>
        </w:tc>
        <w:tc>
          <w:tcPr>
            <w:tcW w:w="1265" w:type="dxa"/>
            <w:tcBorders>
              <w:top w:val="double" w:sz="4" w:space="0" w:color="4F81BD" w:themeColor="accent1"/>
            </w:tcBorders>
            <w:vAlign w:val="center"/>
            <w:hideMark/>
          </w:tcPr>
          <w:p w14:paraId="7C2A702D" w14:textId="77777777" w:rsidR="00E2020D" w:rsidRPr="00FB7EA4" w:rsidRDefault="00E2020D" w:rsidP="00BF371C">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Fecha </w:t>
            </w:r>
          </w:p>
        </w:tc>
        <w:tc>
          <w:tcPr>
            <w:tcW w:w="1595" w:type="dxa"/>
            <w:tcBorders>
              <w:top w:val="double" w:sz="4" w:space="0" w:color="4F81BD" w:themeColor="accent1"/>
            </w:tcBorders>
            <w:vAlign w:val="center"/>
            <w:hideMark/>
          </w:tcPr>
          <w:p w14:paraId="031E6BB5" w14:textId="77777777" w:rsidR="00E2020D" w:rsidRPr="00FB7EA4" w:rsidRDefault="00E2020D" w:rsidP="00BF371C">
            <w:pPr>
              <w:spacing w:before="10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Apoderado que Asi</w:t>
            </w:r>
            <w:r w:rsidR="00C17BBB" w:rsidRPr="00FB7EA4">
              <w:rPr>
                <w:rFonts w:ascii="Arial" w:hAnsi="Arial" w:cs="Arial"/>
                <w:b w:val="0"/>
                <w:bCs w:val="0"/>
                <w:color w:val="0F243E" w:themeColor="text2" w:themeShade="80"/>
                <w:sz w:val="20"/>
                <w:szCs w:val="20"/>
              </w:rPr>
              <w:t>s</w:t>
            </w:r>
            <w:r w:rsidRPr="00FB7EA4">
              <w:rPr>
                <w:rFonts w:ascii="Arial" w:hAnsi="Arial" w:cs="Arial"/>
                <w:color w:val="0F243E" w:themeColor="text2" w:themeShade="80"/>
                <w:sz w:val="20"/>
                <w:szCs w:val="20"/>
              </w:rPr>
              <w:t>te a la Audiencia</w:t>
            </w:r>
          </w:p>
        </w:tc>
      </w:tr>
      <w:tr w:rsidR="00FB7EA4" w:rsidRPr="00FB7EA4" w14:paraId="24B01D55" w14:textId="77777777" w:rsidTr="00700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double" w:sz="4" w:space="0" w:color="4F81BD" w:themeColor="accent1"/>
            </w:tcBorders>
            <w:noWrap/>
            <w:vAlign w:val="center"/>
          </w:tcPr>
          <w:p w14:paraId="1E199A9C" w14:textId="48F558A5" w:rsidR="00E2020D" w:rsidRPr="00FB7EA4" w:rsidRDefault="0070058C" w:rsidP="00BF371C">
            <w:pPr>
              <w:spacing w:before="100" w:after="12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Tumaco </w:t>
            </w:r>
          </w:p>
        </w:tc>
        <w:tc>
          <w:tcPr>
            <w:tcW w:w="1376" w:type="dxa"/>
            <w:tcBorders>
              <w:top w:val="double" w:sz="4" w:space="0" w:color="4F81BD" w:themeColor="accent1"/>
            </w:tcBorders>
            <w:noWrap/>
            <w:vAlign w:val="center"/>
          </w:tcPr>
          <w:p w14:paraId="574D258B" w14:textId="47502476" w:rsidR="00E2020D" w:rsidRPr="00FB7EA4" w:rsidRDefault="005F3E1B"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2017-00947</w:t>
            </w:r>
          </w:p>
        </w:tc>
        <w:tc>
          <w:tcPr>
            <w:tcW w:w="3751" w:type="dxa"/>
            <w:tcBorders>
              <w:top w:val="double" w:sz="4" w:space="0" w:color="4F81BD" w:themeColor="accent1"/>
            </w:tcBorders>
            <w:noWrap/>
            <w:vAlign w:val="center"/>
          </w:tcPr>
          <w:p w14:paraId="45A61B4A" w14:textId="71A10904" w:rsidR="00E2020D" w:rsidRPr="00FB7EA4" w:rsidRDefault="005F3E1B"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Juzgado Penal de Circuito TUMACO</w:t>
            </w:r>
          </w:p>
        </w:tc>
        <w:tc>
          <w:tcPr>
            <w:tcW w:w="1265" w:type="dxa"/>
            <w:tcBorders>
              <w:top w:val="double" w:sz="4" w:space="0" w:color="4F81BD" w:themeColor="accent1"/>
            </w:tcBorders>
            <w:noWrap/>
            <w:vAlign w:val="center"/>
          </w:tcPr>
          <w:p w14:paraId="1071BEE7" w14:textId="5AAB8C27" w:rsidR="00E2020D" w:rsidRPr="00FB7EA4" w:rsidRDefault="005F3E1B"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11/07/2019</w:t>
            </w:r>
          </w:p>
        </w:tc>
        <w:tc>
          <w:tcPr>
            <w:tcW w:w="1595" w:type="dxa"/>
            <w:tcBorders>
              <w:top w:val="double" w:sz="4" w:space="0" w:color="4F81BD" w:themeColor="accent1"/>
            </w:tcBorders>
            <w:noWrap/>
            <w:vAlign w:val="center"/>
            <w:hideMark/>
          </w:tcPr>
          <w:p w14:paraId="76B54F4C" w14:textId="77777777" w:rsidR="00E2020D" w:rsidRPr="00FB7EA4"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DIAN</w:t>
            </w:r>
          </w:p>
        </w:tc>
      </w:tr>
      <w:tr w:rsidR="00FB7EA4" w:rsidRPr="00FB7EA4" w14:paraId="527815E2" w14:textId="77777777" w:rsidTr="0070058C">
        <w:tc>
          <w:tcPr>
            <w:cnfStyle w:val="001000000000" w:firstRow="0" w:lastRow="0" w:firstColumn="1" w:lastColumn="0" w:oddVBand="0" w:evenVBand="0" w:oddHBand="0" w:evenHBand="0" w:firstRowFirstColumn="0" w:firstRowLastColumn="0" w:lastRowFirstColumn="0" w:lastRowLastColumn="0"/>
            <w:tcW w:w="1701" w:type="dxa"/>
            <w:noWrap/>
            <w:vAlign w:val="center"/>
          </w:tcPr>
          <w:p w14:paraId="13621023" w14:textId="30DC1560" w:rsidR="00E2020D" w:rsidRPr="00FB7EA4" w:rsidRDefault="0070058C" w:rsidP="00BF371C">
            <w:pPr>
              <w:spacing w:before="100" w:after="12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Bucaramanga</w:t>
            </w:r>
          </w:p>
        </w:tc>
        <w:tc>
          <w:tcPr>
            <w:tcW w:w="1376" w:type="dxa"/>
            <w:noWrap/>
            <w:vAlign w:val="center"/>
          </w:tcPr>
          <w:p w14:paraId="3411C26B" w14:textId="61A1EE7B" w:rsidR="00E2020D" w:rsidRPr="00FB7EA4" w:rsidRDefault="005F3E1B"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13922</w:t>
            </w:r>
          </w:p>
        </w:tc>
        <w:tc>
          <w:tcPr>
            <w:tcW w:w="3751" w:type="dxa"/>
            <w:noWrap/>
            <w:vAlign w:val="center"/>
          </w:tcPr>
          <w:p w14:paraId="285C4316" w14:textId="4690EDC2" w:rsidR="00E2020D" w:rsidRPr="00FB7EA4" w:rsidRDefault="005F3E1B"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Procuraduría 101 Judicial I de Bucaramanga</w:t>
            </w:r>
          </w:p>
        </w:tc>
        <w:tc>
          <w:tcPr>
            <w:tcW w:w="1265" w:type="dxa"/>
            <w:noWrap/>
            <w:vAlign w:val="center"/>
          </w:tcPr>
          <w:p w14:paraId="76867004" w14:textId="27C5C464" w:rsidR="00E2020D" w:rsidRPr="00FB7EA4" w:rsidRDefault="005F3E1B"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29/07/2019</w:t>
            </w:r>
          </w:p>
        </w:tc>
        <w:tc>
          <w:tcPr>
            <w:tcW w:w="1595" w:type="dxa"/>
            <w:noWrap/>
            <w:vAlign w:val="center"/>
            <w:hideMark/>
          </w:tcPr>
          <w:p w14:paraId="1E843F2B" w14:textId="77777777" w:rsidR="00E2020D" w:rsidRPr="00FB7EA4"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DIAN</w:t>
            </w:r>
          </w:p>
        </w:tc>
      </w:tr>
      <w:tr w:rsidR="00FB7EA4" w:rsidRPr="00FB7EA4" w14:paraId="580A1F0D" w14:textId="77777777" w:rsidTr="00700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noWrap/>
            <w:vAlign w:val="center"/>
          </w:tcPr>
          <w:p w14:paraId="63EC60F5" w14:textId="75DCD8D7" w:rsidR="00E2020D" w:rsidRPr="00FB7EA4" w:rsidRDefault="0070058C" w:rsidP="00BF371C">
            <w:pPr>
              <w:spacing w:before="100" w:after="12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Valledupar</w:t>
            </w:r>
          </w:p>
        </w:tc>
        <w:tc>
          <w:tcPr>
            <w:tcW w:w="1376" w:type="dxa"/>
            <w:noWrap/>
            <w:vAlign w:val="center"/>
          </w:tcPr>
          <w:p w14:paraId="7E507962" w14:textId="01E97425" w:rsidR="00E2020D" w:rsidRPr="00FB7EA4" w:rsidRDefault="005F3E1B"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2714</w:t>
            </w:r>
          </w:p>
        </w:tc>
        <w:tc>
          <w:tcPr>
            <w:tcW w:w="3751" w:type="dxa"/>
            <w:noWrap/>
            <w:vAlign w:val="center"/>
          </w:tcPr>
          <w:p w14:paraId="704D9165" w14:textId="12C26CA8" w:rsidR="00E2020D" w:rsidRPr="00FB7EA4" w:rsidRDefault="005F3E1B"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Procuraduría 75 Judicial I para Asuntos Administrativos de Valledupar</w:t>
            </w:r>
          </w:p>
        </w:tc>
        <w:tc>
          <w:tcPr>
            <w:tcW w:w="1265" w:type="dxa"/>
            <w:noWrap/>
            <w:vAlign w:val="center"/>
          </w:tcPr>
          <w:p w14:paraId="6ACFC600" w14:textId="3790CC61" w:rsidR="00E2020D" w:rsidRPr="00FB7EA4" w:rsidRDefault="005F3E1B"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30/07/2019</w:t>
            </w:r>
          </w:p>
        </w:tc>
        <w:tc>
          <w:tcPr>
            <w:tcW w:w="1595" w:type="dxa"/>
            <w:noWrap/>
            <w:vAlign w:val="center"/>
            <w:hideMark/>
          </w:tcPr>
          <w:p w14:paraId="3FEBE702" w14:textId="77777777" w:rsidR="00E2020D" w:rsidRPr="00FB7EA4"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DIAN</w:t>
            </w:r>
          </w:p>
        </w:tc>
      </w:tr>
      <w:tr w:rsidR="00FB7EA4" w:rsidRPr="00FB7EA4" w14:paraId="2A00AB36" w14:textId="77777777" w:rsidTr="0070058C">
        <w:tc>
          <w:tcPr>
            <w:cnfStyle w:val="001000000000" w:firstRow="0" w:lastRow="0" w:firstColumn="1" w:lastColumn="0" w:oddVBand="0" w:evenVBand="0" w:oddHBand="0" w:evenHBand="0" w:firstRowFirstColumn="0" w:firstRowLastColumn="0" w:lastRowFirstColumn="0" w:lastRowLastColumn="0"/>
            <w:tcW w:w="1701" w:type="dxa"/>
            <w:noWrap/>
            <w:vAlign w:val="center"/>
          </w:tcPr>
          <w:p w14:paraId="17562212" w14:textId="5EDAEB9A" w:rsidR="0070058C" w:rsidRPr="00FB7EA4" w:rsidRDefault="0070058C" w:rsidP="0070058C">
            <w:pPr>
              <w:spacing w:before="100" w:after="12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Valledupar</w:t>
            </w:r>
          </w:p>
        </w:tc>
        <w:tc>
          <w:tcPr>
            <w:tcW w:w="1376" w:type="dxa"/>
            <w:noWrap/>
            <w:vAlign w:val="center"/>
          </w:tcPr>
          <w:p w14:paraId="5E65D90A" w14:textId="25257FF3" w:rsidR="0070058C" w:rsidRPr="00FB7EA4" w:rsidRDefault="005F3E1B" w:rsidP="0070058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1016</w:t>
            </w:r>
          </w:p>
        </w:tc>
        <w:tc>
          <w:tcPr>
            <w:tcW w:w="3751" w:type="dxa"/>
            <w:noWrap/>
            <w:vAlign w:val="center"/>
          </w:tcPr>
          <w:p w14:paraId="04443FEF" w14:textId="6256F155" w:rsidR="0070058C" w:rsidRPr="00FB7EA4" w:rsidRDefault="005F3E1B" w:rsidP="0070058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Procuraduría 123 Judicial II Para Asuntos Administrativos</w:t>
            </w:r>
          </w:p>
        </w:tc>
        <w:tc>
          <w:tcPr>
            <w:tcW w:w="1265" w:type="dxa"/>
            <w:noWrap/>
            <w:vAlign w:val="center"/>
          </w:tcPr>
          <w:p w14:paraId="49556B7F" w14:textId="522B6D1E" w:rsidR="0070058C" w:rsidRPr="00FB7EA4" w:rsidRDefault="005F3E1B" w:rsidP="0070058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06/08/2019</w:t>
            </w:r>
          </w:p>
        </w:tc>
        <w:tc>
          <w:tcPr>
            <w:tcW w:w="1595" w:type="dxa"/>
            <w:noWrap/>
            <w:vAlign w:val="center"/>
            <w:hideMark/>
          </w:tcPr>
          <w:p w14:paraId="6D09BF66" w14:textId="77777777" w:rsidR="0070058C" w:rsidRPr="00FB7EA4" w:rsidRDefault="0070058C" w:rsidP="0070058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DIAN</w:t>
            </w:r>
          </w:p>
        </w:tc>
      </w:tr>
      <w:tr w:rsidR="00FB7EA4" w:rsidRPr="00FB7EA4" w14:paraId="756746EF" w14:textId="77777777" w:rsidTr="00700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noWrap/>
            <w:vAlign w:val="center"/>
          </w:tcPr>
          <w:p w14:paraId="76B4F388" w14:textId="0F8D6271" w:rsidR="00E2020D" w:rsidRPr="00FB7EA4" w:rsidRDefault="0070058C" w:rsidP="00BF371C">
            <w:pPr>
              <w:spacing w:before="100" w:after="12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lastRenderedPageBreak/>
              <w:t>Valledupar</w:t>
            </w:r>
          </w:p>
        </w:tc>
        <w:tc>
          <w:tcPr>
            <w:tcW w:w="1376" w:type="dxa"/>
            <w:noWrap/>
            <w:vAlign w:val="center"/>
          </w:tcPr>
          <w:p w14:paraId="16EF9C19" w14:textId="5695088B" w:rsidR="00E2020D" w:rsidRPr="00FB7EA4" w:rsidRDefault="005F3E1B"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1018</w:t>
            </w:r>
          </w:p>
        </w:tc>
        <w:tc>
          <w:tcPr>
            <w:tcW w:w="3751" w:type="dxa"/>
            <w:noWrap/>
            <w:vAlign w:val="center"/>
          </w:tcPr>
          <w:p w14:paraId="01442FF2" w14:textId="67C75734" w:rsidR="00E2020D" w:rsidRPr="00FB7EA4" w:rsidRDefault="005F3E1B"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Procuraduría 47 judicial Valledupar </w:t>
            </w:r>
          </w:p>
        </w:tc>
        <w:tc>
          <w:tcPr>
            <w:tcW w:w="1265" w:type="dxa"/>
            <w:noWrap/>
            <w:vAlign w:val="center"/>
          </w:tcPr>
          <w:p w14:paraId="2FF0079E" w14:textId="1337C087" w:rsidR="00E2020D" w:rsidRPr="00FB7EA4" w:rsidRDefault="005F3E1B"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12/08/2019</w:t>
            </w:r>
          </w:p>
        </w:tc>
        <w:tc>
          <w:tcPr>
            <w:tcW w:w="1595" w:type="dxa"/>
            <w:noWrap/>
            <w:vAlign w:val="center"/>
            <w:hideMark/>
          </w:tcPr>
          <w:p w14:paraId="266114CA" w14:textId="77777777" w:rsidR="00E2020D" w:rsidRPr="00FB7EA4" w:rsidRDefault="00E2020D"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DIAN</w:t>
            </w:r>
          </w:p>
        </w:tc>
      </w:tr>
      <w:tr w:rsidR="00FB7EA4" w:rsidRPr="00FB7EA4" w14:paraId="26FEF18F" w14:textId="77777777" w:rsidTr="0070058C">
        <w:tc>
          <w:tcPr>
            <w:cnfStyle w:val="001000000000" w:firstRow="0" w:lastRow="0" w:firstColumn="1" w:lastColumn="0" w:oddVBand="0" w:evenVBand="0" w:oddHBand="0" w:evenHBand="0" w:firstRowFirstColumn="0" w:firstRowLastColumn="0" w:lastRowFirstColumn="0" w:lastRowLastColumn="0"/>
            <w:tcW w:w="1701" w:type="dxa"/>
            <w:noWrap/>
            <w:vAlign w:val="center"/>
          </w:tcPr>
          <w:p w14:paraId="16193434" w14:textId="35367005" w:rsidR="00E2020D" w:rsidRPr="00FB7EA4" w:rsidRDefault="0070058C" w:rsidP="00BF371C">
            <w:pPr>
              <w:spacing w:before="100" w:after="12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Yopal</w:t>
            </w:r>
          </w:p>
        </w:tc>
        <w:tc>
          <w:tcPr>
            <w:tcW w:w="1376" w:type="dxa"/>
            <w:noWrap/>
            <w:vAlign w:val="center"/>
          </w:tcPr>
          <w:p w14:paraId="5FF46403" w14:textId="427A599D" w:rsidR="00E2020D" w:rsidRPr="00FB7EA4" w:rsidRDefault="005F3E1B"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2019-0444</w:t>
            </w:r>
          </w:p>
        </w:tc>
        <w:tc>
          <w:tcPr>
            <w:tcW w:w="3751" w:type="dxa"/>
            <w:noWrap/>
            <w:vAlign w:val="center"/>
          </w:tcPr>
          <w:p w14:paraId="3DADBEFA" w14:textId="37774192" w:rsidR="00E2020D" w:rsidRPr="00FB7EA4" w:rsidRDefault="005F3E1B"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Procuraduría Judicial II Conciliación de Yopal</w:t>
            </w:r>
          </w:p>
        </w:tc>
        <w:tc>
          <w:tcPr>
            <w:tcW w:w="1265" w:type="dxa"/>
            <w:noWrap/>
            <w:vAlign w:val="center"/>
          </w:tcPr>
          <w:p w14:paraId="4D844846" w14:textId="45355B74" w:rsidR="00E2020D" w:rsidRPr="00FB7EA4" w:rsidRDefault="005F3E1B"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26/08/2019</w:t>
            </w:r>
          </w:p>
        </w:tc>
        <w:tc>
          <w:tcPr>
            <w:tcW w:w="1595" w:type="dxa"/>
            <w:noWrap/>
            <w:vAlign w:val="center"/>
            <w:hideMark/>
          </w:tcPr>
          <w:p w14:paraId="66D57BE5" w14:textId="77777777" w:rsidR="00E2020D" w:rsidRPr="00FB7EA4" w:rsidRDefault="00E2020D"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DIAN</w:t>
            </w:r>
          </w:p>
        </w:tc>
      </w:tr>
      <w:tr w:rsidR="00FB7EA4" w:rsidRPr="00FB7EA4" w14:paraId="44286ACD" w14:textId="77777777" w:rsidTr="00700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noWrap/>
            <w:vAlign w:val="center"/>
          </w:tcPr>
          <w:p w14:paraId="01DCC497" w14:textId="668414E8" w:rsidR="0070058C" w:rsidRPr="00FB7EA4" w:rsidRDefault="0070058C" w:rsidP="00BF371C">
            <w:pPr>
              <w:spacing w:before="100" w:after="12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Valledupar</w:t>
            </w:r>
          </w:p>
        </w:tc>
        <w:tc>
          <w:tcPr>
            <w:tcW w:w="1376" w:type="dxa"/>
            <w:noWrap/>
            <w:vAlign w:val="center"/>
          </w:tcPr>
          <w:p w14:paraId="0D6E979F" w14:textId="5E5F0A2E" w:rsidR="0070058C" w:rsidRPr="00FB7EA4" w:rsidRDefault="005F3E1B"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Prejudicial</w:t>
            </w:r>
          </w:p>
        </w:tc>
        <w:tc>
          <w:tcPr>
            <w:tcW w:w="3751" w:type="dxa"/>
            <w:noWrap/>
            <w:vAlign w:val="center"/>
          </w:tcPr>
          <w:p w14:paraId="66BB5C2B" w14:textId="60EB344C" w:rsidR="0070058C" w:rsidRPr="00FB7EA4" w:rsidRDefault="005F3E1B"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Procuraduría 185 Judicial para Asuntos Administrativos</w:t>
            </w:r>
          </w:p>
        </w:tc>
        <w:tc>
          <w:tcPr>
            <w:tcW w:w="1265" w:type="dxa"/>
            <w:noWrap/>
            <w:vAlign w:val="center"/>
          </w:tcPr>
          <w:p w14:paraId="3CCBD150" w14:textId="27206153" w:rsidR="0070058C" w:rsidRPr="00FB7EA4" w:rsidRDefault="005F3E1B"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20/09/2019</w:t>
            </w:r>
          </w:p>
        </w:tc>
        <w:tc>
          <w:tcPr>
            <w:tcW w:w="1595" w:type="dxa"/>
            <w:noWrap/>
            <w:vAlign w:val="center"/>
          </w:tcPr>
          <w:p w14:paraId="7229AEEB" w14:textId="2D010050" w:rsidR="0070058C" w:rsidRPr="00FB7EA4" w:rsidRDefault="0070058C" w:rsidP="00BF371C">
            <w:pPr>
              <w:spacing w:before="10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DIAN</w:t>
            </w:r>
          </w:p>
        </w:tc>
      </w:tr>
      <w:tr w:rsidR="00FB7EA4" w:rsidRPr="00FB7EA4" w14:paraId="30802163" w14:textId="77777777" w:rsidTr="0070058C">
        <w:tc>
          <w:tcPr>
            <w:cnfStyle w:val="001000000000" w:firstRow="0" w:lastRow="0" w:firstColumn="1" w:lastColumn="0" w:oddVBand="0" w:evenVBand="0" w:oddHBand="0" w:evenHBand="0" w:firstRowFirstColumn="0" w:firstRowLastColumn="0" w:lastRowFirstColumn="0" w:lastRowLastColumn="0"/>
            <w:tcW w:w="1701" w:type="dxa"/>
            <w:noWrap/>
            <w:vAlign w:val="center"/>
          </w:tcPr>
          <w:p w14:paraId="773213DE" w14:textId="61BD8A00" w:rsidR="0070058C" w:rsidRPr="00FB7EA4" w:rsidRDefault="005F3E1B" w:rsidP="00BF371C">
            <w:pPr>
              <w:spacing w:before="100" w:after="12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Quibdó</w:t>
            </w:r>
          </w:p>
        </w:tc>
        <w:tc>
          <w:tcPr>
            <w:tcW w:w="1376" w:type="dxa"/>
            <w:noWrap/>
            <w:vAlign w:val="center"/>
          </w:tcPr>
          <w:p w14:paraId="57312269" w14:textId="10E6AEA7" w:rsidR="0070058C" w:rsidRPr="00FB7EA4" w:rsidRDefault="005F3E1B"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Prejudicial</w:t>
            </w:r>
          </w:p>
        </w:tc>
        <w:tc>
          <w:tcPr>
            <w:tcW w:w="3751" w:type="dxa"/>
            <w:noWrap/>
            <w:vAlign w:val="center"/>
          </w:tcPr>
          <w:p w14:paraId="1301EC3D" w14:textId="10C87B8C" w:rsidR="0070058C" w:rsidRPr="00FB7EA4" w:rsidRDefault="005F3E1B"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shd w:val="clear" w:color="auto" w:fill="FFFFFF"/>
              </w:rPr>
              <w:t>Procuraduría 41 Judicial</w:t>
            </w:r>
          </w:p>
        </w:tc>
        <w:tc>
          <w:tcPr>
            <w:tcW w:w="1265" w:type="dxa"/>
            <w:noWrap/>
            <w:vAlign w:val="center"/>
          </w:tcPr>
          <w:p w14:paraId="4BD0AEAF" w14:textId="2013CC19" w:rsidR="0070058C" w:rsidRPr="00FB7EA4" w:rsidRDefault="005F3E1B"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24/09/2019</w:t>
            </w:r>
          </w:p>
        </w:tc>
        <w:tc>
          <w:tcPr>
            <w:tcW w:w="1595" w:type="dxa"/>
            <w:noWrap/>
            <w:vAlign w:val="center"/>
          </w:tcPr>
          <w:p w14:paraId="1FCA5734" w14:textId="1A75C479" w:rsidR="0070058C" w:rsidRPr="00FB7EA4" w:rsidRDefault="0070058C" w:rsidP="00BF371C">
            <w:pPr>
              <w:spacing w:before="10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DIAN</w:t>
            </w:r>
          </w:p>
        </w:tc>
      </w:tr>
    </w:tbl>
    <w:p w14:paraId="1D85CDF9" w14:textId="77777777" w:rsidR="004F1204" w:rsidRPr="00A003B6" w:rsidRDefault="004F1204" w:rsidP="00F5074D">
      <w:pPr>
        <w:rPr>
          <w:rFonts w:ascii="Arial" w:hAnsi="Arial" w:cs="Arial"/>
          <w:sz w:val="22"/>
          <w:szCs w:val="22"/>
          <w:highlight w:val="yellow"/>
        </w:rPr>
      </w:pPr>
    </w:p>
    <w:p w14:paraId="7E74310B" w14:textId="77777777" w:rsidR="00366BE6" w:rsidRDefault="00366BE6" w:rsidP="004D3A94">
      <w:pPr>
        <w:tabs>
          <w:tab w:val="left" w:pos="142"/>
          <w:tab w:val="left" w:pos="284"/>
        </w:tabs>
        <w:rPr>
          <w:rFonts w:ascii="Arial" w:hAnsi="Arial" w:cs="Arial"/>
          <w:b/>
          <w:color w:val="000000" w:themeColor="text1"/>
        </w:rPr>
      </w:pPr>
    </w:p>
    <w:p w14:paraId="53B01D6D" w14:textId="5613D759" w:rsidR="005A60FA" w:rsidRPr="00446AAF" w:rsidRDefault="004D3A94" w:rsidP="004D3A94">
      <w:pPr>
        <w:tabs>
          <w:tab w:val="left" w:pos="142"/>
          <w:tab w:val="left" w:pos="284"/>
        </w:tabs>
        <w:rPr>
          <w:rFonts w:ascii="Arial" w:hAnsi="Arial" w:cs="Arial"/>
          <w:b/>
          <w:color w:val="000000" w:themeColor="text1"/>
        </w:rPr>
      </w:pPr>
      <w:r w:rsidRPr="00446AAF">
        <w:rPr>
          <w:rFonts w:ascii="Arial" w:hAnsi="Arial" w:cs="Arial"/>
          <w:b/>
          <w:color w:val="000000" w:themeColor="text1"/>
        </w:rPr>
        <w:t>1</w:t>
      </w:r>
      <w:r w:rsidR="00DB1BF2">
        <w:rPr>
          <w:rFonts w:ascii="Arial" w:hAnsi="Arial" w:cs="Arial"/>
          <w:b/>
          <w:color w:val="000000" w:themeColor="text1"/>
        </w:rPr>
        <w:t>0</w:t>
      </w:r>
      <w:r w:rsidRPr="00446AAF">
        <w:rPr>
          <w:rFonts w:ascii="Arial" w:hAnsi="Arial" w:cs="Arial"/>
          <w:b/>
          <w:color w:val="000000" w:themeColor="text1"/>
        </w:rPr>
        <w:t xml:space="preserve">. </w:t>
      </w:r>
      <w:r w:rsidR="005A60FA" w:rsidRPr="00446AAF">
        <w:rPr>
          <w:rFonts w:ascii="Arial" w:hAnsi="Arial" w:cs="Arial"/>
          <w:b/>
          <w:color w:val="000000" w:themeColor="text1"/>
        </w:rPr>
        <w:t>RECOMENDACIONES</w:t>
      </w:r>
      <w:r w:rsidR="006225AF" w:rsidRPr="00446AAF">
        <w:rPr>
          <w:rFonts w:ascii="Arial" w:hAnsi="Arial" w:cs="Arial"/>
          <w:b/>
          <w:color w:val="000000" w:themeColor="text1"/>
        </w:rPr>
        <w:t xml:space="preserve"> GENERALES</w:t>
      </w:r>
    </w:p>
    <w:p w14:paraId="2665B118" w14:textId="77777777" w:rsidR="0019722E" w:rsidRPr="00446AAF" w:rsidRDefault="0019722E" w:rsidP="0019722E">
      <w:pPr>
        <w:pStyle w:val="Prrafodelista"/>
        <w:ind w:left="360"/>
        <w:contextualSpacing w:val="0"/>
        <w:rPr>
          <w:rFonts w:ascii="Arial" w:hAnsi="Arial" w:cs="Arial"/>
          <w:b/>
          <w:color w:val="000000" w:themeColor="text1"/>
        </w:rPr>
      </w:pPr>
    </w:p>
    <w:p w14:paraId="2647BF09" w14:textId="77777777" w:rsidR="009B15A0" w:rsidRPr="00446AAF" w:rsidRDefault="005A60FA" w:rsidP="0045629B">
      <w:pPr>
        <w:pStyle w:val="Prrafodelista"/>
        <w:numPr>
          <w:ilvl w:val="0"/>
          <w:numId w:val="7"/>
        </w:numPr>
        <w:spacing w:after="120"/>
        <w:ind w:left="357" w:hanging="357"/>
        <w:contextualSpacing w:val="0"/>
        <w:rPr>
          <w:rFonts w:ascii="Arial" w:hAnsi="Arial" w:cs="Arial"/>
          <w:color w:val="000000" w:themeColor="text1"/>
          <w:sz w:val="22"/>
          <w:szCs w:val="22"/>
        </w:rPr>
      </w:pPr>
      <w:r w:rsidRPr="00446AAF">
        <w:rPr>
          <w:rFonts w:ascii="Arial" w:hAnsi="Arial" w:cs="Arial"/>
          <w:color w:val="000000" w:themeColor="text1"/>
          <w:sz w:val="22"/>
          <w:szCs w:val="22"/>
        </w:rPr>
        <w:t>Continuar implementando medidas y controles que permitan optimizar el consumo por gastos generales en consideración con lo previsto en el marco normativo de austeridad, específicamente, en aquellos en los que, como resultado del análisis presentado en este informe, se evidenció que presentaron v</w:t>
      </w:r>
      <w:r w:rsidR="00267A2D" w:rsidRPr="00446AAF">
        <w:rPr>
          <w:rFonts w:ascii="Arial" w:hAnsi="Arial" w:cs="Arial"/>
          <w:color w:val="000000" w:themeColor="text1"/>
          <w:sz w:val="22"/>
          <w:szCs w:val="22"/>
        </w:rPr>
        <w:t xml:space="preserve">ariación positiva </w:t>
      </w:r>
      <w:r w:rsidR="00806928" w:rsidRPr="00446AAF">
        <w:rPr>
          <w:rFonts w:ascii="Arial" w:hAnsi="Arial" w:cs="Arial"/>
          <w:color w:val="000000" w:themeColor="text1"/>
          <w:sz w:val="22"/>
          <w:szCs w:val="22"/>
        </w:rPr>
        <w:t>relevantes</w:t>
      </w:r>
      <w:r w:rsidR="00267A2D" w:rsidRPr="00446AAF">
        <w:rPr>
          <w:rFonts w:ascii="Arial" w:hAnsi="Arial" w:cs="Arial"/>
          <w:color w:val="000000" w:themeColor="text1"/>
          <w:sz w:val="22"/>
          <w:szCs w:val="22"/>
        </w:rPr>
        <w:t>.</w:t>
      </w:r>
    </w:p>
    <w:p w14:paraId="29788387" w14:textId="77777777" w:rsidR="00EA7D0D" w:rsidRPr="00446AAF" w:rsidRDefault="006B1F41" w:rsidP="0045629B">
      <w:pPr>
        <w:pStyle w:val="Prrafodelista"/>
        <w:numPr>
          <w:ilvl w:val="0"/>
          <w:numId w:val="7"/>
        </w:numPr>
        <w:spacing w:after="120"/>
        <w:ind w:left="357" w:hanging="357"/>
        <w:contextualSpacing w:val="0"/>
        <w:rPr>
          <w:rFonts w:ascii="Arial" w:hAnsi="Arial" w:cs="Arial"/>
          <w:color w:val="000000" w:themeColor="text1"/>
          <w:sz w:val="22"/>
          <w:szCs w:val="22"/>
        </w:rPr>
      </w:pPr>
      <w:r w:rsidRPr="00446AAF">
        <w:rPr>
          <w:rFonts w:ascii="Arial" w:hAnsi="Arial" w:cs="Arial"/>
          <w:color w:val="000000" w:themeColor="text1"/>
          <w:sz w:val="22"/>
          <w:szCs w:val="22"/>
        </w:rPr>
        <w:t>Seguir cumplimiento con</w:t>
      </w:r>
      <w:r w:rsidR="005A60FA" w:rsidRPr="00446AAF">
        <w:rPr>
          <w:rFonts w:ascii="Arial" w:hAnsi="Arial" w:cs="Arial"/>
          <w:color w:val="000000" w:themeColor="text1"/>
          <w:sz w:val="22"/>
          <w:szCs w:val="22"/>
        </w:rPr>
        <w:t xml:space="preserve"> las disposiciones del Plan de Austeridad del Gasto, establecidas en </w:t>
      </w:r>
      <w:r w:rsidR="00267A2D" w:rsidRPr="00446AAF">
        <w:rPr>
          <w:rFonts w:ascii="Arial" w:hAnsi="Arial" w:cs="Arial"/>
          <w:color w:val="000000" w:themeColor="text1"/>
          <w:sz w:val="22"/>
          <w:szCs w:val="22"/>
        </w:rPr>
        <w:t>los artículos 81</w:t>
      </w:r>
      <w:r w:rsidR="00133A2E" w:rsidRPr="00446AAF">
        <w:rPr>
          <w:rFonts w:ascii="Arial" w:hAnsi="Arial" w:cs="Arial"/>
          <w:color w:val="000000" w:themeColor="text1"/>
          <w:sz w:val="22"/>
          <w:szCs w:val="22"/>
        </w:rPr>
        <w:t>y 83</w:t>
      </w:r>
      <w:r w:rsidR="00267A2D" w:rsidRPr="00446AAF">
        <w:rPr>
          <w:rFonts w:ascii="Arial" w:hAnsi="Arial" w:cs="Arial"/>
          <w:color w:val="000000" w:themeColor="text1"/>
          <w:sz w:val="22"/>
          <w:szCs w:val="22"/>
        </w:rPr>
        <w:t xml:space="preserve"> de la Ley 1940 de 2018 y d</w:t>
      </w:r>
      <w:r w:rsidR="005A60FA" w:rsidRPr="00446AAF">
        <w:rPr>
          <w:rFonts w:ascii="Arial" w:hAnsi="Arial" w:cs="Arial"/>
          <w:color w:val="000000" w:themeColor="text1"/>
          <w:sz w:val="22"/>
          <w:szCs w:val="22"/>
        </w:rPr>
        <w:t xml:space="preserve">emás normatividad </w:t>
      </w:r>
      <w:r w:rsidR="00E66D0A" w:rsidRPr="00446AAF">
        <w:rPr>
          <w:rFonts w:ascii="Arial" w:hAnsi="Arial" w:cs="Arial"/>
          <w:color w:val="000000" w:themeColor="text1"/>
          <w:sz w:val="22"/>
          <w:szCs w:val="22"/>
        </w:rPr>
        <w:t>sobre la</w:t>
      </w:r>
      <w:r w:rsidR="005A60FA" w:rsidRPr="00446AAF">
        <w:rPr>
          <w:rFonts w:ascii="Arial" w:hAnsi="Arial" w:cs="Arial"/>
          <w:color w:val="000000" w:themeColor="text1"/>
          <w:sz w:val="22"/>
          <w:szCs w:val="22"/>
        </w:rPr>
        <w:t xml:space="preserve"> materia. </w:t>
      </w:r>
    </w:p>
    <w:p w14:paraId="5407E0CB" w14:textId="3D1F7D1A" w:rsidR="009430B5" w:rsidRDefault="009430B5" w:rsidP="003C2851">
      <w:pPr>
        <w:pStyle w:val="Prrafodelista"/>
        <w:spacing w:after="120"/>
        <w:ind w:left="357"/>
        <w:contextualSpacing w:val="0"/>
        <w:rPr>
          <w:rFonts w:ascii="Arial" w:hAnsi="Arial" w:cs="Arial"/>
          <w:sz w:val="22"/>
          <w:szCs w:val="22"/>
          <w:highlight w:val="yellow"/>
        </w:rPr>
      </w:pPr>
    </w:p>
    <w:p w14:paraId="57455B17" w14:textId="54254D90" w:rsidR="009430B5" w:rsidRPr="00DB1BF2" w:rsidRDefault="009430B5" w:rsidP="00DB1BF2">
      <w:pPr>
        <w:pStyle w:val="Prrafodelista"/>
        <w:numPr>
          <w:ilvl w:val="0"/>
          <w:numId w:val="26"/>
        </w:numPr>
        <w:tabs>
          <w:tab w:val="left" w:pos="426"/>
        </w:tabs>
        <w:spacing w:before="100" w:beforeAutospacing="1" w:after="100" w:afterAutospacing="1"/>
        <w:rPr>
          <w:rFonts w:ascii="Arial" w:hAnsi="Arial" w:cs="Arial"/>
          <w:b/>
        </w:rPr>
      </w:pPr>
      <w:r w:rsidRPr="00DB1BF2">
        <w:rPr>
          <w:rFonts w:ascii="Arial" w:hAnsi="Arial" w:cs="Arial"/>
          <w:b/>
        </w:rPr>
        <w:t xml:space="preserve">SEGUIMIENTO </w:t>
      </w:r>
      <w:r w:rsidR="00FB352D" w:rsidRPr="00DB1BF2">
        <w:rPr>
          <w:rFonts w:ascii="Arial" w:hAnsi="Arial" w:cs="Arial"/>
          <w:b/>
        </w:rPr>
        <w:t>DE OBSERVACIONES</w:t>
      </w:r>
    </w:p>
    <w:p w14:paraId="57723164" w14:textId="4627B3D0" w:rsidR="00DE0F27" w:rsidRDefault="00DE0F27" w:rsidP="003C2851">
      <w:pPr>
        <w:pStyle w:val="Prrafodelista"/>
        <w:spacing w:after="120"/>
        <w:ind w:left="357"/>
        <w:contextualSpacing w:val="0"/>
        <w:rPr>
          <w:rFonts w:ascii="Arial" w:hAnsi="Arial" w:cs="Arial"/>
          <w:sz w:val="22"/>
          <w:szCs w:val="22"/>
          <w:highlight w:val="yellow"/>
        </w:rPr>
      </w:pPr>
    </w:p>
    <w:tbl>
      <w:tblPr>
        <w:tblStyle w:val="Tabladecuadrcula1clara-nfasis1"/>
        <w:tblW w:w="0" w:type="auto"/>
        <w:tblLook w:val="04A0" w:firstRow="1" w:lastRow="0" w:firstColumn="1" w:lastColumn="0" w:noHBand="0" w:noVBand="1"/>
      </w:tblPr>
      <w:tblGrid>
        <w:gridCol w:w="4819"/>
        <w:gridCol w:w="4859"/>
      </w:tblGrid>
      <w:tr w:rsidR="00FB7EA4" w:rsidRPr="00FB7EA4" w14:paraId="28BBE359" w14:textId="77777777" w:rsidTr="00CF77E3">
        <w:trPr>
          <w:cnfStyle w:val="100000000000" w:firstRow="1" w:lastRow="0" w:firstColumn="0" w:lastColumn="0" w:oddVBand="0" w:evenVBand="0" w:oddHBand="0" w:evenHBand="0" w:firstRowFirstColumn="0" w:firstRowLastColumn="0" w:lastRowFirstColumn="0" w:lastRowLastColumn="0"/>
          <w:cantSplit/>
          <w:trHeight w:val="487"/>
          <w:tblHead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hideMark/>
          </w:tcPr>
          <w:p w14:paraId="063D5F4E" w14:textId="77777777" w:rsidR="00DE0F27" w:rsidRPr="00FB7EA4" w:rsidRDefault="00DE0F27" w:rsidP="00366BE6">
            <w:pPr>
              <w:spacing w:before="60" w:after="60"/>
              <w:jc w:val="center"/>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Observación OCI </w:t>
            </w:r>
          </w:p>
        </w:tc>
        <w:tc>
          <w:tcPr>
            <w:tcW w:w="0" w:type="auto"/>
            <w:tcBorders>
              <w:top w:val="double" w:sz="4" w:space="0" w:color="4F81BD" w:themeColor="accent1"/>
              <w:bottom w:val="double" w:sz="4" w:space="0" w:color="4F81BD" w:themeColor="accent1"/>
            </w:tcBorders>
            <w:vAlign w:val="center"/>
            <w:hideMark/>
          </w:tcPr>
          <w:p w14:paraId="7B7DEB61" w14:textId="74F94880" w:rsidR="00DE0F27" w:rsidRPr="00FB7EA4" w:rsidRDefault="00DE0F27" w:rsidP="00366BE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Seguimiento OCI</w:t>
            </w:r>
          </w:p>
        </w:tc>
      </w:tr>
      <w:tr w:rsidR="00FB7EA4" w:rsidRPr="00FB7EA4" w14:paraId="5E9529E8" w14:textId="77777777" w:rsidTr="00366BE6">
        <w:trPr>
          <w:cantSplit/>
          <w:trHeight w:val="1961"/>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vAlign w:val="center"/>
            <w:hideMark/>
          </w:tcPr>
          <w:p w14:paraId="4B0D9197" w14:textId="4681AA60" w:rsidR="00DE0F27" w:rsidRPr="00FB7EA4" w:rsidRDefault="00DE0F27" w:rsidP="00366BE6">
            <w:pPr>
              <w:spacing w:before="60" w:after="60"/>
              <w:jc w:val="both"/>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 xml:space="preserve">Según la consulta efectuada el 2 de septiembre de 2019 en el SIMIT, se observó en estado pendiente dos comparendos a cargo del Ministerio de Hacienda y Crédito Público. </w:t>
            </w:r>
          </w:p>
        </w:tc>
        <w:tc>
          <w:tcPr>
            <w:tcW w:w="0" w:type="auto"/>
            <w:tcBorders>
              <w:top w:val="double" w:sz="4" w:space="0" w:color="4F81BD" w:themeColor="accent1"/>
            </w:tcBorders>
            <w:vAlign w:val="center"/>
            <w:hideMark/>
          </w:tcPr>
          <w:p w14:paraId="629739E6" w14:textId="6F407415" w:rsidR="00DE0F27" w:rsidRPr="00FB7EA4" w:rsidRDefault="00DE0F27" w:rsidP="00CF77E3">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De acuerdo con la consulta efectuada en el SIMIT el día 28 de noviembre de 2019, con el Nit 899999090 correspondiente al Ministerio de Hacienda y Crédito Público, se evidenció que a cargo de este Ministerio no se encuentran comparendos pendientes</w:t>
            </w:r>
            <w:r w:rsidR="002C2EBC" w:rsidRPr="00FB7EA4">
              <w:rPr>
                <w:rFonts w:ascii="Arial" w:hAnsi="Arial" w:cs="Arial"/>
                <w:color w:val="0F243E" w:themeColor="text2" w:themeShade="80"/>
                <w:sz w:val="20"/>
                <w:szCs w:val="20"/>
              </w:rPr>
              <w:t xml:space="preserve">. Se concluye que </w:t>
            </w:r>
            <w:r w:rsidR="002C2EBC" w:rsidRPr="00FB7EA4">
              <w:rPr>
                <w:rFonts w:ascii="Arial" w:hAnsi="Arial" w:cs="Arial"/>
                <w:b/>
                <w:color w:val="0F243E" w:themeColor="text2" w:themeShade="80"/>
                <w:sz w:val="20"/>
                <w:szCs w:val="20"/>
              </w:rPr>
              <w:t>la situación quedó subsanada</w:t>
            </w:r>
            <w:r w:rsidR="002C2EBC" w:rsidRPr="00FB7EA4">
              <w:rPr>
                <w:rFonts w:ascii="Arial" w:hAnsi="Arial" w:cs="Arial"/>
                <w:color w:val="0F243E" w:themeColor="text2" w:themeShade="80"/>
                <w:sz w:val="20"/>
                <w:szCs w:val="20"/>
              </w:rPr>
              <w:t xml:space="preserve">. </w:t>
            </w:r>
          </w:p>
        </w:tc>
      </w:tr>
      <w:tr w:rsidR="00FB7EA4" w:rsidRPr="00FB7EA4" w14:paraId="38A0C3AF" w14:textId="77777777" w:rsidTr="00DE0F27">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75A511" w14:textId="155F89A1" w:rsidR="00DE0F27" w:rsidRPr="00FB7EA4" w:rsidRDefault="00DE0F27" w:rsidP="00366BE6">
            <w:pPr>
              <w:spacing w:before="60" w:after="60"/>
              <w:jc w:val="both"/>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t xml:space="preserve">El procedimiento de prorrateo del gasto los servicios de energía, acueducto y aseo efectuado por este Ministerio por los pisos 4°, 5° y 6° del Edificio San </w:t>
            </w:r>
            <w:r w:rsidR="00BC6319" w:rsidRPr="00FB7EA4">
              <w:rPr>
                <w:rFonts w:ascii="Arial" w:hAnsi="Arial" w:cs="Arial"/>
                <w:b w:val="0"/>
                <w:color w:val="0F243E" w:themeColor="text2" w:themeShade="80"/>
                <w:sz w:val="20"/>
                <w:szCs w:val="20"/>
              </w:rPr>
              <w:t>Agustín</w:t>
            </w:r>
            <w:r w:rsidRPr="00FB7EA4">
              <w:rPr>
                <w:rFonts w:ascii="Arial" w:hAnsi="Arial" w:cs="Arial"/>
                <w:b w:val="0"/>
                <w:color w:val="0F243E" w:themeColor="text2" w:themeShade="80"/>
                <w:sz w:val="20"/>
                <w:szCs w:val="20"/>
              </w:rPr>
              <w:t xml:space="preserve"> </w:t>
            </w:r>
            <w:r w:rsidR="00BC6319" w:rsidRPr="00FB7EA4">
              <w:rPr>
                <w:rFonts w:ascii="Arial" w:hAnsi="Arial" w:cs="Arial"/>
                <w:b w:val="0"/>
                <w:color w:val="0F243E" w:themeColor="text2" w:themeShade="80"/>
                <w:sz w:val="20"/>
                <w:szCs w:val="20"/>
              </w:rPr>
              <w:t>asignados</w:t>
            </w:r>
            <w:r w:rsidRPr="00FB7EA4">
              <w:rPr>
                <w:rFonts w:ascii="Arial" w:hAnsi="Arial" w:cs="Arial"/>
                <w:b w:val="0"/>
                <w:color w:val="0F243E" w:themeColor="text2" w:themeShade="80"/>
                <w:sz w:val="20"/>
                <w:szCs w:val="20"/>
              </w:rPr>
              <w:t xml:space="preserve"> a la DIAN, se evidenció que para el </w:t>
            </w:r>
            <w:r w:rsidR="00BC6319" w:rsidRPr="00FB7EA4">
              <w:rPr>
                <w:rFonts w:ascii="Arial" w:hAnsi="Arial" w:cs="Arial"/>
                <w:b w:val="0"/>
                <w:color w:val="0F243E" w:themeColor="text2" w:themeShade="80"/>
                <w:sz w:val="20"/>
                <w:szCs w:val="20"/>
              </w:rPr>
              <w:t>cálculo</w:t>
            </w:r>
            <w:r w:rsidRPr="00FB7EA4">
              <w:rPr>
                <w:rFonts w:ascii="Arial" w:hAnsi="Arial" w:cs="Arial"/>
                <w:b w:val="0"/>
                <w:color w:val="0F243E" w:themeColor="text2" w:themeShade="80"/>
                <w:sz w:val="20"/>
                <w:szCs w:val="20"/>
              </w:rPr>
              <w:t xml:space="preserve"> del gasto de las entidades mencionadas s</w:t>
            </w:r>
            <w:r w:rsidR="008D5FAA" w:rsidRPr="00FB7EA4">
              <w:rPr>
                <w:rFonts w:ascii="Arial" w:hAnsi="Arial" w:cs="Arial"/>
                <w:b w:val="0"/>
                <w:color w:val="0F243E" w:themeColor="text2" w:themeShade="80"/>
                <w:sz w:val="20"/>
                <w:szCs w:val="20"/>
              </w:rPr>
              <w:t>e utilizó</w:t>
            </w:r>
            <w:r w:rsidRPr="00FB7EA4">
              <w:rPr>
                <w:rFonts w:ascii="Arial" w:hAnsi="Arial" w:cs="Arial"/>
                <w:b w:val="0"/>
                <w:color w:val="0F243E" w:themeColor="text2" w:themeShade="80"/>
                <w:sz w:val="20"/>
                <w:szCs w:val="20"/>
              </w:rPr>
              <w:t xml:space="preserve"> el total de funcionarios correspondiente </w:t>
            </w:r>
            <w:r w:rsidR="00DF6DCB" w:rsidRPr="00FB7EA4">
              <w:rPr>
                <w:rFonts w:ascii="Arial" w:hAnsi="Arial" w:cs="Arial"/>
                <w:b w:val="0"/>
                <w:color w:val="0F243E" w:themeColor="text2" w:themeShade="80"/>
                <w:sz w:val="20"/>
                <w:szCs w:val="20"/>
              </w:rPr>
              <w:t>a vigencias</w:t>
            </w:r>
            <w:r w:rsidRPr="00FB7EA4">
              <w:rPr>
                <w:rFonts w:ascii="Arial" w:hAnsi="Arial" w:cs="Arial"/>
                <w:b w:val="0"/>
                <w:color w:val="0F243E" w:themeColor="text2" w:themeShade="80"/>
                <w:sz w:val="20"/>
                <w:szCs w:val="20"/>
              </w:rPr>
              <w:t xml:space="preserve"> anteriores (2013). </w:t>
            </w:r>
          </w:p>
        </w:tc>
        <w:tc>
          <w:tcPr>
            <w:tcW w:w="0" w:type="auto"/>
            <w:vAlign w:val="center"/>
            <w:hideMark/>
          </w:tcPr>
          <w:p w14:paraId="0B4A335A" w14:textId="6BA81628" w:rsidR="00DE0F27" w:rsidRPr="00FB7EA4" w:rsidRDefault="00DE0F27" w:rsidP="00366BE6">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Frente a esta observación,  la Subdirección de Servicios gestionó la formalización del contrato de comodato entre este Ministerio y la DIAN, mediante el cual, se estableció entre otras, la siguiente </w:t>
            </w:r>
            <w:r w:rsidR="005F37FF" w:rsidRPr="00FB7EA4">
              <w:rPr>
                <w:rFonts w:ascii="Arial" w:hAnsi="Arial" w:cs="Arial"/>
                <w:color w:val="0F243E" w:themeColor="text2" w:themeShade="80"/>
                <w:sz w:val="20"/>
                <w:szCs w:val="20"/>
              </w:rPr>
              <w:t>obligación</w:t>
            </w:r>
            <w:r w:rsidRPr="00FB7EA4">
              <w:rPr>
                <w:rFonts w:ascii="Arial" w:hAnsi="Arial" w:cs="Arial"/>
                <w:color w:val="0F243E" w:themeColor="text2" w:themeShade="80"/>
                <w:sz w:val="20"/>
                <w:szCs w:val="20"/>
              </w:rPr>
              <w:t xml:space="preserve"> de la DIAN:</w:t>
            </w:r>
            <w:r w:rsidRPr="00FB7EA4">
              <w:rPr>
                <w:rFonts w:ascii="Arial" w:hAnsi="Arial" w:cs="Arial"/>
                <w:i/>
                <w:iCs/>
                <w:color w:val="0F243E" w:themeColor="text2" w:themeShade="80"/>
                <w:sz w:val="20"/>
                <w:szCs w:val="20"/>
              </w:rPr>
              <w:t xml:space="preserve"> Asumir los costos por concepto de servicio público de acueducto y alcantarillado, servicio público de aseo, servicio público de energía, en las proporciones establecidas como prorrateo de acuerdo con el número de personas que se ubiquen en las áreas entregadas en comodato, certificadas trimestralmente por escrito al COMODANTE.” </w:t>
            </w:r>
            <w:r w:rsidRPr="00FB7EA4">
              <w:rPr>
                <w:rFonts w:ascii="Arial" w:hAnsi="Arial" w:cs="Arial"/>
                <w:color w:val="0F243E" w:themeColor="text2" w:themeShade="80"/>
                <w:sz w:val="20"/>
                <w:szCs w:val="20"/>
              </w:rPr>
              <w:t xml:space="preserve"> Para este caso, con la acción de mejora efectuada por la Subdirección de Servicios </w:t>
            </w:r>
            <w:r w:rsidRPr="00FB7EA4">
              <w:rPr>
                <w:rFonts w:ascii="Arial" w:hAnsi="Arial" w:cs="Arial"/>
                <w:b/>
                <w:color w:val="0F243E" w:themeColor="text2" w:themeShade="80"/>
                <w:sz w:val="20"/>
                <w:szCs w:val="20"/>
              </w:rPr>
              <w:t>se da por subsanada la situación evidenciada.</w:t>
            </w:r>
            <w:r w:rsidRPr="00FB7EA4">
              <w:rPr>
                <w:rFonts w:ascii="Arial" w:hAnsi="Arial" w:cs="Arial"/>
                <w:color w:val="0F243E" w:themeColor="text2" w:themeShade="80"/>
                <w:sz w:val="20"/>
                <w:szCs w:val="20"/>
              </w:rPr>
              <w:t xml:space="preserve"> </w:t>
            </w:r>
          </w:p>
        </w:tc>
      </w:tr>
      <w:tr w:rsidR="00FB7EA4" w:rsidRPr="00FB7EA4" w14:paraId="30778153" w14:textId="77777777" w:rsidTr="00DE0F27">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7FEF10" w14:textId="430FC1E7" w:rsidR="00DE0F27" w:rsidRPr="00FB7EA4" w:rsidRDefault="00DE0F27" w:rsidP="00F52177">
            <w:pPr>
              <w:spacing w:before="80" w:after="80"/>
              <w:jc w:val="both"/>
              <w:rPr>
                <w:rFonts w:ascii="Arial" w:hAnsi="Arial" w:cs="Arial"/>
                <w:b w:val="0"/>
                <w:color w:val="0F243E" w:themeColor="text2" w:themeShade="80"/>
                <w:sz w:val="20"/>
                <w:szCs w:val="20"/>
              </w:rPr>
            </w:pPr>
            <w:r w:rsidRPr="00FB7EA4">
              <w:rPr>
                <w:rFonts w:ascii="Arial" w:hAnsi="Arial" w:cs="Arial"/>
                <w:b w:val="0"/>
                <w:color w:val="0F243E" w:themeColor="text2" w:themeShade="80"/>
                <w:sz w:val="20"/>
                <w:szCs w:val="20"/>
              </w:rPr>
              <w:lastRenderedPageBreak/>
              <w:t xml:space="preserve">Con respecto al Contrato 3.343-2018 Macro Inversiones JD [mantenimiento de motocicletas, se observó el contratista no había presentado las facturas correspondientes a los servicios de mantenimiento prestados durante el primer semestre de 2019. </w:t>
            </w:r>
            <w:r w:rsidR="00DF6DCB" w:rsidRPr="00FB7EA4">
              <w:rPr>
                <w:rFonts w:ascii="Arial" w:hAnsi="Arial" w:cs="Arial"/>
                <w:b w:val="0"/>
                <w:color w:val="0F243E" w:themeColor="text2" w:themeShade="80"/>
                <w:sz w:val="20"/>
                <w:szCs w:val="20"/>
              </w:rPr>
              <w:t xml:space="preserve"> Por lo tanto, no se han podido determinar las variaciones de este gasto, en el marco del seguimiento a las medidas de austeridad del gasto. </w:t>
            </w:r>
          </w:p>
        </w:tc>
        <w:tc>
          <w:tcPr>
            <w:tcW w:w="0" w:type="auto"/>
            <w:vAlign w:val="center"/>
            <w:hideMark/>
          </w:tcPr>
          <w:p w14:paraId="6902EE29" w14:textId="296FA8BA" w:rsidR="00DE0F27" w:rsidRPr="00FB7EA4" w:rsidRDefault="00DE0F27" w:rsidP="00F52177">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B7EA4">
              <w:rPr>
                <w:rFonts w:ascii="Arial" w:hAnsi="Arial" w:cs="Arial"/>
                <w:color w:val="0F243E" w:themeColor="text2" w:themeShade="80"/>
                <w:sz w:val="20"/>
                <w:szCs w:val="20"/>
              </w:rPr>
              <w:t xml:space="preserve">De acuerdo con la consulta efectuada en el SIIF al 25 de noviembre de 2019, </w:t>
            </w:r>
            <w:r w:rsidR="00765581" w:rsidRPr="00FB7EA4">
              <w:rPr>
                <w:rFonts w:ascii="Arial" w:hAnsi="Arial" w:cs="Arial"/>
                <w:color w:val="0F243E" w:themeColor="text2" w:themeShade="80"/>
                <w:sz w:val="20"/>
                <w:szCs w:val="20"/>
              </w:rPr>
              <w:t xml:space="preserve">este </w:t>
            </w:r>
            <w:r w:rsidRPr="00FB7EA4">
              <w:rPr>
                <w:rFonts w:ascii="Arial" w:hAnsi="Arial" w:cs="Arial"/>
                <w:color w:val="0F243E" w:themeColor="text2" w:themeShade="80"/>
                <w:sz w:val="20"/>
                <w:szCs w:val="20"/>
              </w:rPr>
              <w:t xml:space="preserve">Ministerio no ha registrado obligaciones de pago a nombre del contratista Macro Inversiones JD </w:t>
            </w:r>
            <w:r w:rsidR="00F211EE" w:rsidRPr="00FB7EA4">
              <w:rPr>
                <w:rFonts w:ascii="Arial" w:hAnsi="Arial" w:cs="Arial"/>
                <w:color w:val="0F243E" w:themeColor="text2" w:themeShade="80"/>
                <w:sz w:val="20"/>
                <w:szCs w:val="20"/>
              </w:rPr>
              <w:t xml:space="preserve">correspondiente a los mantenimientos prestados durante la vigencia 2019. </w:t>
            </w:r>
            <w:r w:rsidR="00765581" w:rsidRPr="00FB7EA4">
              <w:rPr>
                <w:rFonts w:ascii="Arial" w:hAnsi="Arial" w:cs="Arial"/>
                <w:color w:val="0F243E" w:themeColor="text2" w:themeShade="80"/>
                <w:sz w:val="20"/>
                <w:szCs w:val="20"/>
              </w:rPr>
              <w:t xml:space="preserve">Al respecto, el Coordinadora del Grupo de Logística y Suministros informó que se tomaron en cuenta las recomendaciones efectuadas por la Oficina de Control Interno, por lo que </w:t>
            </w:r>
            <w:r w:rsidR="00E35C61" w:rsidRPr="00FB7EA4">
              <w:rPr>
                <w:rFonts w:ascii="Arial" w:hAnsi="Arial" w:cs="Arial"/>
                <w:color w:val="0F243E" w:themeColor="text2" w:themeShade="80"/>
                <w:sz w:val="20"/>
                <w:szCs w:val="20"/>
              </w:rPr>
              <w:t xml:space="preserve">se </w:t>
            </w:r>
            <w:r w:rsidR="00765581" w:rsidRPr="00FB7EA4">
              <w:rPr>
                <w:rFonts w:ascii="Arial" w:hAnsi="Arial" w:cs="Arial"/>
                <w:color w:val="0F243E" w:themeColor="text2" w:themeShade="80"/>
                <w:sz w:val="20"/>
                <w:szCs w:val="20"/>
              </w:rPr>
              <w:t>continuó requiriendo al proveedor para que presentara la documentación necesaria para tramitar los pagos pendiente</w:t>
            </w:r>
            <w:r w:rsidR="00F211EE" w:rsidRPr="00FB7EA4">
              <w:rPr>
                <w:rFonts w:ascii="Arial" w:hAnsi="Arial" w:cs="Arial"/>
                <w:color w:val="0F243E" w:themeColor="text2" w:themeShade="80"/>
                <w:sz w:val="20"/>
                <w:szCs w:val="20"/>
              </w:rPr>
              <w:t xml:space="preserve">s por los servicios prestados. </w:t>
            </w:r>
            <w:r w:rsidR="00765581" w:rsidRPr="00FB7EA4">
              <w:rPr>
                <w:rFonts w:ascii="Arial" w:hAnsi="Arial" w:cs="Arial"/>
                <w:color w:val="0F243E" w:themeColor="text2" w:themeShade="80"/>
                <w:sz w:val="20"/>
                <w:szCs w:val="20"/>
              </w:rPr>
              <w:t xml:space="preserve">Se efectuaron </w:t>
            </w:r>
            <w:r w:rsidR="00E35C61" w:rsidRPr="00FB7EA4">
              <w:rPr>
                <w:rFonts w:ascii="Arial" w:hAnsi="Arial" w:cs="Arial"/>
                <w:color w:val="0F243E" w:themeColor="text2" w:themeShade="80"/>
                <w:sz w:val="20"/>
                <w:szCs w:val="20"/>
              </w:rPr>
              <w:t xml:space="preserve">las gestiones pertinentes </w:t>
            </w:r>
            <w:r w:rsidR="00765581" w:rsidRPr="00FB7EA4">
              <w:rPr>
                <w:rFonts w:ascii="Arial" w:hAnsi="Arial" w:cs="Arial"/>
                <w:color w:val="0F243E" w:themeColor="text2" w:themeShade="80"/>
                <w:sz w:val="20"/>
                <w:szCs w:val="20"/>
              </w:rPr>
              <w:t xml:space="preserve">obteniendo como respuesta </w:t>
            </w:r>
            <w:r w:rsidR="00E35C61" w:rsidRPr="00FB7EA4">
              <w:rPr>
                <w:rFonts w:ascii="Arial" w:hAnsi="Arial" w:cs="Arial"/>
                <w:color w:val="0F243E" w:themeColor="text2" w:themeShade="80"/>
                <w:sz w:val="20"/>
                <w:szCs w:val="20"/>
              </w:rPr>
              <w:t xml:space="preserve">el </w:t>
            </w:r>
            <w:r w:rsidR="00F211EE" w:rsidRPr="00FB7EA4">
              <w:rPr>
                <w:rFonts w:ascii="Arial" w:hAnsi="Arial" w:cs="Arial"/>
                <w:color w:val="0F243E" w:themeColor="text2" w:themeShade="80"/>
                <w:sz w:val="20"/>
                <w:szCs w:val="20"/>
              </w:rPr>
              <w:t>envío</w:t>
            </w:r>
            <w:r w:rsidR="00765581" w:rsidRPr="00FB7EA4">
              <w:rPr>
                <w:rFonts w:ascii="Arial" w:hAnsi="Arial" w:cs="Arial"/>
                <w:color w:val="0F243E" w:themeColor="text2" w:themeShade="80"/>
                <w:sz w:val="20"/>
                <w:szCs w:val="20"/>
              </w:rPr>
              <w:t xml:space="preserve"> de las facturas, las cuales fueron devueltas </w:t>
            </w:r>
            <w:r w:rsidR="00E35C61" w:rsidRPr="00FB7EA4">
              <w:rPr>
                <w:rFonts w:ascii="Arial" w:hAnsi="Arial" w:cs="Arial"/>
                <w:color w:val="0F243E" w:themeColor="text2" w:themeShade="80"/>
                <w:sz w:val="20"/>
                <w:szCs w:val="20"/>
              </w:rPr>
              <w:t xml:space="preserve">después </w:t>
            </w:r>
            <w:r w:rsidR="00765581" w:rsidRPr="00FB7EA4">
              <w:rPr>
                <w:rFonts w:ascii="Arial" w:hAnsi="Arial" w:cs="Arial"/>
                <w:color w:val="0F243E" w:themeColor="text2" w:themeShade="80"/>
                <w:sz w:val="20"/>
                <w:szCs w:val="20"/>
              </w:rPr>
              <w:t>de haber efectuado la verificación por este Minsiterio a dichas facturas, identificando que el proveedor continuaba con inconvenientes de tipo administrativo.</w:t>
            </w:r>
            <w:r w:rsidR="00E35C61" w:rsidRPr="00FB7EA4">
              <w:rPr>
                <w:rFonts w:ascii="Arial" w:hAnsi="Arial" w:cs="Arial"/>
                <w:color w:val="0F243E" w:themeColor="text2" w:themeShade="80"/>
                <w:sz w:val="20"/>
                <w:szCs w:val="20"/>
              </w:rPr>
              <w:t xml:space="preserve"> Si bien la Subdirección de Servicios ha venido efectuando las gestiones requeridas para que el contratista cumpla con obligación del facturar, la situación no se ha </w:t>
            </w:r>
            <w:r w:rsidR="00F211EE" w:rsidRPr="00FB7EA4">
              <w:rPr>
                <w:rFonts w:ascii="Arial" w:hAnsi="Arial" w:cs="Arial"/>
                <w:color w:val="0F243E" w:themeColor="text2" w:themeShade="80"/>
                <w:sz w:val="20"/>
                <w:szCs w:val="20"/>
              </w:rPr>
              <w:t>subsanado</w:t>
            </w:r>
            <w:r w:rsidR="00E35C61" w:rsidRPr="00FB7EA4">
              <w:rPr>
                <w:rFonts w:ascii="Arial" w:hAnsi="Arial" w:cs="Arial"/>
                <w:color w:val="0F243E" w:themeColor="text2" w:themeShade="80"/>
                <w:sz w:val="20"/>
                <w:szCs w:val="20"/>
              </w:rPr>
              <w:t xml:space="preserve"> por parte del contratista. Motivo por el cual, </w:t>
            </w:r>
            <w:r w:rsidR="00E35C61" w:rsidRPr="00FB7EA4">
              <w:rPr>
                <w:rFonts w:ascii="Arial" w:hAnsi="Arial" w:cs="Arial"/>
                <w:b/>
                <w:bCs/>
                <w:color w:val="0F243E" w:themeColor="text2" w:themeShade="80"/>
                <w:sz w:val="20"/>
                <w:szCs w:val="20"/>
              </w:rPr>
              <w:t xml:space="preserve">será objeto de verificación en el seguimiento correspondiente al cuarto trimestre de 2019. </w:t>
            </w:r>
          </w:p>
        </w:tc>
      </w:tr>
    </w:tbl>
    <w:p w14:paraId="083C8254" w14:textId="639508B8" w:rsidR="00F52177" w:rsidRDefault="00F52177" w:rsidP="00DE0F27">
      <w:pPr>
        <w:pStyle w:val="Prrafodelista"/>
        <w:spacing w:after="120"/>
        <w:ind w:left="0"/>
        <w:contextualSpacing w:val="0"/>
        <w:rPr>
          <w:rFonts w:ascii="Arial" w:hAnsi="Arial" w:cs="Arial"/>
          <w:sz w:val="22"/>
          <w:szCs w:val="22"/>
          <w:highlight w:val="yellow"/>
        </w:rPr>
      </w:pPr>
    </w:p>
    <w:p w14:paraId="3F5A7FB7" w14:textId="438545FA" w:rsidR="00297944" w:rsidRPr="00297944" w:rsidRDefault="00297944" w:rsidP="00825171">
      <w:pPr>
        <w:pStyle w:val="Prrafodelista"/>
        <w:numPr>
          <w:ilvl w:val="0"/>
          <w:numId w:val="14"/>
        </w:numPr>
        <w:ind w:left="426" w:hanging="426"/>
        <w:contextualSpacing w:val="0"/>
        <w:rPr>
          <w:rFonts w:ascii="Arial" w:hAnsi="Arial" w:cs="Arial"/>
          <w:b/>
        </w:rPr>
      </w:pPr>
      <w:r>
        <w:rPr>
          <w:rFonts w:ascii="Arial" w:hAnsi="Arial" w:cs="Arial"/>
          <w:b/>
          <w:color w:val="000000" w:themeColor="text1"/>
        </w:rPr>
        <w:t>REPORTE EN EL</w:t>
      </w:r>
      <w:r w:rsidRPr="00297944">
        <w:rPr>
          <w:rFonts w:ascii="Arial" w:hAnsi="Arial" w:cs="Arial"/>
          <w:b/>
          <w:color w:val="000000" w:themeColor="text1"/>
        </w:rPr>
        <w:t xml:space="preserve"> APLICATIVO</w:t>
      </w:r>
      <w:r w:rsidRPr="00297944">
        <w:rPr>
          <w:rFonts w:ascii="Arial" w:hAnsi="Arial" w:cs="Arial"/>
          <w:b/>
        </w:rPr>
        <w:t xml:space="preserve"> DE MEDICIÓN DE LA AUSTERIDAD EN EL GASTO PÚBLICO</w:t>
      </w:r>
    </w:p>
    <w:p w14:paraId="080CDD36" w14:textId="77777777" w:rsidR="00EC13AD" w:rsidRDefault="00EC13AD" w:rsidP="00825171">
      <w:pPr>
        <w:rPr>
          <w:rFonts w:ascii="Arial" w:hAnsi="Arial" w:cs="Arial"/>
          <w:sz w:val="22"/>
          <w:szCs w:val="22"/>
        </w:rPr>
      </w:pPr>
    </w:p>
    <w:p w14:paraId="677C5907" w14:textId="41A9788E" w:rsidR="00A70DA4" w:rsidRPr="00825171" w:rsidRDefault="00A70DA4" w:rsidP="00825171">
      <w:pPr>
        <w:jc w:val="both"/>
        <w:rPr>
          <w:rFonts w:ascii="Arial" w:hAnsi="Arial" w:cs="Arial"/>
        </w:rPr>
      </w:pPr>
      <w:r w:rsidRPr="00825171">
        <w:rPr>
          <w:rFonts w:ascii="Arial" w:hAnsi="Arial" w:cs="Arial"/>
          <w:sz w:val="22"/>
          <w:szCs w:val="22"/>
        </w:rPr>
        <w:t>Finalmente, es de mencionar que esta Oficina constató que el M</w:t>
      </w:r>
      <w:r w:rsidR="00825171">
        <w:rPr>
          <w:rFonts w:ascii="Arial" w:hAnsi="Arial" w:cs="Arial"/>
          <w:sz w:val="22"/>
          <w:szCs w:val="22"/>
        </w:rPr>
        <w:t xml:space="preserve">inisterio de Hacienda y crédito </w:t>
      </w:r>
      <w:r w:rsidRPr="00825171">
        <w:rPr>
          <w:rFonts w:ascii="Arial" w:hAnsi="Arial" w:cs="Arial"/>
          <w:sz w:val="22"/>
          <w:szCs w:val="22"/>
        </w:rPr>
        <w:t>Públi</w:t>
      </w:r>
      <w:r w:rsidR="00E32BD2" w:rsidRPr="00825171">
        <w:rPr>
          <w:rFonts w:ascii="Arial" w:hAnsi="Arial" w:cs="Arial"/>
          <w:sz w:val="22"/>
          <w:szCs w:val="22"/>
        </w:rPr>
        <w:t>co dio cumplimiento con el envío</w:t>
      </w:r>
      <w:r w:rsidRPr="00825171">
        <w:rPr>
          <w:rFonts w:ascii="Arial" w:hAnsi="Arial" w:cs="Arial"/>
          <w:sz w:val="22"/>
          <w:szCs w:val="22"/>
        </w:rPr>
        <w:t xml:space="preserve"> del Informe Seguim</w:t>
      </w:r>
      <w:r w:rsidR="005D0DB6" w:rsidRPr="00825171">
        <w:rPr>
          <w:rFonts w:ascii="Arial" w:hAnsi="Arial" w:cs="Arial"/>
          <w:sz w:val="22"/>
          <w:szCs w:val="22"/>
        </w:rPr>
        <w:t>iento al Plan de Austeridad</w:t>
      </w:r>
      <w:r w:rsidRPr="00825171">
        <w:rPr>
          <w:rFonts w:ascii="Arial" w:hAnsi="Arial" w:cs="Arial"/>
          <w:sz w:val="22"/>
          <w:szCs w:val="22"/>
        </w:rPr>
        <w:t xml:space="preserve">, según lo establecido en la Directiva Presidencial No 09 de 2018 correspondiente </w:t>
      </w:r>
      <w:r w:rsidR="00E32BD2" w:rsidRPr="00825171">
        <w:rPr>
          <w:rFonts w:ascii="Arial" w:hAnsi="Arial" w:cs="Arial"/>
          <w:sz w:val="22"/>
          <w:szCs w:val="22"/>
        </w:rPr>
        <w:t>Tercer Trimestre de 2019. El reporte d</w:t>
      </w:r>
      <w:r w:rsidRPr="00825171">
        <w:rPr>
          <w:rFonts w:ascii="Arial" w:hAnsi="Arial" w:cs="Arial"/>
          <w:sz w:val="22"/>
          <w:szCs w:val="22"/>
        </w:rPr>
        <w:t xml:space="preserve">e dicho informe estuvo a cargo de la </w:t>
      </w:r>
      <w:r w:rsidR="00934AE4" w:rsidRPr="00825171">
        <w:rPr>
          <w:rFonts w:ascii="Arial" w:hAnsi="Arial" w:cs="Arial"/>
          <w:sz w:val="22"/>
          <w:szCs w:val="22"/>
        </w:rPr>
        <w:t>Subdirección Financiera</w:t>
      </w:r>
      <w:r w:rsidR="004D512A" w:rsidRPr="00825171">
        <w:rPr>
          <w:rFonts w:ascii="Arial" w:hAnsi="Arial" w:cs="Arial"/>
          <w:sz w:val="22"/>
          <w:szCs w:val="22"/>
        </w:rPr>
        <w:t xml:space="preserve"> (Dirección Administrativa</w:t>
      </w:r>
      <w:r w:rsidR="00056E7C" w:rsidRPr="00825171">
        <w:rPr>
          <w:rFonts w:ascii="Arial" w:hAnsi="Arial" w:cs="Arial"/>
          <w:sz w:val="22"/>
          <w:szCs w:val="22"/>
        </w:rPr>
        <w:t>), el</w:t>
      </w:r>
      <w:r w:rsidRPr="00825171">
        <w:rPr>
          <w:rFonts w:ascii="Arial" w:hAnsi="Arial" w:cs="Arial"/>
          <w:sz w:val="22"/>
          <w:szCs w:val="22"/>
        </w:rPr>
        <w:t xml:space="preserve"> cual fue efectuado el </w:t>
      </w:r>
      <w:r w:rsidR="00934AE4" w:rsidRPr="00825171">
        <w:rPr>
          <w:rFonts w:ascii="Arial" w:hAnsi="Arial" w:cs="Arial"/>
          <w:sz w:val="22"/>
          <w:szCs w:val="22"/>
        </w:rPr>
        <w:t>31</w:t>
      </w:r>
      <w:r w:rsidRPr="00825171">
        <w:rPr>
          <w:rFonts w:ascii="Arial" w:hAnsi="Arial" w:cs="Arial"/>
          <w:sz w:val="22"/>
          <w:szCs w:val="22"/>
        </w:rPr>
        <w:t xml:space="preserve"> de </w:t>
      </w:r>
      <w:r w:rsidR="00934AE4" w:rsidRPr="00825171">
        <w:rPr>
          <w:rFonts w:ascii="Arial" w:hAnsi="Arial" w:cs="Arial"/>
          <w:sz w:val="22"/>
          <w:szCs w:val="22"/>
        </w:rPr>
        <w:t xml:space="preserve">octubre </w:t>
      </w:r>
      <w:r w:rsidRPr="00825171">
        <w:rPr>
          <w:rFonts w:ascii="Arial" w:hAnsi="Arial" w:cs="Arial"/>
          <w:sz w:val="22"/>
          <w:szCs w:val="22"/>
        </w:rPr>
        <w:t>de 2019</w:t>
      </w:r>
      <w:r w:rsidRPr="00825171">
        <w:rPr>
          <w:rFonts w:ascii="Arial" w:hAnsi="Arial" w:cs="Arial"/>
        </w:rPr>
        <w:t>.</w:t>
      </w:r>
    </w:p>
    <w:p w14:paraId="198B75BD" w14:textId="6F7BE040" w:rsidR="00A70DA4" w:rsidRDefault="00A70DA4" w:rsidP="00825171">
      <w:pPr>
        <w:pStyle w:val="Prrafodelista"/>
        <w:spacing w:after="120"/>
        <w:ind w:left="0"/>
        <w:contextualSpacing w:val="0"/>
        <w:rPr>
          <w:rFonts w:ascii="Arial" w:hAnsi="Arial" w:cs="Arial"/>
          <w:sz w:val="22"/>
          <w:szCs w:val="22"/>
          <w:highlight w:val="yellow"/>
        </w:rPr>
      </w:pPr>
    </w:p>
    <w:p w14:paraId="5032AC21" w14:textId="77777777" w:rsidR="001845F2" w:rsidRPr="006D0C2E" w:rsidRDefault="001845F2" w:rsidP="0045629B">
      <w:pPr>
        <w:pStyle w:val="Prrafodelista"/>
        <w:numPr>
          <w:ilvl w:val="0"/>
          <w:numId w:val="14"/>
        </w:numPr>
        <w:tabs>
          <w:tab w:val="left" w:pos="426"/>
        </w:tabs>
        <w:spacing w:before="100" w:beforeAutospacing="1" w:after="100" w:afterAutospacing="1"/>
        <w:ind w:left="284" w:hanging="284"/>
        <w:rPr>
          <w:rFonts w:ascii="Arial" w:hAnsi="Arial" w:cs="Arial"/>
          <w:b/>
        </w:rPr>
      </w:pPr>
      <w:r w:rsidRPr="006D0C2E">
        <w:rPr>
          <w:rFonts w:ascii="Arial" w:hAnsi="Arial" w:cs="Arial"/>
          <w:b/>
        </w:rPr>
        <w:t>CONCLUSIONES</w:t>
      </w:r>
    </w:p>
    <w:p w14:paraId="43024AAD" w14:textId="79366ACB" w:rsidR="003E7848" w:rsidRDefault="001044BD" w:rsidP="00806928">
      <w:pPr>
        <w:spacing w:before="100" w:beforeAutospacing="1" w:after="100" w:afterAutospacing="1"/>
        <w:jc w:val="both"/>
        <w:rPr>
          <w:rFonts w:ascii="Arial" w:hAnsi="Arial" w:cs="Arial"/>
          <w:sz w:val="22"/>
          <w:szCs w:val="22"/>
        </w:rPr>
      </w:pPr>
      <w:r w:rsidRPr="006D0C2E">
        <w:rPr>
          <w:rFonts w:ascii="Arial" w:hAnsi="Arial" w:cs="Arial"/>
          <w:sz w:val="22"/>
          <w:szCs w:val="22"/>
        </w:rPr>
        <w:t>A continuación, se presenta una sí</w:t>
      </w:r>
      <w:r w:rsidR="00A72014" w:rsidRPr="006D0C2E">
        <w:rPr>
          <w:rFonts w:ascii="Arial" w:hAnsi="Arial" w:cs="Arial"/>
          <w:sz w:val="22"/>
          <w:szCs w:val="22"/>
        </w:rPr>
        <w:t>ntesis por componente del gasto,</w:t>
      </w:r>
      <w:r w:rsidRPr="006D0C2E">
        <w:rPr>
          <w:rFonts w:ascii="Arial" w:hAnsi="Arial" w:cs="Arial"/>
          <w:sz w:val="22"/>
          <w:szCs w:val="22"/>
        </w:rPr>
        <w:t xml:space="preserve"> </w:t>
      </w:r>
      <w:r w:rsidR="00412C5B" w:rsidRPr="006D0C2E">
        <w:rPr>
          <w:rFonts w:ascii="Arial" w:hAnsi="Arial" w:cs="Arial"/>
          <w:sz w:val="22"/>
          <w:szCs w:val="22"/>
        </w:rPr>
        <w:t xml:space="preserve">el </w:t>
      </w:r>
      <w:r w:rsidRPr="006D0C2E">
        <w:rPr>
          <w:rFonts w:ascii="Arial" w:hAnsi="Arial" w:cs="Arial"/>
          <w:sz w:val="22"/>
          <w:szCs w:val="22"/>
        </w:rPr>
        <w:t xml:space="preserve">resultado del </w:t>
      </w:r>
      <w:r w:rsidR="00C869F0" w:rsidRPr="006D0C2E">
        <w:rPr>
          <w:rFonts w:ascii="Arial" w:hAnsi="Arial" w:cs="Arial"/>
          <w:sz w:val="22"/>
          <w:szCs w:val="22"/>
        </w:rPr>
        <w:t xml:space="preserve">análisis </w:t>
      </w:r>
      <w:r w:rsidRPr="006D0C2E">
        <w:rPr>
          <w:rFonts w:ascii="Arial" w:hAnsi="Arial" w:cs="Arial"/>
          <w:sz w:val="22"/>
          <w:szCs w:val="22"/>
        </w:rPr>
        <w:t>efectuado por la O</w:t>
      </w:r>
      <w:r w:rsidR="008226F9" w:rsidRPr="006D0C2E">
        <w:rPr>
          <w:rFonts w:ascii="Arial" w:hAnsi="Arial" w:cs="Arial"/>
          <w:sz w:val="22"/>
          <w:szCs w:val="22"/>
        </w:rPr>
        <w:t>ficina de Control Interno, en cumplimiento con</w:t>
      </w:r>
      <w:r w:rsidRPr="006D0C2E">
        <w:rPr>
          <w:rFonts w:ascii="Arial" w:hAnsi="Arial" w:cs="Arial"/>
          <w:sz w:val="22"/>
          <w:szCs w:val="22"/>
        </w:rPr>
        <w:t xml:space="preserve"> lo previsto en la normatividad relacionada con las Medidas de Austerid</w:t>
      </w:r>
      <w:r w:rsidR="00FE001D" w:rsidRPr="006D0C2E">
        <w:rPr>
          <w:rFonts w:ascii="Arial" w:hAnsi="Arial" w:cs="Arial"/>
          <w:sz w:val="22"/>
          <w:szCs w:val="22"/>
        </w:rPr>
        <w:t xml:space="preserve">ad del Gasto establecidos en la </w:t>
      </w:r>
      <w:r w:rsidRPr="006D0C2E">
        <w:rPr>
          <w:rFonts w:ascii="Arial" w:hAnsi="Arial" w:cs="Arial"/>
          <w:sz w:val="22"/>
          <w:szCs w:val="22"/>
        </w:rPr>
        <w:t>Ley 1</w:t>
      </w:r>
      <w:r w:rsidR="00FE001D" w:rsidRPr="006D0C2E">
        <w:rPr>
          <w:rFonts w:ascii="Arial" w:hAnsi="Arial" w:cs="Arial"/>
          <w:sz w:val="22"/>
          <w:szCs w:val="22"/>
        </w:rPr>
        <w:t xml:space="preserve">940 </w:t>
      </w:r>
      <w:r w:rsidRPr="006D0C2E">
        <w:rPr>
          <w:rFonts w:ascii="Arial" w:hAnsi="Arial" w:cs="Arial"/>
          <w:sz w:val="22"/>
          <w:szCs w:val="22"/>
        </w:rPr>
        <w:t>de 201</w:t>
      </w:r>
      <w:r w:rsidR="00FE001D" w:rsidRPr="006D0C2E">
        <w:rPr>
          <w:rFonts w:ascii="Arial" w:hAnsi="Arial" w:cs="Arial"/>
          <w:sz w:val="22"/>
          <w:szCs w:val="22"/>
        </w:rPr>
        <w:t>8 y la Directiva Presidencial 09 de 2018</w:t>
      </w:r>
      <w:r w:rsidRPr="006D0C2E">
        <w:rPr>
          <w:rFonts w:ascii="Arial" w:hAnsi="Arial" w:cs="Arial"/>
          <w:sz w:val="22"/>
          <w:szCs w:val="22"/>
        </w:rPr>
        <w:t xml:space="preserve"> para el </w:t>
      </w:r>
      <w:r w:rsidR="006D0C2E">
        <w:rPr>
          <w:rFonts w:ascii="Arial" w:hAnsi="Arial" w:cs="Arial"/>
          <w:sz w:val="22"/>
          <w:szCs w:val="22"/>
        </w:rPr>
        <w:t xml:space="preserve">tercer </w:t>
      </w:r>
      <w:r w:rsidR="00C41245" w:rsidRPr="006D0C2E">
        <w:rPr>
          <w:rFonts w:ascii="Arial" w:hAnsi="Arial" w:cs="Arial"/>
          <w:sz w:val="22"/>
          <w:szCs w:val="22"/>
        </w:rPr>
        <w:t>trimestre</w:t>
      </w:r>
      <w:r w:rsidRPr="006D0C2E">
        <w:rPr>
          <w:rFonts w:ascii="Arial" w:hAnsi="Arial" w:cs="Arial"/>
          <w:sz w:val="22"/>
          <w:szCs w:val="22"/>
        </w:rPr>
        <w:t xml:space="preserve"> de 201</w:t>
      </w:r>
      <w:r w:rsidR="00FE001D" w:rsidRPr="006D0C2E">
        <w:rPr>
          <w:rFonts w:ascii="Arial" w:hAnsi="Arial" w:cs="Arial"/>
          <w:sz w:val="22"/>
          <w:szCs w:val="22"/>
        </w:rPr>
        <w:t>9</w:t>
      </w:r>
      <w:r w:rsidRPr="006D0C2E">
        <w:rPr>
          <w:rFonts w:ascii="Arial" w:hAnsi="Arial" w:cs="Arial"/>
          <w:sz w:val="22"/>
          <w:szCs w:val="22"/>
        </w:rPr>
        <w:t xml:space="preserve"> en comparació</w:t>
      </w:r>
      <w:r w:rsidR="00C869F0" w:rsidRPr="006D0C2E">
        <w:rPr>
          <w:rFonts w:ascii="Arial" w:hAnsi="Arial" w:cs="Arial"/>
          <w:sz w:val="22"/>
          <w:szCs w:val="22"/>
        </w:rPr>
        <w:t>n con igual periodo del año 201</w:t>
      </w:r>
      <w:r w:rsidR="00FE001D" w:rsidRPr="006D0C2E">
        <w:rPr>
          <w:rFonts w:ascii="Arial" w:hAnsi="Arial" w:cs="Arial"/>
          <w:sz w:val="22"/>
          <w:szCs w:val="22"/>
        </w:rPr>
        <w:t>8</w:t>
      </w:r>
      <w:r w:rsidR="00C869F0" w:rsidRPr="006D0C2E">
        <w:rPr>
          <w:rFonts w:ascii="Arial" w:hAnsi="Arial" w:cs="Arial"/>
          <w:sz w:val="22"/>
          <w:szCs w:val="22"/>
        </w:rPr>
        <w:t>:</w:t>
      </w:r>
    </w:p>
    <w:p w14:paraId="48B0B4D9" w14:textId="37ABEB40" w:rsidR="00A70DA4" w:rsidRPr="006D0C2E" w:rsidRDefault="00A70DA4" w:rsidP="00806928">
      <w:pPr>
        <w:spacing w:before="100" w:beforeAutospacing="1" w:after="100" w:afterAutospacing="1"/>
        <w:jc w:val="both"/>
        <w:rPr>
          <w:rFonts w:ascii="Arial" w:hAnsi="Arial" w:cs="Arial"/>
          <w:sz w:val="22"/>
          <w:szCs w:val="22"/>
        </w:rPr>
      </w:pPr>
      <w:r w:rsidRPr="006D0C2E">
        <w:rPr>
          <w:noProof/>
          <w:color w:val="000000" w:themeColor="text1"/>
        </w:rPr>
        <mc:AlternateContent>
          <mc:Choice Requires="wps">
            <w:drawing>
              <wp:anchor distT="0" distB="0" distL="114300" distR="114300" simplePos="0" relativeHeight="251856896" behindDoc="0" locked="0" layoutInCell="1" allowOverlap="1" wp14:anchorId="4D418A25" wp14:editId="4AD91E69">
                <wp:simplePos x="0" y="0"/>
                <wp:positionH relativeFrom="margin">
                  <wp:align>left</wp:align>
                </wp:positionH>
                <wp:positionV relativeFrom="paragraph">
                  <wp:posOffset>262555</wp:posOffset>
                </wp:positionV>
                <wp:extent cx="285750" cy="161925"/>
                <wp:effectExtent l="0" t="0" r="19050" b="28575"/>
                <wp:wrapNone/>
                <wp:docPr id="92" name="Triángulo isósceles 92"/>
                <wp:cNvGraphicFramePr/>
                <a:graphic xmlns:a="http://schemas.openxmlformats.org/drawingml/2006/main">
                  <a:graphicData uri="http://schemas.microsoft.com/office/word/2010/wordprocessingShape">
                    <wps:wsp>
                      <wps:cNvSpPr/>
                      <wps:spPr>
                        <a:xfrm>
                          <a:off x="0" y="0"/>
                          <a:ext cx="285750" cy="161925"/>
                        </a:xfrm>
                        <a:prstGeom prst="triangle">
                          <a:avLst/>
                        </a:prstGeo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892F2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92" o:spid="_x0000_s1026" type="#_x0000_t5" style="position:absolute;margin-left:0;margin-top:20.65pt;width:22.5pt;height:12.75pt;z-index:251856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" fillcolor="#4f81bd [3204]" strokecolor="#243f60 [1604]" strokeweight="2pt">
                <w10:wrap anchorx="margin"/>
              </v:shape>
            </w:pict>
          </mc:Fallback>
        </mc:AlternateContent>
      </w:r>
    </w:p>
    <w:p w14:paraId="49F79CC6" w14:textId="77777777" w:rsidR="004B17C0" w:rsidRPr="006D0C2E" w:rsidRDefault="004B17C0" w:rsidP="004B17C0">
      <w:pPr>
        <w:spacing w:before="100" w:beforeAutospacing="1" w:after="100" w:afterAutospacing="1"/>
        <w:rPr>
          <w:rFonts w:ascii="Arial" w:hAnsi="Arial" w:cs="Arial"/>
          <w:sz w:val="22"/>
          <w:szCs w:val="22"/>
        </w:rPr>
      </w:pPr>
      <w:r w:rsidRPr="006D0C2E">
        <w:rPr>
          <w:rFonts w:ascii="Arial" w:hAnsi="Arial" w:cs="Arial"/>
          <w:sz w:val="22"/>
          <w:szCs w:val="22"/>
        </w:rPr>
        <w:t xml:space="preserve">       </w:t>
      </w:r>
      <w:r w:rsidRPr="006D0C2E">
        <w:rPr>
          <w:rFonts w:ascii="Arial" w:hAnsi="Arial" w:cs="Arial"/>
          <w:sz w:val="22"/>
          <w:szCs w:val="22"/>
        </w:rPr>
        <w:tab/>
      </w:r>
      <w:r w:rsidRPr="006D0C2E">
        <w:rPr>
          <w:rFonts w:ascii="Arial" w:hAnsi="Arial" w:cs="Arial"/>
          <w:sz w:val="20"/>
          <w:szCs w:val="20"/>
        </w:rPr>
        <w:t xml:space="preserve">Aumentó </w:t>
      </w:r>
    </w:p>
    <w:p w14:paraId="3B462E2C" w14:textId="77777777" w:rsidR="00FA0E9D" w:rsidRPr="006D0C2E" w:rsidRDefault="004B17C0" w:rsidP="004B17C0">
      <w:pPr>
        <w:rPr>
          <w:rFonts w:ascii="Arial" w:hAnsi="Arial" w:cs="Arial"/>
          <w:sz w:val="20"/>
          <w:szCs w:val="20"/>
        </w:rPr>
      </w:pPr>
      <w:r w:rsidRPr="006D0C2E">
        <w:rPr>
          <w:noProof/>
          <w:color w:val="000000" w:themeColor="text1"/>
        </w:rPr>
        <mc:AlternateContent>
          <mc:Choice Requires="wps">
            <w:drawing>
              <wp:anchor distT="0" distB="0" distL="114300" distR="114300" simplePos="0" relativeHeight="251857920" behindDoc="0" locked="0" layoutInCell="1" allowOverlap="1" wp14:anchorId="2FFE6598" wp14:editId="4D8C3A4E">
                <wp:simplePos x="0" y="0"/>
                <wp:positionH relativeFrom="margin">
                  <wp:align>left</wp:align>
                </wp:positionH>
                <wp:positionV relativeFrom="paragraph">
                  <wp:posOffset>19684</wp:posOffset>
                </wp:positionV>
                <wp:extent cx="285750" cy="142875"/>
                <wp:effectExtent l="0" t="0" r="19050" b="28575"/>
                <wp:wrapNone/>
                <wp:docPr id="96" name="Triángulo isósceles 96"/>
                <wp:cNvGraphicFramePr/>
                <a:graphic xmlns:a="http://schemas.openxmlformats.org/drawingml/2006/main">
                  <a:graphicData uri="http://schemas.microsoft.com/office/word/2010/wordprocessingShape">
                    <wps:wsp>
                      <wps:cNvSpPr/>
                      <wps:spPr>
                        <a:xfrm rot="10800000">
                          <a:off x="0" y="0"/>
                          <a:ext cx="285750" cy="142875"/>
                        </a:xfrm>
                        <a:prstGeom prst="triangle">
                          <a:avLst/>
                        </a:prstGeo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252FC6CB" id="Triángulo isósceles 96" o:spid="_x0000_s1026" type="#_x0000_t5" style="position:absolute;margin-left:0;margin-top:1.55pt;width:22.5pt;height:11.25pt;rotation:180;z-index:251857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" fillcolor="#4f81bd [3204]" strokecolor="#243f60 [1604]" strokeweight="2pt">
                <w10:wrap anchorx="margin"/>
              </v:shape>
            </w:pict>
          </mc:Fallback>
        </mc:AlternateContent>
      </w:r>
      <w:r w:rsidRPr="006D0C2E">
        <w:t xml:space="preserve">            </w:t>
      </w:r>
      <w:r w:rsidRPr="006D0C2E">
        <w:rPr>
          <w:rFonts w:ascii="Arial" w:hAnsi="Arial" w:cs="Arial"/>
          <w:sz w:val="20"/>
          <w:szCs w:val="20"/>
        </w:rPr>
        <w:t xml:space="preserve">Disminuyó </w:t>
      </w:r>
    </w:p>
    <w:p w14:paraId="0E662A73" w14:textId="20047585" w:rsidR="00630089" w:rsidRDefault="00630089">
      <w:pPr>
        <w:spacing w:after="200" w:line="276" w:lineRule="auto"/>
        <w:rPr>
          <w:rFonts w:ascii="Arial" w:hAnsi="Arial" w:cs="Arial"/>
          <w:sz w:val="20"/>
          <w:szCs w:val="20"/>
        </w:rPr>
      </w:pPr>
    </w:p>
    <w:p w14:paraId="787E12B6" w14:textId="75A42407" w:rsidR="00D750D0" w:rsidRDefault="0070513A" w:rsidP="0045629B">
      <w:pPr>
        <w:pStyle w:val="Prrafodelista"/>
        <w:numPr>
          <w:ilvl w:val="0"/>
          <w:numId w:val="11"/>
        </w:numPr>
        <w:rPr>
          <w:rFonts w:ascii="Arial" w:hAnsi="Arial" w:cs="Arial"/>
          <w:b/>
          <w:sz w:val="22"/>
          <w:szCs w:val="22"/>
        </w:rPr>
      </w:pPr>
      <w:r w:rsidRPr="006D0C2E">
        <w:rPr>
          <w:rFonts w:ascii="Arial" w:hAnsi="Arial" w:cs="Arial"/>
          <w:b/>
          <w:sz w:val="22"/>
          <w:szCs w:val="22"/>
        </w:rPr>
        <w:lastRenderedPageBreak/>
        <w:t>MODIFICACIÓN DE LAS PLANTAS DE PERSONAL, ESTRUCTURAS ADMINISTRATIVAS Y GASTOS DE PERSONAL</w:t>
      </w:r>
    </w:p>
    <w:p w14:paraId="52F7B279" w14:textId="5288649F" w:rsidR="00783500" w:rsidRDefault="00783500" w:rsidP="00783500">
      <w:pPr>
        <w:rPr>
          <w:rFonts w:ascii="Arial" w:hAnsi="Arial" w:cs="Arial"/>
          <w:b/>
          <w:sz w:val="22"/>
          <w:szCs w:val="22"/>
        </w:rPr>
      </w:pPr>
    </w:p>
    <w:tbl>
      <w:tblPr>
        <w:tblW w:w="9771" w:type="dxa"/>
        <w:tblCellMar>
          <w:left w:w="70" w:type="dxa"/>
          <w:right w:w="70" w:type="dxa"/>
        </w:tblCellMar>
        <w:tblLook w:val="04A0" w:firstRow="1" w:lastRow="0" w:firstColumn="1" w:lastColumn="0" w:noHBand="0" w:noVBand="1"/>
      </w:tblPr>
      <w:tblGrid>
        <w:gridCol w:w="780"/>
        <w:gridCol w:w="1100"/>
        <w:gridCol w:w="2060"/>
        <w:gridCol w:w="1460"/>
        <w:gridCol w:w="1660"/>
        <w:gridCol w:w="1600"/>
        <w:gridCol w:w="1111"/>
      </w:tblGrid>
      <w:tr w:rsidR="00783500" w:rsidRPr="00783500" w14:paraId="58A78B66" w14:textId="77777777" w:rsidTr="00F52177">
        <w:trPr>
          <w:trHeight w:val="750"/>
          <w:tblHeader/>
        </w:trPr>
        <w:tc>
          <w:tcPr>
            <w:tcW w:w="780" w:type="dxa"/>
            <w:tcBorders>
              <w:top w:val="single" w:sz="8" w:space="0" w:color="FFFFFF"/>
              <w:left w:val="single" w:sz="8" w:space="0" w:color="FFFFFF"/>
              <w:bottom w:val="single" w:sz="8" w:space="0" w:color="FFFFFF"/>
              <w:right w:val="nil"/>
            </w:tcBorders>
            <w:shd w:val="clear" w:color="000000" w:fill="4F81BD"/>
            <w:vAlign w:val="center"/>
            <w:hideMark/>
          </w:tcPr>
          <w:p w14:paraId="2E2EC38D" w14:textId="77777777" w:rsidR="00783500" w:rsidRPr="00783500" w:rsidRDefault="00783500" w:rsidP="00783500">
            <w:pPr>
              <w:jc w:val="center"/>
              <w:rPr>
                <w:rFonts w:ascii="Arial" w:hAnsi="Arial" w:cs="Arial"/>
                <w:b/>
                <w:bCs/>
                <w:color w:val="FFFFFF"/>
                <w:sz w:val="20"/>
                <w:szCs w:val="20"/>
              </w:rPr>
            </w:pPr>
            <w:r w:rsidRPr="00783500">
              <w:rPr>
                <w:rFonts w:ascii="Arial" w:hAnsi="Arial" w:cs="Arial"/>
                <w:b/>
                <w:bCs/>
                <w:color w:val="FFFFFF"/>
                <w:sz w:val="20"/>
                <w:szCs w:val="20"/>
              </w:rPr>
              <w:t>Ítem</w:t>
            </w:r>
          </w:p>
        </w:tc>
        <w:tc>
          <w:tcPr>
            <w:tcW w:w="1100" w:type="dxa"/>
            <w:tcBorders>
              <w:top w:val="single" w:sz="8" w:space="0" w:color="FFFFFF"/>
              <w:left w:val="nil"/>
              <w:bottom w:val="single" w:sz="8" w:space="0" w:color="FFFFFF"/>
              <w:right w:val="nil"/>
            </w:tcBorders>
            <w:shd w:val="clear" w:color="000000" w:fill="4F81BD"/>
            <w:vAlign w:val="center"/>
            <w:hideMark/>
          </w:tcPr>
          <w:p w14:paraId="5310B2D1" w14:textId="5C7AB4B9" w:rsidR="00783500" w:rsidRPr="00783500" w:rsidRDefault="00783500" w:rsidP="00783500">
            <w:pPr>
              <w:jc w:val="center"/>
              <w:rPr>
                <w:rFonts w:ascii="Arial" w:hAnsi="Arial" w:cs="Arial"/>
                <w:b/>
                <w:bCs/>
                <w:color w:val="FFFFFF"/>
                <w:sz w:val="20"/>
                <w:szCs w:val="20"/>
              </w:rPr>
            </w:pPr>
            <w:r w:rsidRPr="00783500">
              <w:rPr>
                <w:rFonts w:ascii="Arial" w:hAnsi="Arial" w:cs="Arial"/>
                <w:b/>
                <w:bCs/>
                <w:color w:val="FFFFFF"/>
                <w:sz w:val="20"/>
                <w:szCs w:val="20"/>
              </w:rPr>
              <w:t>Numeral Informe</w:t>
            </w:r>
          </w:p>
        </w:tc>
        <w:tc>
          <w:tcPr>
            <w:tcW w:w="2060" w:type="dxa"/>
            <w:tcBorders>
              <w:top w:val="single" w:sz="8" w:space="0" w:color="FFFFFF"/>
              <w:left w:val="nil"/>
              <w:bottom w:val="single" w:sz="8" w:space="0" w:color="FFFFFF"/>
              <w:right w:val="nil"/>
            </w:tcBorders>
            <w:shd w:val="clear" w:color="000000" w:fill="4F81BD"/>
            <w:vAlign w:val="center"/>
            <w:hideMark/>
          </w:tcPr>
          <w:p w14:paraId="42A8D76A" w14:textId="77777777" w:rsidR="00783500" w:rsidRPr="00783500" w:rsidRDefault="00783500" w:rsidP="00783500">
            <w:pPr>
              <w:jc w:val="center"/>
              <w:rPr>
                <w:rFonts w:ascii="Arial" w:hAnsi="Arial" w:cs="Arial"/>
                <w:b/>
                <w:bCs/>
                <w:color w:val="FFFFFF"/>
                <w:sz w:val="20"/>
                <w:szCs w:val="20"/>
              </w:rPr>
            </w:pPr>
            <w:r w:rsidRPr="00783500">
              <w:rPr>
                <w:rFonts w:ascii="Arial" w:hAnsi="Arial" w:cs="Arial"/>
                <w:b/>
                <w:bCs/>
                <w:color w:val="FFFFFF"/>
                <w:sz w:val="20"/>
                <w:szCs w:val="20"/>
              </w:rPr>
              <w:t>Concepto</w:t>
            </w:r>
          </w:p>
        </w:tc>
        <w:tc>
          <w:tcPr>
            <w:tcW w:w="1460" w:type="dxa"/>
            <w:tcBorders>
              <w:top w:val="single" w:sz="8" w:space="0" w:color="FFFFFF"/>
              <w:left w:val="nil"/>
              <w:bottom w:val="single" w:sz="8" w:space="0" w:color="FFFFFF"/>
              <w:right w:val="nil"/>
            </w:tcBorders>
            <w:shd w:val="clear" w:color="000000" w:fill="4F81BD"/>
            <w:vAlign w:val="center"/>
            <w:hideMark/>
          </w:tcPr>
          <w:p w14:paraId="625CCF07" w14:textId="77777777" w:rsidR="00783500" w:rsidRPr="00783500" w:rsidRDefault="00783500" w:rsidP="00783500">
            <w:pPr>
              <w:jc w:val="center"/>
              <w:rPr>
                <w:rFonts w:ascii="Arial" w:hAnsi="Arial" w:cs="Arial"/>
                <w:b/>
                <w:bCs/>
                <w:color w:val="FFFFFF"/>
                <w:sz w:val="20"/>
                <w:szCs w:val="20"/>
              </w:rPr>
            </w:pPr>
            <w:r w:rsidRPr="00783500">
              <w:rPr>
                <w:rFonts w:ascii="Arial" w:hAnsi="Arial" w:cs="Arial"/>
                <w:b/>
                <w:bCs/>
                <w:color w:val="FFFFFF"/>
                <w:sz w:val="20"/>
                <w:szCs w:val="20"/>
              </w:rPr>
              <w:t xml:space="preserve">Periodo Comparado </w:t>
            </w:r>
          </w:p>
        </w:tc>
        <w:tc>
          <w:tcPr>
            <w:tcW w:w="1660" w:type="dxa"/>
            <w:tcBorders>
              <w:top w:val="single" w:sz="8" w:space="0" w:color="FFFFFF"/>
              <w:left w:val="nil"/>
              <w:bottom w:val="single" w:sz="8" w:space="0" w:color="FFFFFF"/>
              <w:right w:val="nil"/>
            </w:tcBorders>
            <w:shd w:val="clear" w:color="000000" w:fill="4F81BD"/>
            <w:vAlign w:val="center"/>
            <w:hideMark/>
          </w:tcPr>
          <w:p w14:paraId="1D7F315D" w14:textId="77777777" w:rsidR="00783500" w:rsidRPr="00783500" w:rsidRDefault="00783500" w:rsidP="00783500">
            <w:pPr>
              <w:jc w:val="center"/>
              <w:rPr>
                <w:rFonts w:ascii="Arial" w:hAnsi="Arial" w:cs="Arial"/>
                <w:b/>
                <w:bCs/>
                <w:color w:val="FFFFFF"/>
                <w:sz w:val="20"/>
                <w:szCs w:val="20"/>
              </w:rPr>
            </w:pPr>
            <w:r w:rsidRPr="00783500">
              <w:rPr>
                <w:rFonts w:ascii="Arial" w:hAnsi="Arial" w:cs="Arial"/>
                <w:b/>
                <w:bCs/>
                <w:color w:val="FFFFFF"/>
                <w:sz w:val="20"/>
                <w:szCs w:val="20"/>
              </w:rPr>
              <w:t xml:space="preserve">Variación </w:t>
            </w:r>
          </w:p>
        </w:tc>
        <w:tc>
          <w:tcPr>
            <w:tcW w:w="1600" w:type="dxa"/>
            <w:tcBorders>
              <w:top w:val="single" w:sz="8" w:space="0" w:color="FFFFFF"/>
              <w:left w:val="nil"/>
              <w:bottom w:val="single" w:sz="8" w:space="0" w:color="FFFFFF"/>
              <w:right w:val="nil"/>
            </w:tcBorders>
            <w:shd w:val="clear" w:color="000000" w:fill="4F81BD"/>
            <w:vAlign w:val="center"/>
            <w:hideMark/>
          </w:tcPr>
          <w:p w14:paraId="33956CE4" w14:textId="77777777" w:rsidR="00783500" w:rsidRPr="00783500" w:rsidRDefault="00783500" w:rsidP="00783500">
            <w:pPr>
              <w:jc w:val="center"/>
              <w:rPr>
                <w:rFonts w:ascii="Arial" w:hAnsi="Arial" w:cs="Arial"/>
                <w:b/>
                <w:bCs/>
                <w:color w:val="FFFFFF"/>
                <w:sz w:val="20"/>
                <w:szCs w:val="20"/>
              </w:rPr>
            </w:pPr>
            <w:r w:rsidRPr="00783500">
              <w:rPr>
                <w:rFonts w:ascii="Arial" w:hAnsi="Arial" w:cs="Arial"/>
                <w:b/>
                <w:bCs/>
                <w:color w:val="FFFFFF"/>
                <w:sz w:val="20"/>
                <w:szCs w:val="20"/>
              </w:rPr>
              <w:t>Valor / Cantidad</w:t>
            </w:r>
          </w:p>
        </w:tc>
        <w:tc>
          <w:tcPr>
            <w:tcW w:w="1111" w:type="dxa"/>
            <w:tcBorders>
              <w:top w:val="single" w:sz="8" w:space="0" w:color="FFFFFF"/>
              <w:left w:val="nil"/>
              <w:bottom w:val="single" w:sz="8" w:space="0" w:color="FFFFFF"/>
              <w:right w:val="single" w:sz="8" w:space="0" w:color="FFFFFF"/>
            </w:tcBorders>
            <w:shd w:val="clear" w:color="000000" w:fill="4F81BD"/>
            <w:vAlign w:val="center"/>
            <w:hideMark/>
          </w:tcPr>
          <w:p w14:paraId="067F31D6" w14:textId="77777777" w:rsidR="00783500" w:rsidRPr="00783500" w:rsidRDefault="00783500" w:rsidP="00783500">
            <w:pPr>
              <w:jc w:val="center"/>
              <w:rPr>
                <w:rFonts w:ascii="Arial" w:hAnsi="Arial" w:cs="Arial"/>
                <w:b/>
                <w:bCs/>
                <w:color w:val="FFFFFF"/>
                <w:sz w:val="20"/>
                <w:szCs w:val="20"/>
              </w:rPr>
            </w:pPr>
            <w:r w:rsidRPr="00783500">
              <w:rPr>
                <w:rFonts w:ascii="Arial" w:hAnsi="Arial" w:cs="Arial"/>
                <w:b/>
                <w:bCs/>
                <w:color w:val="FFFFFF"/>
                <w:sz w:val="20"/>
                <w:szCs w:val="20"/>
              </w:rPr>
              <w:t>%</w:t>
            </w:r>
          </w:p>
        </w:tc>
      </w:tr>
      <w:tr w:rsidR="00783500" w:rsidRPr="00783500" w14:paraId="073F4A0B" w14:textId="77777777" w:rsidTr="000972A2">
        <w:trPr>
          <w:trHeight w:val="735"/>
        </w:trPr>
        <w:tc>
          <w:tcPr>
            <w:tcW w:w="780" w:type="dxa"/>
            <w:vMerge w:val="restart"/>
            <w:tcBorders>
              <w:top w:val="nil"/>
              <w:left w:val="single" w:sz="8" w:space="0" w:color="FFFFFF"/>
              <w:bottom w:val="single" w:sz="8" w:space="0" w:color="FFFFFF"/>
              <w:right w:val="single" w:sz="8" w:space="0" w:color="FFFFFF"/>
            </w:tcBorders>
            <w:shd w:val="clear" w:color="000000" w:fill="4F81BD"/>
            <w:textDirection w:val="btLr"/>
            <w:vAlign w:val="center"/>
            <w:hideMark/>
          </w:tcPr>
          <w:p w14:paraId="2E9BABC9" w14:textId="77777777" w:rsidR="00783500" w:rsidRPr="00783500" w:rsidRDefault="00783500" w:rsidP="00783500">
            <w:pPr>
              <w:jc w:val="center"/>
              <w:rPr>
                <w:rFonts w:ascii="Arial" w:hAnsi="Arial" w:cs="Arial"/>
                <w:b/>
                <w:bCs/>
                <w:color w:val="FFFFFF"/>
                <w:sz w:val="20"/>
                <w:szCs w:val="20"/>
              </w:rPr>
            </w:pPr>
            <w:r w:rsidRPr="00783500">
              <w:rPr>
                <w:rFonts w:ascii="Arial" w:hAnsi="Arial" w:cs="Arial"/>
                <w:b/>
                <w:bCs/>
                <w:color w:val="FFFFFF"/>
                <w:sz w:val="20"/>
                <w:szCs w:val="20"/>
              </w:rPr>
              <w:t xml:space="preserve">Planta de Personal </w:t>
            </w:r>
          </w:p>
        </w:tc>
        <w:tc>
          <w:tcPr>
            <w:tcW w:w="1100" w:type="dxa"/>
            <w:vMerge w:val="restart"/>
            <w:tcBorders>
              <w:top w:val="nil"/>
              <w:left w:val="single" w:sz="8" w:space="0" w:color="FFFFFF"/>
              <w:bottom w:val="single" w:sz="8" w:space="0" w:color="FFFFFF"/>
              <w:right w:val="single" w:sz="8" w:space="0" w:color="FFFFFF"/>
            </w:tcBorders>
            <w:shd w:val="clear" w:color="000000" w:fill="B8CCE4"/>
            <w:vAlign w:val="center"/>
            <w:hideMark/>
          </w:tcPr>
          <w:p w14:paraId="251A0ECB" w14:textId="77777777" w:rsidR="00783500" w:rsidRPr="00783500" w:rsidRDefault="00783500" w:rsidP="00783500">
            <w:pPr>
              <w:jc w:val="center"/>
              <w:rPr>
                <w:rFonts w:ascii="Arial" w:hAnsi="Arial" w:cs="Arial"/>
                <w:b/>
                <w:bCs/>
                <w:color w:val="0F243E"/>
                <w:sz w:val="20"/>
                <w:szCs w:val="20"/>
              </w:rPr>
            </w:pPr>
            <w:r w:rsidRPr="00783500">
              <w:rPr>
                <w:rFonts w:ascii="Arial" w:hAnsi="Arial" w:cs="Arial"/>
                <w:b/>
                <w:bCs/>
                <w:color w:val="0F243E"/>
                <w:sz w:val="20"/>
                <w:szCs w:val="20"/>
              </w:rPr>
              <w:t>2.1</w:t>
            </w:r>
          </w:p>
        </w:tc>
        <w:tc>
          <w:tcPr>
            <w:tcW w:w="2060" w:type="dxa"/>
            <w:tcBorders>
              <w:top w:val="nil"/>
              <w:left w:val="nil"/>
              <w:bottom w:val="single" w:sz="8" w:space="0" w:color="FFFFFF"/>
              <w:right w:val="single" w:sz="8" w:space="0" w:color="FFFFFF"/>
            </w:tcBorders>
            <w:shd w:val="clear" w:color="000000" w:fill="B8CCE4"/>
            <w:vAlign w:val="center"/>
            <w:hideMark/>
          </w:tcPr>
          <w:p w14:paraId="73B6543D" w14:textId="77777777" w:rsidR="00783500" w:rsidRPr="00783500" w:rsidRDefault="00783500" w:rsidP="00783500">
            <w:pPr>
              <w:rPr>
                <w:rFonts w:ascii="Arial" w:hAnsi="Arial" w:cs="Arial"/>
                <w:color w:val="0F243E"/>
                <w:sz w:val="20"/>
                <w:szCs w:val="20"/>
              </w:rPr>
            </w:pPr>
            <w:r w:rsidRPr="00783500">
              <w:rPr>
                <w:rFonts w:ascii="Arial" w:hAnsi="Arial" w:cs="Arial"/>
                <w:color w:val="0F243E"/>
                <w:sz w:val="20"/>
                <w:szCs w:val="20"/>
              </w:rPr>
              <w:t>Valor del Gasto</w:t>
            </w:r>
          </w:p>
        </w:tc>
        <w:tc>
          <w:tcPr>
            <w:tcW w:w="1460" w:type="dxa"/>
            <w:tcBorders>
              <w:top w:val="nil"/>
              <w:left w:val="nil"/>
              <w:bottom w:val="single" w:sz="8" w:space="0" w:color="FFFFFF"/>
              <w:right w:val="single" w:sz="8" w:space="0" w:color="FFFFFF"/>
            </w:tcBorders>
            <w:shd w:val="clear" w:color="000000" w:fill="B8CCE4"/>
            <w:vAlign w:val="center"/>
            <w:hideMark/>
          </w:tcPr>
          <w:p w14:paraId="34CAA7D7" w14:textId="77777777" w:rsidR="00783500" w:rsidRPr="00783500" w:rsidRDefault="00783500" w:rsidP="00783500">
            <w:pPr>
              <w:jc w:val="center"/>
              <w:rPr>
                <w:rFonts w:ascii="Arial" w:hAnsi="Arial" w:cs="Arial"/>
                <w:color w:val="0F243E"/>
                <w:sz w:val="20"/>
                <w:szCs w:val="20"/>
              </w:rPr>
            </w:pPr>
            <w:r w:rsidRPr="00783500">
              <w:rPr>
                <w:rFonts w:ascii="Arial" w:hAnsi="Arial" w:cs="Arial"/>
                <w:color w:val="0F243E"/>
                <w:sz w:val="20"/>
                <w:szCs w:val="20"/>
              </w:rPr>
              <w:t>III Trimestre 2019-2018</w:t>
            </w:r>
          </w:p>
        </w:tc>
        <w:tc>
          <w:tcPr>
            <w:tcW w:w="1660" w:type="dxa"/>
            <w:tcBorders>
              <w:top w:val="nil"/>
              <w:left w:val="nil"/>
              <w:bottom w:val="single" w:sz="8" w:space="0" w:color="FFFFFF"/>
              <w:right w:val="single" w:sz="8" w:space="0" w:color="FFFFFF"/>
            </w:tcBorders>
            <w:shd w:val="clear" w:color="000000" w:fill="B8CCE4"/>
            <w:vAlign w:val="center"/>
            <w:hideMark/>
          </w:tcPr>
          <w:p w14:paraId="5D95AA5C" w14:textId="46068FEA" w:rsidR="00783500" w:rsidRPr="00783500" w:rsidRDefault="00783500" w:rsidP="00783500">
            <w:pPr>
              <w:rPr>
                <w:rFonts w:ascii="Arial" w:hAnsi="Arial" w:cs="Arial"/>
                <w:color w:val="0F243E"/>
                <w:sz w:val="20"/>
                <w:szCs w:val="20"/>
              </w:rPr>
            </w:pPr>
            <w:r w:rsidRPr="00783500">
              <w:rPr>
                <w:rFonts w:ascii="Arial" w:hAnsi="Arial" w:cs="Arial"/>
                <w:noProof/>
                <w:color w:val="0F243E"/>
                <w:sz w:val="20"/>
                <w:szCs w:val="20"/>
              </w:rPr>
              <mc:AlternateContent>
                <mc:Choice Requires="wps">
                  <w:drawing>
                    <wp:anchor distT="0" distB="0" distL="114300" distR="114300" simplePos="0" relativeHeight="251980800" behindDoc="0" locked="0" layoutInCell="1" allowOverlap="1" wp14:anchorId="69A0B4C6" wp14:editId="542D0D46">
                      <wp:simplePos x="0" y="0"/>
                      <wp:positionH relativeFrom="column">
                        <wp:posOffset>320675</wp:posOffset>
                      </wp:positionH>
                      <wp:positionV relativeFrom="paragraph">
                        <wp:posOffset>36195</wp:posOffset>
                      </wp:positionV>
                      <wp:extent cx="342900" cy="209550"/>
                      <wp:effectExtent l="0" t="0" r="19050" b="19050"/>
                      <wp:wrapNone/>
                      <wp:docPr id="41" name="Triángulo isósceles 41"/>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50AF907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41" o:spid="_x0000_s1026" type="#_x0000_t5" style="position:absolute;margin-left:25.25pt;margin-top:2.85pt;width:27pt;height:16.5pt;rotation:180;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" filled="f" strokecolor="#376092" strokeweight="2pt"/>
                  </w:pict>
                </mc:Fallback>
              </mc:AlternateContent>
            </w:r>
          </w:p>
        </w:tc>
        <w:tc>
          <w:tcPr>
            <w:tcW w:w="1600" w:type="dxa"/>
            <w:tcBorders>
              <w:top w:val="nil"/>
              <w:left w:val="nil"/>
              <w:bottom w:val="single" w:sz="8" w:space="0" w:color="FFFFFF"/>
              <w:right w:val="single" w:sz="8" w:space="0" w:color="FFFFFF"/>
            </w:tcBorders>
            <w:shd w:val="clear" w:color="000000" w:fill="B8CCE4"/>
            <w:vAlign w:val="center"/>
            <w:hideMark/>
          </w:tcPr>
          <w:p w14:paraId="51B581A8" w14:textId="37F70925" w:rsidR="00783500" w:rsidRPr="00783500" w:rsidRDefault="00783500" w:rsidP="00783500">
            <w:pPr>
              <w:jc w:val="center"/>
              <w:rPr>
                <w:rFonts w:ascii="Arial" w:hAnsi="Arial" w:cs="Arial"/>
                <w:b/>
                <w:bCs/>
                <w:color w:val="0F243E"/>
                <w:sz w:val="20"/>
                <w:szCs w:val="20"/>
              </w:rPr>
            </w:pPr>
            <w:r>
              <w:rPr>
                <w:rFonts w:ascii="Arial" w:hAnsi="Arial" w:cs="Arial"/>
                <w:b/>
                <w:bCs/>
                <w:color w:val="0F243E"/>
                <w:sz w:val="20"/>
                <w:szCs w:val="20"/>
              </w:rPr>
              <w:t>(</w:t>
            </w:r>
            <w:r w:rsidRPr="00783500">
              <w:rPr>
                <w:rFonts w:ascii="Arial" w:hAnsi="Arial" w:cs="Arial"/>
                <w:b/>
                <w:bCs/>
                <w:color w:val="0F243E"/>
                <w:sz w:val="20"/>
                <w:szCs w:val="20"/>
              </w:rPr>
              <w:t>337.622.649</w:t>
            </w:r>
            <w:r>
              <w:rPr>
                <w:rFonts w:ascii="Arial" w:hAnsi="Arial" w:cs="Arial"/>
                <w:b/>
                <w:bCs/>
                <w:color w:val="0F243E"/>
                <w:sz w:val="20"/>
                <w:szCs w:val="20"/>
              </w:rPr>
              <w:t>)</w:t>
            </w:r>
          </w:p>
        </w:tc>
        <w:tc>
          <w:tcPr>
            <w:tcW w:w="1111" w:type="dxa"/>
            <w:tcBorders>
              <w:top w:val="nil"/>
              <w:left w:val="nil"/>
              <w:bottom w:val="single" w:sz="8" w:space="0" w:color="FFFFFF"/>
              <w:right w:val="single" w:sz="8" w:space="0" w:color="FFFFFF"/>
            </w:tcBorders>
            <w:shd w:val="clear" w:color="000000" w:fill="B8CCE4"/>
            <w:vAlign w:val="center"/>
            <w:hideMark/>
          </w:tcPr>
          <w:p w14:paraId="3B3BFBFF" w14:textId="0783E28D" w:rsidR="00783500" w:rsidRPr="00783500" w:rsidRDefault="00783500" w:rsidP="00783500">
            <w:pPr>
              <w:jc w:val="center"/>
              <w:rPr>
                <w:rFonts w:ascii="Arial" w:hAnsi="Arial" w:cs="Arial"/>
                <w:b/>
                <w:bCs/>
                <w:color w:val="0F243E"/>
                <w:sz w:val="20"/>
                <w:szCs w:val="20"/>
              </w:rPr>
            </w:pPr>
            <w:r>
              <w:rPr>
                <w:rFonts w:ascii="Arial" w:hAnsi="Arial" w:cs="Arial"/>
                <w:b/>
                <w:bCs/>
                <w:color w:val="0F243E"/>
                <w:sz w:val="20"/>
                <w:szCs w:val="20"/>
              </w:rPr>
              <w:t>(</w:t>
            </w:r>
            <w:r w:rsidRPr="00783500">
              <w:rPr>
                <w:rFonts w:ascii="Arial" w:hAnsi="Arial" w:cs="Arial"/>
                <w:b/>
                <w:bCs/>
                <w:color w:val="0F243E"/>
                <w:sz w:val="20"/>
                <w:szCs w:val="20"/>
              </w:rPr>
              <w:t>2%</w:t>
            </w:r>
            <w:r>
              <w:rPr>
                <w:rFonts w:ascii="Arial" w:hAnsi="Arial" w:cs="Arial"/>
                <w:b/>
                <w:bCs/>
                <w:color w:val="0F243E"/>
                <w:sz w:val="20"/>
                <w:szCs w:val="20"/>
              </w:rPr>
              <w:t>)</w:t>
            </w:r>
          </w:p>
        </w:tc>
      </w:tr>
      <w:tr w:rsidR="00783500" w:rsidRPr="00783500" w14:paraId="1CF531A6" w14:textId="77777777" w:rsidTr="000972A2">
        <w:trPr>
          <w:trHeight w:val="659"/>
        </w:trPr>
        <w:tc>
          <w:tcPr>
            <w:tcW w:w="780" w:type="dxa"/>
            <w:vMerge/>
            <w:tcBorders>
              <w:top w:val="nil"/>
              <w:left w:val="single" w:sz="8" w:space="0" w:color="FFFFFF"/>
              <w:bottom w:val="single" w:sz="8" w:space="0" w:color="FFFFFF"/>
              <w:right w:val="single" w:sz="8" w:space="0" w:color="FFFFFF"/>
            </w:tcBorders>
            <w:vAlign w:val="center"/>
            <w:hideMark/>
          </w:tcPr>
          <w:p w14:paraId="22084AC2" w14:textId="77777777" w:rsidR="00783500" w:rsidRPr="00783500" w:rsidRDefault="00783500" w:rsidP="00783500">
            <w:pPr>
              <w:rPr>
                <w:rFonts w:ascii="Arial" w:hAnsi="Arial" w:cs="Arial"/>
                <w:b/>
                <w:bCs/>
                <w:color w:val="FFFFFF"/>
                <w:sz w:val="20"/>
                <w:szCs w:val="20"/>
              </w:rPr>
            </w:pPr>
          </w:p>
        </w:tc>
        <w:tc>
          <w:tcPr>
            <w:tcW w:w="1100" w:type="dxa"/>
            <w:vMerge/>
            <w:tcBorders>
              <w:top w:val="nil"/>
              <w:left w:val="single" w:sz="8" w:space="0" w:color="FFFFFF"/>
              <w:bottom w:val="single" w:sz="8" w:space="0" w:color="FFFFFF"/>
              <w:right w:val="single" w:sz="8" w:space="0" w:color="FFFFFF"/>
            </w:tcBorders>
            <w:vAlign w:val="center"/>
            <w:hideMark/>
          </w:tcPr>
          <w:p w14:paraId="3328C83F" w14:textId="77777777" w:rsidR="00783500" w:rsidRPr="00783500" w:rsidRDefault="00783500" w:rsidP="00783500">
            <w:pPr>
              <w:rPr>
                <w:rFonts w:ascii="Arial" w:hAnsi="Arial" w:cs="Arial"/>
                <w:b/>
                <w:bCs/>
                <w:color w:val="0F243E"/>
                <w:sz w:val="20"/>
                <w:szCs w:val="20"/>
              </w:rPr>
            </w:pPr>
          </w:p>
        </w:tc>
        <w:tc>
          <w:tcPr>
            <w:tcW w:w="2060" w:type="dxa"/>
            <w:tcBorders>
              <w:top w:val="nil"/>
              <w:left w:val="nil"/>
              <w:bottom w:val="single" w:sz="8" w:space="0" w:color="FFFFFF"/>
              <w:right w:val="single" w:sz="8" w:space="0" w:color="FFFFFF"/>
            </w:tcBorders>
            <w:shd w:val="clear" w:color="000000" w:fill="DBE5F1"/>
            <w:vAlign w:val="center"/>
            <w:hideMark/>
          </w:tcPr>
          <w:p w14:paraId="3E96F593" w14:textId="77777777" w:rsidR="00783500" w:rsidRPr="00783500" w:rsidRDefault="00783500" w:rsidP="00783500">
            <w:pPr>
              <w:rPr>
                <w:rFonts w:ascii="Arial" w:hAnsi="Arial" w:cs="Arial"/>
                <w:color w:val="0F243E"/>
                <w:sz w:val="20"/>
                <w:szCs w:val="20"/>
              </w:rPr>
            </w:pPr>
            <w:r w:rsidRPr="00783500">
              <w:rPr>
                <w:rFonts w:ascii="Arial" w:hAnsi="Arial" w:cs="Arial"/>
                <w:color w:val="0F243E"/>
                <w:sz w:val="20"/>
                <w:szCs w:val="20"/>
              </w:rPr>
              <w:t>Cantidad</w:t>
            </w:r>
          </w:p>
        </w:tc>
        <w:tc>
          <w:tcPr>
            <w:tcW w:w="1460" w:type="dxa"/>
            <w:tcBorders>
              <w:top w:val="nil"/>
              <w:left w:val="nil"/>
              <w:bottom w:val="single" w:sz="8" w:space="0" w:color="FFFFFF"/>
              <w:right w:val="single" w:sz="8" w:space="0" w:color="FFFFFF"/>
            </w:tcBorders>
            <w:shd w:val="clear" w:color="000000" w:fill="B8CCE4"/>
            <w:vAlign w:val="center"/>
            <w:hideMark/>
          </w:tcPr>
          <w:p w14:paraId="4057D654" w14:textId="77777777" w:rsidR="00783500" w:rsidRPr="00783500" w:rsidRDefault="00783500" w:rsidP="00783500">
            <w:pPr>
              <w:jc w:val="center"/>
              <w:rPr>
                <w:rFonts w:ascii="Arial" w:hAnsi="Arial" w:cs="Arial"/>
                <w:color w:val="0F243E"/>
                <w:sz w:val="20"/>
                <w:szCs w:val="20"/>
              </w:rPr>
            </w:pPr>
            <w:r w:rsidRPr="00783500">
              <w:rPr>
                <w:rFonts w:ascii="Arial" w:hAnsi="Arial" w:cs="Arial"/>
                <w:color w:val="0F243E"/>
                <w:sz w:val="20"/>
                <w:szCs w:val="20"/>
              </w:rPr>
              <w:t>III Trimestre 2019-2018</w:t>
            </w:r>
          </w:p>
        </w:tc>
        <w:tc>
          <w:tcPr>
            <w:tcW w:w="1660" w:type="dxa"/>
            <w:tcBorders>
              <w:top w:val="nil"/>
              <w:left w:val="nil"/>
              <w:bottom w:val="single" w:sz="8" w:space="0" w:color="FFFFFF"/>
              <w:right w:val="single" w:sz="8" w:space="0" w:color="FFFFFF"/>
            </w:tcBorders>
            <w:shd w:val="clear" w:color="000000" w:fill="DBE5F1"/>
            <w:vAlign w:val="center"/>
            <w:hideMark/>
          </w:tcPr>
          <w:p w14:paraId="04C62AC3" w14:textId="10ED8E78" w:rsidR="00783500" w:rsidRPr="00783500" w:rsidRDefault="00783500" w:rsidP="00783500">
            <w:pPr>
              <w:rPr>
                <w:rFonts w:ascii="Arial" w:hAnsi="Arial" w:cs="Arial"/>
                <w:color w:val="0F243E"/>
                <w:sz w:val="20"/>
                <w:szCs w:val="20"/>
              </w:rPr>
            </w:pPr>
            <w:r w:rsidRPr="00783500">
              <w:rPr>
                <w:rFonts w:ascii="Arial" w:hAnsi="Arial" w:cs="Arial"/>
                <w:noProof/>
                <w:color w:val="0F243E"/>
                <w:sz w:val="20"/>
                <w:szCs w:val="20"/>
              </w:rPr>
              <mc:AlternateContent>
                <mc:Choice Requires="wps">
                  <w:drawing>
                    <wp:anchor distT="0" distB="0" distL="114300" distR="114300" simplePos="0" relativeHeight="251981824" behindDoc="0" locked="0" layoutInCell="1" allowOverlap="1" wp14:anchorId="5543ECD7" wp14:editId="1234DC21">
                      <wp:simplePos x="0" y="0"/>
                      <wp:positionH relativeFrom="column">
                        <wp:posOffset>323850</wp:posOffset>
                      </wp:positionH>
                      <wp:positionV relativeFrom="paragraph">
                        <wp:posOffset>95250</wp:posOffset>
                      </wp:positionV>
                      <wp:extent cx="342900" cy="200025"/>
                      <wp:effectExtent l="0" t="0" r="19050" b="28575"/>
                      <wp:wrapNone/>
                      <wp:docPr id="40" name="Triángulo isósceles 40"/>
                      <wp:cNvGraphicFramePr/>
                      <a:graphic xmlns:a="http://schemas.openxmlformats.org/drawingml/2006/main">
                        <a:graphicData uri="http://schemas.microsoft.com/office/word/2010/wordprocessingShape">
                          <wps:wsp>
                            <wps:cNvSpPr/>
                            <wps:spPr>
                              <a:xfrm>
                                <a:off x="0" y="0"/>
                                <a:ext cx="285750" cy="1714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75BA5979" id="Triángulo isósceles 40" o:spid="_x0000_s1026" type="#_x0000_t5" style="position:absolute;margin-left:25.5pt;margin-top:7.5pt;width:27pt;height:15.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" filled="f" strokecolor="#376092" strokeweight="2pt"/>
                  </w:pict>
                </mc:Fallback>
              </mc:AlternateContent>
            </w:r>
          </w:p>
        </w:tc>
        <w:tc>
          <w:tcPr>
            <w:tcW w:w="1600" w:type="dxa"/>
            <w:tcBorders>
              <w:top w:val="nil"/>
              <w:left w:val="nil"/>
              <w:bottom w:val="single" w:sz="8" w:space="0" w:color="FFFFFF"/>
              <w:right w:val="single" w:sz="8" w:space="0" w:color="FFFFFF"/>
            </w:tcBorders>
            <w:shd w:val="clear" w:color="000000" w:fill="DBE5F1"/>
            <w:vAlign w:val="center"/>
            <w:hideMark/>
          </w:tcPr>
          <w:p w14:paraId="416330F0" w14:textId="77777777" w:rsidR="00783500" w:rsidRPr="00783500" w:rsidRDefault="00783500" w:rsidP="00783500">
            <w:pPr>
              <w:jc w:val="center"/>
              <w:rPr>
                <w:rFonts w:ascii="Arial" w:hAnsi="Arial" w:cs="Arial"/>
                <w:b/>
                <w:color w:val="0F243E"/>
                <w:sz w:val="20"/>
                <w:szCs w:val="20"/>
              </w:rPr>
            </w:pPr>
            <w:r w:rsidRPr="00783500">
              <w:rPr>
                <w:rFonts w:ascii="Arial" w:hAnsi="Arial" w:cs="Arial"/>
                <w:b/>
                <w:color w:val="0F243E"/>
                <w:sz w:val="20"/>
                <w:szCs w:val="20"/>
              </w:rPr>
              <w:t>18 Funcionarios</w:t>
            </w:r>
          </w:p>
        </w:tc>
        <w:tc>
          <w:tcPr>
            <w:tcW w:w="1111" w:type="dxa"/>
            <w:tcBorders>
              <w:top w:val="nil"/>
              <w:left w:val="nil"/>
              <w:bottom w:val="single" w:sz="8" w:space="0" w:color="FFFFFF"/>
              <w:right w:val="single" w:sz="8" w:space="0" w:color="FFFFFF"/>
            </w:tcBorders>
            <w:shd w:val="clear" w:color="000000" w:fill="DBE5F1"/>
            <w:vAlign w:val="center"/>
            <w:hideMark/>
          </w:tcPr>
          <w:p w14:paraId="15594693" w14:textId="77777777" w:rsidR="00783500" w:rsidRPr="00783500" w:rsidRDefault="00783500" w:rsidP="00783500">
            <w:pPr>
              <w:jc w:val="center"/>
              <w:rPr>
                <w:rFonts w:ascii="Arial" w:hAnsi="Arial" w:cs="Arial"/>
                <w:b/>
                <w:bCs/>
                <w:color w:val="0F243E"/>
                <w:sz w:val="20"/>
                <w:szCs w:val="20"/>
              </w:rPr>
            </w:pPr>
            <w:r w:rsidRPr="00783500">
              <w:rPr>
                <w:rFonts w:ascii="Arial" w:hAnsi="Arial" w:cs="Arial"/>
                <w:b/>
                <w:bCs/>
                <w:color w:val="0F243E"/>
                <w:sz w:val="20"/>
                <w:szCs w:val="20"/>
              </w:rPr>
              <w:t>3%</w:t>
            </w:r>
          </w:p>
        </w:tc>
      </w:tr>
      <w:tr w:rsidR="00783500" w:rsidRPr="00783500" w14:paraId="1665585A" w14:textId="77777777" w:rsidTr="000972A2">
        <w:trPr>
          <w:trHeight w:val="840"/>
        </w:trPr>
        <w:tc>
          <w:tcPr>
            <w:tcW w:w="780" w:type="dxa"/>
            <w:vMerge w:val="restart"/>
            <w:tcBorders>
              <w:top w:val="nil"/>
              <w:left w:val="single" w:sz="8" w:space="0" w:color="FFFFFF"/>
              <w:bottom w:val="single" w:sz="8" w:space="0" w:color="FFFFFF"/>
              <w:right w:val="single" w:sz="8" w:space="0" w:color="FFFFFF"/>
            </w:tcBorders>
            <w:shd w:val="clear" w:color="000000" w:fill="4F81BD"/>
            <w:textDirection w:val="btLr"/>
            <w:vAlign w:val="center"/>
            <w:hideMark/>
          </w:tcPr>
          <w:p w14:paraId="057E6248" w14:textId="77777777" w:rsidR="00783500" w:rsidRPr="00783500" w:rsidRDefault="00783500" w:rsidP="00783500">
            <w:pPr>
              <w:jc w:val="center"/>
              <w:rPr>
                <w:rFonts w:ascii="Arial" w:hAnsi="Arial" w:cs="Arial"/>
                <w:b/>
                <w:bCs/>
                <w:color w:val="FFFFFF"/>
                <w:sz w:val="20"/>
                <w:szCs w:val="20"/>
              </w:rPr>
            </w:pPr>
            <w:r w:rsidRPr="00783500">
              <w:rPr>
                <w:rFonts w:ascii="Arial" w:hAnsi="Arial" w:cs="Arial"/>
                <w:b/>
                <w:bCs/>
                <w:color w:val="FFFFFF"/>
                <w:sz w:val="20"/>
                <w:szCs w:val="20"/>
              </w:rPr>
              <w:t>Horas Extras</w:t>
            </w:r>
          </w:p>
        </w:tc>
        <w:tc>
          <w:tcPr>
            <w:tcW w:w="1100" w:type="dxa"/>
            <w:vMerge w:val="restart"/>
            <w:tcBorders>
              <w:top w:val="nil"/>
              <w:left w:val="single" w:sz="8" w:space="0" w:color="FFFFFF"/>
              <w:bottom w:val="single" w:sz="8" w:space="0" w:color="FFFFFF"/>
              <w:right w:val="single" w:sz="8" w:space="0" w:color="FFFFFF"/>
            </w:tcBorders>
            <w:shd w:val="clear" w:color="000000" w:fill="B8CCE4"/>
            <w:vAlign w:val="center"/>
            <w:hideMark/>
          </w:tcPr>
          <w:p w14:paraId="5C8D27BD" w14:textId="77777777" w:rsidR="00783500" w:rsidRPr="00783500" w:rsidRDefault="00783500" w:rsidP="00783500">
            <w:pPr>
              <w:jc w:val="center"/>
              <w:rPr>
                <w:rFonts w:ascii="Arial" w:hAnsi="Arial" w:cs="Arial"/>
                <w:b/>
                <w:bCs/>
                <w:color w:val="0F243E"/>
                <w:sz w:val="20"/>
                <w:szCs w:val="20"/>
              </w:rPr>
            </w:pPr>
            <w:r w:rsidRPr="00783500">
              <w:rPr>
                <w:rFonts w:ascii="Arial" w:hAnsi="Arial" w:cs="Arial"/>
                <w:b/>
                <w:bCs/>
                <w:color w:val="0F243E"/>
                <w:sz w:val="20"/>
                <w:szCs w:val="20"/>
              </w:rPr>
              <w:t>2.2</w:t>
            </w:r>
          </w:p>
        </w:tc>
        <w:tc>
          <w:tcPr>
            <w:tcW w:w="2060" w:type="dxa"/>
            <w:tcBorders>
              <w:top w:val="nil"/>
              <w:left w:val="nil"/>
              <w:bottom w:val="single" w:sz="8" w:space="0" w:color="FFFFFF"/>
              <w:right w:val="single" w:sz="8" w:space="0" w:color="FFFFFF"/>
            </w:tcBorders>
            <w:shd w:val="clear" w:color="000000" w:fill="B8CCE4"/>
            <w:vAlign w:val="center"/>
            <w:hideMark/>
          </w:tcPr>
          <w:p w14:paraId="2E3A77B8" w14:textId="77777777" w:rsidR="00783500" w:rsidRPr="00783500" w:rsidRDefault="00783500" w:rsidP="00783500">
            <w:pPr>
              <w:rPr>
                <w:rFonts w:ascii="Arial" w:hAnsi="Arial" w:cs="Arial"/>
                <w:color w:val="0F243E"/>
                <w:sz w:val="20"/>
                <w:szCs w:val="20"/>
              </w:rPr>
            </w:pPr>
            <w:r w:rsidRPr="00783500">
              <w:rPr>
                <w:rFonts w:ascii="Arial" w:hAnsi="Arial" w:cs="Arial"/>
                <w:color w:val="0F243E"/>
                <w:sz w:val="20"/>
                <w:szCs w:val="20"/>
              </w:rPr>
              <w:t>Valor del Gasto</w:t>
            </w:r>
          </w:p>
        </w:tc>
        <w:tc>
          <w:tcPr>
            <w:tcW w:w="1460" w:type="dxa"/>
            <w:tcBorders>
              <w:top w:val="nil"/>
              <w:left w:val="nil"/>
              <w:bottom w:val="single" w:sz="8" w:space="0" w:color="FFFFFF"/>
              <w:right w:val="single" w:sz="8" w:space="0" w:color="FFFFFF"/>
            </w:tcBorders>
            <w:shd w:val="clear" w:color="000000" w:fill="B8CCE4"/>
            <w:vAlign w:val="center"/>
            <w:hideMark/>
          </w:tcPr>
          <w:p w14:paraId="140FA391" w14:textId="77777777" w:rsidR="00783500" w:rsidRPr="00783500" w:rsidRDefault="00783500" w:rsidP="00783500">
            <w:pPr>
              <w:jc w:val="center"/>
              <w:rPr>
                <w:rFonts w:ascii="Arial" w:hAnsi="Arial" w:cs="Arial"/>
                <w:color w:val="0F243E"/>
                <w:sz w:val="20"/>
                <w:szCs w:val="20"/>
              </w:rPr>
            </w:pPr>
            <w:r w:rsidRPr="00783500">
              <w:rPr>
                <w:rFonts w:ascii="Arial" w:hAnsi="Arial" w:cs="Arial"/>
                <w:color w:val="0F243E"/>
                <w:sz w:val="20"/>
                <w:szCs w:val="20"/>
              </w:rPr>
              <w:t>III Trimestre 2019-2018</w:t>
            </w:r>
          </w:p>
        </w:tc>
        <w:tc>
          <w:tcPr>
            <w:tcW w:w="1660" w:type="dxa"/>
            <w:tcBorders>
              <w:top w:val="nil"/>
              <w:left w:val="nil"/>
              <w:bottom w:val="single" w:sz="8" w:space="0" w:color="FFFFFF"/>
              <w:right w:val="single" w:sz="8" w:space="0" w:color="FFFFFF"/>
            </w:tcBorders>
            <w:shd w:val="clear" w:color="000000" w:fill="B8CCE4"/>
            <w:vAlign w:val="center"/>
            <w:hideMark/>
          </w:tcPr>
          <w:p w14:paraId="37029D5C" w14:textId="62CAFF5B" w:rsidR="00783500" w:rsidRPr="00783500" w:rsidRDefault="00783500" w:rsidP="00783500">
            <w:pPr>
              <w:rPr>
                <w:rFonts w:ascii="Arial" w:hAnsi="Arial" w:cs="Arial"/>
                <w:color w:val="0F243E"/>
                <w:sz w:val="20"/>
                <w:szCs w:val="20"/>
              </w:rPr>
            </w:pPr>
            <w:r w:rsidRPr="00783500">
              <w:rPr>
                <w:rFonts w:ascii="Arial" w:hAnsi="Arial" w:cs="Arial"/>
                <w:noProof/>
                <w:color w:val="0F243E"/>
                <w:sz w:val="20"/>
                <w:szCs w:val="20"/>
              </w:rPr>
              <mc:AlternateContent>
                <mc:Choice Requires="wps">
                  <w:drawing>
                    <wp:anchor distT="0" distB="0" distL="114300" distR="114300" simplePos="0" relativeHeight="251983872" behindDoc="0" locked="0" layoutInCell="1" allowOverlap="1" wp14:anchorId="29E1D6F0" wp14:editId="10763431">
                      <wp:simplePos x="0" y="0"/>
                      <wp:positionH relativeFrom="column">
                        <wp:posOffset>330200</wp:posOffset>
                      </wp:positionH>
                      <wp:positionV relativeFrom="paragraph">
                        <wp:posOffset>0</wp:posOffset>
                      </wp:positionV>
                      <wp:extent cx="342900" cy="209550"/>
                      <wp:effectExtent l="0" t="0" r="19050" b="19050"/>
                      <wp:wrapNone/>
                      <wp:docPr id="39" name="Triángulo isósceles 39"/>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478EC161" id="Triángulo isósceles 39" o:spid="_x0000_s1026" type="#_x0000_t5" style="position:absolute;margin-left:26pt;margin-top:0;width:27pt;height:16.5pt;rotation:180;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" filled="f" strokecolor="#376092" strokeweight="2pt"/>
                  </w:pict>
                </mc:Fallback>
              </mc:AlternateContent>
            </w:r>
          </w:p>
        </w:tc>
        <w:tc>
          <w:tcPr>
            <w:tcW w:w="1600" w:type="dxa"/>
            <w:tcBorders>
              <w:top w:val="nil"/>
              <w:left w:val="nil"/>
              <w:bottom w:val="single" w:sz="8" w:space="0" w:color="FFFFFF"/>
              <w:right w:val="single" w:sz="8" w:space="0" w:color="FFFFFF"/>
            </w:tcBorders>
            <w:shd w:val="clear" w:color="000000" w:fill="B8CCE4"/>
            <w:vAlign w:val="center"/>
            <w:hideMark/>
          </w:tcPr>
          <w:p w14:paraId="7A5BA849" w14:textId="0A232497" w:rsidR="00783500" w:rsidRPr="00783500" w:rsidRDefault="00783500" w:rsidP="00783500">
            <w:pPr>
              <w:jc w:val="center"/>
              <w:rPr>
                <w:rFonts w:ascii="Arial" w:hAnsi="Arial" w:cs="Arial"/>
                <w:b/>
                <w:color w:val="0F243E"/>
                <w:sz w:val="20"/>
                <w:szCs w:val="20"/>
              </w:rPr>
            </w:pPr>
            <w:r w:rsidRPr="00783500">
              <w:rPr>
                <w:rFonts w:ascii="Arial" w:hAnsi="Arial" w:cs="Arial"/>
                <w:b/>
                <w:color w:val="0F243E"/>
                <w:sz w:val="20"/>
                <w:szCs w:val="20"/>
              </w:rPr>
              <w:t>(8.982.809)</w:t>
            </w:r>
          </w:p>
        </w:tc>
        <w:tc>
          <w:tcPr>
            <w:tcW w:w="1111" w:type="dxa"/>
            <w:tcBorders>
              <w:top w:val="nil"/>
              <w:left w:val="nil"/>
              <w:bottom w:val="single" w:sz="8" w:space="0" w:color="FFFFFF"/>
              <w:right w:val="single" w:sz="8" w:space="0" w:color="FFFFFF"/>
            </w:tcBorders>
            <w:shd w:val="clear" w:color="000000" w:fill="B8CCE4"/>
            <w:vAlign w:val="center"/>
            <w:hideMark/>
          </w:tcPr>
          <w:p w14:paraId="2953FEDE" w14:textId="13F4DE71" w:rsidR="00783500" w:rsidRPr="00783500" w:rsidRDefault="00783500" w:rsidP="00783500">
            <w:pPr>
              <w:jc w:val="center"/>
              <w:rPr>
                <w:rFonts w:ascii="Arial" w:hAnsi="Arial" w:cs="Arial"/>
                <w:b/>
                <w:bCs/>
                <w:color w:val="0F243E"/>
                <w:sz w:val="20"/>
                <w:szCs w:val="20"/>
              </w:rPr>
            </w:pPr>
            <w:r>
              <w:rPr>
                <w:rFonts w:ascii="Arial" w:hAnsi="Arial" w:cs="Arial"/>
                <w:b/>
                <w:bCs/>
                <w:color w:val="0F243E"/>
                <w:sz w:val="20"/>
                <w:szCs w:val="20"/>
              </w:rPr>
              <w:t>(</w:t>
            </w:r>
            <w:r w:rsidRPr="00783500">
              <w:rPr>
                <w:rFonts w:ascii="Arial" w:hAnsi="Arial" w:cs="Arial"/>
                <w:b/>
                <w:bCs/>
                <w:color w:val="0F243E"/>
                <w:sz w:val="20"/>
                <w:szCs w:val="20"/>
              </w:rPr>
              <w:t>10%</w:t>
            </w:r>
            <w:r>
              <w:rPr>
                <w:rFonts w:ascii="Arial" w:hAnsi="Arial" w:cs="Arial"/>
                <w:b/>
                <w:bCs/>
                <w:color w:val="0F243E"/>
                <w:sz w:val="20"/>
                <w:szCs w:val="20"/>
              </w:rPr>
              <w:t>)</w:t>
            </w:r>
          </w:p>
        </w:tc>
      </w:tr>
      <w:tr w:rsidR="00783500" w:rsidRPr="00783500" w14:paraId="384403CA" w14:textId="77777777" w:rsidTr="000972A2">
        <w:trPr>
          <w:trHeight w:val="735"/>
        </w:trPr>
        <w:tc>
          <w:tcPr>
            <w:tcW w:w="780" w:type="dxa"/>
            <w:vMerge/>
            <w:tcBorders>
              <w:top w:val="nil"/>
              <w:left w:val="single" w:sz="8" w:space="0" w:color="FFFFFF"/>
              <w:bottom w:val="single" w:sz="8" w:space="0" w:color="FFFFFF"/>
              <w:right w:val="single" w:sz="8" w:space="0" w:color="FFFFFF"/>
            </w:tcBorders>
            <w:vAlign w:val="center"/>
            <w:hideMark/>
          </w:tcPr>
          <w:p w14:paraId="48FB3608" w14:textId="77777777" w:rsidR="00783500" w:rsidRPr="00783500" w:rsidRDefault="00783500" w:rsidP="00783500">
            <w:pPr>
              <w:rPr>
                <w:rFonts w:ascii="Arial" w:hAnsi="Arial" w:cs="Arial"/>
                <w:b/>
                <w:bCs/>
                <w:color w:val="FFFFFF"/>
                <w:sz w:val="20"/>
                <w:szCs w:val="20"/>
              </w:rPr>
            </w:pPr>
          </w:p>
        </w:tc>
        <w:tc>
          <w:tcPr>
            <w:tcW w:w="1100" w:type="dxa"/>
            <w:vMerge/>
            <w:tcBorders>
              <w:top w:val="nil"/>
              <w:left w:val="single" w:sz="8" w:space="0" w:color="FFFFFF"/>
              <w:bottom w:val="single" w:sz="8" w:space="0" w:color="FFFFFF"/>
              <w:right w:val="single" w:sz="8" w:space="0" w:color="FFFFFF"/>
            </w:tcBorders>
            <w:vAlign w:val="center"/>
            <w:hideMark/>
          </w:tcPr>
          <w:p w14:paraId="6854B9BB" w14:textId="77777777" w:rsidR="00783500" w:rsidRPr="00783500" w:rsidRDefault="00783500" w:rsidP="00783500">
            <w:pPr>
              <w:rPr>
                <w:rFonts w:ascii="Arial" w:hAnsi="Arial" w:cs="Arial"/>
                <w:b/>
                <w:bCs/>
                <w:color w:val="0F243E"/>
                <w:sz w:val="20"/>
                <w:szCs w:val="20"/>
              </w:rPr>
            </w:pPr>
          </w:p>
        </w:tc>
        <w:tc>
          <w:tcPr>
            <w:tcW w:w="2060" w:type="dxa"/>
            <w:tcBorders>
              <w:top w:val="nil"/>
              <w:left w:val="nil"/>
              <w:bottom w:val="single" w:sz="8" w:space="0" w:color="FFFFFF"/>
              <w:right w:val="single" w:sz="8" w:space="0" w:color="FFFFFF"/>
            </w:tcBorders>
            <w:shd w:val="clear" w:color="000000" w:fill="DBE5F1"/>
            <w:vAlign w:val="center"/>
            <w:hideMark/>
          </w:tcPr>
          <w:p w14:paraId="15661932" w14:textId="77777777" w:rsidR="00783500" w:rsidRPr="00783500" w:rsidRDefault="00783500" w:rsidP="00783500">
            <w:pPr>
              <w:rPr>
                <w:rFonts w:ascii="Arial" w:hAnsi="Arial" w:cs="Arial"/>
                <w:color w:val="0F243E"/>
                <w:sz w:val="20"/>
                <w:szCs w:val="20"/>
              </w:rPr>
            </w:pPr>
            <w:r w:rsidRPr="00783500">
              <w:rPr>
                <w:rFonts w:ascii="Arial" w:hAnsi="Arial" w:cs="Arial"/>
                <w:color w:val="0F243E"/>
                <w:sz w:val="20"/>
                <w:szCs w:val="20"/>
              </w:rPr>
              <w:t>Cantidad</w:t>
            </w:r>
          </w:p>
        </w:tc>
        <w:tc>
          <w:tcPr>
            <w:tcW w:w="1460" w:type="dxa"/>
            <w:tcBorders>
              <w:top w:val="nil"/>
              <w:left w:val="nil"/>
              <w:bottom w:val="single" w:sz="8" w:space="0" w:color="FFFFFF"/>
              <w:right w:val="single" w:sz="8" w:space="0" w:color="FFFFFF"/>
            </w:tcBorders>
            <w:shd w:val="clear" w:color="000000" w:fill="B8CCE4"/>
            <w:vAlign w:val="center"/>
            <w:hideMark/>
          </w:tcPr>
          <w:p w14:paraId="08E159FA" w14:textId="77777777" w:rsidR="00783500" w:rsidRPr="00783500" w:rsidRDefault="00783500" w:rsidP="00783500">
            <w:pPr>
              <w:jc w:val="center"/>
              <w:rPr>
                <w:rFonts w:ascii="Arial" w:hAnsi="Arial" w:cs="Arial"/>
                <w:color w:val="0F243E"/>
                <w:sz w:val="20"/>
                <w:szCs w:val="20"/>
              </w:rPr>
            </w:pPr>
            <w:r w:rsidRPr="00783500">
              <w:rPr>
                <w:rFonts w:ascii="Arial" w:hAnsi="Arial" w:cs="Arial"/>
                <w:color w:val="0F243E"/>
                <w:sz w:val="20"/>
                <w:szCs w:val="20"/>
              </w:rPr>
              <w:t>III Trimestre 2019-2018</w:t>
            </w:r>
          </w:p>
        </w:tc>
        <w:tc>
          <w:tcPr>
            <w:tcW w:w="1660" w:type="dxa"/>
            <w:tcBorders>
              <w:top w:val="nil"/>
              <w:left w:val="nil"/>
              <w:bottom w:val="single" w:sz="8" w:space="0" w:color="FFFFFF"/>
              <w:right w:val="single" w:sz="8" w:space="0" w:color="FFFFFF"/>
            </w:tcBorders>
            <w:shd w:val="clear" w:color="000000" w:fill="DBE5F1"/>
            <w:vAlign w:val="center"/>
            <w:hideMark/>
          </w:tcPr>
          <w:p w14:paraId="484571E2" w14:textId="5ED0997D" w:rsidR="00783500" w:rsidRPr="00783500" w:rsidRDefault="00783500" w:rsidP="00783500">
            <w:pPr>
              <w:rPr>
                <w:rFonts w:ascii="Arial" w:hAnsi="Arial" w:cs="Arial"/>
                <w:color w:val="0F243E"/>
                <w:sz w:val="20"/>
                <w:szCs w:val="20"/>
              </w:rPr>
            </w:pPr>
            <w:r w:rsidRPr="00783500">
              <w:rPr>
                <w:rFonts w:ascii="Arial" w:hAnsi="Arial" w:cs="Arial"/>
                <w:noProof/>
                <w:color w:val="0F243E"/>
                <w:sz w:val="20"/>
                <w:szCs w:val="20"/>
              </w:rPr>
              <mc:AlternateContent>
                <mc:Choice Requires="wps">
                  <w:drawing>
                    <wp:anchor distT="0" distB="0" distL="114300" distR="114300" simplePos="0" relativeHeight="251982848" behindDoc="0" locked="0" layoutInCell="1" allowOverlap="1" wp14:anchorId="57FF7F11" wp14:editId="416FC50D">
                      <wp:simplePos x="0" y="0"/>
                      <wp:positionH relativeFrom="column">
                        <wp:posOffset>346075</wp:posOffset>
                      </wp:positionH>
                      <wp:positionV relativeFrom="paragraph">
                        <wp:posOffset>-16510</wp:posOffset>
                      </wp:positionV>
                      <wp:extent cx="342900" cy="209550"/>
                      <wp:effectExtent l="0" t="0" r="19050" b="19050"/>
                      <wp:wrapNone/>
                      <wp:docPr id="38" name="Triángulo isósceles 38"/>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9778E1D" id="Triángulo isósceles 38" o:spid="_x0000_s1026" type="#_x0000_t5" style="position:absolute;margin-left:27.25pt;margin-top:-1.3pt;width:27pt;height:16.5pt;rotation:180;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" filled="f" strokecolor="#376092" strokeweight="2pt"/>
                  </w:pict>
                </mc:Fallback>
              </mc:AlternateContent>
            </w:r>
          </w:p>
        </w:tc>
        <w:tc>
          <w:tcPr>
            <w:tcW w:w="1600" w:type="dxa"/>
            <w:tcBorders>
              <w:top w:val="nil"/>
              <w:left w:val="nil"/>
              <w:bottom w:val="single" w:sz="8" w:space="0" w:color="FFFFFF"/>
              <w:right w:val="single" w:sz="8" w:space="0" w:color="FFFFFF"/>
            </w:tcBorders>
            <w:shd w:val="clear" w:color="000000" w:fill="DBE5F1"/>
            <w:vAlign w:val="center"/>
            <w:hideMark/>
          </w:tcPr>
          <w:p w14:paraId="2B2ECF6F" w14:textId="77777777" w:rsidR="00783500" w:rsidRPr="00783500" w:rsidRDefault="00783500" w:rsidP="00783500">
            <w:pPr>
              <w:jc w:val="center"/>
              <w:rPr>
                <w:rFonts w:ascii="Arial" w:hAnsi="Arial" w:cs="Arial"/>
                <w:b/>
                <w:color w:val="0F243E"/>
                <w:sz w:val="20"/>
                <w:szCs w:val="20"/>
              </w:rPr>
            </w:pPr>
            <w:r w:rsidRPr="00783500">
              <w:rPr>
                <w:rFonts w:ascii="Arial" w:hAnsi="Arial" w:cs="Arial"/>
                <w:b/>
                <w:color w:val="0F243E"/>
                <w:sz w:val="20"/>
                <w:szCs w:val="20"/>
              </w:rPr>
              <w:t>(1.230) Horas</w:t>
            </w:r>
          </w:p>
        </w:tc>
        <w:tc>
          <w:tcPr>
            <w:tcW w:w="1111" w:type="dxa"/>
            <w:tcBorders>
              <w:top w:val="nil"/>
              <w:left w:val="nil"/>
              <w:bottom w:val="single" w:sz="8" w:space="0" w:color="FFFFFF"/>
              <w:right w:val="single" w:sz="8" w:space="0" w:color="FFFFFF"/>
            </w:tcBorders>
            <w:shd w:val="clear" w:color="000000" w:fill="DBE5F1"/>
            <w:vAlign w:val="center"/>
            <w:hideMark/>
          </w:tcPr>
          <w:p w14:paraId="3DD8911E" w14:textId="2CA3A3DD" w:rsidR="00783500" w:rsidRPr="00783500" w:rsidRDefault="00783500" w:rsidP="00783500">
            <w:pPr>
              <w:jc w:val="center"/>
              <w:rPr>
                <w:rFonts w:ascii="Arial" w:hAnsi="Arial" w:cs="Arial"/>
                <w:b/>
                <w:bCs/>
                <w:color w:val="0F243E"/>
                <w:sz w:val="20"/>
                <w:szCs w:val="20"/>
              </w:rPr>
            </w:pPr>
            <w:r>
              <w:rPr>
                <w:rFonts w:ascii="Arial" w:hAnsi="Arial" w:cs="Arial"/>
                <w:b/>
                <w:bCs/>
                <w:color w:val="0F243E"/>
                <w:sz w:val="20"/>
                <w:szCs w:val="20"/>
              </w:rPr>
              <w:t>(</w:t>
            </w:r>
            <w:r w:rsidRPr="00783500">
              <w:rPr>
                <w:rFonts w:ascii="Arial" w:hAnsi="Arial" w:cs="Arial"/>
                <w:b/>
                <w:bCs/>
                <w:color w:val="0F243E"/>
                <w:sz w:val="20"/>
                <w:szCs w:val="20"/>
              </w:rPr>
              <w:t>14%</w:t>
            </w:r>
            <w:r>
              <w:rPr>
                <w:rFonts w:ascii="Arial" w:hAnsi="Arial" w:cs="Arial"/>
                <w:b/>
                <w:bCs/>
                <w:color w:val="0F243E"/>
                <w:sz w:val="20"/>
                <w:szCs w:val="20"/>
              </w:rPr>
              <w:t>)</w:t>
            </w:r>
          </w:p>
        </w:tc>
      </w:tr>
      <w:tr w:rsidR="00783500" w:rsidRPr="00783500" w14:paraId="168B7092" w14:textId="77777777" w:rsidTr="000972A2">
        <w:trPr>
          <w:trHeight w:val="810"/>
        </w:trPr>
        <w:tc>
          <w:tcPr>
            <w:tcW w:w="780" w:type="dxa"/>
            <w:vMerge w:val="restart"/>
            <w:tcBorders>
              <w:top w:val="nil"/>
              <w:left w:val="single" w:sz="8" w:space="0" w:color="FFFFFF"/>
              <w:bottom w:val="single" w:sz="8" w:space="0" w:color="FFFFFF"/>
              <w:right w:val="single" w:sz="8" w:space="0" w:color="FFFFFF"/>
            </w:tcBorders>
            <w:shd w:val="clear" w:color="000000" w:fill="4F81BD"/>
            <w:textDirection w:val="btLr"/>
            <w:vAlign w:val="center"/>
            <w:hideMark/>
          </w:tcPr>
          <w:p w14:paraId="245238B2" w14:textId="77777777" w:rsidR="00783500" w:rsidRPr="00783500" w:rsidRDefault="00783500" w:rsidP="00783500">
            <w:pPr>
              <w:jc w:val="center"/>
              <w:rPr>
                <w:rFonts w:ascii="Arial" w:hAnsi="Arial" w:cs="Arial"/>
                <w:b/>
                <w:bCs/>
                <w:color w:val="FFFFFF"/>
                <w:sz w:val="20"/>
                <w:szCs w:val="20"/>
              </w:rPr>
            </w:pPr>
            <w:r w:rsidRPr="00783500">
              <w:rPr>
                <w:rFonts w:ascii="Arial" w:hAnsi="Arial" w:cs="Arial"/>
                <w:b/>
                <w:bCs/>
                <w:color w:val="FFFFFF"/>
                <w:sz w:val="20"/>
                <w:szCs w:val="20"/>
              </w:rPr>
              <w:t xml:space="preserve">Contratación </w:t>
            </w:r>
          </w:p>
        </w:tc>
        <w:tc>
          <w:tcPr>
            <w:tcW w:w="1100" w:type="dxa"/>
            <w:vMerge w:val="restart"/>
            <w:tcBorders>
              <w:top w:val="nil"/>
              <w:left w:val="single" w:sz="8" w:space="0" w:color="FFFFFF"/>
              <w:bottom w:val="single" w:sz="8" w:space="0" w:color="FFFFFF"/>
              <w:right w:val="single" w:sz="8" w:space="0" w:color="FFFFFF"/>
            </w:tcBorders>
            <w:shd w:val="clear" w:color="000000" w:fill="B8CCE4"/>
            <w:vAlign w:val="center"/>
            <w:hideMark/>
          </w:tcPr>
          <w:p w14:paraId="0155D61E" w14:textId="77777777" w:rsidR="00783500" w:rsidRPr="00783500" w:rsidRDefault="00783500" w:rsidP="00783500">
            <w:pPr>
              <w:jc w:val="center"/>
              <w:rPr>
                <w:rFonts w:ascii="Arial" w:hAnsi="Arial" w:cs="Arial"/>
                <w:b/>
                <w:bCs/>
                <w:color w:val="0F243E"/>
                <w:sz w:val="20"/>
                <w:szCs w:val="20"/>
              </w:rPr>
            </w:pPr>
            <w:r w:rsidRPr="00783500">
              <w:rPr>
                <w:rFonts w:ascii="Arial" w:hAnsi="Arial" w:cs="Arial"/>
                <w:b/>
                <w:bCs/>
                <w:color w:val="0F243E"/>
                <w:sz w:val="20"/>
                <w:szCs w:val="20"/>
              </w:rPr>
              <w:t>2.3</w:t>
            </w:r>
          </w:p>
        </w:tc>
        <w:tc>
          <w:tcPr>
            <w:tcW w:w="2060" w:type="dxa"/>
            <w:tcBorders>
              <w:top w:val="nil"/>
              <w:left w:val="nil"/>
              <w:bottom w:val="single" w:sz="8" w:space="0" w:color="FFFFFF"/>
              <w:right w:val="single" w:sz="8" w:space="0" w:color="FFFFFF"/>
            </w:tcBorders>
            <w:shd w:val="clear" w:color="000000" w:fill="B8CCE4"/>
            <w:vAlign w:val="center"/>
            <w:hideMark/>
          </w:tcPr>
          <w:p w14:paraId="5503DB05" w14:textId="77777777" w:rsidR="00783500" w:rsidRPr="00783500" w:rsidRDefault="00783500" w:rsidP="00783500">
            <w:pPr>
              <w:rPr>
                <w:rFonts w:ascii="Arial" w:hAnsi="Arial" w:cs="Arial"/>
                <w:color w:val="0F243E"/>
                <w:sz w:val="20"/>
                <w:szCs w:val="20"/>
              </w:rPr>
            </w:pPr>
            <w:r w:rsidRPr="00783500">
              <w:rPr>
                <w:rFonts w:ascii="Arial" w:hAnsi="Arial" w:cs="Arial"/>
                <w:color w:val="0F243E"/>
                <w:sz w:val="20"/>
                <w:szCs w:val="20"/>
              </w:rPr>
              <w:t>Valor del Gasto</w:t>
            </w:r>
          </w:p>
        </w:tc>
        <w:tc>
          <w:tcPr>
            <w:tcW w:w="1460" w:type="dxa"/>
            <w:tcBorders>
              <w:top w:val="nil"/>
              <w:left w:val="nil"/>
              <w:bottom w:val="single" w:sz="8" w:space="0" w:color="FFFFFF"/>
              <w:right w:val="single" w:sz="8" w:space="0" w:color="FFFFFF"/>
            </w:tcBorders>
            <w:shd w:val="clear" w:color="000000" w:fill="B8CCE4"/>
            <w:vAlign w:val="center"/>
            <w:hideMark/>
          </w:tcPr>
          <w:p w14:paraId="0FF62969" w14:textId="77777777" w:rsidR="00783500" w:rsidRPr="00783500" w:rsidRDefault="00783500" w:rsidP="00783500">
            <w:pPr>
              <w:jc w:val="center"/>
              <w:rPr>
                <w:rFonts w:ascii="Arial" w:hAnsi="Arial" w:cs="Arial"/>
                <w:color w:val="0F243E"/>
                <w:sz w:val="20"/>
                <w:szCs w:val="20"/>
              </w:rPr>
            </w:pPr>
            <w:r w:rsidRPr="00783500">
              <w:rPr>
                <w:rFonts w:ascii="Arial" w:hAnsi="Arial" w:cs="Arial"/>
                <w:color w:val="0F243E"/>
                <w:sz w:val="20"/>
                <w:szCs w:val="20"/>
              </w:rPr>
              <w:t>III Trimestre 2019-2018</w:t>
            </w:r>
          </w:p>
        </w:tc>
        <w:tc>
          <w:tcPr>
            <w:tcW w:w="1660" w:type="dxa"/>
            <w:tcBorders>
              <w:top w:val="nil"/>
              <w:left w:val="nil"/>
              <w:bottom w:val="single" w:sz="8" w:space="0" w:color="FFFFFF"/>
              <w:right w:val="single" w:sz="8" w:space="0" w:color="FFFFFF"/>
            </w:tcBorders>
            <w:shd w:val="clear" w:color="000000" w:fill="B8CCE4"/>
            <w:vAlign w:val="center"/>
            <w:hideMark/>
          </w:tcPr>
          <w:p w14:paraId="719F50DF" w14:textId="06AC428B" w:rsidR="00783500" w:rsidRPr="00783500" w:rsidRDefault="00783500" w:rsidP="00783500">
            <w:pPr>
              <w:rPr>
                <w:rFonts w:ascii="Arial" w:hAnsi="Arial" w:cs="Arial"/>
                <w:color w:val="0F243E"/>
                <w:sz w:val="20"/>
                <w:szCs w:val="20"/>
              </w:rPr>
            </w:pPr>
            <w:r w:rsidRPr="00783500">
              <w:rPr>
                <w:rFonts w:ascii="Arial" w:hAnsi="Arial" w:cs="Arial"/>
                <w:noProof/>
                <w:color w:val="0F243E"/>
                <w:sz w:val="20"/>
                <w:szCs w:val="20"/>
              </w:rPr>
              <mc:AlternateContent>
                <mc:Choice Requires="wps">
                  <w:drawing>
                    <wp:anchor distT="0" distB="0" distL="114300" distR="114300" simplePos="0" relativeHeight="251984896" behindDoc="0" locked="0" layoutInCell="1" allowOverlap="1" wp14:anchorId="7FBA8CC2" wp14:editId="30230D4B">
                      <wp:simplePos x="0" y="0"/>
                      <wp:positionH relativeFrom="column">
                        <wp:posOffset>349250</wp:posOffset>
                      </wp:positionH>
                      <wp:positionV relativeFrom="paragraph">
                        <wp:posOffset>-36195</wp:posOffset>
                      </wp:positionV>
                      <wp:extent cx="342900" cy="209550"/>
                      <wp:effectExtent l="0" t="0" r="19050" b="19050"/>
                      <wp:wrapNone/>
                      <wp:docPr id="36" name="Triángulo isósceles 36"/>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743004D3" id="Triángulo isósceles 36" o:spid="_x0000_s1026" type="#_x0000_t5" style="position:absolute;margin-left:27.5pt;margin-top:-2.85pt;width:27pt;height:16.5pt;rotation:180;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" filled="f" strokecolor="#376092" strokeweight="2pt"/>
                  </w:pict>
                </mc:Fallback>
              </mc:AlternateContent>
            </w:r>
          </w:p>
        </w:tc>
        <w:tc>
          <w:tcPr>
            <w:tcW w:w="1600" w:type="dxa"/>
            <w:tcBorders>
              <w:top w:val="nil"/>
              <w:left w:val="nil"/>
              <w:bottom w:val="single" w:sz="8" w:space="0" w:color="FFFFFF"/>
              <w:right w:val="single" w:sz="8" w:space="0" w:color="FFFFFF"/>
            </w:tcBorders>
            <w:shd w:val="clear" w:color="000000" w:fill="B8CCE4"/>
            <w:vAlign w:val="center"/>
            <w:hideMark/>
          </w:tcPr>
          <w:p w14:paraId="07EE6FE7" w14:textId="558F0532" w:rsidR="00783500" w:rsidRPr="00783500" w:rsidRDefault="00783500" w:rsidP="00783500">
            <w:pPr>
              <w:jc w:val="center"/>
              <w:rPr>
                <w:rFonts w:ascii="Arial" w:hAnsi="Arial" w:cs="Arial"/>
                <w:b/>
                <w:color w:val="0F243E"/>
                <w:sz w:val="20"/>
                <w:szCs w:val="20"/>
              </w:rPr>
            </w:pPr>
            <w:r w:rsidRPr="00783500">
              <w:rPr>
                <w:rFonts w:ascii="Arial" w:hAnsi="Arial" w:cs="Arial"/>
                <w:b/>
                <w:color w:val="0F243E"/>
                <w:sz w:val="20"/>
                <w:szCs w:val="20"/>
              </w:rPr>
              <w:t>(28.570.855)</w:t>
            </w:r>
          </w:p>
        </w:tc>
        <w:tc>
          <w:tcPr>
            <w:tcW w:w="1111" w:type="dxa"/>
            <w:tcBorders>
              <w:top w:val="nil"/>
              <w:left w:val="nil"/>
              <w:bottom w:val="single" w:sz="8" w:space="0" w:color="FFFFFF"/>
              <w:right w:val="single" w:sz="8" w:space="0" w:color="FFFFFF"/>
            </w:tcBorders>
            <w:shd w:val="clear" w:color="000000" w:fill="B8CCE4"/>
            <w:vAlign w:val="center"/>
            <w:hideMark/>
          </w:tcPr>
          <w:p w14:paraId="6147B22E" w14:textId="41A8C5D8" w:rsidR="00783500" w:rsidRPr="00783500" w:rsidRDefault="00783500" w:rsidP="00783500">
            <w:pPr>
              <w:jc w:val="center"/>
              <w:rPr>
                <w:rFonts w:ascii="Arial" w:hAnsi="Arial" w:cs="Arial"/>
                <w:b/>
                <w:bCs/>
                <w:color w:val="0F243E"/>
                <w:sz w:val="20"/>
                <w:szCs w:val="20"/>
              </w:rPr>
            </w:pPr>
            <w:r>
              <w:rPr>
                <w:rFonts w:ascii="Arial" w:hAnsi="Arial" w:cs="Arial"/>
                <w:b/>
                <w:bCs/>
                <w:color w:val="0F243E"/>
                <w:sz w:val="20"/>
                <w:szCs w:val="20"/>
              </w:rPr>
              <w:t>(</w:t>
            </w:r>
            <w:r w:rsidRPr="00783500">
              <w:rPr>
                <w:rFonts w:ascii="Arial" w:hAnsi="Arial" w:cs="Arial"/>
                <w:b/>
                <w:bCs/>
                <w:color w:val="0F243E"/>
                <w:sz w:val="20"/>
                <w:szCs w:val="20"/>
              </w:rPr>
              <w:t>4%</w:t>
            </w:r>
            <w:r>
              <w:rPr>
                <w:rFonts w:ascii="Arial" w:hAnsi="Arial" w:cs="Arial"/>
                <w:b/>
                <w:bCs/>
                <w:color w:val="0F243E"/>
                <w:sz w:val="20"/>
                <w:szCs w:val="20"/>
              </w:rPr>
              <w:t>)</w:t>
            </w:r>
          </w:p>
        </w:tc>
      </w:tr>
      <w:tr w:rsidR="00783500" w:rsidRPr="00783500" w14:paraId="450DF35C" w14:textId="77777777" w:rsidTr="000972A2">
        <w:trPr>
          <w:trHeight w:val="675"/>
        </w:trPr>
        <w:tc>
          <w:tcPr>
            <w:tcW w:w="780" w:type="dxa"/>
            <w:vMerge/>
            <w:tcBorders>
              <w:top w:val="nil"/>
              <w:left w:val="single" w:sz="8" w:space="0" w:color="FFFFFF"/>
              <w:bottom w:val="single" w:sz="8" w:space="0" w:color="FFFFFF"/>
              <w:right w:val="single" w:sz="8" w:space="0" w:color="FFFFFF"/>
            </w:tcBorders>
            <w:vAlign w:val="center"/>
            <w:hideMark/>
          </w:tcPr>
          <w:p w14:paraId="7E6A4D0E" w14:textId="77777777" w:rsidR="00783500" w:rsidRPr="00783500" w:rsidRDefault="00783500" w:rsidP="00783500">
            <w:pPr>
              <w:rPr>
                <w:rFonts w:ascii="Arial" w:hAnsi="Arial" w:cs="Arial"/>
                <w:b/>
                <w:bCs/>
                <w:color w:val="FFFFFF"/>
                <w:sz w:val="20"/>
                <w:szCs w:val="20"/>
              </w:rPr>
            </w:pPr>
          </w:p>
        </w:tc>
        <w:tc>
          <w:tcPr>
            <w:tcW w:w="1100" w:type="dxa"/>
            <w:vMerge/>
            <w:tcBorders>
              <w:top w:val="nil"/>
              <w:left w:val="single" w:sz="8" w:space="0" w:color="FFFFFF"/>
              <w:bottom w:val="single" w:sz="8" w:space="0" w:color="FFFFFF"/>
              <w:right w:val="single" w:sz="8" w:space="0" w:color="FFFFFF"/>
            </w:tcBorders>
            <w:vAlign w:val="center"/>
            <w:hideMark/>
          </w:tcPr>
          <w:p w14:paraId="4F1AFEE2" w14:textId="77777777" w:rsidR="00783500" w:rsidRPr="00783500" w:rsidRDefault="00783500" w:rsidP="00783500">
            <w:pPr>
              <w:rPr>
                <w:rFonts w:ascii="Arial" w:hAnsi="Arial" w:cs="Arial"/>
                <w:b/>
                <w:bCs/>
                <w:color w:val="0F243E"/>
                <w:sz w:val="20"/>
                <w:szCs w:val="20"/>
              </w:rPr>
            </w:pPr>
          </w:p>
        </w:tc>
        <w:tc>
          <w:tcPr>
            <w:tcW w:w="2060" w:type="dxa"/>
            <w:tcBorders>
              <w:top w:val="nil"/>
              <w:left w:val="nil"/>
              <w:bottom w:val="single" w:sz="8" w:space="0" w:color="FFFFFF"/>
              <w:right w:val="single" w:sz="8" w:space="0" w:color="FFFFFF"/>
            </w:tcBorders>
            <w:shd w:val="clear" w:color="000000" w:fill="DBE5F1"/>
            <w:vAlign w:val="center"/>
            <w:hideMark/>
          </w:tcPr>
          <w:p w14:paraId="59B0F40C" w14:textId="77777777" w:rsidR="00783500" w:rsidRPr="00783500" w:rsidRDefault="00783500" w:rsidP="00783500">
            <w:pPr>
              <w:rPr>
                <w:rFonts w:ascii="Arial" w:hAnsi="Arial" w:cs="Arial"/>
                <w:color w:val="0F243E"/>
                <w:sz w:val="20"/>
                <w:szCs w:val="20"/>
              </w:rPr>
            </w:pPr>
            <w:r w:rsidRPr="00783500">
              <w:rPr>
                <w:rFonts w:ascii="Arial" w:hAnsi="Arial" w:cs="Arial"/>
                <w:color w:val="0F243E"/>
                <w:sz w:val="20"/>
                <w:szCs w:val="20"/>
              </w:rPr>
              <w:t>Cantidad</w:t>
            </w:r>
          </w:p>
        </w:tc>
        <w:tc>
          <w:tcPr>
            <w:tcW w:w="1460" w:type="dxa"/>
            <w:tcBorders>
              <w:top w:val="nil"/>
              <w:left w:val="nil"/>
              <w:bottom w:val="single" w:sz="8" w:space="0" w:color="FFFFFF"/>
              <w:right w:val="single" w:sz="8" w:space="0" w:color="FFFFFF"/>
            </w:tcBorders>
            <w:shd w:val="clear" w:color="000000" w:fill="B8CCE4"/>
            <w:vAlign w:val="center"/>
            <w:hideMark/>
          </w:tcPr>
          <w:p w14:paraId="748F694A" w14:textId="77777777" w:rsidR="00783500" w:rsidRPr="00783500" w:rsidRDefault="00783500" w:rsidP="00783500">
            <w:pPr>
              <w:jc w:val="center"/>
              <w:rPr>
                <w:rFonts w:ascii="Arial" w:hAnsi="Arial" w:cs="Arial"/>
                <w:color w:val="0F243E"/>
                <w:sz w:val="20"/>
                <w:szCs w:val="20"/>
              </w:rPr>
            </w:pPr>
            <w:r w:rsidRPr="00783500">
              <w:rPr>
                <w:rFonts w:ascii="Arial" w:hAnsi="Arial" w:cs="Arial"/>
                <w:color w:val="0F243E"/>
                <w:sz w:val="20"/>
                <w:szCs w:val="20"/>
              </w:rPr>
              <w:t>III Trimestre 2019-2018</w:t>
            </w:r>
          </w:p>
        </w:tc>
        <w:tc>
          <w:tcPr>
            <w:tcW w:w="1660" w:type="dxa"/>
            <w:tcBorders>
              <w:top w:val="nil"/>
              <w:left w:val="nil"/>
              <w:bottom w:val="single" w:sz="8" w:space="0" w:color="FFFFFF"/>
              <w:right w:val="single" w:sz="8" w:space="0" w:color="FFFFFF"/>
            </w:tcBorders>
            <w:shd w:val="clear" w:color="000000" w:fill="DBE5F1"/>
            <w:vAlign w:val="center"/>
            <w:hideMark/>
          </w:tcPr>
          <w:p w14:paraId="3CC74288" w14:textId="5095D52A" w:rsidR="00783500" w:rsidRPr="00783500" w:rsidRDefault="00783500" w:rsidP="00783500">
            <w:pPr>
              <w:rPr>
                <w:rFonts w:ascii="Arial" w:hAnsi="Arial" w:cs="Arial"/>
                <w:color w:val="0F243E"/>
                <w:sz w:val="20"/>
                <w:szCs w:val="20"/>
              </w:rPr>
            </w:pPr>
            <w:r w:rsidRPr="00783500">
              <w:rPr>
                <w:rFonts w:ascii="Arial" w:hAnsi="Arial" w:cs="Arial"/>
                <w:noProof/>
                <w:color w:val="0F243E"/>
                <w:sz w:val="20"/>
                <w:szCs w:val="20"/>
              </w:rPr>
              <mc:AlternateContent>
                <mc:Choice Requires="wps">
                  <w:drawing>
                    <wp:anchor distT="0" distB="0" distL="114300" distR="114300" simplePos="0" relativeHeight="251985920" behindDoc="0" locked="0" layoutInCell="1" allowOverlap="1" wp14:anchorId="32B6E9A9" wp14:editId="6207CE70">
                      <wp:simplePos x="0" y="0"/>
                      <wp:positionH relativeFrom="column">
                        <wp:posOffset>365125</wp:posOffset>
                      </wp:positionH>
                      <wp:positionV relativeFrom="paragraph">
                        <wp:posOffset>20320</wp:posOffset>
                      </wp:positionV>
                      <wp:extent cx="342900" cy="200025"/>
                      <wp:effectExtent l="0" t="0" r="19050" b="28575"/>
                      <wp:wrapNone/>
                      <wp:docPr id="9" name="Triángulo isósceles 9"/>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44DACD58" id="Triángulo isósceles 9" o:spid="_x0000_s1026" type="#_x0000_t5" style="position:absolute;margin-left:28.75pt;margin-top:1.6pt;width:27pt;height:15.75pt;rotation:180;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" filled="f" strokecolor="#376092" strokeweight="2pt"/>
                  </w:pict>
                </mc:Fallback>
              </mc:AlternateContent>
            </w:r>
          </w:p>
        </w:tc>
        <w:tc>
          <w:tcPr>
            <w:tcW w:w="1600" w:type="dxa"/>
            <w:tcBorders>
              <w:top w:val="nil"/>
              <w:left w:val="nil"/>
              <w:bottom w:val="single" w:sz="8" w:space="0" w:color="FFFFFF"/>
              <w:right w:val="single" w:sz="8" w:space="0" w:color="FFFFFF"/>
            </w:tcBorders>
            <w:shd w:val="clear" w:color="000000" w:fill="DBE5F1"/>
            <w:vAlign w:val="center"/>
            <w:hideMark/>
          </w:tcPr>
          <w:p w14:paraId="43501E9E" w14:textId="77777777" w:rsidR="00783500" w:rsidRPr="00783500" w:rsidRDefault="00783500" w:rsidP="00783500">
            <w:pPr>
              <w:jc w:val="center"/>
              <w:rPr>
                <w:rFonts w:ascii="Arial" w:hAnsi="Arial" w:cs="Arial"/>
                <w:b/>
                <w:color w:val="0F243E"/>
                <w:sz w:val="20"/>
                <w:szCs w:val="20"/>
              </w:rPr>
            </w:pPr>
            <w:r w:rsidRPr="00783500">
              <w:rPr>
                <w:rFonts w:ascii="Arial" w:hAnsi="Arial" w:cs="Arial"/>
                <w:b/>
                <w:color w:val="0F243E"/>
                <w:sz w:val="20"/>
                <w:szCs w:val="20"/>
              </w:rPr>
              <w:t>(2) Contratos</w:t>
            </w:r>
          </w:p>
        </w:tc>
        <w:tc>
          <w:tcPr>
            <w:tcW w:w="1111" w:type="dxa"/>
            <w:tcBorders>
              <w:top w:val="nil"/>
              <w:left w:val="nil"/>
              <w:bottom w:val="single" w:sz="8" w:space="0" w:color="FFFFFF"/>
              <w:right w:val="single" w:sz="8" w:space="0" w:color="FFFFFF"/>
            </w:tcBorders>
            <w:shd w:val="clear" w:color="000000" w:fill="DBE5F1"/>
            <w:vAlign w:val="center"/>
            <w:hideMark/>
          </w:tcPr>
          <w:p w14:paraId="73B36A9D" w14:textId="15553D73" w:rsidR="00783500" w:rsidRPr="00783500" w:rsidRDefault="00783500" w:rsidP="00783500">
            <w:pPr>
              <w:jc w:val="center"/>
              <w:rPr>
                <w:rFonts w:ascii="Arial" w:hAnsi="Arial" w:cs="Arial"/>
                <w:b/>
                <w:bCs/>
                <w:color w:val="0F243E"/>
                <w:sz w:val="20"/>
                <w:szCs w:val="20"/>
              </w:rPr>
            </w:pPr>
            <w:r>
              <w:rPr>
                <w:rFonts w:ascii="Arial" w:hAnsi="Arial" w:cs="Arial"/>
                <w:b/>
                <w:bCs/>
                <w:color w:val="0F243E"/>
                <w:sz w:val="20"/>
                <w:szCs w:val="20"/>
              </w:rPr>
              <w:t>(</w:t>
            </w:r>
            <w:r w:rsidRPr="00783500">
              <w:rPr>
                <w:rFonts w:ascii="Arial" w:hAnsi="Arial" w:cs="Arial"/>
                <w:b/>
                <w:bCs/>
                <w:color w:val="0F243E"/>
                <w:sz w:val="20"/>
                <w:szCs w:val="20"/>
              </w:rPr>
              <w:t>2%</w:t>
            </w:r>
            <w:r>
              <w:rPr>
                <w:rFonts w:ascii="Arial" w:hAnsi="Arial" w:cs="Arial"/>
                <w:b/>
                <w:bCs/>
                <w:color w:val="0F243E"/>
                <w:sz w:val="20"/>
                <w:szCs w:val="20"/>
              </w:rPr>
              <w:t>)</w:t>
            </w:r>
          </w:p>
        </w:tc>
      </w:tr>
    </w:tbl>
    <w:p w14:paraId="5588F875" w14:textId="776A689E" w:rsidR="00783500" w:rsidRDefault="00783500" w:rsidP="00783500">
      <w:pPr>
        <w:rPr>
          <w:rFonts w:ascii="Arial" w:hAnsi="Arial" w:cs="Arial"/>
          <w:b/>
          <w:sz w:val="22"/>
          <w:szCs w:val="22"/>
        </w:rPr>
      </w:pPr>
    </w:p>
    <w:p w14:paraId="483C7C7E" w14:textId="77777777" w:rsidR="00A70DA4" w:rsidRPr="00783500" w:rsidRDefault="00A70DA4" w:rsidP="00783500">
      <w:pPr>
        <w:rPr>
          <w:rFonts w:ascii="Arial" w:hAnsi="Arial" w:cs="Arial"/>
          <w:b/>
          <w:sz w:val="22"/>
          <w:szCs w:val="22"/>
        </w:rPr>
      </w:pPr>
    </w:p>
    <w:p w14:paraId="748FA35B" w14:textId="77777777" w:rsidR="00783F1E" w:rsidRPr="007C23EA" w:rsidRDefault="00783F1E" w:rsidP="00783F1E">
      <w:pPr>
        <w:rPr>
          <w:rFonts w:ascii="Arial" w:hAnsi="Arial" w:cs="Arial"/>
          <w:b/>
          <w:sz w:val="22"/>
          <w:szCs w:val="22"/>
        </w:rPr>
      </w:pPr>
    </w:p>
    <w:p w14:paraId="457AD6F7" w14:textId="379B60B6" w:rsidR="0048030E" w:rsidRDefault="0070513A" w:rsidP="0045629B">
      <w:pPr>
        <w:pStyle w:val="Prrafodelista"/>
        <w:numPr>
          <w:ilvl w:val="0"/>
          <w:numId w:val="11"/>
        </w:numPr>
        <w:spacing w:line="264" w:lineRule="auto"/>
        <w:jc w:val="left"/>
        <w:rPr>
          <w:rFonts w:ascii="Arial" w:hAnsi="Arial" w:cs="Arial"/>
          <w:b/>
          <w:color w:val="000000" w:themeColor="text1"/>
          <w:sz w:val="22"/>
          <w:szCs w:val="22"/>
        </w:rPr>
      </w:pPr>
      <w:r w:rsidRPr="007C23EA">
        <w:rPr>
          <w:rFonts w:ascii="Arial" w:hAnsi="Arial" w:cs="Arial"/>
          <w:b/>
          <w:color w:val="000000" w:themeColor="text1"/>
          <w:sz w:val="22"/>
          <w:szCs w:val="22"/>
        </w:rPr>
        <w:t>GASTOS DE PASAJES Y VIÁTICOS</w:t>
      </w:r>
    </w:p>
    <w:p w14:paraId="5EDA075F" w14:textId="2C3C867D" w:rsidR="007C23EA" w:rsidRDefault="007C23EA" w:rsidP="007C23EA">
      <w:pPr>
        <w:pStyle w:val="Prrafodelista"/>
        <w:spacing w:line="264" w:lineRule="auto"/>
        <w:ind w:left="360"/>
        <w:jc w:val="left"/>
        <w:rPr>
          <w:rFonts w:ascii="Arial" w:hAnsi="Arial" w:cs="Arial"/>
          <w:b/>
          <w:color w:val="000000" w:themeColor="text1"/>
          <w:sz w:val="22"/>
          <w:szCs w:val="22"/>
        </w:rPr>
      </w:pPr>
    </w:p>
    <w:tbl>
      <w:tblPr>
        <w:tblW w:w="9740" w:type="dxa"/>
        <w:tblCellMar>
          <w:left w:w="70" w:type="dxa"/>
          <w:right w:w="70" w:type="dxa"/>
        </w:tblCellMar>
        <w:tblLook w:val="04A0" w:firstRow="1" w:lastRow="0" w:firstColumn="1" w:lastColumn="0" w:noHBand="0" w:noVBand="1"/>
      </w:tblPr>
      <w:tblGrid>
        <w:gridCol w:w="1188"/>
        <w:gridCol w:w="1195"/>
        <w:gridCol w:w="1709"/>
        <w:gridCol w:w="1252"/>
        <w:gridCol w:w="1394"/>
        <w:gridCol w:w="1811"/>
        <w:gridCol w:w="1191"/>
      </w:tblGrid>
      <w:tr w:rsidR="007C23EA" w:rsidRPr="007C23EA" w14:paraId="4EF7476E" w14:textId="77777777" w:rsidTr="007C23EA">
        <w:trPr>
          <w:trHeight w:val="780"/>
        </w:trPr>
        <w:tc>
          <w:tcPr>
            <w:tcW w:w="1200" w:type="dxa"/>
            <w:tcBorders>
              <w:top w:val="single" w:sz="8" w:space="0" w:color="FFFFFF"/>
              <w:left w:val="single" w:sz="8" w:space="0" w:color="FFFFFF"/>
              <w:bottom w:val="single" w:sz="8" w:space="0" w:color="FFFFFF"/>
              <w:right w:val="nil"/>
            </w:tcBorders>
            <w:shd w:val="clear" w:color="000000" w:fill="4F81BD"/>
            <w:vAlign w:val="center"/>
            <w:hideMark/>
          </w:tcPr>
          <w:p w14:paraId="00FA107C" w14:textId="77777777" w:rsidR="007C23EA" w:rsidRPr="007C23EA" w:rsidRDefault="007C23EA" w:rsidP="007C23EA">
            <w:pPr>
              <w:jc w:val="center"/>
              <w:rPr>
                <w:rFonts w:ascii="Arial" w:hAnsi="Arial" w:cs="Arial"/>
                <w:b/>
                <w:bCs/>
                <w:color w:val="FFFFFF"/>
                <w:sz w:val="20"/>
                <w:szCs w:val="20"/>
              </w:rPr>
            </w:pPr>
            <w:r w:rsidRPr="007C23EA">
              <w:rPr>
                <w:rFonts w:ascii="Arial" w:hAnsi="Arial" w:cs="Arial"/>
                <w:b/>
                <w:bCs/>
                <w:color w:val="FFFFFF"/>
                <w:sz w:val="20"/>
                <w:szCs w:val="20"/>
              </w:rPr>
              <w:t>Ítem</w:t>
            </w:r>
          </w:p>
        </w:tc>
        <w:tc>
          <w:tcPr>
            <w:tcW w:w="1200" w:type="dxa"/>
            <w:tcBorders>
              <w:top w:val="single" w:sz="8" w:space="0" w:color="FFFFFF"/>
              <w:left w:val="nil"/>
              <w:bottom w:val="single" w:sz="8" w:space="0" w:color="FFFFFF"/>
              <w:right w:val="nil"/>
            </w:tcBorders>
            <w:shd w:val="clear" w:color="000000" w:fill="4F81BD"/>
            <w:vAlign w:val="center"/>
            <w:hideMark/>
          </w:tcPr>
          <w:p w14:paraId="14571035" w14:textId="77777777" w:rsidR="007C23EA" w:rsidRPr="007C23EA" w:rsidRDefault="007C23EA" w:rsidP="007C23EA">
            <w:pPr>
              <w:jc w:val="center"/>
              <w:rPr>
                <w:rFonts w:ascii="Arial" w:hAnsi="Arial" w:cs="Arial"/>
                <w:b/>
                <w:bCs/>
                <w:color w:val="FFFFFF"/>
                <w:sz w:val="20"/>
                <w:szCs w:val="20"/>
              </w:rPr>
            </w:pPr>
            <w:r w:rsidRPr="007C23EA">
              <w:rPr>
                <w:rFonts w:ascii="Arial" w:hAnsi="Arial" w:cs="Arial"/>
                <w:b/>
                <w:bCs/>
                <w:color w:val="FFFFFF"/>
                <w:sz w:val="20"/>
                <w:szCs w:val="20"/>
              </w:rPr>
              <w:t>Numeral Informe</w:t>
            </w:r>
          </w:p>
        </w:tc>
        <w:tc>
          <w:tcPr>
            <w:tcW w:w="1720" w:type="dxa"/>
            <w:tcBorders>
              <w:top w:val="single" w:sz="8" w:space="0" w:color="FFFFFF"/>
              <w:left w:val="nil"/>
              <w:bottom w:val="single" w:sz="8" w:space="0" w:color="FFFFFF"/>
              <w:right w:val="nil"/>
            </w:tcBorders>
            <w:shd w:val="clear" w:color="000000" w:fill="4F81BD"/>
            <w:vAlign w:val="center"/>
            <w:hideMark/>
          </w:tcPr>
          <w:p w14:paraId="6B158CB5" w14:textId="77777777" w:rsidR="007C23EA" w:rsidRPr="007C23EA" w:rsidRDefault="007C23EA" w:rsidP="007C23EA">
            <w:pPr>
              <w:jc w:val="center"/>
              <w:rPr>
                <w:rFonts w:ascii="Arial" w:hAnsi="Arial" w:cs="Arial"/>
                <w:b/>
                <w:bCs/>
                <w:color w:val="FFFFFF"/>
                <w:sz w:val="20"/>
                <w:szCs w:val="20"/>
              </w:rPr>
            </w:pPr>
            <w:r w:rsidRPr="007C23EA">
              <w:rPr>
                <w:rFonts w:ascii="Arial" w:hAnsi="Arial" w:cs="Arial"/>
                <w:b/>
                <w:bCs/>
                <w:color w:val="FFFFFF"/>
                <w:sz w:val="20"/>
                <w:szCs w:val="20"/>
              </w:rPr>
              <w:t>Concepto</w:t>
            </w:r>
          </w:p>
        </w:tc>
        <w:tc>
          <w:tcPr>
            <w:tcW w:w="1200" w:type="dxa"/>
            <w:tcBorders>
              <w:top w:val="single" w:sz="8" w:space="0" w:color="FFFFFF"/>
              <w:left w:val="nil"/>
              <w:bottom w:val="single" w:sz="8" w:space="0" w:color="FFFFFF"/>
              <w:right w:val="nil"/>
            </w:tcBorders>
            <w:shd w:val="clear" w:color="000000" w:fill="4F81BD"/>
            <w:vAlign w:val="center"/>
            <w:hideMark/>
          </w:tcPr>
          <w:p w14:paraId="34C3DDB9" w14:textId="77777777" w:rsidR="007C23EA" w:rsidRPr="007C23EA" w:rsidRDefault="007C23EA" w:rsidP="007C23EA">
            <w:pPr>
              <w:jc w:val="center"/>
              <w:rPr>
                <w:rFonts w:ascii="Arial" w:hAnsi="Arial" w:cs="Arial"/>
                <w:b/>
                <w:bCs/>
                <w:color w:val="FFFFFF"/>
                <w:sz w:val="20"/>
                <w:szCs w:val="20"/>
              </w:rPr>
            </w:pPr>
            <w:r w:rsidRPr="007C23EA">
              <w:rPr>
                <w:rFonts w:ascii="Arial" w:hAnsi="Arial" w:cs="Arial"/>
                <w:b/>
                <w:bCs/>
                <w:color w:val="FFFFFF"/>
                <w:sz w:val="20"/>
                <w:szCs w:val="20"/>
              </w:rPr>
              <w:t xml:space="preserve">Periodo Comparado </w:t>
            </w:r>
          </w:p>
        </w:tc>
        <w:tc>
          <w:tcPr>
            <w:tcW w:w="1400" w:type="dxa"/>
            <w:tcBorders>
              <w:top w:val="single" w:sz="8" w:space="0" w:color="FFFFFF"/>
              <w:left w:val="nil"/>
              <w:bottom w:val="single" w:sz="8" w:space="0" w:color="FFFFFF"/>
              <w:right w:val="nil"/>
            </w:tcBorders>
            <w:shd w:val="clear" w:color="000000" w:fill="4F81BD"/>
            <w:vAlign w:val="center"/>
            <w:hideMark/>
          </w:tcPr>
          <w:p w14:paraId="591DDBE5" w14:textId="77777777" w:rsidR="007C23EA" w:rsidRPr="007C23EA" w:rsidRDefault="007C23EA" w:rsidP="007C23EA">
            <w:pPr>
              <w:jc w:val="center"/>
              <w:rPr>
                <w:rFonts w:ascii="Arial" w:hAnsi="Arial" w:cs="Arial"/>
                <w:b/>
                <w:bCs/>
                <w:color w:val="FFFFFF"/>
                <w:sz w:val="20"/>
                <w:szCs w:val="20"/>
              </w:rPr>
            </w:pPr>
            <w:r w:rsidRPr="007C23EA">
              <w:rPr>
                <w:rFonts w:ascii="Arial" w:hAnsi="Arial" w:cs="Arial"/>
                <w:b/>
                <w:bCs/>
                <w:color w:val="FFFFFF"/>
                <w:sz w:val="20"/>
                <w:szCs w:val="20"/>
              </w:rPr>
              <w:t xml:space="preserve">Variación </w:t>
            </w:r>
          </w:p>
        </w:tc>
        <w:tc>
          <w:tcPr>
            <w:tcW w:w="1820" w:type="dxa"/>
            <w:tcBorders>
              <w:top w:val="single" w:sz="8" w:space="0" w:color="FFFFFF"/>
              <w:left w:val="nil"/>
              <w:bottom w:val="single" w:sz="8" w:space="0" w:color="FFFFFF"/>
              <w:right w:val="nil"/>
            </w:tcBorders>
            <w:shd w:val="clear" w:color="000000" w:fill="4F81BD"/>
            <w:vAlign w:val="center"/>
            <w:hideMark/>
          </w:tcPr>
          <w:p w14:paraId="6989CA4A" w14:textId="77777777" w:rsidR="007C23EA" w:rsidRPr="007C23EA" w:rsidRDefault="007C23EA" w:rsidP="007C23EA">
            <w:pPr>
              <w:jc w:val="center"/>
              <w:rPr>
                <w:rFonts w:ascii="Arial" w:hAnsi="Arial" w:cs="Arial"/>
                <w:b/>
                <w:bCs/>
                <w:color w:val="FFFFFF"/>
                <w:sz w:val="20"/>
                <w:szCs w:val="20"/>
              </w:rPr>
            </w:pPr>
            <w:r w:rsidRPr="007C23EA">
              <w:rPr>
                <w:rFonts w:ascii="Arial" w:hAnsi="Arial" w:cs="Arial"/>
                <w:b/>
                <w:bCs/>
                <w:color w:val="FFFFFF"/>
                <w:sz w:val="20"/>
                <w:szCs w:val="20"/>
              </w:rPr>
              <w:t>Valor / Cantidad</w:t>
            </w:r>
          </w:p>
        </w:tc>
        <w:tc>
          <w:tcPr>
            <w:tcW w:w="1200" w:type="dxa"/>
            <w:tcBorders>
              <w:top w:val="single" w:sz="8" w:space="0" w:color="FFFFFF"/>
              <w:left w:val="nil"/>
              <w:bottom w:val="single" w:sz="8" w:space="0" w:color="FFFFFF"/>
              <w:right w:val="single" w:sz="8" w:space="0" w:color="FFFFFF"/>
            </w:tcBorders>
            <w:shd w:val="clear" w:color="000000" w:fill="4F81BD"/>
            <w:vAlign w:val="center"/>
            <w:hideMark/>
          </w:tcPr>
          <w:p w14:paraId="66225A83" w14:textId="77777777" w:rsidR="007C23EA" w:rsidRPr="007C23EA" w:rsidRDefault="007C23EA" w:rsidP="007C23EA">
            <w:pPr>
              <w:jc w:val="center"/>
              <w:rPr>
                <w:rFonts w:ascii="Arial" w:hAnsi="Arial" w:cs="Arial"/>
                <w:b/>
                <w:bCs/>
                <w:color w:val="FFFFFF"/>
                <w:sz w:val="20"/>
                <w:szCs w:val="20"/>
              </w:rPr>
            </w:pPr>
            <w:r w:rsidRPr="007C23EA">
              <w:rPr>
                <w:rFonts w:ascii="Arial" w:hAnsi="Arial" w:cs="Arial"/>
                <w:b/>
                <w:bCs/>
                <w:color w:val="FFFFFF"/>
                <w:sz w:val="20"/>
                <w:szCs w:val="20"/>
              </w:rPr>
              <w:t>%</w:t>
            </w:r>
          </w:p>
        </w:tc>
      </w:tr>
      <w:tr w:rsidR="007C23EA" w:rsidRPr="007C23EA" w14:paraId="48FCA273" w14:textId="77777777" w:rsidTr="007C23EA">
        <w:trPr>
          <w:trHeight w:val="990"/>
        </w:trPr>
        <w:tc>
          <w:tcPr>
            <w:tcW w:w="1200" w:type="dxa"/>
            <w:vMerge w:val="restart"/>
            <w:tcBorders>
              <w:top w:val="nil"/>
              <w:left w:val="single" w:sz="8" w:space="0" w:color="FFFFFF"/>
              <w:bottom w:val="single" w:sz="8" w:space="0" w:color="FFFFFF"/>
              <w:right w:val="single" w:sz="8" w:space="0" w:color="FFFFFF"/>
            </w:tcBorders>
            <w:shd w:val="clear" w:color="000000" w:fill="4F81BD"/>
            <w:textDirection w:val="btLr"/>
            <w:vAlign w:val="center"/>
            <w:hideMark/>
          </w:tcPr>
          <w:p w14:paraId="7F7C19C1" w14:textId="77777777" w:rsidR="007C23EA" w:rsidRPr="007C23EA" w:rsidRDefault="007C23EA" w:rsidP="007C23EA">
            <w:pPr>
              <w:jc w:val="center"/>
              <w:rPr>
                <w:rFonts w:ascii="Arial" w:hAnsi="Arial" w:cs="Arial"/>
                <w:b/>
                <w:bCs/>
                <w:color w:val="FFFFFF"/>
                <w:sz w:val="20"/>
                <w:szCs w:val="20"/>
              </w:rPr>
            </w:pPr>
            <w:r w:rsidRPr="007C23EA">
              <w:rPr>
                <w:rFonts w:ascii="Arial" w:hAnsi="Arial" w:cs="Arial"/>
                <w:b/>
                <w:bCs/>
                <w:color w:val="FFFFFF"/>
                <w:sz w:val="20"/>
                <w:szCs w:val="20"/>
              </w:rPr>
              <w:t>Gastos de Pasajes y Viáticos</w:t>
            </w:r>
          </w:p>
        </w:tc>
        <w:tc>
          <w:tcPr>
            <w:tcW w:w="1200" w:type="dxa"/>
            <w:vMerge w:val="restart"/>
            <w:tcBorders>
              <w:top w:val="nil"/>
              <w:left w:val="single" w:sz="8" w:space="0" w:color="FFFFFF"/>
              <w:bottom w:val="single" w:sz="8" w:space="0" w:color="FFFFFF"/>
              <w:right w:val="single" w:sz="8" w:space="0" w:color="FFFFFF"/>
            </w:tcBorders>
            <w:shd w:val="clear" w:color="000000" w:fill="B8CCE4"/>
            <w:vAlign w:val="center"/>
            <w:hideMark/>
          </w:tcPr>
          <w:p w14:paraId="56F4F64D" w14:textId="77777777" w:rsidR="007C23EA" w:rsidRPr="007C23EA" w:rsidRDefault="007C23EA" w:rsidP="007C23EA">
            <w:pPr>
              <w:jc w:val="center"/>
              <w:rPr>
                <w:rFonts w:ascii="Arial" w:hAnsi="Arial" w:cs="Arial"/>
                <w:b/>
                <w:bCs/>
                <w:color w:val="0F243E"/>
                <w:sz w:val="20"/>
                <w:szCs w:val="20"/>
              </w:rPr>
            </w:pPr>
            <w:r w:rsidRPr="007C23EA">
              <w:rPr>
                <w:rFonts w:ascii="Arial" w:hAnsi="Arial" w:cs="Arial"/>
                <w:b/>
                <w:bCs/>
                <w:color w:val="0F243E"/>
                <w:sz w:val="20"/>
                <w:szCs w:val="20"/>
              </w:rPr>
              <w:t>3</w:t>
            </w:r>
          </w:p>
        </w:tc>
        <w:tc>
          <w:tcPr>
            <w:tcW w:w="1720" w:type="dxa"/>
            <w:tcBorders>
              <w:top w:val="nil"/>
              <w:left w:val="nil"/>
              <w:bottom w:val="single" w:sz="8" w:space="0" w:color="FFFFFF"/>
              <w:right w:val="single" w:sz="8" w:space="0" w:color="FFFFFF"/>
            </w:tcBorders>
            <w:shd w:val="clear" w:color="000000" w:fill="B8CCE4"/>
            <w:vAlign w:val="center"/>
            <w:hideMark/>
          </w:tcPr>
          <w:p w14:paraId="0E99C51D" w14:textId="77777777" w:rsidR="007C23EA" w:rsidRPr="007C23EA" w:rsidRDefault="007C23EA" w:rsidP="007C23EA">
            <w:pPr>
              <w:jc w:val="center"/>
              <w:rPr>
                <w:rFonts w:ascii="Arial" w:hAnsi="Arial" w:cs="Arial"/>
                <w:color w:val="0F243E"/>
                <w:sz w:val="20"/>
                <w:szCs w:val="20"/>
              </w:rPr>
            </w:pPr>
            <w:r w:rsidRPr="007C23EA">
              <w:rPr>
                <w:rFonts w:ascii="Arial" w:hAnsi="Arial" w:cs="Arial"/>
                <w:color w:val="0F243E"/>
                <w:sz w:val="20"/>
                <w:szCs w:val="20"/>
              </w:rPr>
              <w:t>Valor del Gasto Pasaje</w:t>
            </w:r>
          </w:p>
        </w:tc>
        <w:tc>
          <w:tcPr>
            <w:tcW w:w="1200" w:type="dxa"/>
            <w:tcBorders>
              <w:top w:val="nil"/>
              <w:left w:val="nil"/>
              <w:bottom w:val="single" w:sz="8" w:space="0" w:color="FFFFFF"/>
              <w:right w:val="single" w:sz="8" w:space="0" w:color="FFFFFF"/>
            </w:tcBorders>
            <w:shd w:val="clear" w:color="000000" w:fill="B8CCE4"/>
            <w:vAlign w:val="center"/>
            <w:hideMark/>
          </w:tcPr>
          <w:p w14:paraId="3C2B948B" w14:textId="77777777" w:rsidR="007C23EA" w:rsidRPr="007C23EA" w:rsidRDefault="007C23EA" w:rsidP="007C23EA">
            <w:pPr>
              <w:jc w:val="center"/>
              <w:rPr>
                <w:rFonts w:ascii="Arial" w:hAnsi="Arial" w:cs="Arial"/>
                <w:color w:val="0F243E"/>
                <w:sz w:val="20"/>
                <w:szCs w:val="20"/>
              </w:rPr>
            </w:pPr>
            <w:r w:rsidRPr="007C23EA">
              <w:rPr>
                <w:rFonts w:ascii="Arial" w:hAnsi="Arial" w:cs="Arial"/>
                <w:color w:val="0F243E"/>
                <w:sz w:val="20"/>
                <w:szCs w:val="20"/>
              </w:rPr>
              <w:t>III Trimestre 2019-2018</w:t>
            </w:r>
          </w:p>
        </w:tc>
        <w:tc>
          <w:tcPr>
            <w:tcW w:w="1400" w:type="dxa"/>
            <w:tcBorders>
              <w:top w:val="nil"/>
              <w:left w:val="nil"/>
              <w:bottom w:val="single" w:sz="8" w:space="0" w:color="FFFFFF"/>
              <w:right w:val="single" w:sz="8" w:space="0" w:color="FFFFFF"/>
            </w:tcBorders>
            <w:shd w:val="clear" w:color="000000" w:fill="B8CCE4"/>
            <w:vAlign w:val="center"/>
            <w:hideMark/>
          </w:tcPr>
          <w:p w14:paraId="6EEE7C5F" w14:textId="6D3F4230" w:rsidR="007C23EA" w:rsidRPr="007C23EA" w:rsidRDefault="007C23EA" w:rsidP="007C23EA">
            <w:pPr>
              <w:rPr>
                <w:rFonts w:ascii="Arial" w:hAnsi="Arial" w:cs="Arial"/>
                <w:color w:val="0F243E"/>
                <w:sz w:val="20"/>
                <w:szCs w:val="20"/>
              </w:rPr>
            </w:pPr>
            <w:r w:rsidRPr="007C23EA">
              <w:rPr>
                <w:rFonts w:ascii="Arial" w:hAnsi="Arial" w:cs="Arial"/>
                <w:noProof/>
                <w:color w:val="0F243E"/>
                <w:sz w:val="20"/>
                <w:szCs w:val="20"/>
              </w:rPr>
              <mc:AlternateContent>
                <mc:Choice Requires="wps">
                  <w:drawing>
                    <wp:anchor distT="0" distB="0" distL="114300" distR="114300" simplePos="0" relativeHeight="251988992" behindDoc="0" locked="0" layoutInCell="1" allowOverlap="1" wp14:anchorId="5C87DA04" wp14:editId="21B805FF">
                      <wp:simplePos x="0" y="0"/>
                      <wp:positionH relativeFrom="column">
                        <wp:posOffset>227965</wp:posOffset>
                      </wp:positionH>
                      <wp:positionV relativeFrom="paragraph">
                        <wp:posOffset>36830</wp:posOffset>
                      </wp:positionV>
                      <wp:extent cx="342900" cy="209550"/>
                      <wp:effectExtent l="0" t="0" r="19050" b="19050"/>
                      <wp:wrapNone/>
                      <wp:docPr id="45" name="Triángulo isósceles 45"/>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BFDD10D" id="Triángulo isósceles 45" o:spid="_x0000_s1026" type="#_x0000_t5" style="position:absolute;margin-left:17.95pt;margin-top:2.9pt;width:27pt;height:16.5pt;rotation:180;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" filled="f" strokecolor="#376092" strokeweight="2pt"/>
                  </w:pict>
                </mc:Fallback>
              </mc:AlternateContent>
            </w:r>
          </w:p>
        </w:tc>
        <w:tc>
          <w:tcPr>
            <w:tcW w:w="1820" w:type="dxa"/>
            <w:tcBorders>
              <w:top w:val="nil"/>
              <w:left w:val="nil"/>
              <w:bottom w:val="single" w:sz="8" w:space="0" w:color="FFFFFF"/>
              <w:right w:val="single" w:sz="8" w:space="0" w:color="FFFFFF"/>
            </w:tcBorders>
            <w:shd w:val="clear" w:color="000000" w:fill="B8CCE4"/>
            <w:vAlign w:val="center"/>
            <w:hideMark/>
          </w:tcPr>
          <w:p w14:paraId="4E264D95" w14:textId="429457A8" w:rsidR="007C23EA" w:rsidRPr="007C23EA" w:rsidRDefault="007C23EA" w:rsidP="007C23EA">
            <w:pPr>
              <w:rPr>
                <w:rFonts w:ascii="Arial" w:hAnsi="Arial" w:cs="Arial"/>
                <w:color w:val="0F243E"/>
                <w:sz w:val="20"/>
                <w:szCs w:val="20"/>
              </w:rPr>
            </w:pPr>
            <w:r w:rsidRPr="007C23EA">
              <w:rPr>
                <w:rFonts w:ascii="Arial" w:hAnsi="Arial" w:cs="Arial"/>
                <w:b/>
                <w:color w:val="0F243E"/>
                <w:sz w:val="20"/>
                <w:szCs w:val="20"/>
              </w:rPr>
              <w:t xml:space="preserve">         (34.099.528</w:t>
            </w:r>
            <w:r>
              <w:rPr>
                <w:rFonts w:ascii="Arial" w:hAnsi="Arial" w:cs="Arial"/>
                <w:color w:val="0F243E"/>
                <w:sz w:val="20"/>
                <w:szCs w:val="20"/>
              </w:rPr>
              <w:t>)</w:t>
            </w:r>
          </w:p>
        </w:tc>
        <w:tc>
          <w:tcPr>
            <w:tcW w:w="1200" w:type="dxa"/>
            <w:tcBorders>
              <w:top w:val="nil"/>
              <w:left w:val="nil"/>
              <w:bottom w:val="single" w:sz="8" w:space="0" w:color="FFFFFF"/>
              <w:right w:val="single" w:sz="8" w:space="0" w:color="FFFFFF"/>
            </w:tcBorders>
            <w:shd w:val="clear" w:color="000000" w:fill="B8CCE4"/>
            <w:vAlign w:val="center"/>
            <w:hideMark/>
          </w:tcPr>
          <w:p w14:paraId="2E7B3DBF" w14:textId="402D49C8" w:rsidR="007C23EA" w:rsidRPr="007C23EA" w:rsidRDefault="007C23EA" w:rsidP="007C23EA">
            <w:pPr>
              <w:jc w:val="center"/>
              <w:rPr>
                <w:rFonts w:ascii="Arial" w:hAnsi="Arial" w:cs="Arial"/>
                <w:b/>
                <w:bCs/>
                <w:color w:val="0F243E"/>
                <w:sz w:val="20"/>
                <w:szCs w:val="20"/>
              </w:rPr>
            </w:pPr>
            <w:r>
              <w:rPr>
                <w:rFonts w:ascii="Arial" w:hAnsi="Arial" w:cs="Arial"/>
                <w:b/>
                <w:bCs/>
                <w:color w:val="0F243E"/>
                <w:sz w:val="20"/>
                <w:szCs w:val="20"/>
              </w:rPr>
              <w:t>(</w:t>
            </w:r>
            <w:r w:rsidRPr="007C23EA">
              <w:rPr>
                <w:rFonts w:ascii="Arial" w:hAnsi="Arial" w:cs="Arial"/>
                <w:b/>
                <w:bCs/>
                <w:color w:val="0F243E"/>
                <w:sz w:val="20"/>
                <w:szCs w:val="20"/>
              </w:rPr>
              <w:t>17%</w:t>
            </w:r>
            <w:r>
              <w:rPr>
                <w:rFonts w:ascii="Arial" w:hAnsi="Arial" w:cs="Arial"/>
                <w:b/>
                <w:bCs/>
                <w:color w:val="0F243E"/>
                <w:sz w:val="20"/>
                <w:szCs w:val="20"/>
              </w:rPr>
              <w:t>)</w:t>
            </w:r>
          </w:p>
        </w:tc>
      </w:tr>
      <w:tr w:rsidR="007C23EA" w:rsidRPr="007C23EA" w14:paraId="330E6C4C" w14:textId="77777777" w:rsidTr="000972A2">
        <w:trPr>
          <w:trHeight w:val="945"/>
        </w:trPr>
        <w:tc>
          <w:tcPr>
            <w:tcW w:w="1200" w:type="dxa"/>
            <w:vMerge/>
            <w:tcBorders>
              <w:top w:val="nil"/>
              <w:left w:val="single" w:sz="8" w:space="0" w:color="FFFFFF"/>
              <w:bottom w:val="single" w:sz="8" w:space="0" w:color="FFFFFF"/>
              <w:right w:val="single" w:sz="8" w:space="0" w:color="FFFFFF"/>
            </w:tcBorders>
            <w:vAlign w:val="center"/>
            <w:hideMark/>
          </w:tcPr>
          <w:p w14:paraId="1EF0FC5B" w14:textId="77777777" w:rsidR="007C23EA" w:rsidRPr="007C23EA" w:rsidRDefault="007C23EA" w:rsidP="007C23EA">
            <w:pPr>
              <w:rPr>
                <w:rFonts w:ascii="Arial" w:hAnsi="Arial" w:cs="Arial"/>
                <w:b/>
                <w:bCs/>
                <w:color w:val="FFFFFF"/>
                <w:sz w:val="20"/>
                <w:szCs w:val="20"/>
              </w:rPr>
            </w:pPr>
          </w:p>
        </w:tc>
        <w:tc>
          <w:tcPr>
            <w:tcW w:w="1200" w:type="dxa"/>
            <w:vMerge/>
            <w:tcBorders>
              <w:top w:val="nil"/>
              <w:left w:val="single" w:sz="8" w:space="0" w:color="FFFFFF"/>
              <w:bottom w:val="single" w:sz="8" w:space="0" w:color="FFFFFF"/>
              <w:right w:val="single" w:sz="8" w:space="0" w:color="FFFFFF"/>
            </w:tcBorders>
            <w:vAlign w:val="center"/>
            <w:hideMark/>
          </w:tcPr>
          <w:p w14:paraId="1E0DFC16" w14:textId="77777777" w:rsidR="007C23EA" w:rsidRPr="007C23EA" w:rsidRDefault="007C23EA" w:rsidP="007C23EA">
            <w:pPr>
              <w:rPr>
                <w:rFonts w:ascii="Arial" w:hAnsi="Arial" w:cs="Arial"/>
                <w:b/>
                <w:bCs/>
                <w:color w:val="0F243E"/>
                <w:sz w:val="20"/>
                <w:szCs w:val="20"/>
              </w:rPr>
            </w:pPr>
          </w:p>
        </w:tc>
        <w:tc>
          <w:tcPr>
            <w:tcW w:w="1720" w:type="dxa"/>
            <w:tcBorders>
              <w:top w:val="nil"/>
              <w:left w:val="nil"/>
              <w:bottom w:val="single" w:sz="8" w:space="0" w:color="FFFFFF"/>
              <w:right w:val="single" w:sz="8" w:space="0" w:color="FFFFFF"/>
            </w:tcBorders>
            <w:shd w:val="clear" w:color="000000" w:fill="DBE5F1"/>
            <w:vAlign w:val="center"/>
            <w:hideMark/>
          </w:tcPr>
          <w:p w14:paraId="198CA758" w14:textId="77777777" w:rsidR="007C23EA" w:rsidRPr="007C23EA" w:rsidRDefault="007C23EA" w:rsidP="007C23EA">
            <w:pPr>
              <w:jc w:val="center"/>
              <w:rPr>
                <w:rFonts w:ascii="Arial" w:hAnsi="Arial" w:cs="Arial"/>
                <w:color w:val="0F243E"/>
                <w:sz w:val="20"/>
                <w:szCs w:val="20"/>
              </w:rPr>
            </w:pPr>
            <w:r w:rsidRPr="007C23EA">
              <w:rPr>
                <w:rFonts w:ascii="Arial" w:hAnsi="Arial" w:cs="Arial"/>
                <w:color w:val="0F243E"/>
                <w:sz w:val="20"/>
                <w:szCs w:val="20"/>
              </w:rPr>
              <w:t>Cantidad de Pasajes</w:t>
            </w:r>
          </w:p>
        </w:tc>
        <w:tc>
          <w:tcPr>
            <w:tcW w:w="1200" w:type="dxa"/>
            <w:tcBorders>
              <w:top w:val="nil"/>
              <w:left w:val="nil"/>
              <w:bottom w:val="single" w:sz="8" w:space="0" w:color="FFFFFF"/>
              <w:right w:val="single" w:sz="8" w:space="0" w:color="FFFFFF"/>
            </w:tcBorders>
            <w:shd w:val="clear" w:color="auto" w:fill="DBE5F1" w:themeFill="accent1" w:themeFillTint="33"/>
            <w:vAlign w:val="center"/>
            <w:hideMark/>
          </w:tcPr>
          <w:p w14:paraId="43FC9C28" w14:textId="77777777" w:rsidR="007C23EA" w:rsidRPr="007C23EA" w:rsidRDefault="007C23EA" w:rsidP="007C23EA">
            <w:pPr>
              <w:jc w:val="center"/>
              <w:rPr>
                <w:rFonts w:ascii="Arial" w:hAnsi="Arial" w:cs="Arial"/>
                <w:color w:val="0F243E"/>
                <w:sz w:val="20"/>
                <w:szCs w:val="20"/>
              </w:rPr>
            </w:pPr>
            <w:r w:rsidRPr="007C23EA">
              <w:rPr>
                <w:rFonts w:ascii="Arial" w:hAnsi="Arial" w:cs="Arial"/>
                <w:color w:val="0F243E"/>
                <w:sz w:val="20"/>
                <w:szCs w:val="20"/>
              </w:rPr>
              <w:t>III Trimestre 2019-2018</w:t>
            </w:r>
          </w:p>
        </w:tc>
        <w:tc>
          <w:tcPr>
            <w:tcW w:w="1400" w:type="dxa"/>
            <w:tcBorders>
              <w:top w:val="nil"/>
              <w:left w:val="nil"/>
              <w:bottom w:val="single" w:sz="8" w:space="0" w:color="FFFFFF"/>
              <w:right w:val="single" w:sz="8" w:space="0" w:color="FFFFFF"/>
            </w:tcBorders>
            <w:shd w:val="clear" w:color="000000" w:fill="DBE5F1"/>
            <w:vAlign w:val="center"/>
            <w:hideMark/>
          </w:tcPr>
          <w:p w14:paraId="4CFF856B" w14:textId="762A3E73" w:rsidR="007C23EA" w:rsidRPr="007C23EA" w:rsidRDefault="007C23EA" w:rsidP="007C23EA">
            <w:pPr>
              <w:rPr>
                <w:rFonts w:ascii="Arial" w:hAnsi="Arial" w:cs="Arial"/>
                <w:color w:val="0F243E"/>
                <w:sz w:val="20"/>
                <w:szCs w:val="20"/>
              </w:rPr>
            </w:pPr>
            <w:r w:rsidRPr="007C23EA">
              <w:rPr>
                <w:rFonts w:ascii="Arial" w:hAnsi="Arial" w:cs="Arial"/>
                <w:noProof/>
                <w:color w:val="0F243E"/>
                <w:sz w:val="20"/>
                <w:szCs w:val="20"/>
              </w:rPr>
              <mc:AlternateContent>
                <mc:Choice Requires="wps">
                  <w:drawing>
                    <wp:anchor distT="0" distB="0" distL="114300" distR="114300" simplePos="0" relativeHeight="251991040" behindDoc="0" locked="0" layoutInCell="1" allowOverlap="1" wp14:anchorId="62C3A045" wp14:editId="35721F5F">
                      <wp:simplePos x="0" y="0"/>
                      <wp:positionH relativeFrom="column">
                        <wp:posOffset>219075</wp:posOffset>
                      </wp:positionH>
                      <wp:positionV relativeFrom="paragraph">
                        <wp:posOffset>200025</wp:posOffset>
                      </wp:positionV>
                      <wp:extent cx="342900" cy="209550"/>
                      <wp:effectExtent l="0" t="0" r="19050" b="19050"/>
                      <wp:wrapNone/>
                      <wp:docPr id="44" name="Triángulo isósceles 44"/>
                      <wp:cNvGraphicFramePr/>
                      <a:graphic xmlns:a="http://schemas.openxmlformats.org/drawingml/2006/main">
                        <a:graphicData uri="http://schemas.microsoft.com/office/word/2010/wordprocessingShape">
                          <wps:wsp>
                            <wps:cNvSpPr/>
                            <wps:spPr>
                              <a:xfrm rot="10800000">
                                <a:off x="0" y="0"/>
                                <a:ext cx="285750" cy="1714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55BF0C3" id="Triángulo isósceles 44" o:spid="_x0000_s1026" type="#_x0000_t5" style="position:absolute;margin-left:17.25pt;margin-top:15.75pt;width:27pt;height:16.5pt;rotation:180;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" filled="f" strokecolor="#376092" strokeweight="2pt"/>
                  </w:pict>
                </mc:Fallback>
              </mc:AlternateContent>
            </w:r>
          </w:p>
        </w:tc>
        <w:tc>
          <w:tcPr>
            <w:tcW w:w="1820" w:type="dxa"/>
            <w:tcBorders>
              <w:top w:val="nil"/>
              <w:left w:val="nil"/>
              <w:bottom w:val="single" w:sz="8" w:space="0" w:color="FFFFFF"/>
              <w:right w:val="single" w:sz="8" w:space="0" w:color="FFFFFF"/>
            </w:tcBorders>
            <w:shd w:val="clear" w:color="000000" w:fill="DBE5F1"/>
            <w:vAlign w:val="center"/>
            <w:hideMark/>
          </w:tcPr>
          <w:p w14:paraId="01AE4061" w14:textId="77777777" w:rsidR="007C23EA" w:rsidRPr="007C23EA" w:rsidRDefault="007C23EA" w:rsidP="007C23EA">
            <w:pPr>
              <w:jc w:val="center"/>
              <w:rPr>
                <w:rFonts w:ascii="Arial" w:hAnsi="Arial" w:cs="Arial"/>
                <w:b/>
                <w:color w:val="0F243E"/>
                <w:sz w:val="20"/>
                <w:szCs w:val="20"/>
              </w:rPr>
            </w:pPr>
            <w:r w:rsidRPr="007C23EA">
              <w:rPr>
                <w:rFonts w:ascii="Arial" w:hAnsi="Arial" w:cs="Arial"/>
                <w:b/>
                <w:color w:val="0F243E"/>
                <w:sz w:val="20"/>
                <w:szCs w:val="20"/>
              </w:rPr>
              <w:t xml:space="preserve">(17) pasajes </w:t>
            </w:r>
          </w:p>
        </w:tc>
        <w:tc>
          <w:tcPr>
            <w:tcW w:w="1200" w:type="dxa"/>
            <w:tcBorders>
              <w:top w:val="nil"/>
              <w:left w:val="nil"/>
              <w:bottom w:val="single" w:sz="8" w:space="0" w:color="FFFFFF"/>
              <w:right w:val="single" w:sz="8" w:space="0" w:color="FFFFFF"/>
            </w:tcBorders>
            <w:shd w:val="clear" w:color="000000" w:fill="DBE5F1"/>
            <w:vAlign w:val="center"/>
            <w:hideMark/>
          </w:tcPr>
          <w:p w14:paraId="14E868F0" w14:textId="7C4EA48D" w:rsidR="007C23EA" w:rsidRPr="007C23EA" w:rsidRDefault="007C23EA" w:rsidP="007C23EA">
            <w:pPr>
              <w:jc w:val="center"/>
              <w:rPr>
                <w:rFonts w:ascii="Arial" w:hAnsi="Arial" w:cs="Arial"/>
                <w:b/>
                <w:bCs/>
                <w:color w:val="0F243E"/>
                <w:sz w:val="20"/>
                <w:szCs w:val="20"/>
              </w:rPr>
            </w:pPr>
            <w:r>
              <w:rPr>
                <w:rFonts w:ascii="Arial" w:hAnsi="Arial" w:cs="Arial"/>
                <w:b/>
                <w:bCs/>
                <w:color w:val="0F243E"/>
                <w:sz w:val="20"/>
                <w:szCs w:val="20"/>
              </w:rPr>
              <w:t>(</w:t>
            </w:r>
            <w:r w:rsidRPr="007C23EA">
              <w:rPr>
                <w:rFonts w:ascii="Arial" w:hAnsi="Arial" w:cs="Arial"/>
                <w:b/>
                <w:bCs/>
                <w:color w:val="0F243E"/>
                <w:sz w:val="20"/>
                <w:szCs w:val="20"/>
              </w:rPr>
              <w:t>6%</w:t>
            </w:r>
            <w:r>
              <w:rPr>
                <w:rFonts w:ascii="Arial" w:hAnsi="Arial" w:cs="Arial"/>
                <w:b/>
                <w:bCs/>
                <w:color w:val="0F243E"/>
                <w:sz w:val="20"/>
                <w:szCs w:val="20"/>
              </w:rPr>
              <w:t>)</w:t>
            </w:r>
          </w:p>
        </w:tc>
      </w:tr>
      <w:tr w:rsidR="007C23EA" w:rsidRPr="007C23EA" w14:paraId="1AEE63EB" w14:textId="77777777" w:rsidTr="007C23EA">
        <w:trPr>
          <w:trHeight w:val="720"/>
        </w:trPr>
        <w:tc>
          <w:tcPr>
            <w:tcW w:w="1200" w:type="dxa"/>
            <w:vMerge/>
            <w:tcBorders>
              <w:top w:val="nil"/>
              <w:left w:val="single" w:sz="8" w:space="0" w:color="FFFFFF"/>
              <w:bottom w:val="single" w:sz="8" w:space="0" w:color="FFFFFF"/>
              <w:right w:val="single" w:sz="8" w:space="0" w:color="FFFFFF"/>
            </w:tcBorders>
            <w:vAlign w:val="center"/>
            <w:hideMark/>
          </w:tcPr>
          <w:p w14:paraId="4B5D776D" w14:textId="77777777" w:rsidR="007C23EA" w:rsidRPr="007C23EA" w:rsidRDefault="007C23EA" w:rsidP="007C23EA">
            <w:pPr>
              <w:rPr>
                <w:rFonts w:ascii="Arial" w:hAnsi="Arial" w:cs="Arial"/>
                <w:b/>
                <w:bCs/>
                <w:color w:val="FFFFFF"/>
                <w:sz w:val="20"/>
                <w:szCs w:val="20"/>
              </w:rPr>
            </w:pPr>
          </w:p>
        </w:tc>
        <w:tc>
          <w:tcPr>
            <w:tcW w:w="1200" w:type="dxa"/>
            <w:vMerge/>
            <w:tcBorders>
              <w:top w:val="nil"/>
              <w:left w:val="single" w:sz="8" w:space="0" w:color="FFFFFF"/>
              <w:bottom w:val="single" w:sz="8" w:space="0" w:color="FFFFFF"/>
              <w:right w:val="single" w:sz="8" w:space="0" w:color="FFFFFF"/>
            </w:tcBorders>
            <w:vAlign w:val="center"/>
            <w:hideMark/>
          </w:tcPr>
          <w:p w14:paraId="5BBB65F1" w14:textId="77777777" w:rsidR="007C23EA" w:rsidRPr="007C23EA" w:rsidRDefault="007C23EA" w:rsidP="007C23EA">
            <w:pPr>
              <w:rPr>
                <w:rFonts w:ascii="Arial" w:hAnsi="Arial" w:cs="Arial"/>
                <w:b/>
                <w:bCs/>
                <w:color w:val="0F243E"/>
                <w:sz w:val="20"/>
                <w:szCs w:val="20"/>
              </w:rPr>
            </w:pPr>
          </w:p>
        </w:tc>
        <w:tc>
          <w:tcPr>
            <w:tcW w:w="1720" w:type="dxa"/>
            <w:tcBorders>
              <w:top w:val="nil"/>
              <w:left w:val="nil"/>
              <w:bottom w:val="single" w:sz="8" w:space="0" w:color="FFFFFF"/>
              <w:right w:val="single" w:sz="8" w:space="0" w:color="FFFFFF"/>
            </w:tcBorders>
            <w:shd w:val="clear" w:color="000000" w:fill="B8CCE4"/>
            <w:vAlign w:val="center"/>
            <w:hideMark/>
          </w:tcPr>
          <w:p w14:paraId="3F42A41F" w14:textId="77777777" w:rsidR="007C23EA" w:rsidRPr="007C23EA" w:rsidRDefault="007C23EA" w:rsidP="007C23EA">
            <w:pPr>
              <w:jc w:val="center"/>
              <w:rPr>
                <w:rFonts w:ascii="Arial" w:hAnsi="Arial" w:cs="Arial"/>
                <w:color w:val="0F243E"/>
                <w:sz w:val="20"/>
                <w:szCs w:val="20"/>
              </w:rPr>
            </w:pPr>
            <w:r w:rsidRPr="007C23EA">
              <w:rPr>
                <w:rFonts w:ascii="Arial" w:hAnsi="Arial" w:cs="Arial"/>
                <w:color w:val="0F243E"/>
                <w:sz w:val="20"/>
                <w:szCs w:val="20"/>
              </w:rPr>
              <w:t>Valor del Gasto Viáticos</w:t>
            </w:r>
          </w:p>
        </w:tc>
        <w:tc>
          <w:tcPr>
            <w:tcW w:w="1200" w:type="dxa"/>
            <w:tcBorders>
              <w:top w:val="nil"/>
              <w:left w:val="nil"/>
              <w:bottom w:val="single" w:sz="8" w:space="0" w:color="FFFFFF"/>
              <w:right w:val="single" w:sz="8" w:space="0" w:color="FFFFFF"/>
            </w:tcBorders>
            <w:shd w:val="clear" w:color="000000" w:fill="B8CCE4"/>
            <w:vAlign w:val="center"/>
            <w:hideMark/>
          </w:tcPr>
          <w:p w14:paraId="7A9EFD5E" w14:textId="77777777" w:rsidR="007C23EA" w:rsidRPr="007C23EA" w:rsidRDefault="007C23EA" w:rsidP="007C23EA">
            <w:pPr>
              <w:jc w:val="center"/>
              <w:rPr>
                <w:rFonts w:ascii="Arial" w:hAnsi="Arial" w:cs="Arial"/>
                <w:color w:val="0F243E"/>
                <w:sz w:val="20"/>
                <w:szCs w:val="20"/>
              </w:rPr>
            </w:pPr>
            <w:r w:rsidRPr="007C23EA">
              <w:rPr>
                <w:rFonts w:ascii="Arial" w:hAnsi="Arial" w:cs="Arial"/>
                <w:color w:val="0F243E"/>
                <w:sz w:val="20"/>
                <w:szCs w:val="20"/>
              </w:rPr>
              <w:t>III Trimestre 2019-2018</w:t>
            </w:r>
          </w:p>
        </w:tc>
        <w:tc>
          <w:tcPr>
            <w:tcW w:w="1400" w:type="dxa"/>
            <w:tcBorders>
              <w:top w:val="nil"/>
              <w:left w:val="nil"/>
              <w:bottom w:val="single" w:sz="8" w:space="0" w:color="FFFFFF"/>
              <w:right w:val="single" w:sz="8" w:space="0" w:color="FFFFFF"/>
            </w:tcBorders>
            <w:shd w:val="clear" w:color="000000" w:fill="B8CCE4"/>
            <w:vAlign w:val="center"/>
            <w:hideMark/>
          </w:tcPr>
          <w:p w14:paraId="406B039F" w14:textId="58673C54" w:rsidR="007C23EA" w:rsidRPr="007C23EA" w:rsidRDefault="007C23EA" w:rsidP="007C23EA">
            <w:pPr>
              <w:rPr>
                <w:rFonts w:ascii="Arial" w:hAnsi="Arial" w:cs="Arial"/>
                <w:color w:val="0F243E"/>
                <w:sz w:val="20"/>
                <w:szCs w:val="20"/>
              </w:rPr>
            </w:pPr>
            <w:r w:rsidRPr="007C23EA">
              <w:rPr>
                <w:rFonts w:ascii="Arial" w:hAnsi="Arial" w:cs="Arial"/>
                <w:noProof/>
                <w:color w:val="0F243E"/>
                <w:sz w:val="20"/>
                <w:szCs w:val="20"/>
              </w:rPr>
              <mc:AlternateContent>
                <mc:Choice Requires="wps">
                  <w:drawing>
                    <wp:anchor distT="0" distB="0" distL="114300" distR="114300" simplePos="0" relativeHeight="251987968" behindDoc="0" locked="0" layoutInCell="1" allowOverlap="1" wp14:anchorId="05E86896" wp14:editId="488CB0CB">
                      <wp:simplePos x="0" y="0"/>
                      <wp:positionH relativeFrom="column">
                        <wp:posOffset>209550</wp:posOffset>
                      </wp:positionH>
                      <wp:positionV relativeFrom="paragraph">
                        <wp:posOffset>133350</wp:posOffset>
                      </wp:positionV>
                      <wp:extent cx="342900" cy="200025"/>
                      <wp:effectExtent l="0" t="0" r="19050" b="28575"/>
                      <wp:wrapNone/>
                      <wp:docPr id="43" name="Triángulo isósceles 43"/>
                      <wp:cNvGraphicFramePr/>
                      <a:graphic xmlns:a="http://schemas.openxmlformats.org/drawingml/2006/main">
                        <a:graphicData uri="http://schemas.microsoft.com/office/word/2010/wordprocessingShape">
                          <wps:wsp>
                            <wps:cNvSpPr/>
                            <wps:spPr>
                              <a:xfrm rot="10800000">
                                <a:off x="0" y="0"/>
                                <a:ext cx="285750" cy="1714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D2490EC" id="Triángulo isósceles 43" o:spid="_x0000_s1026" type="#_x0000_t5" style="position:absolute;margin-left:16.5pt;margin-top:10.5pt;width:27pt;height:15.75pt;rotation:180;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" filled="f" strokecolor="#376092" strokeweight="2pt"/>
                  </w:pict>
                </mc:Fallback>
              </mc:AlternateContent>
            </w:r>
          </w:p>
        </w:tc>
        <w:tc>
          <w:tcPr>
            <w:tcW w:w="1820" w:type="dxa"/>
            <w:tcBorders>
              <w:top w:val="nil"/>
              <w:left w:val="nil"/>
              <w:bottom w:val="single" w:sz="8" w:space="0" w:color="FFFFFF"/>
              <w:right w:val="single" w:sz="8" w:space="0" w:color="FFFFFF"/>
            </w:tcBorders>
            <w:shd w:val="clear" w:color="000000" w:fill="B8CCE4"/>
            <w:vAlign w:val="center"/>
            <w:hideMark/>
          </w:tcPr>
          <w:p w14:paraId="6476C9FE" w14:textId="5E761672" w:rsidR="007C23EA" w:rsidRPr="007C23EA" w:rsidRDefault="007C23EA" w:rsidP="007C23EA">
            <w:pPr>
              <w:jc w:val="center"/>
              <w:rPr>
                <w:rFonts w:ascii="Arial" w:hAnsi="Arial" w:cs="Arial"/>
                <w:b/>
                <w:bCs/>
                <w:color w:val="0F243E"/>
                <w:sz w:val="20"/>
                <w:szCs w:val="20"/>
              </w:rPr>
            </w:pPr>
            <w:r w:rsidRPr="007C23EA">
              <w:rPr>
                <w:rFonts w:ascii="Arial" w:hAnsi="Arial" w:cs="Arial"/>
                <w:b/>
                <w:bCs/>
                <w:color w:val="0F243E"/>
                <w:sz w:val="20"/>
                <w:szCs w:val="20"/>
              </w:rPr>
              <w:t xml:space="preserve">          </w:t>
            </w:r>
            <w:r>
              <w:rPr>
                <w:rFonts w:ascii="Arial" w:hAnsi="Arial" w:cs="Arial"/>
                <w:b/>
                <w:bCs/>
                <w:color w:val="0F243E"/>
                <w:sz w:val="20"/>
                <w:szCs w:val="20"/>
              </w:rPr>
              <w:t>(</w:t>
            </w:r>
            <w:r w:rsidRPr="007C23EA">
              <w:rPr>
                <w:rFonts w:ascii="Arial" w:hAnsi="Arial" w:cs="Arial"/>
                <w:b/>
                <w:bCs/>
                <w:color w:val="0F243E"/>
                <w:sz w:val="20"/>
                <w:szCs w:val="20"/>
              </w:rPr>
              <w:t>1.394.720</w:t>
            </w:r>
            <w:r>
              <w:rPr>
                <w:rFonts w:ascii="Arial" w:hAnsi="Arial" w:cs="Arial"/>
                <w:b/>
                <w:bCs/>
                <w:color w:val="0F243E"/>
                <w:sz w:val="20"/>
                <w:szCs w:val="20"/>
              </w:rPr>
              <w:t>)</w:t>
            </w:r>
            <w:r w:rsidRPr="007C23EA">
              <w:rPr>
                <w:rFonts w:ascii="Arial" w:hAnsi="Arial" w:cs="Arial"/>
                <w:b/>
                <w:bCs/>
                <w:color w:val="0F243E"/>
                <w:sz w:val="20"/>
                <w:szCs w:val="20"/>
              </w:rPr>
              <w:t xml:space="preserve"> </w:t>
            </w:r>
          </w:p>
        </w:tc>
        <w:tc>
          <w:tcPr>
            <w:tcW w:w="1200" w:type="dxa"/>
            <w:tcBorders>
              <w:top w:val="nil"/>
              <w:left w:val="nil"/>
              <w:bottom w:val="single" w:sz="8" w:space="0" w:color="FFFFFF"/>
              <w:right w:val="single" w:sz="8" w:space="0" w:color="FFFFFF"/>
            </w:tcBorders>
            <w:shd w:val="clear" w:color="000000" w:fill="B8CCE4"/>
            <w:vAlign w:val="center"/>
            <w:hideMark/>
          </w:tcPr>
          <w:p w14:paraId="3C30104E" w14:textId="3DCFF5C5" w:rsidR="007C23EA" w:rsidRPr="007C23EA" w:rsidRDefault="007C23EA" w:rsidP="007C23EA">
            <w:pPr>
              <w:jc w:val="center"/>
              <w:rPr>
                <w:rFonts w:ascii="Arial" w:hAnsi="Arial" w:cs="Arial"/>
                <w:b/>
                <w:bCs/>
                <w:color w:val="0F243E"/>
                <w:sz w:val="20"/>
                <w:szCs w:val="20"/>
              </w:rPr>
            </w:pPr>
            <w:r>
              <w:rPr>
                <w:rFonts w:ascii="Arial" w:hAnsi="Arial" w:cs="Arial"/>
                <w:b/>
                <w:bCs/>
                <w:color w:val="0F243E"/>
                <w:sz w:val="20"/>
                <w:szCs w:val="20"/>
              </w:rPr>
              <w:t>(</w:t>
            </w:r>
            <w:r w:rsidRPr="007C23EA">
              <w:rPr>
                <w:rFonts w:ascii="Arial" w:hAnsi="Arial" w:cs="Arial"/>
                <w:b/>
                <w:bCs/>
                <w:color w:val="0F243E"/>
                <w:sz w:val="20"/>
                <w:szCs w:val="20"/>
              </w:rPr>
              <w:t>1%</w:t>
            </w:r>
            <w:r>
              <w:rPr>
                <w:rFonts w:ascii="Arial" w:hAnsi="Arial" w:cs="Arial"/>
                <w:b/>
                <w:bCs/>
                <w:color w:val="0F243E"/>
                <w:sz w:val="20"/>
                <w:szCs w:val="20"/>
              </w:rPr>
              <w:t>)</w:t>
            </w:r>
          </w:p>
        </w:tc>
      </w:tr>
      <w:tr w:rsidR="007C23EA" w:rsidRPr="007C23EA" w14:paraId="25D92472" w14:textId="77777777" w:rsidTr="000972A2">
        <w:trPr>
          <w:trHeight w:val="690"/>
        </w:trPr>
        <w:tc>
          <w:tcPr>
            <w:tcW w:w="1200" w:type="dxa"/>
            <w:vMerge/>
            <w:tcBorders>
              <w:top w:val="nil"/>
              <w:left w:val="single" w:sz="8" w:space="0" w:color="FFFFFF"/>
              <w:bottom w:val="single" w:sz="8" w:space="0" w:color="FFFFFF"/>
              <w:right w:val="single" w:sz="8" w:space="0" w:color="FFFFFF"/>
            </w:tcBorders>
            <w:vAlign w:val="center"/>
            <w:hideMark/>
          </w:tcPr>
          <w:p w14:paraId="467BF135" w14:textId="77777777" w:rsidR="007C23EA" w:rsidRPr="007C23EA" w:rsidRDefault="007C23EA" w:rsidP="007C23EA">
            <w:pPr>
              <w:rPr>
                <w:rFonts w:ascii="Arial" w:hAnsi="Arial" w:cs="Arial"/>
                <w:b/>
                <w:bCs/>
                <w:color w:val="FFFFFF"/>
                <w:sz w:val="20"/>
                <w:szCs w:val="20"/>
              </w:rPr>
            </w:pPr>
          </w:p>
        </w:tc>
        <w:tc>
          <w:tcPr>
            <w:tcW w:w="1200" w:type="dxa"/>
            <w:vMerge/>
            <w:tcBorders>
              <w:top w:val="nil"/>
              <w:left w:val="single" w:sz="8" w:space="0" w:color="FFFFFF"/>
              <w:bottom w:val="single" w:sz="8" w:space="0" w:color="FFFFFF"/>
              <w:right w:val="single" w:sz="8" w:space="0" w:color="FFFFFF"/>
            </w:tcBorders>
            <w:vAlign w:val="center"/>
            <w:hideMark/>
          </w:tcPr>
          <w:p w14:paraId="1BE158FF" w14:textId="77777777" w:rsidR="007C23EA" w:rsidRPr="007C23EA" w:rsidRDefault="007C23EA" w:rsidP="007C23EA">
            <w:pPr>
              <w:rPr>
                <w:rFonts w:ascii="Arial" w:hAnsi="Arial" w:cs="Arial"/>
                <w:b/>
                <w:bCs/>
                <w:color w:val="0F243E"/>
                <w:sz w:val="20"/>
                <w:szCs w:val="20"/>
              </w:rPr>
            </w:pPr>
          </w:p>
        </w:tc>
        <w:tc>
          <w:tcPr>
            <w:tcW w:w="1720" w:type="dxa"/>
            <w:tcBorders>
              <w:top w:val="nil"/>
              <w:left w:val="nil"/>
              <w:bottom w:val="single" w:sz="8" w:space="0" w:color="FFFFFF"/>
              <w:right w:val="single" w:sz="8" w:space="0" w:color="FFFFFF"/>
            </w:tcBorders>
            <w:shd w:val="clear" w:color="000000" w:fill="DBE5F1"/>
            <w:vAlign w:val="center"/>
            <w:hideMark/>
          </w:tcPr>
          <w:p w14:paraId="2F1FE0D7" w14:textId="77777777" w:rsidR="007C23EA" w:rsidRPr="007C23EA" w:rsidRDefault="007C23EA" w:rsidP="007C23EA">
            <w:pPr>
              <w:jc w:val="center"/>
              <w:rPr>
                <w:rFonts w:ascii="Arial" w:hAnsi="Arial" w:cs="Arial"/>
                <w:color w:val="0F243E"/>
                <w:sz w:val="20"/>
                <w:szCs w:val="20"/>
              </w:rPr>
            </w:pPr>
            <w:r w:rsidRPr="007C23EA">
              <w:rPr>
                <w:rFonts w:ascii="Arial" w:hAnsi="Arial" w:cs="Arial"/>
                <w:color w:val="0F243E"/>
                <w:sz w:val="20"/>
                <w:szCs w:val="20"/>
              </w:rPr>
              <w:t>Cantidad de Viáticos</w:t>
            </w:r>
          </w:p>
        </w:tc>
        <w:tc>
          <w:tcPr>
            <w:tcW w:w="1200" w:type="dxa"/>
            <w:tcBorders>
              <w:top w:val="nil"/>
              <w:left w:val="nil"/>
              <w:bottom w:val="single" w:sz="8" w:space="0" w:color="FFFFFF"/>
              <w:right w:val="single" w:sz="8" w:space="0" w:color="FFFFFF"/>
            </w:tcBorders>
            <w:shd w:val="clear" w:color="auto" w:fill="DBE5F1" w:themeFill="accent1" w:themeFillTint="33"/>
            <w:vAlign w:val="center"/>
            <w:hideMark/>
          </w:tcPr>
          <w:p w14:paraId="75016667" w14:textId="77777777" w:rsidR="007C23EA" w:rsidRPr="007C23EA" w:rsidRDefault="007C23EA" w:rsidP="007C23EA">
            <w:pPr>
              <w:jc w:val="center"/>
              <w:rPr>
                <w:rFonts w:ascii="Arial" w:hAnsi="Arial" w:cs="Arial"/>
                <w:color w:val="0F243E"/>
                <w:sz w:val="20"/>
                <w:szCs w:val="20"/>
              </w:rPr>
            </w:pPr>
            <w:r w:rsidRPr="007C23EA">
              <w:rPr>
                <w:rFonts w:ascii="Arial" w:hAnsi="Arial" w:cs="Arial"/>
                <w:color w:val="0F243E"/>
                <w:sz w:val="20"/>
                <w:szCs w:val="20"/>
              </w:rPr>
              <w:t>III Trimestre 2019-2018</w:t>
            </w:r>
          </w:p>
        </w:tc>
        <w:tc>
          <w:tcPr>
            <w:tcW w:w="1400" w:type="dxa"/>
            <w:tcBorders>
              <w:top w:val="nil"/>
              <w:left w:val="nil"/>
              <w:bottom w:val="single" w:sz="8" w:space="0" w:color="FFFFFF"/>
              <w:right w:val="single" w:sz="8" w:space="0" w:color="FFFFFF"/>
            </w:tcBorders>
            <w:shd w:val="clear" w:color="000000" w:fill="DBE5F1"/>
            <w:vAlign w:val="center"/>
            <w:hideMark/>
          </w:tcPr>
          <w:p w14:paraId="51C27680" w14:textId="5627A6B3" w:rsidR="007C23EA" w:rsidRPr="007C23EA" w:rsidRDefault="007C23EA" w:rsidP="007C23EA">
            <w:pPr>
              <w:rPr>
                <w:rFonts w:ascii="Arial" w:hAnsi="Arial" w:cs="Arial"/>
                <w:color w:val="0F243E"/>
                <w:sz w:val="20"/>
                <w:szCs w:val="20"/>
              </w:rPr>
            </w:pPr>
            <w:r w:rsidRPr="007C23EA">
              <w:rPr>
                <w:rFonts w:ascii="Arial" w:hAnsi="Arial" w:cs="Arial"/>
                <w:noProof/>
                <w:color w:val="0F243E"/>
                <w:sz w:val="20"/>
                <w:szCs w:val="20"/>
              </w:rPr>
              <mc:AlternateContent>
                <mc:Choice Requires="wps">
                  <w:drawing>
                    <wp:anchor distT="0" distB="0" distL="114300" distR="114300" simplePos="0" relativeHeight="251990016" behindDoc="0" locked="0" layoutInCell="1" allowOverlap="1" wp14:anchorId="4000FD16" wp14:editId="7F5760C0">
                      <wp:simplePos x="0" y="0"/>
                      <wp:positionH relativeFrom="column">
                        <wp:posOffset>228600</wp:posOffset>
                      </wp:positionH>
                      <wp:positionV relativeFrom="paragraph">
                        <wp:posOffset>47625</wp:posOffset>
                      </wp:positionV>
                      <wp:extent cx="342900" cy="209550"/>
                      <wp:effectExtent l="0" t="0" r="19050" b="19050"/>
                      <wp:wrapNone/>
                      <wp:docPr id="42" name="Triángulo isósceles 42"/>
                      <wp:cNvGraphicFramePr/>
                      <a:graphic xmlns:a="http://schemas.openxmlformats.org/drawingml/2006/main">
                        <a:graphicData uri="http://schemas.microsoft.com/office/word/2010/wordprocessingShape">
                          <wps:wsp>
                            <wps:cNvSpPr/>
                            <wps:spPr>
                              <a:xfrm>
                                <a:off x="0" y="0"/>
                                <a:ext cx="285750" cy="1714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4B915A94" id="Triángulo isósceles 42" o:spid="_x0000_s1026" type="#_x0000_t5" style="position:absolute;margin-left:18pt;margin-top:3.75pt;width:27pt;height:16.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" filled="f" strokecolor="#376092" strokeweight="2pt"/>
                  </w:pict>
                </mc:Fallback>
              </mc:AlternateContent>
            </w:r>
          </w:p>
        </w:tc>
        <w:tc>
          <w:tcPr>
            <w:tcW w:w="1820" w:type="dxa"/>
            <w:tcBorders>
              <w:top w:val="nil"/>
              <w:left w:val="nil"/>
              <w:bottom w:val="single" w:sz="8" w:space="0" w:color="FFFFFF"/>
              <w:right w:val="single" w:sz="8" w:space="0" w:color="FFFFFF"/>
            </w:tcBorders>
            <w:shd w:val="clear" w:color="000000" w:fill="DBE5F1"/>
            <w:vAlign w:val="center"/>
            <w:hideMark/>
          </w:tcPr>
          <w:p w14:paraId="2C48FAB9" w14:textId="77777777" w:rsidR="007C23EA" w:rsidRPr="007C23EA" w:rsidRDefault="007C23EA" w:rsidP="007C23EA">
            <w:pPr>
              <w:jc w:val="center"/>
              <w:rPr>
                <w:rFonts w:ascii="Arial" w:hAnsi="Arial" w:cs="Arial"/>
                <w:b/>
                <w:color w:val="0F243E"/>
                <w:sz w:val="20"/>
                <w:szCs w:val="20"/>
              </w:rPr>
            </w:pPr>
            <w:r w:rsidRPr="007C23EA">
              <w:rPr>
                <w:rFonts w:ascii="Arial" w:hAnsi="Arial" w:cs="Arial"/>
                <w:b/>
                <w:color w:val="0F243E"/>
                <w:sz w:val="20"/>
                <w:szCs w:val="20"/>
              </w:rPr>
              <w:t>29 Viáticos</w:t>
            </w:r>
          </w:p>
        </w:tc>
        <w:tc>
          <w:tcPr>
            <w:tcW w:w="1200" w:type="dxa"/>
            <w:tcBorders>
              <w:top w:val="nil"/>
              <w:left w:val="nil"/>
              <w:bottom w:val="single" w:sz="8" w:space="0" w:color="FFFFFF"/>
              <w:right w:val="single" w:sz="8" w:space="0" w:color="FFFFFF"/>
            </w:tcBorders>
            <w:shd w:val="clear" w:color="000000" w:fill="DBE5F1"/>
            <w:vAlign w:val="center"/>
            <w:hideMark/>
          </w:tcPr>
          <w:p w14:paraId="06C7461B" w14:textId="77777777" w:rsidR="007C23EA" w:rsidRPr="007C23EA" w:rsidRDefault="007C23EA" w:rsidP="007C23EA">
            <w:pPr>
              <w:jc w:val="center"/>
              <w:rPr>
                <w:rFonts w:ascii="Arial" w:hAnsi="Arial" w:cs="Arial"/>
                <w:b/>
                <w:bCs/>
                <w:color w:val="0F243E"/>
                <w:sz w:val="20"/>
                <w:szCs w:val="20"/>
              </w:rPr>
            </w:pPr>
            <w:r w:rsidRPr="007C23EA">
              <w:rPr>
                <w:rFonts w:ascii="Arial" w:hAnsi="Arial" w:cs="Arial"/>
                <w:b/>
                <w:bCs/>
                <w:color w:val="0F243E"/>
                <w:sz w:val="20"/>
                <w:szCs w:val="20"/>
              </w:rPr>
              <w:t>9%</w:t>
            </w:r>
          </w:p>
        </w:tc>
      </w:tr>
    </w:tbl>
    <w:p w14:paraId="149593C8" w14:textId="6169B738" w:rsidR="00E531A8" w:rsidRDefault="00E531A8" w:rsidP="0048030E">
      <w:pPr>
        <w:spacing w:line="264" w:lineRule="auto"/>
        <w:rPr>
          <w:rFonts w:ascii="Arial" w:hAnsi="Arial" w:cs="Arial"/>
          <w:b/>
          <w:sz w:val="22"/>
          <w:szCs w:val="22"/>
        </w:rPr>
      </w:pPr>
    </w:p>
    <w:p w14:paraId="2FA6BCDB" w14:textId="1338B7EF" w:rsidR="00A70DA4" w:rsidRDefault="00A70DA4" w:rsidP="0048030E">
      <w:pPr>
        <w:spacing w:line="264" w:lineRule="auto"/>
        <w:rPr>
          <w:rFonts w:ascii="Arial" w:hAnsi="Arial" w:cs="Arial"/>
          <w:b/>
          <w:sz w:val="22"/>
          <w:szCs w:val="22"/>
        </w:rPr>
      </w:pPr>
    </w:p>
    <w:p w14:paraId="01F51568" w14:textId="5846F11F" w:rsidR="00A70DA4" w:rsidRDefault="00A70DA4" w:rsidP="0048030E">
      <w:pPr>
        <w:spacing w:line="264" w:lineRule="auto"/>
        <w:rPr>
          <w:rFonts w:ascii="Arial" w:hAnsi="Arial" w:cs="Arial"/>
          <w:b/>
          <w:sz w:val="22"/>
          <w:szCs w:val="22"/>
        </w:rPr>
      </w:pPr>
    </w:p>
    <w:p w14:paraId="349D2295" w14:textId="1D82889F" w:rsidR="00A70DA4" w:rsidRDefault="00A70DA4" w:rsidP="0048030E">
      <w:pPr>
        <w:spacing w:line="264" w:lineRule="auto"/>
        <w:rPr>
          <w:rFonts w:ascii="Arial" w:hAnsi="Arial" w:cs="Arial"/>
          <w:b/>
          <w:sz w:val="22"/>
          <w:szCs w:val="22"/>
        </w:rPr>
      </w:pPr>
    </w:p>
    <w:p w14:paraId="33C00904" w14:textId="701A1A7A" w:rsidR="00A70DA4" w:rsidRDefault="00A70DA4" w:rsidP="0048030E">
      <w:pPr>
        <w:spacing w:line="264" w:lineRule="auto"/>
        <w:rPr>
          <w:rFonts w:ascii="Arial" w:hAnsi="Arial" w:cs="Arial"/>
          <w:b/>
          <w:sz w:val="22"/>
          <w:szCs w:val="22"/>
        </w:rPr>
      </w:pPr>
    </w:p>
    <w:p w14:paraId="3476ABFD" w14:textId="77777777" w:rsidR="00A70DA4" w:rsidRPr="007C23EA" w:rsidRDefault="00A70DA4" w:rsidP="0048030E">
      <w:pPr>
        <w:spacing w:line="264" w:lineRule="auto"/>
        <w:rPr>
          <w:rFonts w:ascii="Arial" w:hAnsi="Arial" w:cs="Arial"/>
          <w:b/>
          <w:sz w:val="22"/>
          <w:szCs w:val="22"/>
        </w:rPr>
      </w:pPr>
    </w:p>
    <w:p w14:paraId="69EBD198" w14:textId="77777777" w:rsidR="00304B4F" w:rsidRPr="001F7964" w:rsidRDefault="0070513A" w:rsidP="0045629B">
      <w:pPr>
        <w:pStyle w:val="Prrafodelista"/>
        <w:numPr>
          <w:ilvl w:val="0"/>
          <w:numId w:val="11"/>
        </w:numPr>
        <w:spacing w:line="264" w:lineRule="auto"/>
        <w:jc w:val="left"/>
        <w:rPr>
          <w:rFonts w:ascii="Arial" w:hAnsi="Arial" w:cs="Arial"/>
          <w:b/>
          <w:sz w:val="22"/>
          <w:szCs w:val="22"/>
        </w:rPr>
      </w:pPr>
      <w:r w:rsidRPr="001F7964">
        <w:rPr>
          <w:rFonts w:ascii="Arial" w:hAnsi="Arial" w:cs="Arial"/>
          <w:b/>
          <w:sz w:val="22"/>
          <w:szCs w:val="22"/>
        </w:rPr>
        <w:lastRenderedPageBreak/>
        <w:t>VEHÍCULOS OFICIALES</w:t>
      </w:r>
    </w:p>
    <w:p w14:paraId="16D49D45" w14:textId="4A467CA7" w:rsidR="00E531A8" w:rsidRDefault="00E531A8" w:rsidP="0048030E">
      <w:pPr>
        <w:spacing w:line="264" w:lineRule="auto"/>
        <w:rPr>
          <w:rFonts w:ascii="Arial" w:hAnsi="Arial" w:cs="Arial"/>
          <w:b/>
          <w:sz w:val="22"/>
          <w:szCs w:val="22"/>
          <w:highlight w:val="yellow"/>
        </w:rPr>
      </w:pPr>
    </w:p>
    <w:tbl>
      <w:tblPr>
        <w:tblW w:w="9771" w:type="dxa"/>
        <w:tblCellMar>
          <w:left w:w="70" w:type="dxa"/>
          <w:right w:w="70" w:type="dxa"/>
        </w:tblCellMar>
        <w:tblLook w:val="04A0" w:firstRow="1" w:lastRow="0" w:firstColumn="1" w:lastColumn="0" w:noHBand="0" w:noVBand="1"/>
      </w:tblPr>
      <w:tblGrid>
        <w:gridCol w:w="1146"/>
        <w:gridCol w:w="1142"/>
        <w:gridCol w:w="1623"/>
        <w:gridCol w:w="1466"/>
        <w:gridCol w:w="1417"/>
        <w:gridCol w:w="1736"/>
        <w:gridCol w:w="1241"/>
      </w:tblGrid>
      <w:tr w:rsidR="001F7964" w:rsidRPr="001F7964" w14:paraId="68625758" w14:textId="77777777" w:rsidTr="00563F36">
        <w:trPr>
          <w:trHeight w:val="780"/>
          <w:tblHeader/>
        </w:trPr>
        <w:tc>
          <w:tcPr>
            <w:tcW w:w="1146" w:type="dxa"/>
            <w:tcBorders>
              <w:top w:val="single" w:sz="8" w:space="0" w:color="FFFFFF"/>
              <w:left w:val="single" w:sz="8" w:space="0" w:color="FFFFFF"/>
              <w:bottom w:val="single" w:sz="8" w:space="0" w:color="FFFFFF"/>
              <w:right w:val="nil"/>
            </w:tcBorders>
            <w:shd w:val="clear" w:color="000000" w:fill="4F81BD"/>
            <w:vAlign w:val="center"/>
            <w:hideMark/>
          </w:tcPr>
          <w:p w14:paraId="7A828E8A" w14:textId="77777777" w:rsidR="001F7964" w:rsidRPr="001F7964" w:rsidRDefault="001F7964" w:rsidP="001F7964">
            <w:pPr>
              <w:jc w:val="center"/>
              <w:rPr>
                <w:rFonts w:ascii="Arial" w:hAnsi="Arial" w:cs="Arial"/>
                <w:b/>
                <w:bCs/>
                <w:color w:val="FFFFFF"/>
                <w:sz w:val="20"/>
                <w:szCs w:val="20"/>
              </w:rPr>
            </w:pPr>
            <w:r w:rsidRPr="001F7964">
              <w:rPr>
                <w:rFonts w:ascii="Arial" w:hAnsi="Arial" w:cs="Arial"/>
                <w:b/>
                <w:bCs/>
                <w:color w:val="FFFFFF"/>
                <w:sz w:val="20"/>
                <w:szCs w:val="20"/>
              </w:rPr>
              <w:t>Ítem</w:t>
            </w:r>
          </w:p>
        </w:tc>
        <w:tc>
          <w:tcPr>
            <w:tcW w:w="1142" w:type="dxa"/>
            <w:tcBorders>
              <w:top w:val="single" w:sz="8" w:space="0" w:color="FFFFFF"/>
              <w:left w:val="nil"/>
              <w:bottom w:val="single" w:sz="8" w:space="0" w:color="FFFFFF"/>
              <w:right w:val="nil"/>
            </w:tcBorders>
            <w:shd w:val="clear" w:color="000000" w:fill="4F81BD"/>
            <w:vAlign w:val="center"/>
            <w:hideMark/>
          </w:tcPr>
          <w:p w14:paraId="7DA33100" w14:textId="77777777" w:rsidR="001F7964" w:rsidRPr="001F7964" w:rsidRDefault="001F7964" w:rsidP="001F7964">
            <w:pPr>
              <w:jc w:val="center"/>
              <w:rPr>
                <w:rFonts w:ascii="Arial" w:hAnsi="Arial" w:cs="Arial"/>
                <w:b/>
                <w:bCs/>
                <w:color w:val="FFFFFF"/>
                <w:sz w:val="20"/>
                <w:szCs w:val="20"/>
              </w:rPr>
            </w:pPr>
            <w:r w:rsidRPr="001F7964">
              <w:rPr>
                <w:rFonts w:ascii="Arial" w:hAnsi="Arial" w:cs="Arial"/>
                <w:b/>
                <w:bCs/>
                <w:color w:val="FFFFFF"/>
                <w:sz w:val="20"/>
                <w:szCs w:val="20"/>
              </w:rPr>
              <w:t>Numeral Informe</w:t>
            </w:r>
          </w:p>
        </w:tc>
        <w:tc>
          <w:tcPr>
            <w:tcW w:w="1623" w:type="dxa"/>
            <w:tcBorders>
              <w:top w:val="single" w:sz="8" w:space="0" w:color="FFFFFF"/>
              <w:left w:val="nil"/>
              <w:bottom w:val="single" w:sz="8" w:space="0" w:color="FFFFFF"/>
              <w:right w:val="nil"/>
            </w:tcBorders>
            <w:shd w:val="clear" w:color="000000" w:fill="4F81BD"/>
            <w:vAlign w:val="center"/>
            <w:hideMark/>
          </w:tcPr>
          <w:p w14:paraId="789BCA5A" w14:textId="77777777" w:rsidR="001F7964" w:rsidRPr="001F7964" w:rsidRDefault="001F7964" w:rsidP="001F7964">
            <w:pPr>
              <w:jc w:val="center"/>
              <w:rPr>
                <w:rFonts w:ascii="Arial" w:hAnsi="Arial" w:cs="Arial"/>
                <w:b/>
                <w:bCs/>
                <w:color w:val="FFFFFF"/>
                <w:sz w:val="20"/>
                <w:szCs w:val="20"/>
              </w:rPr>
            </w:pPr>
            <w:r w:rsidRPr="001F7964">
              <w:rPr>
                <w:rFonts w:ascii="Arial" w:hAnsi="Arial" w:cs="Arial"/>
                <w:b/>
                <w:bCs/>
                <w:color w:val="FFFFFF"/>
                <w:sz w:val="20"/>
                <w:szCs w:val="20"/>
              </w:rPr>
              <w:t>Concepto</w:t>
            </w:r>
          </w:p>
        </w:tc>
        <w:tc>
          <w:tcPr>
            <w:tcW w:w="1466" w:type="dxa"/>
            <w:tcBorders>
              <w:top w:val="single" w:sz="8" w:space="0" w:color="FFFFFF"/>
              <w:left w:val="nil"/>
              <w:bottom w:val="single" w:sz="8" w:space="0" w:color="FFFFFF"/>
              <w:right w:val="nil"/>
            </w:tcBorders>
            <w:shd w:val="clear" w:color="000000" w:fill="4F81BD"/>
            <w:vAlign w:val="center"/>
            <w:hideMark/>
          </w:tcPr>
          <w:p w14:paraId="0BAEDA8E" w14:textId="77777777" w:rsidR="001F7964" w:rsidRPr="001F7964" w:rsidRDefault="001F7964" w:rsidP="001F7964">
            <w:pPr>
              <w:jc w:val="center"/>
              <w:rPr>
                <w:rFonts w:ascii="Arial" w:hAnsi="Arial" w:cs="Arial"/>
                <w:b/>
                <w:bCs/>
                <w:color w:val="FFFFFF"/>
                <w:sz w:val="20"/>
                <w:szCs w:val="20"/>
              </w:rPr>
            </w:pPr>
            <w:r w:rsidRPr="001F7964">
              <w:rPr>
                <w:rFonts w:ascii="Arial" w:hAnsi="Arial" w:cs="Arial"/>
                <w:b/>
                <w:bCs/>
                <w:color w:val="FFFFFF"/>
                <w:sz w:val="20"/>
                <w:szCs w:val="20"/>
              </w:rPr>
              <w:t xml:space="preserve">Periodo Comparado </w:t>
            </w:r>
          </w:p>
        </w:tc>
        <w:tc>
          <w:tcPr>
            <w:tcW w:w="1417" w:type="dxa"/>
            <w:tcBorders>
              <w:top w:val="single" w:sz="8" w:space="0" w:color="FFFFFF"/>
              <w:left w:val="nil"/>
              <w:bottom w:val="single" w:sz="8" w:space="0" w:color="FFFFFF"/>
              <w:right w:val="nil"/>
            </w:tcBorders>
            <w:shd w:val="clear" w:color="000000" w:fill="4F81BD"/>
            <w:vAlign w:val="center"/>
            <w:hideMark/>
          </w:tcPr>
          <w:p w14:paraId="4E0336CD" w14:textId="77777777" w:rsidR="001F7964" w:rsidRPr="001F7964" w:rsidRDefault="001F7964" w:rsidP="001F7964">
            <w:pPr>
              <w:jc w:val="center"/>
              <w:rPr>
                <w:rFonts w:ascii="Arial" w:hAnsi="Arial" w:cs="Arial"/>
                <w:b/>
                <w:bCs/>
                <w:color w:val="FFFFFF"/>
                <w:sz w:val="20"/>
                <w:szCs w:val="20"/>
              </w:rPr>
            </w:pPr>
            <w:r w:rsidRPr="001F7964">
              <w:rPr>
                <w:rFonts w:ascii="Arial" w:hAnsi="Arial" w:cs="Arial"/>
                <w:b/>
                <w:bCs/>
                <w:color w:val="FFFFFF"/>
                <w:sz w:val="20"/>
                <w:szCs w:val="20"/>
              </w:rPr>
              <w:t xml:space="preserve">Variación </w:t>
            </w:r>
          </w:p>
        </w:tc>
        <w:tc>
          <w:tcPr>
            <w:tcW w:w="1736" w:type="dxa"/>
            <w:tcBorders>
              <w:top w:val="single" w:sz="8" w:space="0" w:color="FFFFFF"/>
              <w:left w:val="nil"/>
              <w:bottom w:val="single" w:sz="8" w:space="0" w:color="FFFFFF"/>
              <w:right w:val="nil"/>
            </w:tcBorders>
            <w:shd w:val="clear" w:color="000000" w:fill="4F81BD"/>
            <w:vAlign w:val="center"/>
            <w:hideMark/>
          </w:tcPr>
          <w:p w14:paraId="6C5A3FAB" w14:textId="77777777" w:rsidR="001F7964" w:rsidRPr="001F7964" w:rsidRDefault="001F7964" w:rsidP="001F7964">
            <w:pPr>
              <w:jc w:val="center"/>
              <w:rPr>
                <w:rFonts w:ascii="Arial" w:hAnsi="Arial" w:cs="Arial"/>
                <w:b/>
                <w:bCs/>
                <w:color w:val="FFFFFF"/>
                <w:sz w:val="20"/>
                <w:szCs w:val="20"/>
              </w:rPr>
            </w:pPr>
            <w:r w:rsidRPr="001F7964">
              <w:rPr>
                <w:rFonts w:ascii="Arial" w:hAnsi="Arial" w:cs="Arial"/>
                <w:b/>
                <w:bCs/>
                <w:color w:val="FFFFFF"/>
                <w:sz w:val="20"/>
                <w:szCs w:val="20"/>
              </w:rPr>
              <w:t>Valor / Cantidad</w:t>
            </w:r>
          </w:p>
        </w:tc>
        <w:tc>
          <w:tcPr>
            <w:tcW w:w="1241" w:type="dxa"/>
            <w:tcBorders>
              <w:top w:val="single" w:sz="8" w:space="0" w:color="FFFFFF"/>
              <w:left w:val="nil"/>
              <w:bottom w:val="single" w:sz="8" w:space="0" w:color="FFFFFF"/>
              <w:right w:val="single" w:sz="8" w:space="0" w:color="FFFFFF"/>
            </w:tcBorders>
            <w:shd w:val="clear" w:color="000000" w:fill="4F81BD"/>
            <w:vAlign w:val="center"/>
            <w:hideMark/>
          </w:tcPr>
          <w:p w14:paraId="5D498439" w14:textId="77777777" w:rsidR="001F7964" w:rsidRPr="001F7964" w:rsidRDefault="001F7964" w:rsidP="001F7964">
            <w:pPr>
              <w:jc w:val="center"/>
              <w:rPr>
                <w:rFonts w:ascii="Arial" w:hAnsi="Arial" w:cs="Arial"/>
                <w:b/>
                <w:bCs/>
                <w:color w:val="FFFFFF"/>
                <w:sz w:val="20"/>
                <w:szCs w:val="20"/>
              </w:rPr>
            </w:pPr>
            <w:r w:rsidRPr="001F7964">
              <w:rPr>
                <w:rFonts w:ascii="Arial" w:hAnsi="Arial" w:cs="Arial"/>
                <w:b/>
                <w:bCs/>
                <w:color w:val="FFFFFF"/>
                <w:sz w:val="20"/>
                <w:szCs w:val="20"/>
              </w:rPr>
              <w:t>%</w:t>
            </w:r>
          </w:p>
        </w:tc>
      </w:tr>
      <w:tr w:rsidR="001F7964" w:rsidRPr="001F7964" w14:paraId="2207EB5C" w14:textId="77777777" w:rsidTr="00A70DA4">
        <w:trPr>
          <w:trHeight w:val="1459"/>
        </w:trPr>
        <w:tc>
          <w:tcPr>
            <w:tcW w:w="1146" w:type="dxa"/>
            <w:tcBorders>
              <w:top w:val="nil"/>
              <w:left w:val="single" w:sz="8" w:space="0" w:color="FFFFFF"/>
              <w:bottom w:val="single" w:sz="4" w:space="0" w:color="FFFFFF" w:themeColor="background1"/>
              <w:right w:val="single" w:sz="8" w:space="0" w:color="FFFFFF"/>
            </w:tcBorders>
            <w:shd w:val="clear" w:color="000000" w:fill="4F81BD"/>
            <w:textDirection w:val="btLr"/>
            <w:vAlign w:val="center"/>
            <w:hideMark/>
          </w:tcPr>
          <w:p w14:paraId="1FBDC69A" w14:textId="77777777" w:rsidR="001F7964" w:rsidRPr="001F7964" w:rsidRDefault="001F7964" w:rsidP="001F7964">
            <w:pPr>
              <w:jc w:val="center"/>
              <w:rPr>
                <w:rFonts w:ascii="Arial" w:hAnsi="Arial" w:cs="Arial"/>
                <w:b/>
                <w:bCs/>
                <w:color w:val="FFFFFF"/>
                <w:sz w:val="20"/>
                <w:szCs w:val="20"/>
              </w:rPr>
            </w:pPr>
            <w:r w:rsidRPr="001F7964">
              <w:rPr>
                <w:rFonts w:ascii="Arial" w:hAnsi="Arial" w:cs="Arial"/>
                <w:b/>
                <w:bCs/>
                <w:color w:val="FFFFFF"/>
                <w:sz w:val="20"/>
                <w:szCs w:val="20"/>
              </w:rPr>
              <w:t>Mantenimiento Parque Automotor</w:t>
            </w:r>
          </w:p>
        </w:tc>
        <w:tc>
          <w:tcPr>
            <w:tcW w:w="1142" w:type="dxa"/>
            <w:vMerge w:val="restart"/>
            <w:tcBorders>
              <w:top w:val="nil"/>
              <w:left w:val="single" w:sz="8" w:space="0" w:color="FFFFFF"/>
              <w:bottom w:val="single" w:sz="8" w:space="0" w:color="FFFFFF"/>
              <w:right w:val="single" w:sz="8" w:space="0" w:color="FFFFFF"/>
            </w:tcBorders>
            <w:shd w:val="clear" w:color="000000" w:fill="B8CCE4"/>
            <w:vAlign w:val="center"/>
            <w:hideMark/>
          </w:tcPr>
          <w:p w14:paraId="4E78D08B" w14:textId="77777777" w:rsidR="001F7964" w:rsidRPr="001F7964" w:rsidRDefault="001F7964" w:rsidP="001F7964">
            <w:pPr>
              <w:jc w:val="center"/>
              <w:rPr>
                <w:rFonts w:ascii="Arial" w:hAnsi="Arial" w:cs="Arial"/>
                <w:b/>
                <w:bCs/>
                <w:color w:val="0F243E"/>
                <w:sz w:val="20"/>
                <w:szCs w:val="20"/>
              </w:rPr>
            </w:pPr>
            <w:r w:rsidRPr="001F7964">
              <w:rPr>
                <w:rFonts w:ascii="Arial" w:hAnsi="Arial" w:cs="Arial"/>
                <w:b/>
                <w:bCs/>
                <w:color w:val="0F243E"/>
                <w:sz w:val="20"/>
                <w:szCs w:val="20"/>
              </w:rPr>
              <w:t>5 </w:t>
            </w:r>
          </w:p>
        </w:tc>
        <w:tc>
          <w:tcPr>
            <w:tcW w:w="1623" w:type="dxa"/>
            <w:tcBorders>
              <w:top w:val="nil"/>
              <w:left w:val="nil"/>
              <w:bottom w:val="single" w:sz="8" w:space="0" w:color="FFFFFF"/>
              <w:right w:val="single" w:sz="8" w:space="0" w:color="FFFFFF"/>
            </w:tcBorders>
            <w:shd w:val="clear" w:color="000000" w:fill="B8CCE4"/>
            <w:vAlign w:val="center"/>
            <w:hideMark/>
          </w:tcPr>
          <w:p w14:paraId="0BE55318" w14:textId="77777777" w:rsidR="001F7964" w:rsidRPr="001F7964" w:rsidRDefault="001F7964" w:rsidP="001F7964">
            <w:pPr>
              <w:jc w:val="center"/>
              <w:rPr>
                <w:rFonts w:ascii="Arial" w:hAnsi="Arial" w:cs="Arial"/>
                <w:color w:val="0F243E"/>
                <w:sz w:val="20"/>
                <w:szCs w:val="20"/>
              </w:rPr>
            </w:pPr>
            <w:r w:rsidRPr="001F7964">
              <w:rPr>
                <w:rFonts w:ascii="Arial" w:hAnsi="Arial" w:cs="Arial"/>
                <w:color w:val="0F243E"/>
                <w:sz w:val="20"/>
                <w:szCs w:val="20"/>
              </w:rPr>
              <w:t>Valor del Gasto</w:t>
            </w:r>
          </w:p>
        </w:tc>
        <w:tc>
          <w:tcPr>
            <w:tcW w:w="1466" w:type="dxa"/>
            <w:tcBorders>
              <w:top w:val="nil"/>
              <w:left w:val="nil"/>
              <w:bottom w:val="single" w:sz="8" w:space="0" w:color="FFFFFF"/>
              <w:right w:val="single" w:sz="8" w:space="0" w:color="FFFFFF"/>
            </w:tcBorders>
            <w:shd w:val="clear" w:color="000000" w:fill="B8CCE4"/>
            <w:vAlign w:val="center"/>
            <w:hideMark/>
          </w:tcPr>
          <w:p w14:paraId="77B17716" w14:textId="77777777" w:rsidR="001F7964" w:rsidRPr="001F7964" w:rsidRDefault="001F7964" w:rsidP="001F7964">
            <w:pPr>
              <w:jc w:val="center"/>
              <w:rPr>
                <w:rFonts w:ascii="Arial" w:hAnsi="Arial" w:cs="Arial"/>
                <w:color w:val="0F243E"/>
                <w:sz w:val="20"/>
                <w:szCs w:val="20"/>
              </w:rPr>
            </w:pPr>
            <w:r w:rsidRPr="001F7964">
              <w:rPr>
                <w:rFonts w:ascii="Arial" w:hAnsi="Arial" w:cs="Arial"/>
                <w:color w:val="0F243E"/>
                <w:sz w:val="20"/>
                <w:szCs w:val="20"/>
              </w:rPr>
              <w:t>III Trimestre 2019-2018</w:t>
            </w:r>
          </w:p>
        </w:tc>
        <w:tc>
          <w:tcPr>
            <w:tcW w:w="1417" w:type="dxa"/>
            <w:tcBorders>
              <w:top w:val="nil"/>
              <w:left w:val="nil"/>
              <w:bottom w:val="single" w:sz="8" w:space="0" w:color="FFFFFF"/>
              <w:right w:val="single" w:sz="8" w:space="0" w:color="FFFFFF"/>
            </w:tcBorders>
            <w:shd w:val="clear" w:color="000000" w:fill="B8CCE4"/>
            <w:vAlign w:val="center"/>
            <w:hideMark/>
          </w:tcPr>
          <w:p w14:paraId="6E32901C" w14:textId="230096FE" w:rsidR="001F7964" w:rsidRPr="001F7964" w:rsidRDefault="001F7964" w:rsidP="001F7964">
            <w:pPr>
              <w:rPr>
                <w:rFonts w:ascii="Arial" w:hAnsi="Arial" w:cs="Arial"/>
                <w:color w:val="0F243E"/>
                <w:sz w:val="20"/>
                <w:szCs w:val="20"/>
              </w:rPr>
            </w:pPr>
            <w:r w:rsidRPr="001F7964">
              <w:rPr>
                <w:rFonts w:ascii="Arial" w:hAnsi="Arial" w:cs="Arial"/>
                <w:noProof/>
                <w:color w:val="0F243E"/>
                <w:sz w:val="20"/>
                <w:szCs w:val="20"/>
              </w:rPr>
              <mc:AlternateContent>
                <mc:Choice Requires="wps">
                  <w:drawing>
                    <wp:anchor distT="0" distB="0" distL="114300" distR="114300" simplePos="0" relativeHeight="251993088" behindDoc="0" locked="0" layoutInCell="1" allowOverlap="1" wp14:anchorId="0BF09745" wp14:editId="286A607D">
                      <wp:simplePos x="0" y="0"/>
                      <wp:positionH relativeFrom="column">
                        <wp:posOffset>187325</wp:posOffset>
                      </wp:positionH>
                      <wp:positionV relativeFrom="paragraph">
                        <wp:posOffset>-91440</wp:posOffset>
                      </wp:positionV>
                      <wp:extent cx="342900" cy="219075"/>
                      <wp:effectExtent l="0" t="0" r="19050" b="28575"/>
                      <wp:wrapNone/>
                      <wp:docPr id="67" name="Triángulo isósceles 67"/>
                      <wp:cNvGraphicFramePr/>
                      <a:graphic xmlns:a="http://schemas.openxmlformats.org/drawingml/2006/main">
                        <a:graphicData uri="http://schemas.microsoft.com/office/word/2010/wordprocessingShape">
                          <wps:wsp>
                            <wps:cNvSpPr/>
                            <wps:spPr>
                              <a:xfrm rot="10800000">
                                <a:off x="0" y="0"/>
                                <a:ext cx="342900" cy="21907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FEC49" id="Triángulo isósceles 67" o:spid="_x0000_s1026" type="#_x0000_t5" style="position:absolute;margin-left:14.75pt;margin-top:-7.2pt;width:27pt;height:17.25pt;rotation:180;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" filled="f" strokecolor="#376092" strokeweight="2pt"/>
                  </w:pict>
                </mc:Fallback>
              </mc:AlternateContent>
            </w:r>
          </w:p>
        </w:tc>
        <w:tc>
          <w:tcPr>
            <w:tcW w:w="1736" w:type="dxa"/>
            <w:tcBorders>
              <w:top w:val="nil"/>
              <w:left w:val="nil"/>
              <w:bottom w:val="single" w:sz="8" w:space="0" w:color="FFFFFF"/>
              <w:right w:val="single" w:sz="8" w:space="0" w:color="FFFFFF"/>
            </w:tcBorders>
            <w:shd w:val="clear" w:color="000000" w:fill="B8CCE4"/>
            <w:vAlign w:val="center"/>
            <w:hideMark/>
          </w:tcPr>
          <w:p w14:paraId="24CF6B99" w14:textId="5F0D1E2B" w:rsidR="001F7964" w:rsidRPr="001F7964" w:rsidRDefault="001F7964" w:rsidP="001F7964">
            <w:pPr>
              <w:jc w:val="right"/>
              <w:rPr>
                <w:rFonts w:ascii="Arial" w:hAnsi="Arial" w:cs="Arial"/>
                <w:b/>
                <w:color w:val="0F243E"/>
                <w:sz w:val="20"/>
                <w:szCs w:val="20"/>
              </w:rPr>
            </w:pPr>
            <w:r w:rsidRPr="001F7964">
              <w:rPr>
                <w:rFonts w:ascii="Arial" w:hAnsi="Arial" w:cs="Arial"/>
                <w:b/>
                <w:color w:val="0F243E"/>
                <w:sz w:val="20"/>
                <w:szCs w:val="20"/>
              </w:rPr>
              <w:t>(18.453.847)</w:t>
            </w:r>
          </w:p>
        </w:tc>
        <w:tc>
          <w:tcPr>
            <w:tcW w:w="1241" w:type="dxa"/>
            <w:tcBorders>
              <w:top w:val="nil"/>
              <w:left w:val="nil"/>
              <w:bottom w:val="single" w:sz="8" w:space="0" w:color="FFFFFF"/>
              <w:right w:val="single" w:sz="8" w:space="0" w:color="FFFFFF"/>
            </w:tcBorders>
            <w:shd w:val="clear" w:color="000000" w:fill="B8CCE4"/>
            <w:vAlign w:val="center"/>
            <w:hideMark/>
          </w:tcPr>
          <w:p w14:paraId="445F95F0" w14:textId="6B29F0DC" w:rsidR="001F7964" w:rsidRPr="001F7964" w:rsidRDefault="001F7964" w:rsidP="001F7964">
            <w:pPr>
              <w:jc w:val="center"/>
              <w:rPr>
                <w:rFonts w:ascii="Arial" w:hAnsi="Arial" w:cs="Arial"/>
                <w:b/>
                <w:bCs/>
                <w:color w:val="0F243E"/>
                <w:sz w:val="20"/>
                <w:szCs w:val="20"/>
              </w:rPr>
            </w:pPr>
            <w:r w:rsidRPr="001F7964">
              <w:rPr>
                <w:rFonts w:ascii="Arial" w:hAnsi="Arial" w:cs="Arial"/>
                <w:b/>
                <w:bCs/>
                <w:color w:val="0F243E"/>
                <w:sz w:val="20"/>
                <w:szCs w:val="20"/>
              </w:rPr>
              <w:t>(74%)</w:t>
            </w:r>
          </w:p>
        </w:tc>
      </w:tr>
      <w:tr w:rsidR="001F7964" w:rsidRPr="001F7964" w14:paraId="0E62FEE6" w14:textId="77777777" w:rsidTr="00A70DA4">
        <w:trPr>
          <w:trHeight w:val="968"/>
        </w:trPr>
        <w:tc>
          <w:tcPr>
            <w:tcW w:w="1146" w:type="dxa"/>
            <w:vMerge w:val="restart"/>
            <w:tcBorders>
              <w:top w:val="single" w:sz="4" w:space="0" w:color="FFFFFF" w:themeColor="background1"/>
              <w:left w:val="single" w:sz="8" w:space="0" w:color="FFFFFF"/>
              <w:bottom w:val="single" w:sz="8" w:space="0" w:color="FFFFFF"/>
              <w:right w:val="single" w:sz="8" w:space="0" w:color="FFFFFF"/>
            </w:tcBorders>
            <w:shd w:val="clear" w:color="000000" w:fill="4F81BD"/>
            <w:textDirection w:val="btLr"/>
            <w:vAlign w:val="center"/>
            <w:hideMark/>
          </w:tcPr>
          <w:p w14:paraId="24DCF3BA" w14:textId="77777777" w:rsidR="001F7964" w:rsidRPr="001F7964" w:rsidRDefault="001F7964" w:rsidP="001F7964">
            <w:pPr>
              <w:jc w:val="center"/>
              <w:rPr>
                <w:rFonts w:ascii="Arial" w:hAnsi="Arial" w:cs="Arial"/>
                <w:b/>
                <w:bCs/>
                <w:color w:val="FFFFFF"/>
                <w:sz w:val="20"/>
                <w:szCs w:val="20"/>
              </w:rPr>
            </w:pPr>
            <w:r w:rsidRPr="001F7964">
              <w:rPr>
                <w:rFonts w:ascii="Arial" w:hAnsi="Arial" w:cs="Arial"/>
                <w:b/>
                <w:bCs/>
                <w:color w:val="FFFFFF"/>
                <w:sz w:val="20"/>
                <w:szCs w:val="20"/>
              </w:rPr>
              <w:t>Combustible</w:t>
            </w:r>
          </w:p>
        </w:tc>
        <w:tc>
          <w:tcPr>
            <w:tcW w:w="1142" w:type="dxa"/>
            <w:vMerge/>
            <w:tcBorders>
              <w:top w:val="nil"/>
              <w:left w:val="single" w:sz="8" w:space="0" w:color="FFFFFF"/>
              <w:bottom w:val="single" w:sz="8" w:space="0" w:color="FFFFFF"/>
              <w:right w:val="single" w:sz="8" w:space="0" w:color="FFFFFF"/>
            </w:tcBorders>
            <w:vAlign w:val="center"/>
            <w:hideMark/>
          </w:tcPr>
          <w:p w14:paraId="4B7EEF1A" w14:textId="77777777" w:rsidR="001F7964" w:rsidRPr="001F7964" w:rsidRDefault="001F7964" w:rsidP="001F7964">
            <w:pPr>
              <w:rPr>
                <w:rFonts w:ascii="Arial" w:hAnsi="Arial" w:cs="Arial"/>
                <w:b/>
                <w:bCs/>
                <w:color w:val="0F243E"/>
                <w:sz w:val="20"/>
                <w:szCs w:val="20"/>
              </w:rPr>
            </w:pPr>
          </w:p>
        </w:tc>
        <w:tc>
          <w:tcPr>
            <w:tcW w:w="1623" w:type="dxa"/>
            <w:tcBorders>
              <w:top w:val="nil"/>
              <w:left w:val="nil"/>
              <w:bottom w:val="single" w:sz="8" w:space="0" w:color="FFFFFF"/>
              <w:right w:val="single" w:sz="8" w:space="0" w:color="FFFFFF"/>
            </w:tcBorders>
            <w:shd w:val="clear" w:color="000000" w:fill="DBE5F1"/>
            <w:vAlign w:val="center"/>
            <w:hideMark/>
          </w:tcPr>
          <w:p w14:paraId="5FA78BB0" w14:textId="77777777" w:rsidR="001F7964" w:rsidRPr="001F7964" w:rsidRDefault="001F7964" w:rsidP="001F7964">
            <w:pPr>
              <w:jc w:val="center"/>
              <w:rPr>
                <w:rFonts w:ascii="Arial" w:hAnsi="Arial" w:cs="Arial"/>
                <w:color w:val="0F243E"/>
                <w:sz w:val="20"/>
                <w:szCs w:val="20"/>
              </w:rPr>
            </w:pPr>
            <w:r w:rsidRPr="001F7964">
              <w:rPr>
                <w:rFonts w:ascii="Arial" w:hAnsi="Arial" w:cs="Arial"/>
                <w:color w:val="0F243E"/>
                <w:sz w:val="20"/>
                <w:szCs w:val="20"/>
              </w:rPr>
              <w:t>Valor del Gasto</w:t>
            </w:r>
          </w:p>
        </w:tc>
        <w:tc>
          <w:tcPr>
            <w:tcW w:w="1466" w:type="dxa"/>
            <w:tcBorders>
              <w:top w:val="nil"/>
              <w:left w:val="nil"/>
              <w:bottom w:val="single" w:sz="8" w:space="0" w:color="FFFFFF"/>
              <w:right w:val="single" w:sz="8" w:space="0" w:color="FFFFFF"/>
            </w:tcBorders>
            <w:shd w:val="clear" w:color="auto" w:fill="DBE5F1" w:themeFill="accent1" w:themeFillTint="33"/>
            <w:vAlign w:val="center"/>
            <w:hideMark/>
          </w:tcPr>
          <w:p w14:paraId="39A6D793" w14:textId="77777777" w:rsidR="001F7964" w:rsidRPr="001F7964" w:rsidRDefault="001F7964" w:rsidP="001F7964">
            <w:pPr>
              <w:jc w:val="center"/>
              <w:rPr>
                <w:rFonts w:ascii="Arial" w:hAnsi="Arial" w:cs="Arial"/>
                <w:color w:val="0F243E"/>
                <w:sz w:val="20"/>
                <w:szCs w:val="20"/>
              </w:rPr>
            </w:pPr>
            <w:r w:rsidRPr="001F7964">
              <w:rPr>
                <w:rFonts w:ascii="Arial" w:hAnsi="Arial" w:cs="Arial"/>
                <w:color w:val="0F243E"/>
                <w:sz w:val="20"/>
                <w:szCs w:val="20"/>
              </w:rPr>
              <w:t>III Trimestre 2019-2018</w:t>
            </w:r>
          </w:p>
        </w:tc>
        <w:tc>
          <w:tcPr>
            <w:tcW w:w="1417" w:type="dxa"/>
            <w:tcBorders>
              <w:top w:val="nil"/>
              <w:left w:val="nil"/>
              <w:bottom w:val="single" w:sz="8" w:space="0" w:color="FFFFFF"/>
              <w:right w:val="single" w:sz="8" w:space="0" w:color="FFFFFF"/>
            </w:tcBorders>
            <w:shd w:val="clear" w:color="000000" w:fill="DBE5F1"/>
            <w:vAlign w:val="center"/>
            <w:hideMark/>
          </w:tcPr>
          <w:p w14:paraId="50A8E6D0" w14:textId="5C474E2D" w:rsidR="001F7964" w:rsidRPr="001F7964" w:rsidRDefault="001F7964" w:rsidP="001F7964">
            <w:pPr>
              <w:rPr>
                <w:rFonts w:ascii="Arial" w:hAnsi="Arial" w:cs="Arial"/>
                <w:color w:val="0F243E"/>
                <w:sz w:val="20"/>
                <w:szCs w:val="20"/>
              </w:rPr>
            </w:pPr>
            <w:r w:rsidRPr="001F7964">
              <w:rPr>
                <w:rFonts w:ascii="Arial" w:hAnsi="Arial" w:cs="Arial"/>
                <w:noProof/>
                <w:color w:val="0F243E"/>
                <w:sz w:val="20"/>
                <w:szCs w:val="20"/>
              </w:rPr>
              <mc:AlternateContent>
                <mc:Choice Requires="wps">
                  <w:drawing>
                    <wp:anchor distT="0" distB="0" distL="114300" distR="114300" simplePos="0" relativeHeight="251994112" behindDoc="0" locked="0" layoutInCell="1" allowOverlap="1" wp14:anchorId="27E7F115" wp14:editId="4E70EB47">
                      <wp:simplePos x="0" y="0"/>
                      <wp:positionH relativeFrom="column">
                        <wp:posOffset>176530</wp:posOffset>
                      </wp:positionH>
                      <wp:positionV relativeFrom="paragraph">
                        <wp:posOffset>-57150</wp:posOffset>
                      </wp:positionV>
                      <wp:extent cx="342900" cy="209550"/>
                      <wp:effectExtent l="0" t="0" r="19050" b="19050"/>
                      <wp:wrapNone/>
                      <wp:docPr id="66" name="Triángulo isósceles 66"/>
                      <wp:cNvGraphicFramePr/>
                      <a:graphic xmlns:a="http://schemas.openxmlformats.org/drawingml/2006/main">
                        <a:graphicData uri="http://schemas.microsoft.com/office/word/2010/wordprocessingShape">
                          <wps:wsp>
                            <wps:cNvSpPr/>
                            <wps:spPr>
                              <a:xfrm>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B469985" id="Triángulo isósceles 66" o:spid="_x0000_s1026" type="#_x0000_t5" style="position:absolute;margin-left:13.9pt;margin-top:-4.5pt;width:27pt;height:16.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" filled="f" strokecolor="#376092" strokeweight="2pt"/>
                  </w:pict>
                </mc:Fallback>
              </mc:AlternateContent>
            </w:r>
          </w:p>
        </w:tc>
        <w:tc>
          <w:tcPr>
            <w:tcW w:w="1736" w:type="dxa"/>
            <w:tcBorders>
              <w:top w:val="nil"/>
              <w:left w:val="nil"/>
              <w:bottom w:val="single" w:sz="8" w:space="0" w:color="FFFFFF"/>
              <w:right w:val="single" w:sz="8" w:space="0" w:color="FFFFFF"/>
            </w:tcBorders>
            <w:shd w:val="clear" w:color="000000" w:fill="DBE5F1"/>
            <w:vAlign w:val="center"/>
            <w:hideMark/>
          </w:tcPr>
          <w:p w14:paraId="7AAB8D2E" w14:textId="77777777" w:rsidR="001F7964" w:rsidRPr="001F7964" w:rsidRDefault="001F7964" w:rsidP="001F7964">
            <w:pPr>
              <w:jc w:val="right"/>
              <w:rPr>
                <w:rFonts w:ascii="Arial" w:hAnsi="Arial" w:cs="Arial"/>
                <w:b/>
                <w:color w:val="0F243E"/>
                <w:sz w:val="20"/>
                <w:szCs w:val="20"/>
              </w:rPr>
            </w:pPr>
            <w:r w:rsidRPr="001F7964">
              <w:rPr>
                <w:rFonts w:ascii="Arial" w:hAnsi="Arial" w:cs="Arial"/>
                <w:b/>
                <w:color w:val="0F243E"/>
                <w:sz w:val="20"/>
                <w:szCs w:val="20"/>
              </w:rPr>
              <w:t>4.491.185</w:t>
            </w:r>
          </w:p>
        </w:tc>
        <w:tc>
          <w:tcPr>
            <w:tcW w:w="1241" w:type="dxa"/>
            <w:tcBorders>
              <w:top w:val="nil"/>
              <w:left w:val="nil"/>
              <w:bottom w:val="single" w:sz="8" w:space="0" w:color="FFFFFF"/>
              <w:right w:val="single" w:sz="8" w:space="0" w:color="FFFFFF"/>
            </w:tcBorders>
            <w:shd w:val="clear" w:color="000000" w:fill="DBE5F1"/>
            <w:vAlign w:val="center"/>
            <w:hideMark/>
          </w:tcPr>
          <w:p w14:paraId="225412D3" w14:textId="77777777" w:rsidR="001F7964" w:rsidRPr="001F7964" w:rsidRDefault="001F7964" w:rsidP="001F7964">
            <w:pPr>
              <w:jc w:val="center"/>
              <w:rPr>
                <w:rFonts w:ascii="Arial" w:hAnsi="Arial" w:cs="Arial"/>
                <w:b/>
                <w:bCs/>
                <w:color w:val="0F243E"/>
                <w:sz w:val="20"/>
                <w:szCs w:val="20"/>
              </w:rPr>
            </w:pPr>
            <w:r w:rsidRPr="001F7964">
              <w:rPr>
                <w:rFonts w:ascii="Arial" w:hAnsi="Arial" w:cs="Arial"/>
                <w:b/>
                <w:bCs/>
                <w:color w:val="0F243E"/>
                <w:sz w:val="20"/>
                <w:szCs w:val="20"/>
              </w:rPr>
              <w:t>14%</w:t>
            </w:r>
          </w:p>
        </w:tc>
      </w:tr>
      <w:tr w:rsidR="001F7964" w:rsidRPr="001F7964" w14:paraId="12CC9AE0" w14:textId="77777777" w:rsidTr="00A70DA4">
        <w:trPr>
          <w:trHeight w:val="1109"/>
        </w:trPr>
        <w:tc>
          <w:tcPr>
            <w:tcW w:w="1146" w:type="dxa"/>
            <w:vMerge/>
            <w:tcBorders>
              <w:top w:val="nil"/>
              <w:left w:val="single" w:sz="8" w:space="0" w:color="FFFFFF"/>
              <w:bottom w:val="single" w:sz="8" w:space="0" w:color="FFFFFF"/>
              <w:right w:val="single" w:sz="8" w:space="0" w:color="FFFFFF"/>
            </w:tcBorders>
            <w:vAlign w:val="center"/>
            <w:hideMark/>
          </w:tcPr>
          <w:p w14:paraId="06D973A8" w14:textId="77777777" w:rsidR="001F7964" w:rsidRPr="001F7964" w:rsidRDefault="001F7964" w:rsidP="001F7964">
            <w:pPr>
              <w:rPr>
                <w:rFonts w:ascii="Arial" w:hAnsi="Arial" w:cs="Arial"/>
                <w:b/>
                <w:bCs/>
                <w:color w:val="FFFFFF"/>
                <w:sz w:val="20"/>
                <w:szCs w:val="20"/>
              </w:rPr>
            </w:pPr>
          </w:p>
        </w:tc>
        <w:tc>
          <w:tcPr>
            <w:tcW w:w="1142" w:type="dxa"/>
            <w:vMerge/>
            <w:tcBorders>
              <w:top w:val="nil"/>
              <w:left w:val="single" w:sz="8" w:space="0" w:color="FFFFFF"/>
              <w:bottom w:val="single" w:sz="8" w:space="0" w:color="FFFFFF"/>
              <w:right w:val="single" w:sz="8" w:space="0" w:color="FFFFFF"/>
            </w:tcBorders>
            <w:vAlign w:val="center"/>
            <w:hideMark/>
          </w:tcPr>
          <w:p w14:paraId="5F36AD0D" w14:textId="77777777" w:rsidR="001F7964" w:rsidRPr="001F7964" w:rsidRDefault="001F7964" w:rsidP="001F7964">
            <w:pPr>
              <w:rPr>
                <w:rFonts w:ascii="Arial" w:hAnsi="Arial" w:cs="Arial"/>
                <w:b/>
                <w:bCs/>
                <w:color w:val="0F243E"/>
                <w:sz w:val="20"/>
                <w:szCs w:val="20"/>
              </w:rPr>
            </w:pPr>
          </w:p>
        </w:tc>
        <w:tc>
          <w:tcPr>
            <w:tcW w:w="1623" w:type="dxa"/>
            <w:tcBorders>
              <w:top w:val="nil"/>
              <w:left w:val="nil"/>
              <w:bottom w:val="single" w:sz="8" w:space="0" w:color="FFFFFF"/>
              <w:right w:val="single" w:sz="8" w:space="0" w:color="FFFFFF"/>
            </w:tcBorders>
            <w:shd w:val="clear" w:color="auto" w:fill="B8CCE4" w:themeFill="accent1" w:themeFillTint="66"/>
            <w:vAlign w:val="center"/>
            <w:hideMark/>
          </w:tcPr>
          <w:p w14:paraId="4F99AE54" w14:textId="77777777" w:rsidR="001F7964" w:rsidRPr="001F7964" w:rsidRDefault="001F7964" w:rsidP="001F7964">
            <w:pPr>
              <w:jc w:val="center"/>
              <w:rPr>
                <w:rFonts w:ascii="Arial" w:hAnsi="Arial" w:cs="Arial"/>
                <w:color w:val="0F243E"/>
                <w:sz w:val="20"/>
                <w:szCs w:val="20"/>
              </w:rPr>
            </w:pPr>
            <w:r w:rsidRPr="001F7964">
              <w:rPr>
                <w:rFonts w:ascii="Arial" w:hAnsi="Arial" w:cs="Arial"/>
                <w:color w:val="0F243E"/>
                <w:sz w:val="20"/>
                <w:szCs w:val="20"/>
              </w:rPr>
              <w:t>Cantidad en Galones</w:t>
            </w:r>
          </w:p>
        </w:tc>
        <w:tc>
          <w:tcPr>
            <w:tcW w:w="1466" w:type="dxa"/>
            <w:tcBorders>
              <w:top w:val="nil"/>
              <w:left w:val="nil"/>
              <w:bottom w:val="single" w:sz="8" w:space="0" w:color="FFFFFF"/>
              <w:right w:val="single" w:sz="8" w:space="0" w:color="FFFFFF"/>
            </w:tcBorders>
            <w:shd w:val="clear" w:color="auto" w:fill="B8CCE4" w:themeFill="accent1" w:themeFillTint="66"/>
            <w:vAlign w:val="center"/>
            <w:hideMark/>
          </w:tcPr>
          <w:p w14:paraId="55C1A7DA" w14:textId="77777777" w:rsidR="001F7964" w:rsidRPr="001F7964" w:rsidRDefault="001F7964" w:rsidP="001F7964">
            <w:pPr>
              <w:jc w:val="center"/>
              <w:rPr>
                <w:rFonts w:ascii="Arial" w:hAnsi="Arial" w:cs="Arial"/>
                <w:color w:val="0F243E"/>
                <w:sz w:val="20"/>
                <w:szCs w:val="20"/>
              </w:rPr>
            </w:pPr>
            <w:r w:rsidRPr="001F7964">
              <w:rPr>
                <w:rFonts w:ascii="Arial" w:hAnsi="Arial" w:cs="Arial"/>
                <w:color w:val="0F243E"/>
                <w:sz w:val="20"/>
                <w:szCs w:val="20"/>
              </w:rPr>
              <w:t>III Trimestre 2019-2018</w:t>
            </w:r>
          </w:p>
        </w:tc>
        <w:tc>
          <w:tcPr>
            <w:tcW w:w="1417" w:type="dxa"/>
            <w:tcBorders>
              <w:top w:val="nil"/>
              <w:left w:val="nil"/>
              <w:bottom w:val="single" w:sz="8" w:space="0" w:color="FFFFFF"/>
              <w:right w:val="single" w:sz="8" w:space="0" w:color="FFFFFF"/>
            </w:tcBorders>
            <w:shd w:val="clear" w:color="auto" w:fill="B8CCE4" w:themeFill="accent1" w:themeFillTint="66"/>
            <w:vAlign w:val="center"/>
            <w:hideMark/>
          </w:tcPr>
          <w:p w14:paraId="01514026" w14:textId="5548A6AC" w:rsidR="001F7964" w:rsidRPr="001F7964" w:rsidRDefault="001F7964" w:rsidP="001F7964">
            <w:pPr>
              <w:rPr>
                <w:rFonts w:ascii="Arial" w:hAnsi="Arial" w:cs="Arial"/>
                <w:color w:val="0F243E"/>
                <w:sz w:val="20"/>
                <w:szCs w:val="20"/>
              </w:rPr>
            </w:pPr>
            <w:r w:rsidRPr="001F7964">
              <w:rPr>
                <w:rFonts w:ascii="Arial" w:hAnsi="Arial" w:cs="Arial"/>
                <w:noProof/>
                <w:color w:val="0F243E"/>
                <w:sz w:val="20"/>
                <w:szCs w:val="20"/>
              </w:rPr>
              <mc:AlternateContent>
                <mc:Choice Requires="wps">
                  <w:drawing>
                    <wp:anchor distT="0" distB="0" distL="114300" distR="114300" simplePos="0" relativeHeight="251995136" behindDoc="0" locked="0" layoutInCell="1" allowOverlap="1" wp14:anchorId="08188341" wp14:editId="0352EC8B">
                      <wp:simplePos x="0" y="0"/>
                      <wp:positionH relativeFrom="column">
                        <wp:posOffset>209550</wp:posOffset>
                      </wp:positionH>
                      <wp:positionV relativeFrom="paragraph">
                        <wp:posOffset>49530</wp:posOffset>
                      </wp:positionV>
                      <wp:extent cx="342900" cy="200025"/>
                      <wp:effectExtent l="0" t="0" r="19050" b="28575"/>
                      <wp:wrapNone/>
                      <wp:docPr id="61" name="Triángulo isósceles 61"/>
                      <wp:cNvGraphicFramePr/>
                      <a:graphic xmlns:a="http://schemas.openxmlformats.org/drawingml/2006/main">
                        <a:graphicData uri="http://schemas.microsoft.com/office/word/2010/wordprocessingShape">
                          <wps:wsp>
                            <wps:cNvSpPr/>
                            <wps:spPr>
                              <a:xfrm>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8B5153B" id="Triángulo isósceles 61" o:spid="_x0000_s1026" type="#_x0000_t5" style="position:absolute;margin-left:16.5pt;margin-top:3.9pt;width:27pt;height:15.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" filled="f" strokecolor="#376092" strokeweight="2pt"/>
                  </w:pict>
                </mc:Fallback>
              </mc:AlternateContent>
            </w:r>
          </w:p>
        </w:tc>
        <w:tc>
          <w:tcPr>
            <w:tcW w:w="1736" w:type="dxa"/>
            <w:tcBorders>
              <w:top w:val="nil"/>
              <w:left w:val="nil"/>
              <w:bottom w:val="single" w:sz="8" w:space="0" w:color="FFFFFF"/>
              <w:right w:val="single" w:sz="8" w:space="0" w:color="FFFFFF"/>
            </w:tcBorders>
            <w:shd w:val="clear" w:color="auto" w:fill="B8CCE4" w:themeFill="accent1" w:themeFillTint="66"/>
            <w:vAlign w:val="center"/>
            <w:hideMark/>
          </w:tcPr>
          <w:p w14:paraId="25169F23" w14:textId="77777777" w:rsidR="001F7964" w:rsidRPr="001F7964" w:rsidRDefault="001F7964" w:rsidP="001F7964">
            <w:pPr>
              <w:jc w:val="right"/>
              <w:rPr>
                <w:rFonts w:ascii="Arial" w:hAnsi="Arial" w:cs="Arial"/>
                <w:b/>
                <w:color w:val="0F243E"/>
                <w:sz w:val="20"/>
                <w:szCs w:val="20"/>
              </w:rPr>
            </w:pPr>
            <w:r w:rsidRPr="001F7964">
              <w:rPr>
                <w:rFonts w:ascii="Arial" w:hAnsi="Arial" w:cs="Arial"/>
                <w:b/>
                <w:color w:val="0F243E"/>
                <w:sz w:val="20"/>
                <w:szCs w:val="20"/>
              </w:rPr>
              <w:t>172 Galones</w:t>
            </w:r>
          </w:p>
        </w:tc>
        <w:tc>
          <w:tcPr>
            <w:tcW w:w="1241" w:type="dxa"/>
            <w:tcBorders>
              <w:top w:val="nil"/>
              <w:left w:val="nil"/>
              <w:bottom w:val="single" w:sz="8" w:space="0" w:color="FFFFFF"/>
              <w:right w:val="single" w:sz="8" w:space="0" w:color="FFFFFF"/>
            </w:tcBorders>
            <w:shd w:val="clear" w:color="auto" w:fill="B8CCE4" w:themeFill="accent1" w:themeFillTint="66"/>
            <w:vAlign w:val="center"/>
            <w:hideMark/>
          </w:tcPr>
          <w:p w14:paraId="6FE3D76E" w14:textId="77777777" w:rsidR="001F7964" w:rsidRPr="001F7964" w:rsidRDefault="001F7964" w:rsidP="001F7964">
            <w:pPr>
              <w:jc w:val="center"/>
              <w:rPr>
                <w:rFonts w:ascii="Arial" w:hAnsi="Arial" w:cs="Arial"/>
                <w:b/>
                <w:bCs/>
                <w:color w:val="0F243E"/>
                <w:sz w:val="20"/>
                <w:szCs w:val="20"/>
              </w:rPr>
            </w:pPr>
            <w:r w:rsidRPr="001F7964">
              <w:rPr>
                <w:rFonts w:ascii="Arial" w:hAnsi="Arial" w:cs="Arial"/>
                <w:b/>
                <w:bCs/>
                <w:color w:val="0F243E"/>
                <w:sz w:val="20"/>
                <w:szCs w:val="20"/>
              </w:rPr>
              <w:t>5%</w:t>
            </w:r>
          </w:p>
        </w:tc>
      </w:tr>
      <w:tr w:rsidR="001F7964" w:rsidRPr="001F7964" w14:paraId="6A6EF808" w14:textId="77777777" w:rsidTr="00A70DA4">
        <w:trPr>
          <w:trHeight w:val="984"/>
        </w:trPr>
        <w:tc>
          <w:tcPr>
            <w:tcW w:w="1146" w:type="dxa"/>
            <w:tcBorders>
              <w:top w:val="nil"/>
              <w:left w:val="single" w:sz="8" w:space="0" w:color="FFFFFF"/>
              <w:bottom w:val="single" w:sz="8" w:space="0" w:color="FFFFFF"/>
              <w:right w:val="single" w:sz="8" w:space="0" w:color="FFFFFF"/>
            </w:tcBorders>
            <w:shd w:val="clear" w:color="000000" w:fill="4F81BD"/>
            <w:textDirection w:val="btLr"/>
            <w:vAlign w:val="center"/>
            <w:hideMark/>
          </w:tcPr>
          <w:p w14:paraId="4E5E41A4" w14:textId="77777777" w:rsidR="001F7964" w:rsidRPr="001F7964" w:rsidRDefault="001F7964" w:rsidP="001F7964">
            <w:pPr>
              <w:jc w:val="center"/>
              <w:rPr>
                <w:rFonts w:ascii="Arial" w:hAnsi="Arial" w:cs="Arial"/>
                <w:b/>
                <w:bCs/>
                <w:color w:val="FFFFFF"/>
                <w:sz w:val="20"/>
                <w:szCs w:val="20"/>
              </w:rPr>
            </w:pPr>
            <w:r w:rsidRPr="001F7964">
              <w:rPr>
                <w:rFonts w:ascii="Arial" w:hAnsi="Arial" w:cs="Arial"/>
                <w:b/>
                <w:bCs/>
                <w:color w:val="FFFFFF"/>
                <w:sz w:val="20"/>
                <w:szCs w:val="20"/>
              </w:rPr>
              <w:t>Garajes</w:t>
            </w:r>
          </w:p>
        </w:tc>
        <w:tc>
          <w:tcPr>
            <w:tcW w:w="1142" w:type="dxa"/>
            <w:vMerge/>
            <w:tcBorders>
              <w:top w:val="nil"/>
              <w:left w:val="single" w:sz="8" w:space="0" w:color="FFFFFF"/>
              <w:bottom w:val="single" w:sz="8" w:space="0" w:color="FFFFFF"/>
              <w:right w:val="single" w:sz="8" w:space="0" w:color="FFFFFF"/>
            </w:tcBorders>
            <w:vAlign w:val="center"/>
            <w:hideMark/>
          </w:tcPr>
          <w:p w14:paraId="1109083F" w14:textId="77777777" w:rsidR="001F7964" w:rsidRPr="001F7964" w:rsidRDefault="001F7964" w:rsidP="001F7964">
            <w:pPr>
              <w:rPr>
                <w:rFonts w:ascii="Arial" w:hAnsi="Arial" w:cs="Arial"/>
                <w:b/>
                <w:bCs/>
                <w:color w:val="0F243E"/>
                <w:sz w:val="20"/>
                <w:szCs w:val="20"/>
              </w:rPr>
            </w:pPr>
          </w:p>
        </w:tc>
        <w:tc>
          <w:tcPr>
            <w:tcW w:w="1623" w:type="dxa"/>
            <w:tcBorders>
              <w:top w:val="nil"/>
              <w:left w:val="nil"/>
              <w:bottom w:val="single" w:sz="8" w:space="0" w:color="FFFFFF"/>
              <w:right w:val="single" w:sz="8" w:space="0" w:color="FFFFFF"/>
            </w:tcBorders>
            <w:shd w:val="clear" w:color="auto" w:fill="DBE5F1" w:themeFill="accent1" w:themeFillTint="33"/>
            <w:vAlign w:val="center"/>
            <w:hideMark/>
          </w:tcPr>
          <w:p w14:paraId="228E204C" w14:textId="77777777" w:rsidR="001F7964" w:rsidRPr="001F7964" w:rsidRDefault="001F7964" w:rsidP="001F7964">
            <w:pPr>
              <w:jc w:val="center"/>
              <w:rPr>
                <w:rFonts w:ascii="Arial" w:hAnsi="Arial" w:cs="Arial"/>
                <w:color w:val="0F243E"/>
                <w:sz w:val="20"/>
                <w:szCs w:val="20"/>
              </w:rPr>
            </w:pPr>
            <w:r w:rsidRPr="001F7964">
              <w:rPr>
                <w:rFonts w:ascii="Arial" w:hAnsi="Arial" w:cs="Arial"/>
                <w:color w:val="0F243E"/>
                <w:sz w:val="20"/>
                <w:szCs w:val="20"/>
              </w:rPr>
              <w:t>Valor del Gasto</w:t>
            </w:r>
          </w:p>
        </w:tc>
        <w:tc>
          <w:tcPr>
            <w:tcW w:w="1466" w:type="dxa"/>
            <w:tcBorders>
              <w:top w:val="nil"/>
              <w:left w:val="nil"/>
              <w:bottom w:val="single" w:sz="8" w:space="0" w:color="FFFFFF"/>
              <w:right w:val="single" w:sz="8" w:space="0" w:color="FFFFFF"/>
            </w:tcBorders>
            <w:shd w:val="clear" w:color="auto" w:fill="DBE5F1" w:themeFill="accent1" w:themeFillTint="33"/>
            <w:vAlign w:val="center"/>
            <w:hideMark/>
          </w:tcPr>
          <w:p w14:paraId="4179BB0E" w14:textId="77777777" w:rsidR="001F7964" w:rsidRPr="001F7964" w:rsidRDefault="001F7964" w:rsidP="001F7964">
            <w:pPr>
              <w:jc w:val="center"/>
              <w:rPr>
                <w:rFonts w:ascii="Arial" w:hAnsi="Arial" w:cs="Arial"/>
                <w:color w:val="0F243E"/>
                <w:sz w:val="20"/>
                <w:szCs w:val="20"/>
              </w:rPr>
            </w:pPr>
            <w:r w:rsidRPr="001F7964">
              <w:rPr>
                <w:rFonts w:ascii="Arial" w:hAnsi="Arial" w:cs="Arial"/>
                <w:color w:val="0F243E"/>
                <w:sz w:val="20"/>
                <w:szCs w:val="20"/>
              </w:rPr>
              <w:t>III Trimestre 2019-2018</w:t>
            </w:r>
          </w:p>
        </w:tc>
        <w:tc>
          <w:tcPr>
            <w:tcW w:w="1417" w:type="dxa"/>
            <w:tcBorders>
              <w:top w:val="nil"/>
              <w:left w:val="nil"/>
              <w:bottom w:val="single" w:sz="8" w:space="0" w:color="FFFFFF"/>
              <w:right w:val="single" w:sz="8" w:space="0" w:color="FFFFFF"/>
            </w:tcBorders>
            <w:shd w:val="clear" w:color="auto" w:fill="DBE5F1" w:themeFill="accent1" w:themeFillTint="33"/>
            <w:vAlign w:val="center"/>
            <w:hideMark/>
          </w:tcPr>
          <w:p w14:paraId="7609F1CF" w14:textId="2AC4E2E8" w:rsidR="001F7964" w:rsidRPr="001F7964" w:rsidRDefault="001F7964" w:rsidP="001F7964">
            <w:pPr>
              <w:rPr>
                <w:rFonts w:ascii="Arial" w:hAnsi="Arial" w:cs="Arial"/>
                <w:color w:val="0F243E"/>
                <w:sz w:val="20"/>
                <w:szCs w:val="20"/>
              </w:rPr>
            </w:pPr>
            <w:r w:rsidRPr="001F7964">
              <w:rPr>
                <w:rFonts w:ascii="Arial" w:hAnsi="Arial" w:cs="Arial"/>
                <w:noProof/>
                <w:color w:val="0F243E"/>
                <w:sz w:val="20"/>
                <w:szCs w:val="20"/>
              </w:rPr>
              <mc:AlternateContent>
                <mc:Choice Requires="wps">
                  <w:drawing>
                    <wp:anchor distT="0" distB="0" distL="114300" distR="114300" simplePos="0" relativeHeight="251996160" behindDoc="0" locked="0" layoutInCell="1" allowOverlap="1" wp14:anchorId="2F70192D" wp14:editId="2F7E77DF">
                      <wp:simplePos x="0" y="0"/>
                      <wp:positionH relativeFrom="column">
                        <wp:posOffset>205740</wp:posOffset>
                      </wp:positionH>
                      <wp:positionV relativeFrom="paragraph">
                        <wp:posOffset>15875</wp:posOffset>
                      </wp:positionV>
                      <wp:extent cx="342900" cy="209550"/>
                      <wp:effectExtent l="0" t="0" r="19050" b="19050"/>
                      <wp:wrapNone/>
                      <wp:docPr id="54" name="Triángulo isósceles 54"/>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F9FC80C" id="Triángulo isósceles 54" o:spid="_x0000_s1026" type="#_x0000_t5" style="position:absolute;margin-left:16.2pt;margin-top:1.25pt;width:27pt;height:16.5pt;rotation:180;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" filled="f" strokecolor="#376092" strokeweight="2pt"/>
                  </w:pict>
                </mc:Fallback>
              </mc:AlternateContent>
            </w:r>
          </w:p>
        </w:tc>
        <w:tc>
          <w:tcPr>
            <w:tcW w:w="1736" w:type="dxa"/>
            <w:tcBorders>
              <w:top w:val="nil"/>
              <w:left w:val="nil"/>
              <w:bottom w:val="single" w:sz="8" w:space="0" w:color="FFFFFF"/>
              <w:right w:val="single" w:sz="8" w:space="0" w:color="FFFFFF"/>
            </w:tcBorders>
            <w:shd w:val="clear" w:color="auto" w:fill="DBE5F1" w:themeFill="accent1" w:themeFillTint="33"/>
            <w:vAlign w:val="center"/>
            <w:hideMark/>
          </w:tcPr>
          <w:p w14:paraId="768E7759" w14:textId="0AC5EEBC" w:rsidR="001F7964" w:rsidRPr="001F7964" w:rsidRDefault="001F7964" w:rsidP="001F7964">
            <w:pPr>
              <w:jc w:val="right"/>
              <w:rPr>
                <w:rFonts w:ascii="Arial" w:hAnsi="Arial" w:cs="Arial"/>
                <w:b/>
                <w:color w:val="0F243E"/>
                <w:sz w:val="20"/>
                <w:szCs w:val="20"/>
              </w:rPr>
            </w:pPr>
            <w:r>
              <w:rPr>
                <w:rFonts w:ascii="Arial" w:hAnsi="Arial" w:cs="Arial"/>
                <w:b/>
                <w:color w:val="0F243E"/>
                <w:sz w:val="20"/>
                <w:szCs w:val="20"/>
              </w:rPr>
              <w:t>(</w:t>
            </w:r>
            <w:r w:rsidRPr="001F7964">
              <w:rPr>
                <w:rFonts w:ascii="Arial" w:hAnsi="Arial" w:cs="Arial"/>
                <w:b/>
                <w:color w:val="0F243E"/>
                <w:sz w:val="20"/>
                <w:szCs w:val="20"/>
              </w:rPr>
              <w:t>409.567</w:t>
            </w:r>
            <w:r>
              <w:rPr>
                <w:rFonts w:ascii="Arial" w:hAnsi="Arial" w:cs="Arial"/>
                <w:b/>
                <w:color w:val="0F243E"/>
                <w:sz w:val="20"/>
                <w:szCs w:val="20"/>
              </w:rPr>
              <w:t>)</w:t>
            </w:r>
          </w:p>
        </w:tc>
        <w:tc>
          <w:tcPr>
            <w:tcW w:w="1241" w:type="dxa"/>
            <w:tcBorders>
              <w:top w:val="nil"/>
              <w:left w:val="nil"/>
              <w:bottom w:val="single" w:sz="8" w:space="0" w:color="FFFFFF"/>
              <w:right w:val="single" w:sz="8" w:space="0" w:color="FFFFFF"/>
            </w:tcBorders>
            <w:shd w:val="clear" w:color="auto" w:fill="DBE5F1" w:themeFill="accent1" w:themeFillTint="33"/>
            <w:vAlign w:val="center"/>
            <w:hideMark/>
          </w:tcPr>
          <w:p w14:paraId="528599ED" w14:textId="2BCA5E15" w:rsidR="001F7964" w:rsidRPr="001F7964" w:rsidRDefault="001F7964" w:rsidP="001F7964">
            <w:pPr>
              <w:jc w:val="center"/>
              <w:rPr>
                <w:rFonts w:ascii="Arial" w:hAnsi="Arial" w:cs="Arial"/>
                <w:b/>
                <w:bCs/>
                <w:color w:val="0F243E"/>
                <w:sz w:val="20"/>
                <w:szCs w:val="20"/>
              </w:rPr>
            </w:pPr>
            <w:r>
              <w:rPr>
                <w:rFonts w:ascii="Arial" w:hAnsi="Arial" w:cs="Arial"/>
                <w:b/>
                <w:bCs/>
                <w:color w:val="0F243E"/>
                <w:sz w:val="20"/>
                <w:szCs w:val="20"/>
              </w:rPr>
              <w:t>(</w:t>
            </w:r>
            <w:r w:rsidRPr="001F7964">
              <w:rPr>
                <w:rFonts w:ascii="Arial" w:hAnsi="Arial" w:cs="Arial"/>
                <w:b/>
                <w:bCs/>
                <w:color w:val="0F243E"/>
                <w:sz w:val="20"/>
                <w:szCs w:val="20"/>
              </w:rPr>
              <w:t>6%</w:t>
            </w:r>
            <w:r>
              <w:rPr>
                <w:rFonts w:ascii="Arial" w:hAnsi="Arial" w:cs="Arial"/>
                <w:b/>
                <w:bCs/>
                <w:color w:val="0F243E"/>
                <w:sz w:val="20"/>
                <w:szCs w:val="20"/>
              </w:rPr>
              <w:t>)</w:t>
            </w:r>
          </w:p>
        </w:tc>
      </w:tr>
    </w:tbl>
    <w:p w14:paraId="0D28E205" w14:textId="1C55F835" w:rsidR="001F7964" w:rsidRDefault="001F7964" w:rsidP="0048030E">
      <w:pPr>
        <w:spacing w:line="264" w:lineRule="auto"/>
        <w:rPr>
          <w:rFonts w:ascii="Arial" w:hAnsi="Arial" w:cs="Arial"/>
          <w:b/>
          <w:sz w:val="22"/>
          <w:szCs w:val="22"/>
          <w:highlight w:val="yellow"/>
        </w:rPr>
      </w:pPr>
    </w:p>
    <w:p w14:paraId="1B0DC389" w14:textId="77777777" w:rsidR="0018063C" w:rsidRPr="00F841BB" w:rsidRDefault="0018063C" w:rsidP="0048030E">
      <w:pPr>
        <w:spacing w:line="264" w:lineRule="auto"/>
        <w:rPr>
          <w:rFonts w:ascii="Arial" w:hAnsi="Arial" w:cs="Arial"/>
          <w:b/>
          <w:sz w:val="22"/>
          <w:szCs w:val="22"/>
        </w:rPr>
      </w:pPr>
    </w:p>
    <w:p w14:paraId="7A131145" w14:textId="77777777" w:rsidR="00976638" w:rsidRPr="00F841BB" w:rsidRDefault="0070513A" w:rsidP="0045629B">
      <w:pPr>
        <w:pStyle w:val="Prrafodelista"/>
        <w:numPr>
          <w:ilvl w:val="0"/>
          <w:numId w:val="1"/>
        </w:numPr>
        <w:spacing w:line="264" w:lineRule="auto"/>
        <w:contextualSpacing w:val="0"/>
        <w:jc w:val="left"/>
        <w:rPr>
          <w:rFonts w:ascii="Arial" w:hAnsi="Arial" w:cs="Arial"/>
          <w:b/>
          <w:color w:val="000000" w:themeColor="text1"/>
          <w:sz w:val="22"/>
          <w:szCs w:val="22"/>
        </w:rPr>
      </w:pPr>
      <w:r w:rsidRPr="00F841BB">
        <w:rPr>
          <w:rFonts w:ascii="Arial" w:hAnsi="Arial" w:cs="Arial"/>
          <w:b/>
          <w:color w:val="000000" w:themeColor="text1"/>
          <w:sz w:val="22"/>
          <w:szCs w:val="22"/>
        </w:rPr>
        <w:t>PAPELERÍA Y TELEFONÍA</w:t>
      </w:r>
    </w:p>
    <w:p w14:paraId="488A6E3D" w14:textId="77777777" w:rsidR="00EF49AB" w:rsidRPr="00A003B6" w:rsidRDefault="00EF49AB" w:rsidP="00A05680">
      <w:pPr>
        <w:jc w:val="center"/>
        <w:rPr>
          <w:highlight w:val="yellow"/>
        </w:rPr>
      </w:pPr>
    </w:p>
    <w:tbl>
      <w:tblPr>
        <w:tblStyle w:val="Cuadrculamedia3-nfasis1"/>
        <w:tblW w:w="9771" w:type="dxa"/>
        <w:tblLayout w:type="fixed"/>
        <w:tblLook w:val="04A0" w:firstRow="1" w:lastRow="0" w:firstColumn="1" w:lastColumn="0" w:noHBand="0" w:noVBand="1"/>
      </w:tblPr>
      <w:tblGrid>
        <w:gridCol w:w="1124"/>
        <w:gridCol w:w="1134"/>
        <w:gridCol w:w="1701"/>
        <w:gridCol w:w="1565"/>
        <w:gridCol w:w="1287"/>
        <w:gridCol w:w="1684"/>
        <w:gridCol w:w="1276"/>
      </w:tblGrid>
      <w:tr w:rsidR="00E03B23" w:rsidRPr="00F841BB" w14:paraId="07013677" w14:textId="77777777" w:rsidTr="008144D3">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124" w:type="dxa"/>
            <w:vAlign w:val="center"/>
            <w:hideMark/>
          </w:tcPr>
          <w:p w14:paraId="01B402D7" w14:textId="77777777" w:rsidR="00C432D9" w:rsidRPr="00F841BB" w:rsidRDefault="00C432D9" w:rsidP="00630089">
            <w:pPr>
              <w:spacing w:before="100" w:after="80"/>
              <w:jc w:val="center"/>
              <w:rPr>
                <w:rFonts w:ascii="Arial" w:hAnsi="Arial" w:cs="Arial"/>
                <w:sz w:val="20"/>
                <w:szCs w:val="20"/>
              </w:rPr>
            </w:pPr>
            <w:r w:rsidRPr="00F841BB">
              <w:rPr>
                <w:rFonts w:ascii="Arial" w:hAnsi="Arial" w:cs="Arial"/>
                <w:sz w:val="20"/>
                <w:szCs w:val="20"/>
              </w:rPr>
              <w:t>Ítem</w:t>
            </w:r>
          </w:p>
        </w:tc>
        <w:tc>
          <w:tcPr>
            <w:tcW w:w="1134" w:type="dxa"/>
            <w:vAlign w:val="center"/>
            <w:hideMark/>
          </w:tcPr>
          <w:p w14:paraId="71DD9C10" w14:textId="77777777" w:rsidR="00C432D9" w:rsidRPr="00F841BB" w:rsidRDefault="00C432D9" w:rsidP="0063008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841BB">
              <w:rPr>
                <w:rFonts w:ascii="Arial" w:hAnsi="Arial" w:cs="Arial"/>
                <w:sz w:val="20"/>
                <w:szCs w:val="20"/>
              </w:rPr>
              <w:t>Numeral Informe</w:t>
            </w:r>
          </w:p>
        </w:tc>
        <w:tc>
          <w:tcPr>
            <w:tcW w:w="1701" w:type="dxa"/>
            <w:vAlign w:val="center"/>
            <w:hideMark/>
          </w:tcPr>
          <w:p w14:paraId="5DB9073A" w14:textId="77777777" w:rsidR="00C432D9" w:rsidRPr="00F841BB" w:rsidRDefault="00C432D9" w:rsidP="0063008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841BB">
              <w:rPr>
                <w:rFonts w:ascii="Arial" w:hAnsi="Arial" w:cs="Arial"/>
                <w:sz w:val="20"/>
                <w:szCs w:val="20"/>
              </w:rPr>
              <w:t>Concepto</w:t>
            </w:r>
          </w:p>
        </w:tc>
        <w:tc>
          <w:tcPr>
            <w:tcW w:w="1565" w:type="dxa"/>
            <w:vAlign w:val="center"/>
            <w:hideMark/>
          </w:tcPr>
          <w:p w14:paraId="1E571EC1" w14:textId="77777777" w:rsidR="00C432D9" w:rsidRPr="00F841BB" w:rsidRDefault="00C432D9" w:rsidP="0063008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841BB">
              <w:rPr>
                <w:rFonts w:ascii="Arial" w:hAnsi="Arial" w:cs="Arial"/>
                <w:sz w:val="20"/>
                <w:szCs w:val="20"/>
              </w:rPr>
              <w:t xml:space="preserve">Periodo Comparado </w:t>
            </w:r>
          </w:p>
        </w:tc>
        <w:tc>
          <w:tcPr>
            <w:tcW w:w="1287" w:type="dxa"/>
            <w:vAlign w:val="center"/>
            <w:hideMark/>
          </w:tcPr>
          <w:p w14:paraId="0F438E0F" w14:textId="77777777" w:rsidR="00C432D9" w:rsidRPr="00F841BB" w:rsidRDefault="00C432D9" w:rsidP="0063008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841BB">
              <w:rPr>
                <w:rFonts w:ascii="Arial" w:hAnsi="Arial" w:cs="Arial"/>
                <w:sz w:val="20"/>
                <w:szCs w:val="20"/>
              </w:rPr>
              <w:t xml:space="preserve">Variación </w:t>
            </w:r>
          </w:p>
        </w:tc>
        <w:tc>
          <w:tcPr>
            <w:tcW w:w="1684" w:type="dxa"/>
            <w:vAlign w:val="center"/>
            <w:hideMark/>
          </w:tcPr>
          <w:p w14:paraId="2DAD94EA" w14:textId="77777777" w:rsidR="00C432D9" w:rsidRPr="00F841BB" w:rsidRDefault="00C432D9" w:rsidP="0063008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841BB">
              <w:rPr>
                <w:rFonts w:ascii="Arial" w:hAnsi="Arial" w:cs="Arial"/>
                <w:sz w:val="20"/>
                <w:szCs w:val="20"/>
              </w:rPr>
              <w:t>Valor / Cantidad</w:t>
            </w:r>
          </w:p>
        </w:tc>
        <w:tc>
          <w:tcPr>
            <w:tcW w:w="1276" w:type="dxa"/>
            <w:vAlign w:val="center"/>
            <w:hideMark/>
          </w:tcPr>
          <w:p w14:paraId="7736A913" w14:textId="77777777" w:rsidR="00C432D9" w:rsidRPr="00F841BB" w:rsidRDefault="00C432D9" w:rsidP="00630089">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841BB">
              <w:rPr>
                <w:rFonts w:ascii="Arial" w:hAnsi="Arial" w:cs="Arial"/>
                <w:sz w:val="20"/>
                <w:szCs w:val="20"/>
              </w:rPr>
              <w:t>%</w:t>
            </w:r>
          </w:p>
        </w:tc>
      </w:tr>
      <w:tr w:rsidR="00A70DA4" w:rsidRPr="00F841BB" w14:paraId="54A8CFF4" w14:textId="77777777" w:rsidTr="00A70DA4">
        <w:trPr>
          <w:cnfStyle w:val="000000100000" w:firstRow="0" w:lastRow="0" w:firstColumn="0" w:lastColumn="0" w:oddVBand="0" w:evenVBand="0" w:oddHBand="1" w:evenHBand="0" w:firstRowFirstColumn="0" w:firstRowLastColumn="0" w:lastRowFirstColumn="0" w:lastRowLastColumn="0"/>
          <w:trHeight w:val="1525"/>
        </w:trPr>
        <w:tc>
          <w:tcPr>
            <w:cnfStyle w:val="001000000000" w:firstRow="0" w:lastRow="0" w:firstColumn="1" w:lastColumn="0" w:oddVBand="0" w:evenVBand="0" w:oddHBand="0" w:evenHBand="0" w:firstRowFirstColumn="0" w:firstRowLastColumn="0" w:lastRowFirstColumn="0" w:lastRowLastColumn="0"/>
            <w:tcW w:w="1124" w:type="dxa"/>
            <w:vMerge w:val="restart"/>
            <w:textDirection w:val="btLr"/>
            <w:vAlign w:val="center"/>
            <w:hideMark/>
          </w:tcPr>
          <w:p w14:paraId="549330BF" w14:textId="77777777" w:rsidR="00A70DA4" w:rsidRPr="00F841BB" w:rsidRDefault="00A70DA4" w:rsidP="00F841BB">
            <w:pPr>
              <w:spacing w:before="100" w:after="80"/>
              <w:jc w:val="center"/>
              <w:rPr>
                <w:rFonts w:ascii="Arial" w:hAnsi="Arial" w:cs="Arial"/>
                <w:sz w:val="20"/>
                <w:szCs w:val="20"/>
              </w:rPr>
            </w:pPr>
            <w:r w:rsidRPr="00F841BB">
              <w:rPr>
                <w:rFonts w:ascii="Arial" w:hAnsi="Arial" w:cs="Arial"/>
                <w:sz w:val="20"/>
                <w:szCs w:val="20"/>
              </w:rPr>
              <w:t>Servicios Digitales y Centro de Fotocopiado</w:t>
            </w:r>
          </w:p>
        </w:tc>
        <w:tc>
          <w:tcPr>
            <w:tcW w:w="1134" w:type="dxa"/>
            <w:vMerge w:val="restart"/>
            <w:vAlign w:val="center"/>
            <w:hideMark/>
          </w:tcPr>
          <w:p w14:paraId="2DC1EE19" w14:textId="3791AA85" w:rsidR="00A70DA4" w:rsidRPr="00F841BB" w:rsidRDefault="00A70DA4" w:rsidP="00DB1BF2">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F841BB">
              <w:rPr>
                <w:rFonts w:ascii="Arial" w:hAnsi="Arial" w:cs="Arial"/>
                <w:b/>
                <w:bCs/>
                <w:color w:val="0F243E" w:themeColor="text2" w:themeShade="80"/>
                <w:sz w:val="20"/>
                <w:szCs w:val="20"/>
              </w:rPr>
              <w:t> </w:t>
            </w:r>
            <w:r>
              <w:rPr>
                <w:rFonts w:ascii="Arial" w:hAnsi="Arial" w:cs="Arial"/>
                <w:b/>
                <w:bCs/>
                <w:color w:val="0F243E" w:themeColor="text2" w:themeShade="80"/>
                <w:sz w:val="20"/>
                <w:szCs w:val="20"/>
              </w:rPr>
              <w:t>6</w:t>
            </w:r>
          </w:p>
        </w:tc>
        <w:tc>
          <w:tcPr>
            <w:tcW w:w="1701" w:type="dxa"/>
            <w:vAlign w:val="center"/>
            <w:hideMark/>
          </w:tcPr>
          <w:p w14:paraId="03D7FF57" w14:textId="6BF083D1" w:rsidR="00A70DA4" w:rsidRPr="00F841BB" w:rsidRDefault="00A70DA4" w:rsidP="00F841BB">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841BB">
              <w:rPr>
                <w:rFonts w:ascii="Arial" w:hAnsi="Arial" w:cs="Arial"/>
                <w:color w:val="0F243E" w:themeColor="text2" w:themeShade="80"/>
                <w:sz w:val="20"/>
                <w:szCs w:val="20"/>
              </w:rPr>
              <w:t>Valor del Gasto</w:t>
            </w:r>
          </w:p>
        </w:tc>
        <w:tc>
          <w:tcPr>
            <w:tcW w:w="1565" w:type="dxa"/>
            <w:vAlign w:val="center"/>
            <w:hideMark/>
          </w:tcPr>
          <w:p w14:paraId="106B604F" w14:textId="1AD734E5" w:rsidR="00A70DA4" w:rsidRPr="00F841BB" w:rsidRDefault="00A70DA4" w:rsidP="00F841BB">
            <w:pPr>
              <w:spacing w:before="100" w:after="80"/>
              <w:cnfStyle w:val="000000100000" w:firstRow="0" w:lastRow="0" w:firstColumn="0" w:lastColumn="0" w:oddVBand="0" w:evenVBand="0" w:oddHBand="1" w:evenHBand="0" w:firstRowFirstColumn="0" w:firstRowLastColumn="0" w:lastRowFirstColumn="0" w:lastRowLastColumn="0"/>
            </w:pPr>
            <w:r w:rsidRPr="00F841BB">
              <w:rPr>
                <w:rFonts w:ascii="Arial" w:hAnsi="Arial" w:cs="Arial"/>
                <w:color w:val="0F243E" w:themeColor="text2" w:themeShade="80"/>
                <w:sz w:val="20"/>
                <w:szCs w:val="20"/>
              </w:rPr>
              <w:t>II</w:t>
            </w:r>
            <w:r>
              <w:rPr>
                <w:rFonts w:ascii="Arial" w:hAnsi="Arial" w:cs="Arial"/>
                <w:color w:val="0F243E" w:themeColor="text2" w:themeShade="80"/>
                <w:sz w:val="20"/>
                <w:szCs w:val="20"/>
              </w:rPr>
              <w:t>I</w:t>
            </w:r>
            <w:r w:rsidRPr="00F841BB">
              <w:rPr>
                <w:rFonts w:ascii="Arial" w:hAnsi="Arial" w:cs="Arial"/>
                <w:color w:val="0F243E" w:themeColor="text2" w:themeShade="80"/>
                <w:sz w:val="20"/>
                <w:szCs w:val="20"/>
              </w:rPr>
              <w:t xml:space="preserve"> Trimestre 2019-2018</w:t>
            </w:r>
          </w:p>
        </w:tc>
        <w:tc>
          <w:tcPr>
            <w:tcW w:w="1287" w:type="dxa"/>
            <w:vAlign w:val="center"/>
            <w:hideMark/>
          </w:tcPr>
          <w:p w14:paraId="025A76EB" w14:textId="77777777" w:rsidR="00A70DA4" w:rsidRPr="00F841BB" w:rsidRDefault="00A70DA4" w:rsidP="00F841BB">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841BB">
              <w:rPr>
                <w:noProof/>
                <w:color w:val="0F243E" w:themeColor="text2" w:themeShade="80"/>
              </w:rPr>
              <mc:AlternateContent>
                <mc:Choice Requires="wps">
                  <w:drawing>
                    <wp:anchor distT="0" distB="0" distL="114300" distR="114300" simplePos="0" relativeHeight="252020736" behindDoc="0" locked="0" layoutInCell="1" allowOverlap="1" wp14:anchorId="635C9EBE" wp14:editId="6D83DD6F">
                      <wp:simplePos x="0" y="0"/>
                      <wp:positionH relativeFrom="column">
                        <wp:posOffset>160020</wp:posOffset>
                      </wp:positionH>
                      <wp:positionV relativeFrom="paragraph">
                        <wp:posOffset>93980</wp:posOffset>
                      </wp:positionV>
                      <wp:extent cx="295275" cy="190500"/>
                      <wp:effectExtent l="0" t="0" r="28575" b="19050"/>
                      <wp:wrapNone/>
                      <wp:docPr id="49" name="Triángulo isósceles 49"/>
                      <wp:cNvGraphicFramePr/>
                      <a:graphic xmlns:a="http://schemas.openxmlformats.org/drawingml/2006/main">
                        <a:graphicData uri="http://schemas.microsoft.com/office/word/2010/wordprocessingShape">
                          <wps:wsp>
                            <wps:cNvSpPr/>
                            <wps:spPr>
                              <a:xfrm rot="10800000">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4289522" id="Triángulo isósceles 49" o:spid="_x0000_s1026" type="#_x0000_t5" style="position:absolute;margin-left:12.6pt;margin-top:7.4pt;width:23.25pt;height:15pt;rotation:180;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" filled="f" strokecolor="#365f91 [2404]" strokeweight="2pt"/>
                  </w:pict>
                </mc:Fallback>
              </mc:AlternateContent>
            </w:r>
            <w:r w:rsidRPr="00F841BB">
              <w:rPr>
                <w:rFonts w:ascii="Arial" w:hAnsi="Arial" w:cs="Arial"/>
                <w:color w:val="0F243E" w:themeColor="text2" w:themeShade="80"/>
                <w:sz w:val="20"/>
                <w:szCs w:val="20"/>
              </w:rPr>
              <w:t xml:space="preserve"> </w:t>
            </w:r>
          </w:p>
        </w:tc>
        <w:tc>
          <w:tcPr>
            <w:tcW w:w="1684" w:type="dxa"/>
            <w:vAlign w:val="center"/>
          </w:tcPr>
          <w:p w14:paraId="6390BC08" w14:textId="50CA7021" w:rsidR="00A70DA4" w:rsidRPr="00352982" w:rsidRDefault="00A70DA4" w:rsidP="00F841BB">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352982">
              <w:rPr>
                <w:rFonts w:ascii="Arial" w:hAnsi="Arial" w:cs="Arial"/>
                <w:b/>
                <w:color w:val="0F243E"/>
                <w:sz w:val="20"/>
                <w:szCs w:val="20"/>
              </w:rPr>
              <w:t>(5.492.512)</w:t>
            </w:r>
          </w:p>
        </w:tc>
        <w:tc>
          <w:tcPr>
            <w:tcW w:w="1276" w:type="dxa"/>
            <w:vAlign w:val="center"/>
          </w:tcPr>
          <w:p w14:paraId="428A749F" w14:textId="1FD5976E" w:rsidR="00A70DA4" w:rsidRPr="00352982" w:rsidRDefault="00A70DA4" w:rsidP="00F841BB">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52982">
              <w:rPr>
                <w:rFonts w:ascii="Arial" w:hAnsi="Arial" w:cs="Arial"/>
                <w:b/>
                <w:bCs/>
                <w:color w:val="000000"/>
                <w:sz w:val="20"/>
                <w:szCs w:val="20"/>
              </w:rPr>
              <w:t>(5%)</w:t>
            </w:r>
          </w:p>
        </w:tc>
      </w:tr>
      <w:tr w:rsidR="00A70DA4" w:rsidRPr="00F841BB" w14:paraId="2D2AA3E3" w14:textId="77777777" w:rsidTr="00A70DA4">
        <w:trPr>
          <w:trHeight w:val="1261"/>
        </w:trPr>
        <w:tc>
          <w:tcPr>
            <w:cnfStyle w:val="001000000000" w:firstRow="0" w:lastRow="0" w:firstColumn="1" w:lastColumn="0" w:oddVBand="0" w:evenVBand="0" w:oddHBand="0" w:evenHBand="0" w:firstRowFirstColumn="0" w:firstRowLastColumn="0" w:lastRowFirstColumn="0" w:lastRowLastColumn="0"/>
            <w:tcW w:w="1124" w:type="dxa"/>
            <w:vMerge/>
            <w:tcBorders>
              <w:bottom w:val="single" w:sz="4" w:space="0" w:color="FFFFFF" w:themeColor="background1"/>
            </w:tcBorders>
            <w:textDirection w:val="btLr"/>
            <w:vAlign w:val="center"/>
          </w:tcPr>
          <w:p w14:paraId="3C44B652" w14:textId="77777777" w:rsidR="00A70DA4" w:rsidRPr="00F841BB" w:rsidRDefault="00A70DA4" w:rsidP="00B7117B">
            <w:pPr>
              <w:spacing w:before="100" w:after="80"/>
              <w:jc w:val="center"/>
              <w:rPr>
                <w:rFonts w:ascii="Arial" w:hAnsi="Arial" w:cs="Arial"/>
                <w:sz w:val="20"/>
                <w:szCs w:val="20"/>
              </w:rPr>
            </w:pPr>
          </w:p>
        </w:tc>
        <w:tc>
          <w:tcPr>
            <w:tcW w:w="1134" w:type="dxa"/>
            <w:vMerge/>
            <w:vAlign w:val="center"/>
          </w:tcPr>
          <w:p w14:paraId="331348F9" w14:textId="77777777" w:rsidR="00A70DA4" w:rsidRPr="00F841BB" w:rsidRDefault="00A70DA4" w:rsidP="00B7117B">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701" w:type="dxa"/>
            <w:vAlign w:val="center"/>
          </w:tcPr>
          <w:p w14:paraId="05E3427D" w14:textId="66E73528" w:rsidR="00A70DA4" w:rsidRPr="00F841BB" w:rsidRDefault="00A70DA4" w:rsidP="00B7117B">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841BB">
              <w:rPr>
                <w:rFonts w:ascii="Arial" w:hAnsi="Arial" w:cs="Arial"/>
                <w:color w:val="0F243E" w:themeColor="text2" w:themeShade="80"/>
                <w:sz w:val="20"/>
                <w:szCs w:val="20"/>
              </w:rPr>
              <w:t xml:space="preserve">Consumo en Hojas </w:t>
            </w:r>
          </w:p>
        </w:tc>
        <w:tc>
          <w:tcPr>
            <w:tcW w:w="1565" w:type="dxa"/>
            <w:vAlign w:val="center"/>
          </w:tcPr>
          <w:p w14:paraId="7A7A7A91" w14:textId="4EEF2FA0" w:rsidR="00A70DA4" w:rsidRPr="00F841BB" w:rsidRDefault="00A70DA4" w:rsidP="00B7117B">
            <w:pPr>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841BB">
              <w:rPr>
                <w:rFonts w:ascii="Arial" w:hAnsi="Arial" w:cs="Arial"/>
                <w:color w:val="0F243E" w:themeColor="text2" w:themeShade="80"/>
                <w:sz w:val="20"/>
                <w:szCs w:val="20"/>
              </w:rPr>
              <w:t>II</w:t>
            </w:r>
            <w:r>
              <w:rPr>
                <w:rFonts w:ascii="Arial" w:hAnsi="Arial" w:cs="Arial"/>
                <w:color w:val="0F243E" w:themeColor="text2" w:themeShade="80"/>
                <w:sz w:val="20"/>
                <w:szCs w:val="20"/>
              </w:rPr>
              <w:t>I</w:t>
            </w:r>
            <w:r w:rsidRPr="00F841BB">
              <w:rPr>
                <w:rFonts w:ascii="Arial" w:hAnsi="Arial" w:cs="Arial"/>
                <w:color w:val="0F243E" w:themeColor="text2" w:themeShade="80"/>
                <w:sz w:val="20"/>
                <w:szCs w:val="20"/>
              </w:rPr>
              <w:t xml:space="preserve"> Trimestre 2019-2018</w:t>
            </w:r>
          </w:p>
        </w:tc>
        <w:tc>
          <w:tcPr>
            <w:tcW w:w="1287" w:type="dxa"/>
            <w:vAlign w:val="center"/>
          </w:tcPr>
          <w:p w14:paraId="47BCFF9E" w14:textId="343D788B" w:rsidR="00A70DA4" w:rsidRPr="00F841BB" w:rsidRDefault="00A70DA4" w:rsidP="00B7117B">
            <w:pPr>
              <w:spacing w:before="100" w:after="80"/>
              <w:jc w:val="center"/>
              <w:cnfStyle w:val="000000000000" w:firstRow="0" w:lastRow="0" w:firstColumn="0" w:lastColumn="0" w:oddVBand="0" w:evenVBand="0" w:oddHBand="0" w:evenHBand="0" w:firstRowFirstColumn="0" w:firstRowLastColumn="0" w:lastRowFirstColumn="0" w:lastRowLastColumn="0"/>
              <w:rPr>
                <w:noProof/>
                <w:color w:val="0F243E" w:themeColor="text2" w:themeShade="80"/>
              </w:rPr>
            </w:pPr>
            <w:r w:rsidRPr="00F841BB">
              <w:rPr>
                <w:noProof/>
                <w:color w:val="0F243E" w:themeColor="text2" w:themeShade="80"/>
              </w:rPr>
              <mc:AlternateContent>
                <mc:Choice Requires="wps">
                  <w:drawing>
                    <wp:anchor distT="0" distB="0" distL="114300" distR="114300" simplePos="0" relativeHeight="252021760" behindDoc="0" locked="0" layoutInCell="1" allowOverlap="1" wp14:anchorId="35462AFD" wp14:editId="3EC0E551">
                      <wp:simplePos x="0" y="0"/>
                      <wp:positionH relativeFrom="column">
                        <wp:posOffset>175895</wp:posOffset>
                      </wp:positionH>
                      <wp:positionV relativeFrom="paragraph">
                        <wp:posOffset>65405</wp:posOffset>
                      </wp:positionV>
                      <wp:extent cx="295275" cy="190500"/>
                      <wp:effectExtent l="0" t="0" r="28575" b="19050"/>
                      <wp:wrapNone/>
                      <wp:docPr id="76" name="Triángulo isósceles 76"/>
                      <wp:cNvGraphicFramePr/>
                      <a:graphic xmlns:a="http://schemas.openxmlformats.org/drawingml/2006/main">
                        <a:graphicData uri="http://schemas.microsoft.com/office/word/2010/wordprocessingShape">
                          <wps:wsp>
                            <wps:cNvSpPr/>
                            <wps:spPr>
                              <a:xfrm rot="10800000">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A71E31B" id="Triángulo isósceles 76" o:spid="_x0000_s1026" type="#_x0000_t5" style="position:absolute;margin-left:13.85pt;margin-top:5.15pt;width:23.25pt;height:15pt;rotation:180;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" filled="f" strokecolor="#365f91 [2404]" strokeweight="2pt"/>
                  </w:pict>
                </mc:Fallback>
              </mc:AlternateContent>
            </w:r>
          </w:p>
        </w:tc>
        <w:tc>
          <w:tcPr>
            <w:tcW w:w="1684" w:type="dxa"/>
            <w:vAlign w:val="center"/>
          </w:tcPr>
          <w:p w14:paraId="38A71C74" w14:textId="34E9B438" w:rsidR="00A70DA4" w:rsidRPr="005D3D73" w:rsidRDefault="00A70DA4" w:rsidP="00B7117B">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D3D73">
              <w:rPr>
                <w:rFonts w:ascii="Arial" w:hAnsi="Arial" w:cs="Arial"/>
                <w:b/>
                <w:color w:val="0F243E" w:themeColor="text2" w:themeShade="80"/>
                <w:sz w:val="20"/>
                <w:szCs w:val="20"/>
              </w:rPr>
              <w:t>(5.944)</w:t>
            </w:r>
          </w:p>
        </w:tc>
        <w:tc>
          <w:tcPr>
            <w:tcW w:w="1276" w:type="dxa"/>
            <w:vAlign w:val="center"/>
          </w:tcPr>
          <w:p w14:paraId="7DFB4FA0" w14:textId="4AA30103" w:rsidR="00A70DA4" w:rsidRPr="005D3D73" w:rsidRDefault="00A70DA4" w:rsidP="00B7117B">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(1%)</w:t>
            </w:r>
          </w:p>
        </w:tc>
      </w:tr>
      <w:tr w:rsidR="00CD018C" w:rsidRPr="00F841BB" w14:paraId="520509A1" w14:textId="77777777" w:rsidTr="008144D3">
        <w:trPr>
          <w:cnfStyle w:val="000000100000" w:firstRow="0" w:lastRow="0" w:firstColumn="0" w:lastColumn="0" w:oddVBand="0" w:evenVBand="0" w:oddHBand="1" w:evenHBand="0" w:firstRowFirstColumn="0" w:firstRowLastColumn="0" w:lastRowFirstColumn="0" w:lastRowLastColumn="0"/>
          <w:trHeight w:val="1093"/>
        </w:trPr>
        <w:tc>
          <w:tcPr>
            <w:cnfStyle w:val="001000000000" w:firstRow="0" w:lastRow="0" w:firstColumn="1" w:lastColumn="0" w:oddVBand="0" w:evenVBand="0" w:oddHBand="0" w:evenHBand="0" w:firstRowFirstColumn="0" w:firstRowLastColumn="0" w:lastRowFirstColumn="0" w:lastRowLastColumn="0"/>
            <w:tcW w:w="1124" w:type="dxa"/>
            <w:tcBorders>
              <w:top w:val="single" w:sz="4" w:space="0" w:color="FFFFFF" w:themeColor="background1"/>
            </w:tcBorders>
            <w:textDirection w:val="btLr"/>
            <w:vAlign w:val="center"/>
            <w:hideMark/>
          </w:tcPr>
          <w:p w14:paraId="6B3E9576" w14:textId="77777777" w:rsidR="00CD018C" w:rsidRPr="00F841BB" w:rsidRDefault="00CD018C" w:rsidP="00CD018C">
            <w:pPr>
              <w:spacing w:before="100" w:after="80"/>
              <w:jc w:val="center"/>
              <w:rPr>
                <w:rFonts w:ascii="Arial" w:hAnsi="Arial" w:cs="Arial"/>
                <w:sz w:val="20"/>
                <w:szCs w:val="20"/>
              </w:rPr>
            </w:pPr>
            <w:r w:rsidRPr="00F841BB">
              <w:rPr>
                <w:rFonts w:ascii="Arial" w:hAnsi="Arial" w:cs="Arial"/>
                <w:sz w:val="20"/>
                <w:szCs w:val="20"/>
              </w:rPr>
              <w:t xml:space="preserve">Teléfono Móvil Celular </w:t>
            </w:r>
          </w:p>
        </w:tc>
        <w:tc>
          <w:tcPr>
            <w:tcW w:w="1134" w:type="dxa"/>
            <w:vMerge/>
            <w:vAlign w:val="center"/>
            <w:hideMark/>
          </w:tcPr>
          <w:p w14:paraId="5AF8B731" w14:textId="77777777" w:rsidR="00CD018C" w:rsidRPr="00F841BB" w:rsidRDefault="00CD018C" w:rsidP="00CD018C">
            <w:pPr>
              <w:spacing w:before="100" w:after="80"/>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p>
        </w:tc>
        <w:tc>
          <w:tcPr>
            <w:tcW w:w="1701" w:type="dxa"/>
            <w:vAlign w:val="center"/>
            <w:hideMark/>
          </w:tcPr>
          <w:p w14:paraId="1298BF3A" w14:textId="77777777" w:rsidR="00CD018C" w:rsidRPr="00F841BB" w:rsidRDefault="00CD018C" w:rsidP="00CD018C">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841BB">
              <w:rPr>
                <w:rFonts w:ascii="Arial" w:hAnsi="Arial" w:cs="Arial"/>
                <w:color w:val="0F243E" w:themeColor="text2" w:themeShade="80"/>
                <w:sz w:val="20"/>
                <w:szCs w:val="20"/>
              </w:rPr>
              <w:t>Valor del Gasto</w:t>
            </w:r>
          </w:p>
        </w:tc>
        <w:tc>
          <w:tcPr>
            <w:tcW w:w="1565" w:type="dxa"/>
            <w:vAlign w:val="center"/>
            <w:hideMark/>
          </w:tcPr>
          <w:p w14:paraId="08ECC12E" w14:textId="41314A4F" w:rsidR="00CD018C" w:rsidRPr="00F841BB" w:rsidRDefault="00CD018C" w:rsidP="00CD018C">
            <w:pPr>
              <w:spacing w:before="100" w:after="80"/>
              <w:cnfStyle w:val="000000100000" w:firstRow="0" w:lastRow="0" w:firstColumn="0" w:lastColumn="0" w:oddVBand="0" w:evenVBand="0" w:oddHBand="1" w:evenHBand="0" w:firstRowFirstColumn="0" w:firstRowLastColumn="0" w:lastRowFirstColumn="0" w:lastRowLastColumn="0"/>
            </w:pPr>
            <w:r w:rsidRPr="00F841BB">
              <w:rPr>
                <w:rFonts w:ascii="Arial" w:hAnsi="Arial" w:cs="Arial"/>
                <w:color w:val="0F243E" w:themeColor="text2" w:themeShade="80"/>
                <w:sz w:val="20"/>
                <w:szCs w:val="20"/>
              </w:rPr>
              <w:t>II</w:t>
            </w:r>
            <w:r>
              <w:rPr>
                <w:rFonts w:ascii="Arial" w:hAnsi="Arial" w:cs="Arial"/>
                <w:color w:val="0F243E" w:themeColor="text2" w:themeShade="80"/>
                <w:sz w:val="20"/>
                <w:szCs w:val="20"/>
              </w:rPr>
              <w:t>I</w:t>
            </w:r>
            <w:r w:rsidRPr="00F841BB">
              <w:rPr>
                <w:rFonts w:ascii="Arial" w:hAnsi="Arial" w:cs="Arial"/>
                <w:color w:val="0F243E" w:themeColor="text2" w:themeShade="80"/>
                <w:sz w:val="20"/>
                <w:szCs w:val="20"/>
              </w:rPr>
              <w:t xml:space="preserve"> Trimestre 2019-2018</w:t>
            </w:r>
          </w:p>
        </w:tc>
        <w:tc>
          <w:tcPr>
            <w:tcW w:w="1287" w:type="dxa"/>
            <w:vAlign w:val="center"/>
            <w:hideMark/>
          </w:tcPr>
          <w:p w14:paraId="7DBBC285" w14:textId="77777777" w:rsidR="00CD018C" w:rsidRPr="00F841BB" w:rsidRDefault="00CD018C" w:rsidP="00CD018C">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F841BB">
              <w:rPr>
                <w:noProof/>
                <w:color w:val="0F243E" w:themeColor="text2" w:themeShade="80"/>
              </w:rPr>
              <mc:AlternateContent>
                <mc:Choice Requires="wps">
                  <w:drawing>
                    <wp:anchor distT="0" distB="0" distL="114300" distR="114300" simplePos="0" relativeHeight="252007424" behindDoc="0" locked="0" layoutInCell="1" allowOverlap="1" wp14:anchorId="66DC6CDA" wp14:editId="45D0F00F">
                      <wp:simplePos x="0" y="0"/>
                      <wp:positionH relativeFrom="column">
                        <wp:posOffset>196215</wp:posOffset>
                      </wp:positionH>
                      <wp:positionV relativeFrom="paragraph">
                        <wp:posOffset>47625</wp:posOffset>
                      </wp:positionV>
                      <wp:extent cx="295275" cy="190500"/>
                      <wp:effectExtent l="0" t="0" r="28575" b="19050"/>
                      <wp:wrapNone/>
                      <wp:docPr id="55" name="Triángulo isósceles 55"/>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F1E642D" id="Triángulo isósceles 55" o:spid="_x0000_s1026" type="#_x0000_t5" style="position:absolute;margin-left:15.45pt;margin-top:3.75pt;width:23.25pt;height:1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" filled="f" strokecolor="#365f91 [2404]" strokeweight="2pt"/>
                  </w:pict>
                </mc:Fallback>
              </mc:AlternateContent>
            </w:r>
            <w:r w:rsidRPr="00F841BB">
              <w:rPr>
                <w:rFonts w:ascii="Arial" w:hAnsi="Arial" w:cs="Arial"/>
                <w:color w:val="0F243E" w:themeColor="text2" w:themeShade="80"/>
                <w:sz w:val="20"/>
                <w:szCs w:val="20"/>
              </w:rPr>
              <w:t xml:space="preserve"> </w:t>
            </w:r>
          </w:p>
        </w:tc>
        <w:tc>
          <w:tcPr>
            <w:tcW w:w="1684" w:type="dxa"/>
            <w:vAlign w:val="center"/>
          </w:tcPr>
          <w:p w14:paraId="27226D17" w14:textId="6F517046" w:rsidR="00CD018C" w:rsidRPr="005D3D73" w:rsidRDefault="00CD018C" w:rsidP="00CD018C">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5D3D73">
              <w:rPr>
                <w:rFonts w:ascii="Arial" w:hAnsi="Arial" w:cs="Arial"/>
                <w:b/>
                <w:color w:val="0F243E" w:themeColor="text2" w:themeShade="80"/>
                <w:sz w:val="20"/>
                <w:szCs w:val="20"/>
              </w:rPr>
              <w:t>$ 1.389.345</w:t>
            </w:r>
          </w:p>
        </w:tc>
        <w:tc>
          <w:tcPr>
            <w:tcW w:w="1276" w:type="dxa"/>
            <w:vAlign w:val="center"/>
          </w:tcPr>
          <w:p w14:paraId="6EBFE019" w14:textId="0649ACB0" w:rsidR="00CD018C" w:rsidRPr="005D3D73" w:rsidRDefault="00CD018C" w:rsidP="00CD018C">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10%</w:t>
            </w:r>
          </w:p>
        </w:tc>
      </w:tr>
      <w:tr w:rsidR="00CD018C" w:rsidRPr="00A003B6" w14:paraId="2249F79C" w14:textId="77777777" w:rsidTr="008144D3">
        <w:trPr>
          <w:trHeight w:val="956"/>
        </w:trPr>
        <w:tc>
          <w:tcPr>
            <w:cnfStyle w:val="001000000000" w:firstRow="0" w:lastRow="0" w:firstColumn="1" w:lastColumn="0" w:oddVBand="0" w:evenVBand="0" w:oddHBand="0" w:evenHBand="0" w:firstRowFirstColumn="0" w:firstRowLastColumn="0" w:lastRowFirstColumn="0" w:lastRowLastColumn="0"/>
            <w:tcW w:w="1124" w:type="dxa"/>
            <w:textDirection w:val="btLr"/>
            <w:vAlign w:val="center"/>
            <w:hideMark/>
          </w:tcPr>
          <w:p w14:paraId="264F4AB8" w14:textId="77777777" w:rsidR="00CD018C" w:rsidRPr="00F841BB" w:rsidRDefault="00CD018C" w:rsidP="00CD018C">
            <w:pPr>
              <w:spacing w:before="100" w:after="80"/>
              <w:jc w:val="center"/>
              <w:rPr>
                <w:rFonts w:ascii="Arial" w:hAnsi="Arial" w:cs="Arial"/>
                <w:sz w:val="20"/>
                <w:szCs w:val="20"/>
              </w:rPr>
            </w:pPr>
            <w:r w:rsidRPr="00F841BB">
              <w:rPr>
                <w:rFonts w:ascii="Arial" w:hAnsi="Arial" w:cs="Arial"/>
                <w:sz w:val="20"/>
                <w:szCs w:val="20"/>
              </w:rPr>
              <w:t>Teléfono Fijo</w:t>
            </w:r>
          </w:p>
        </w:tc>
        <w:tc>
          <w:tcPr>
            <w:tcW w:w="1134" w:type="dxa"/>
            <w:vMerge/>
            <w:vAlign w:val="center"/>
            <w:hideMark/>
          </w:tcPr>
          <w:p w14:paraId="4AF23788" w14:textId="77777777" w:rsidR="00CD018C" w:rsidRPr="00F841BB" w:rsidRDefault="00CD018C" w:rsidP="00CD018C">
            <w:pPr>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701" w:type="dxa"/>
            <w:vAlign w:val="center"/>
            <w:hideMark/>
          </w:tcPr>
          <w:p w14:paraId="49492935" w14:textId="77777777" w:rsidR="00CD018C" w:rsidRPr="00F841BB" w:rsidRDefault="00CD018C" w:rsidP="00CD018C">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841BB">
              <w:rPr>
                <w:rFonts w:ascii="Arial" w:hAnsi="Arial" w:cs="Arial"/>
                <w:color w:val="0F243E" w:themeColor="text2" w:themeShade="80"/>
                <w:sz w:val="20"/>
                <w:szCs w:val="20"/>
              </w:rPr>
              <w:t>Valor del Gasto</w:t>
            </w:r>
          </w:p>
        </w:tc>
        <w:tc>
          <w:tcPr>
            <w:tcW w:w="1565" w:type="dxa"/>
            <w:vAlign w:val="center"/>
            <w:hideMark/>
          </w:tcPr>
          <w:p w14:paraId="16BEB710" w14:textId="758900D5" w:rsidR="00CD018C" w:rsidRPr="00F841BB" w:rsidRDefault="00CD018C" w:rsidP="00CD018C">
            <w:pPr>
              <w:spacing w:before="100" w:after="80"/>
              <w:cnfStyle w:val="000000000000" w:firstRow="0" w:lastRow="0" w:firstColumn="0" w:lastColumn="0" w:oddVBand="0" w:evenVBand="0" w:oddHBand="0" w:evenHBand="0" w:firstRowFirstColumn="0" w:firstRowLastColumn="0" w:lastRowFirstColumn="0" w:lastRowLastColumn="0"/>
            </w:pPr>
            <w:r w:rsidRPr="00F841BB">
              <w:rPr>
                <w:rFonts w:ascii="Arial" w:hAnsi="Arial" w:cs="Arial"/>
                <w:color w:val="0F243E" w:themeColor="text2" w:themeShade="80"/>
                <w:sz w:val="20"/>
                <w:szCs w:val="20"/>
              </w:rPr>
              <w:t>II</w:t>
            </w:r>
            <w:r>
              <w:rPr>
                <w:rFonts w:ascii="Arial" w:hAnsi="Arial" w:cs="Arial"/>
                <w:color w:val="0F243E" w:themeColor="text2" w:themeShade="80"/>
                <w:sz w:val="20"/>
                <w:szCs w:val="20"/>
              </w:rPr>
              <w:t>I</w:t>
            </w:r>
            <w:r w:rsidRPr="00F841BB">
              <w:rPr>
                <w:rFonts w:ascii="Arial" w:hAnsi="Arial" w:cs="Arial"/>
                <w:color w:val="0F243E" w:themeColor="text2" w:themeShade="80"/>
                <w:sz w:val="20"/>
                <w:szCs w:val="20"/>
              </w:rPr>
              <w:t xml:space="preserve"> Trimestre 2019-2018</w:t>
            </w:r>
          </w:p>
        </w:tc>
        <w:tc>
          <w:tcPr>
            <w:tcW w:w="1287" w:type="dxa"/>
            <w:vAlign w:val="center"/>
            <w:hideMark/>
          </w:tcPr>
          <w:p w14:paraId="2D81AE5D" w14:textId="77777777" w:rsidR="00CD018C" w:rsidRPr="00F841BB" w:rsidRDefault="00CD018C" w:rsidP="00CD018C">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841BB">
              <w:rPr>
                <w:noProof/>
                <w:color w:val="0F243E" w:themeColor="text2" w:themeShade="80"/>
              </w:rPr>
              <mc:AlternateContent>
                <mc:Choice Requires="wps">
                  <w:drawing>
                    <wp:anchor distT="0" distB="0" distL="114300" distR="114300" simplePos="0" relativeHeight="252009472" behindDoc="0" locked="0" layoutInCell="1" allowOverlap="1" wp14:anchorId="544C8C73" wp14:editId="0F25EDA0">
                      <wp:simplePos x="0" y="0"/>
                      <wp:positionH relativeFrom="column">
                        <wp:posOffset>188595</wp:posOffset>
                      </wp:positionH>
                      <wp:positionV relativeFrom="paragraph">
                        <wp:posOffset>-22860</wp:posOffset>
                      </wp:positionV>
                      <wp:extent cx="295275" cy="190500"/>
                      <wp:effectExtent l="0" t="0" r="28575" b="19050"/>
                      <wp:wrapNone/>
                      <wp:docPr id="56" name="Triángulo isósceles 56"/>
                      <wp:cNvGraphicFramePr/>
                      <a:graphic xmlns:a="http://schemas.openxmlformats.org/drawingml/2006/main">
                        <a:graphicData uri="http://schemas.microsoft.com/office/word/2010/wordprocessingShape">
                          <wps:wsp>
                            <wps:cNvSpPr/>
                            <wps:spPr>
                              <a:xfrm>
                                <a:off x="0" y="0"/>
                                <a:ext cx="295275" cy="190500"/>
                              </a:xfrm>
                              <a:prstGeom prst="triangl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D45955F" id="Triángulo isósceles 56" o:spid="_x0000_s1026" type="#_x0000_t5" style="position:absolute;margin-left:14.85pt;margin-top:-1.8pt;width:23.25pt;height:1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" filled="f" strokecolor="#365f91 [2404]" strokeweight="2pt"/>
                  </w:pict>
                </mc:Fallback>
              </mc:AlternateContent>
            </w:r>
            <w:r w:rsidRPr="00F841BB">
              <w:rPr>
                <w:rFonts w:ascii="Arial" w:hAnsi="Arial" w:cs="Arial"/>
                <w:color w:val="0F243E" w:themeColor="text2" w:themeShade="80"/>
                <w:sz w:val="20"/>
                <w:szCs w:val="20"/>
              </w:rPr>
              <w:t xml:space="preserve"> </w:t>
            </w:r>
          </w:p>
        </w:tc>
        <w:tc>
          <w:tcPr>
            <w:tcW w:w="1684" w:type="dxa"/>
            <w:vAlign w:val="center"/>
          </w:tcPr>
          <w:p w14:paraId="630AFF8C" w14:textId="07B76F80" w:rsidR="00CD018C" w:rsidRPr="005D3D73" w:rsidRDefault="00CD018C" w:rsidP="00CD018C">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D3D73">
              <w:rPr>
                <w:rFonts w:ascii="Arial" w:hAnsi="Arial" w:cs="Arial"/>
                <w:b/>
                <w:color w:val="0F243E" w:themeColor="text2" w:themeShade="80"/>
                <w:sz w:val="20"/>
                <w:szCs w:val="20"/>
              </w:rPr>
              <w:t>$ 2.095.845</w:t>
            </w:r>
          </w:p>
        </w:tc>
        <w:tc>
          <w:tcPr>
            <w:tcW w:w="1276" w:type="dxa"/>
            <w:vAlign w:val="center"/>
          </w:tcPr>
          <w:p w14:paraId="37FA8EED" w14:textId="009BB02D" w:rsidR="00CD018C" w:rsidRPr="005D3D73" w:rsidRDefault="00CD018C" w:rsidP="00CD018C">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7%</w:t>
            </w:r>
          </w:p>
        </w:tc>
      </w:tr>
    </w:tbl>
    <w:p w14:paraId="0AACE987" w14:textId="473F4603" w:rsidR="00A05680" w:rsidRDefault="00A05680" w:rsidP="000D6841">
      <w:pPr>
        <w:rPr>
          <w:highlight w:val="yellow"/>
        </w:rPr>
      </w:pPr>
    </w:p>
    <w:p w14:paraId="616DC32B" w14:textId="77777777" w:rsidR="00A70DA4" w:rsidRDefault="00A70DA4" w:rsidP="000D6841">
      <w:pPr>
        <w:rPr>
          <w:highlight w:val="yellow"/>
        </w:rPr>
      </w:pPr>
    </w:p>
    <w:p w14:paraId="389DD939" w14:textId="5F0DAC83" w:rsidR="009B3559" w:rsidRPr="005D3D73" w:rsidRDefault="0070513A" w:rsidP="0045629B">
      <w:pPr>
        <w:pStyle w:val="Prrafodelista"/>
        <w:numPr>
          <w:ilvl w:val="0"/>
          <w:numId w:val="1"/>
        </w:numPr>
        <w:spacing w:line="264" w:lineRule="auto"/>
        <w:contextualSpacing w:val="0"/>
        <w:jc w:val="left"/>
        <w:rPr>
          <w:rFonts w:ascii="Arial" w:hAnsi="Arial" w:cs="Arial"/>
          <w:b/>
          <w:sz w:val="22"/>
          <w:szCs w:val="22"/>
        </w:rPr>
      </w:pPr>
      <w:r w:rsidRPr="005D3D73">
        <w:rPr>
          <w:rFonts w:ascii="Arial" w:hAnsi="Arial" w:cs="Arial"/>
          <w:b/>
          <w:sz w:val="22"/>
          <w:szCs w:val="22"/>
        </w:rPr>
        <w:lastRenderedPageBreak/>
        <w:t>SOSTENIBILIDAD AMBIENTAL</w:t>
      </w:r>
    </w:p>
    <w:p w14:paraId="2AA00AC3" w14:textId="3D2CE48A" w:rsidR="005D3D73" w:rsidRDefault="005D3D73" w:rsidP="005D3D73">
      <w:pPr>
        <w:spacing w:line="264" w:lineRule="auto"/>
        <w:rPr>
          <w:rFonts w:ascii="Arial" w:hAnsi="Arial" w:cs="Arial"/>
          <w:b/>
          <w:sz w:val="22"/>
          <w:szCs w:val="22"/>
          <w:highlight w:val="yellow"/>
        </w:rPr>
      </w:pPr>
    </w:p>
    <w:tbl>
      <w:tblPr>
        <w:tblW w:w="0" w:type="auto"/>
        <w:tblCellMar>
          <w:left w:w="70" w:type="dxa"/>
          <w:right w:w="70" w:type="dxa"/>
        </w:tblCellMar>
        <w:tblLook w:val="04A0" w:firstRow="1" w:lastRow="0" w:firstColumn="1" w:lastColumn="0" w:noHBand="0" w:noVBand="1"/>
      </w:tblPr>
      <w:tblGrid>
        <w:gridCol w:w="552"/>
        <w:gridCol w:w="1187"/>
        <w:gridCol w:w="1240"/>
        <w:gridCol w:w="1701"/>
        <w:gridCol w:w="1701"/>
        <w:gridCol w:w="1217"/>
        <w:gridCol w:w="1396"/>
        <w:gridCol w:w="674"/>
      </w:tblGrid>
      <w:tr w:rsidR="005D3D73" w:rsidRPr="005D3D73" w14:paraId="23E793D0" w14:textId="77777777" w:rsidTr="005D3D73">
        <w:trPr>
          <w:trHeight w:val="525"/>
        </w:trPr>
        <w:tc>
          <w:tcPr>
            <w:tcW w:w="0" w:type="auto"/>
            <w:tcBorders>
              <w:top w:val="single" w:sz="8" w:space="0" w:color="FFFFFF"/>
              <w:left w:val="single" w:sz="8" w:space="0" w:color="FFFFFF"/>
              <w:bottom w:val="single" w:sz="8" w:space="0" w:color="FFFFFF"/>
              <w:right w:val="nil"/>
            </w:tcBorders>
            <w:shd w:val="clear" w:color="000000" w:fill="4F81BD"/>
            <w:vAlign w:val="center"/>
            <w:hideMark/>
          </w:tcPr>
          <w:p w14:paraId="0C8E53E7" w14:textId="77777777" w:rsidR="005D3D73" w:rsidRPr="005D3D73" w:rsidRDefault="005D3D73" w:rsidP="005D3D73">
            <w:pPr>
              <w:jc w:val="center"/>
              <w:rPr>
                <w:rFonts w:ascii="Arial" w:hAnsi="Arial" w:cs="Arial"/>
                <w:b/>
                <w:bCs/>
                <w:color w:val="FFFFFF"/>
                <w:sz w:val="20"/>
                <w:szCs w:val="20"/>
              </w:rPr>
            </w:pPr>
            <w:r w:rsidRPr="005D3D73">
              <w:rPr>
                <w:rFonts w:ascii="Arial" w:hAnsi="Arial" w:cs="Arial"/>
                <w:b/>
                <w:bCs/>
                <w:color w:val="FFFFFF"/>
                <w:sz w:val="20"/>
                <w:szCs w:val="20"/>
              </w:rPr>
              <w:t>Ítem</w:t>
            </w:r>
          </w:p>
        </w:tc>
        <w:tc>
          <w:tcPr>
            <w:tcW w:w="0" w:type="auto"/>
            <w:tcBorders>
              <w:top w:val="single" w:sz="8" w:space="0" w:color="FFFFFF"/>
              <w:left w:val="nil"/>
              <w:bottom w:val="single" w:sz="8" w:space="0" w:color="FFFFFF"/>
              <w:right w:val="nil"/>
            </w:tcBorders>
            <w:shd w:val="clear" w:color="000000" w:fill="4F81BD"/>
            <w:vAlign w:val="center"/>
            <w:hideMark/>
          </w:tcPr>
          <w:p w14:paraId="4B356F67" w14:textId="77777777" w:rsidR="005D3D73" w:rsidRPr="005D3D73" w:rsidRDefault="005D3D73" w:rsidP="005D3D73">
            <w:pPr>
              <w:jc w:val="center"/>
              <w:rPr>
                <w:rFonts w:ascii="Arial" w:hAnsi="Arial" w:cs="Arial"/>
                <w:b/>
                <w:bCs/>
                <w:color w:val="FFFFFF"/>
                <w:sz w:val="20"/>
                <w:szCs w:val="20"/>
              </w:rPr>
            </w:pPr>
            <w:r w:rsidRPr="005D3D73">
              <w:rPr>
                <w:rFonts w:ascii="Arial" w:hAnsi="Arial" w:cs="Arial"/>
                <w:b/>
                <w:bCs/>
                <w:color w:val="FFFFFF"/>
                <w:sz w:val="20"/>
                <w:szCs w:val="20"/>
              </w:rPr>
              <w:t>Numeral Informe</w:t>
            </w:r>
          </w:p>
        </w:tc>
        <w:tc>
          <w:tcPr>
            <w:tcW w:w="1240" w:type="dxa"/>
            <w:tcBorders>
              <w:top w:val="single" w:sz="8" w:space="0" w:color="FFFFFF"/>
              <w:left w:val="nil"/>
              <w:bottom w:val="single" w:sz="8" w:space="0" w:color="FFFFFF"/>
              <w:right w:val="nil"/>
            </w:tcBorders>
            <w:shd w:val="clear" w:color="000000" w:fill="4F81BD"/>
            <w:vAlign w:val="center"/>
            <w:hideMark/>
          </w:tcPr>
          <w:p w14:paraId="5BFF9BE2" w14:textId="7A730F9A" w:rsidR="005D3D73" w:rsidRPr="005D3D73" w:rsidRDefault="005D3D73" w:rsidP="005D3D73">
            <w:pPr>
              <w:jc w:val="center"/>
              <w:rPr>
                <w:rFonts w:ascii="Arial" w:hAnsi="Arial" w:cs="Arial"/>
                <w:b/>
                <w:bCs/>
                <w:color w:val="FFFFFF"/>
                <w:sz w:val="20"/>
                <w:szCs w:val="20"/>
              </w:rPr>
            </w:pPr>
            <w:r>
              <w:rPr>
                <w:rFonts w:ascii="Arial" w:hAnsi="Arial" w:cs="Arial"/>
                <w:b/>
                <w:bCs/>
                <w:color w:val="FFFFFF"/>
                <w:sz w:val="20"/>
                <w:szCs w:val="20"/>
              </w:rPr>
              <w:t>Sede</w:t>
            </w:r>
          </w:p>
        </w:tc>
        <w:tc>
          <w:tcPr>
            <w:tcW w:w="1701" w:type="dxa"/>
            <w:tcBorders>
              <w:top w:val="single" w:sz="8" w:space="0" w:color="FFFFFF"/>
              <w:left w:val="nil"/>
              <w:bottom w:val="single" w:sz="8" w:space="0" w:color="FFFFFF"/>
              <w:right w:val="nil"/>
            </w:tcBorders>
            <w:shd w:val="clear" w:color="000000" w:fill="4F81BD"/>
            <w:vAlign w:val="center"/>
            <w:hideMark/>
          </w:tcPr>
          <w:p w14:paraId="780C024B" w14:textId="77777777" w:rsidR="005D3D73" w:rsidRPr="005D3D73" w:rsidRDefault="005D3D73" w:rsidP="005D3D73">
            <w:pPr>
              <w:jc w:val="center"/>
              <w:rPr>
                <w:rFonts w:ascii="Arial" w:hAnsi="Arial" w:cs="Arial"/>
                <w:b/>
                <w:bCs/>
                <w:color w:val="FFFFFF"/>
                <w:sz w:val="20"/>
                <w:szCs w:val="20"/>
              </w:rPr>
            </w:pPr>
            <w:r w:rsidRPr="005D3D73">
              <w:rPr>
                <w:rFonts w:ascii="Arial" w:hAnsi="Arial" w:cs="Arial"/>
                <w:b/>
                <w:bCs/>
                <w:color w:val="FFFFFF"/>
                <w:sz w:val="20"/>
                <w:szCs w:val="20"/>
              </w:rPr>
              <w:t>Concepto</w:t>
            </w:r>
          </w:p>
        </w:tc>
        <w:tc>
          <w:tcPr>
            <w:tcW w:w="1701" w:type="dxa"/>
            <w:tcBorders>
              <w:top w:val="single" w:sz="8" w:space="0" w:color="FFFFFF"/>
              <w:left w:val="nil"/>
              <w:bottom w:val="single" w:sz="8" w:space="0" w:color="FFFFFF"/>
              <w:right w:val="nil"/>
            </w:tcBorders>
            <w:shd w:val="clear" w:color="000000" w:fill="4F81BD"/>
            <w:vAlign w:val="center"/>
            <w:hideMark/>
          </w:tcPr>
          <w:p w14:paraId="7FC0E53D" w14:textId="77777777" w:rsidR="005D3D73" w:rsidRPr="005D3D73" w:rsidRDefault="005D3D73" w:rsidP="005D3D73">
            <w:pPr>
              <w:jc w:val="center"/>
              <w:rPr>
                <w:rFonts w:ascii="Arial" w:hAnsi="Arial" w:cs="Arial"/>
                <w:b/>
                <w:bCs/>
                <w:color w:val="FFFFFF"/>
                <w:sz w:val="20"/>
                <w:szCs w:val="20"/>
              </w:rPr>
            </w:pPr>
            <w:r w:rsidRPr="005D3D73">
              <w:rPr>
                <w:rFonts w:ascii="Arial" w:hAnsi="Arial" w:cs="Arial"/>
                <w:b/>
                <w:bCs/>
                <w:color w:val="FFFFFF"/>
                <w:sz w:val="20"/>
                <w:szCs w:val="20"/>
              </w:rPr>
              <w:t>Periodo Comparado</w:t>
            </w:r>
          </w:p>
        </w:tc>
        <w:tc>
          <w:tcPr>
            <w:tcW w:w="1217" w:type="dxa"/>
            <w:tcBorders>
              <w:top w:val="single" w:sz="8" w:space="0" w:color="FFFFFF"/>
              <w:left w:val="nil"/>
              <w:bottom w:val="single" w:sz="8" w:space="0" w:color="FFFFFF"/>
              <w:right w:val="nil"/>
            </w:tcBorders>
            <w:shd w:val="clear" w:color="000000" w:fill="4F81BD"/>
            <w:vAlign w:val="center"/>
            <w:hideMark/>
          </w:tcPr>
          <w:p w14:paraId="262747E1" w14:textId="77777777" w:rsidR="005D3D73" w:rsidRPr="005D3D73" w:rsidRDefault="005D3D73" w:rsidP="005D3D73">
            <w:pPr>
              <w:jc w:val="center"/>
              <w:rPr>
                <w:rFonts w:ascii="Arial" w:hAnsi="Arial" w:cs="Arial"/>
                <w:b/>
                <w:bCs/>
                <w:color w:val="FFFFFF"/>
                <w:sz w:val="20"/>
                <w:szCs w:val="20"/>
              </w:rPr>
            </w:pPr>
            <w:r w:rsidRPr="005D3D73">
              <w:rPr>
                <w:rFonts w:ascii="Arial" w:hAnsi="Arial" w:cs="Arial"/>
                <w:b/>
                <w:bCs/>
                <w:color w:val="FFFFFF"/>
                <w:sz w:val="20"/>
                <w:szCs w:val="20"/>
              </w:rPr>
              <w:t xml:space="preserve">Variación </w:t>
            </w:r>
          </w:p>
        </w:tc>
        <w:tc>
          <w:tcPr>
            <w:tcW w:w="0" w:type="auto"/>
            <w:tcBorders>
              <w:top w:val="single" w:sz="8" w:space="0" w:color="FFFFFF"/>
              <w:left w:val="nil"/>
              <w:bottom w:val="single" w:sz="8" w:space="0" w:color="FFFFFF"/>
              <w:right w:val="nil"/>
            </w:tcBorders>
            <w:shd w:val="clear" w:color="000000" w:fill="4F81BD"/>
            <w:vAlign w:val="center"/>
            <w:hideMark/>
          </w:tcPr>
          <w:p w14:paraId="4BFD39CF" w14:textId="77777777" w:rsidR="005D3D73" w:rsidRPr="005D3D73" w:rsidRDefault="005D3D73" w:rsidP="005D3D73">
            <w:pPr>
              <w:jc w:val="center"/>
              <w:rPr>
                <w:rFonts w:ascii="Arial" w:hAnsi="Arial" w:cs="Arial"/>
                <w:b/>
                <w:bCs/>
                <w:color w:val="FFFFFF"/>
                <w:sz w:val="20"/>
                <w:szCs w:val="20"/>
              </w:rPr>
            </w:pPr>
            <w:r w:rsidRPr="005D3D73">
              <w:rPr>
                <w:rFonts w:ascii="Arial" w:hAnsi="Arial" w:cs="Arial"/>
                <w:b/>
                <w:bCs/>
                <w:color w:val="FFFFFF"/>
                <w:sz w:val="20"/>
                <w:szCs w:val="20"/>
              </w:rPr>
              <w:t>Valor / Cantidad</w:t>
            </w:r>
          </w:p>
        </w:tc>
        <w:tc>
          <w:tcPr>
            <w:tcW w:w="0" w:type="auto"/>
            <w:tcBorders>
              <w:top w:val="single" w:sz="8" w:space="0" w:color="FFFFFF"/>
              <w:left w:val="nil"/>
              <w:bottom w:val="single" w:sz="8" w:space="0" w:color="FFFFFF"/>
              <w:right w:val="single" w:sz="8" w:space="0" w:color="FFFFFF"/>
            </w:tcBorders>
            <w:shd w:val="clear" w:color="000000" w:fill="4F81BD"/>
            <w:vAlign w:val="center"/>
            <w:hideMark/>
          </w:tcPr>
          <w:p w14:paraId="4C9FA772" w14:textId="77777777" w:rsidR="005D3D73" w:rsidRPr="005D3D73" w:rsidRDefault="005D3D73" w:rsidP="005D3D73">
            <w:pPr>
              <w:jc w:val="center"/>
              <w:rPr>
                <w:rFonts w:ascii="Arial" w:hAnsi="Arial" w:cs="Arial"/>
                <w:b/>
                <w:bCs/>
                <w:color w:val="FFFFFF"/>
                <w:sz w:val="20"/>
                <w:szCs w:val="20"/>
              </w:rPr>
            </w:pPr>
            <w:r w:rsidRPr="005D3D73">
              <w:rPr>
                <w:rFonts w:ascii="Arial" w:hAnsi="Arial" w:cs="Arial"/>
                <w:b/>
                <w:bCs/>
                <w:color w:val="FFFFFF"/>
                <w:sz w:val="20"/>
                <w:szCs w:val="20"/>
              </w:rPr>
              <w:t>%</w:t>
            </w:r>
          </w:p>
        </w:tc>
      </w:tr>
      <w:tr w:rsidR="005D3D73" w:rsidRPr="005D3D73" w14:paraId="78854D44" w14:textId="77777777" w:rsidTr="005D3D73">
        <w:trPr>
          <w:trHeight w:val="735"/>
        </w:trPr>
        <w:tc>
          <w:tcPr>
            <w:tcW w:w="0" w:type="auto"/>
            <w:vMerge w:val="restart"/>
            <w:tcBorders>
              <w:top w:val="nil"/>
              <w:left w:val="single" w:sz="8" w:space="0" w:color="FFFFFF"/>
              <w:bottom w:val="single" w:sz="8" w:space="0" w:color="FFFFFF"/>
              <w:right w:val="single" w:sz="8" w:space="0" w:color="FFFFFF"/>
            </w:tcBorders>
            <w:shd w:val="clear" w:color="000000" w:fill="4F81BD"/>
            <w:textDirection w:val="btLr"/>
            <w:vAlign w:val="center"/>
            <w:hideMark/>
          </w:tcPr>
          <w:p w14:paraId="061E4C69" w14:textId="77777777" w:rsidR="005D3D73" w:rsidRPr="005D3D73" w:rsidRDefault="005D3D73" w:rsidP="005D3D73">
            <w:pPr>
              <w:jc w:val="center"/>
              <w:rPr>
                <w:rFonts w:ascii="Arial" w:hAnsi="Arial" w:cs="Arial"/>
                <w:b/>
                <w:bCs/>
                <w:color w:val="FFFFFF"/>
                <w:sz w:val="20"/>
                <w:szCs w:val="20"/>
              </w:rPr>
            </w:pPr>
            <w:r w:rsidRPr="005D3D73">
              <w:rPr>
                <w:rFonts w:ascii="Arial" w:hAnsi="Arial" w:cs="Arial"/>
                <w:b/>
                <w:bCs/>
                <w:color w:val="FFFFFF"/>
                <w:sz w:val="20"/>
                <w:szCs w:val="20"/>
              </w:rPr>
              <w:t>Energía</w:t>
            </w:r>
          </w:p>
        </w:tc>
        <w:tc>
          <w:tcPr>
            <w:tcW w:w="0" w:type="auto"/>
            <w:vMerge w:val="restart"/>
            <w:tcBorders>
              <w:top w:val="nil"/>
              <w:left w:val="single" w:sz="8" w:space="0" w:color="FFFFFF"/>
              <w:bottom w:val="single" w:sz="8" w:space="0" w:color="FFFFFF"/>
              <w:right w:val="single" w:sz="8" w:space="0" w:color="FFFFFF"/>
            </w:tcBorders>
            <w:shd w:val="clear" w:color="000000" w:fill="B8CCE4"/>
            <w:vAlign w:val="center"/>
            <w:hideMark/>
          </w:tcPr>
          <w:p w14:paraId="53661450" w14:textId="3528351D" w:rsidR="005D3D73" w:rsidRPr="005D3D73" w:rsidRDefault="005D3D73" w:rsidP="00DB1BF2">
            <w:pPr>
              <w:jc w:val="center"/>
              <w:rPr>
                <w:rFonts w:ascii="Arial" w:hAnsi="Arial" w:cs="Arial"/>
                <w:b/>
                <w:bCs/>
                <w:color w:val="10253F"/>
                <w:sz w:val="20"/>
                <w:szCs w:val="20"/>
              </w:rPr>
            </w:pPr>
            <w:r w:rsidRPr="005D3D73">
              <w:rPr>
                <w:rFonts w:ascii="Arial" w:hAnsi="Arial" w:cs="Arial"/>
                <w:b/>
                <w:bCs/>
                <w:color w:val="10253F"/>
                <w:sz w:val="20"/>
                <w:szCs w:val="20"/>
              </w:rPr>
              <w:t> </w:t>
            </w:r>
            <w:r w:rsidR="00DB1BF2">
              <w:rPr>
                <w:rFonts w:ascii="Arial" w:hAnsi="Arial" w:cs="Arial"/>
                <w:b/>
                <w:bCs/>
                <w:color w:val="10253F"/>
                <w:sz w:val="20"/>
                <w:szCs w:val="20"/>
              </w:rPr>
              <w:t>8</w:t>
            </w:r>
            <w:r w:rsidRPr="005D3D73">
              <w:rPr>
                <w:rFonts w:ascii="Arial" w:hAnsi="Arial" w:cs="Arial"/>
                <w:b/>
                <w:bCs/>
                <w:color w:val="10253F"/>
                <w:sz w:val="20"/>
                <w:szCs w:val="20"/>
              </w:rPr>
              <w:t>.1</w:t>
            </w:r>
          </w:p>
        </w:tc>
        <w:tc>
          <w:tcPr>
            <w:tcW w:w="1240" w:type="dxa"/>
            <w:vMerge w:val="restart"/>
            <w:tcBorders>
              <w:top w:val="nil"/>
              <w:left w:val="single" w:sz="8" w:space="0" w:color="FFFFFF"/>
              <w:bottom w:val="single" w:sz="8" w:space="0" w:color="FFFFFF"/>
              <w:right w:val="single" w:sz="8" w:space="0" w:color="FFFFFF"/>
            </w:tcBorders>
            <w:shd w:val="clear" w:color="000000" w:fill="B8CCE4"/>
            <w:vAlign w:val="center"/>
            <w:hideMark/>
          </w:tcPr>
          <w:p w14:paraId="0E26156F" w14:textId="77777777" w:rsidR="005D3D73" w:rsidRPr="005D3D73" w:rsidRDefault="005D3D73" w:rsidP="005D3D73">
            <w:pPr>
              <w:jc w:val="center"/>
              <w:rPr>
                <w:rFonts w:ascii="Arial" w:hAnsi="Arial" w:cs="Arial"/>
                <w:color w:val="10253F"/>
                <w:sz w:val="20"/>
                <w:szCs w:val="20"/>
              </w:rPr>
            </w:pPr>
            <w:r w:rsidRPr="005D3D73">
              <w:rPr>
                <w:rFonts w:ascii="Arial" w:hAnsi="Arial" w:cs="Arial"/>
                <w:color w:val="10253F"/>
                <w:sz w:val="20"/>
                <w:szCs w:val="20"/>
              </w:rPr>
              <w:t>Edificio San Agustín</w:t>
            </w:r>
          </w:p>
        </w:tc>
        <w:tc>
          <w:tcPr>
            <w:tcW w:w="1701" w:type="dxa"/>
            <w:tcBorders>
              <w:top w:val="nil"/>
              <w:left w:val="nil"/>
              <w:bottom w:val="single" w:sz="8" w:space="0" w:color="FFFFFF"/>
              <w:right w:val="single" w:sz="8" w:space="0" w:color="FFFFFF"/>
            </w:tcBorders>
            <w:shd w:val="clear" w:color="auto" w:fill="B8CCE4" w:themeFill="accent1" w:themeFillTint="66"/>
            <w:vAlign w:val="center"/>
            <w:hideMark/>
          </w:tcPr>
          <w:p w14:paraId="66110B07" w14:textId="77777777" w:rsidR="005D3D73" w:rsidRPr="005D3D73" w:rsidRDefault="005D3D73" w:rsidP="005D3D73">
            <w:pPr>
              <w:jc w:val="center"/>
              <w:rPr>
                <w:rFonts w:ascii="Arial" w:hAnsi="Arial" w:cs="Arial"/>
                <w:color w:val="10253F"/>
                <w:sz w:val="20"/>
                <w:szCs w:val="20"/>
              </w:rPr>
            </w:pPr>
            <w:r w:rsidRPr="005D3D73">
              <w:rPr>
                <w:rFonts w:ascii="Arial" w:hAnsi="Arial" w:cs="Arial"/>
                <w:color w:val="10253F"/>
                <w:sz w:val="20"/>
                <w:szCs w:val="20"/>
              </w:rPr>
              <w:t>Valor del Gasto</w:t>
            </w:r>
          </w:p>
        </w:tc>
        <w:tc>
          <w:tcPr>
            <w:tcW w:w="1701" w:type="dxa"/>
            <w:tcBorders>
              <w:top w:val="nil"/>
              <w:left w:val="nil"/>
              <w:bottom w:val="single" w:sz="8" w:space="0" w:color="FFFFFF"/>
              <w:right w:val="single" w:sz="8" w:space="0" w:color="FFFFFF"/>
            </w:tcBorders>
            <w:shd w:val="clear" w:color="auto" w:fill="B8CCE4" w:themeFill="accent1" w:themeFillTint="66"/>
            <w:vAlign w:val="center"/>
            <w:hideMark/>
          </w:tcPr>
          <w:p w14:paraId="36E1053A" w14:textId="77777777" w:rsidR="005D3D73" w:rsidRPr="005D3D73" w:rsidRDefault="005D3D73" w:rsidP="005D3D73">
            <w:pPr>
              <w:jc w:val="center"/>
              <w:rPr>
                <w:rFonts w:ascii="Arial" w:hAnsi="Arial" w:cs="Arial"/>
                <w:color w:val="0F243E"/>
                <w:sz w:val="20"/>
                <w:szCs w:val="20"/>
              </w:rPr>
            </w:pPr>
            <w:r w:rsidRPr="005D3D73">
              <w:rPr>
                <w:rFonts w:ascii="Arial" w:hAnsi="Arial" w:cs="Arial"/>
                <w:color w:val="0F243E"/>
                <w:sz w:val="20"/>
                <w:szCs w:val="20"/>
              </w:rPr>
              <w:t>III Trimestre 2019-2018</w:t>
            </w:r>
          </w:p>
        </w:tc>
        <w:tc>
          <w:tcPr>
            <w:tcW w:w="1217" w:type="dxa"/>
            <w:tcBorders>
              <w:top w:val="nil"/>
              <w:left w:val="nil"/>
              <w:bottom w:val="single" w:sz="8" w:space="0" w:color="FFFFFF"/>
              <w:right w:val="single" w:sz="8" w:space="0" w:color="FFFFFF"/>
            </w:tcBorders>
            <w:shd w:val="clear" w:color="auto" w:fill="B8CCE4" w:themeFill="accent1" w:themeFillTint="66"/>
            <w:vAlign w:val="center"/>
            <w:hideMark/>
          </w:tcPr>
          <w:p w14:paraId="71925B4F" w14:textId="20FA0D18" w:rsidR="005D3D73" w:rsidRPr="005D3D73" w:rsidRDefault="005D3D73" w:rsidP="005D3D73">
            <w:pPr>
              <w:rPr>
                <w:rFonts w:ascii="Arial" w:hAnsi="Arial" w:cs="Arial"/>
                <w:color w:val="10253F"/>
                <w:sz w:val="20"/>
                <w:szCs w:val="20"/>
              </w:rPr>
            </w:pPr>
            <w:r w:rsidRPr="005D3D73">
              <w:rPr>
                <w:rFonts w:ascii="Arial" w:hAnsi="Arial" w:cs="Arial"/>
                <w:noProof/>
                <w:color w:val="10253F"/>
                <w:sz w:val="20"/>
                <w:szCs w:val="20"/>
              </w:rPr>
              <mc:AlternateContent>
                <mc:Choice Requires="wps">
                  <w:drawing>
                    <wp:anchor distT="0" distB="0" distL="114300" distR="114300" simplePos="0" relativeHeight="252011520" behindDoc="0" locked="0" layoutInCell="1" allowOverlap="1" wp14:anchorId="7D22C760" wp14:editId="79F4FF76">
                      <wp:simplePos x="0" y="0"/>
                      <wp:positionH relativeFrom="column">
                        <wp:posOffset>142875</wp:posOffset>
                      </wp:positionH>
                      <wp:positionV relativeFrom="paragraph">
                        <wp:posOffset>27940</wp:posOffset>
                      </wp:positionV>
                      <wp:extent cx="342900" cy="219075"/>
                      <wp:effectExtent l="0" t="0" r="19050" b="28575"/>
                      <wp:wrapNone/>
                      <wp:docPr id="84" name="Triángulo isósceles 84"/>
                      <wp:cNvGraphicFramePr/>
                      <a:graphic xmlns:a="http://schemas.openxmlformats.org/drawingml/2006/main">
                        <a:graphicData uri="http://schemas.microsoft.com/office/word/2010/wordprocessingShape">
                          <wps:wsp>
                            <wps:cNvSpPr/>
                            <wps:spPr>
                              <a:xfrm rot="10800000">
                                <a:off x="0" y="0"/>
                                <a:ext cx="342900" cy="21907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4EB7D697" id="Triángulo isósceles 84" o:spid="_x0000_s1026" type="#_x0000_t5" style="position:absolute;margin-left:11.25pt;margin-top:2.2pt;width:27pt;height:17.25pt;rotation:180;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" filled="f" strokecolor="#376092" strokeweight="2pt"/>
                  </w:pict>
                </mc:Fallback>
              </mc:AlternateContent>
            </w:r>
          </w:p>
        </w:tc>
        <w:tc>
          <w:tcPr>
            <w:tcW w:w="0" w:type="auto"/>
            <w:tcBorders>
              <w:top w:val="nil"/>
              <w:left w:val="nil"/>
              <w:bottom w:val="single" w:sz="8" w:space="0" w:color="FFFFFF"/>
              <w:right w:val="single" w:sz="8" w:space="0" w:color="FFFFFF"/>
            </w:tcBorders>
            <w:shd w:val="clear" w:color="auto" w:fill="B8CCE4" w:themeFill="accent1" w:themeFillTint="66"/>
            <w:vAlign w:val="center"/>
            <w:hideMark/>
          </w:tcPr>
          <w:p w14:paraId="16C5CC5B" w14:textId="1C844D41" w:rsidR="005D3D73" w:rsidRPr="005D3D73" w:rsidRDefault="005D3D73" w:rsidP="005D3D73">
            <w:pPr>
              <w:jc w:val="right"/>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(24.460.507)</w:t>
            </w:r>
          </w:p>
        </w:tc>
        <w:tc>
          <w:tcPr>
            <w:tcW w:w="0" w:type="auto"/>
            <w:tcBorders>
              <w:top w:val="nil"/>
              <w:left w:val="nil"/>
              <w:bottom w:val="single" w:sz="8" w:space="0" w:color="FFFFFF"/>
              <w:right w:val="single" w:sz="8" w:space="0" w:color="FFFFFF"/>
            </w:tcBorders>
            <w:shd w:val="clear" w:color="auto" w:fill="B8CCE4" w:themeFill="accent1" w:themeFillTint="66"/>
            <w:vAlign w:val="center"/>
            <w:hideMark/>
          </w:tcPr>
          <w:p w14:paraId="3D3D6CD7" w14:textId="37F97DE0" w:rsidR="005D3D73" w:rsidRPr="005D3D73" w:rsidRDefault="005D3D73" w:rsidP="005D3D73">
            <w:pPr>
              <w:jc w:val="center"/>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(9%)</w:t>
            </w:r>
          </w:p>
        </w:tc>
      </w:tr>
      <w:tr w:rsidR="005D3D73" w:rsidRPr="005D3D73" w14:paraId="66B8907B" w14:textId="77777777" w:rsidTr="005D3D73">
        <w:trPr>
          <w:trHeight w:val="705"/>
        </w:trPr>
        <w:tc>
          <w:tcPr>
            <w:tcW w:w="0" w:type="auto"/>
            <w:vMerge/>
            <w:tcBorders>
              <w:top w:val="nil"/>
              <w:left w:val="single" w:sz="8" w:space="0" w:color="FFFFFF"/>
              <w:bottom w:val="single" w:sz="8" w:space="0" w:color="FFFFFF"/>
              <w:right w:val="single" w:sz="8" w:space="0" w:color="FFFFFF"/>
            </w:tcBorders>
            <w:vAlign w:val="center"/>
            <w:hideMark/>
          </w:tcPr>
          <w:p w14:paraId="2CF22FC0" w14:textId="77777777" w:rsidR="005D3D73" w:rsidRPr="005D3D73" w:rsidRDefault="005D3D73" w:rsidP="005D3D73">
            <w:pP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vAlign w:val="center"/>
            <w:hideMark/>
          </w:tcPr>
          <w:p w14:paraId="621EB0F0" w14:textId="77777777" w:rsidR="005D3D73" w:rsidRPr="005D3D73" w:rsidRDefault="005D3D73" w:rsidP="005D3D73">
            <w:pPr>
              <w:rPr>
                <w:rFonts w:ascii="Arial" w:hAnsi="Arial" w:cs="Arial"/>
                <w:b/>
                <w:bCs/>
                <w:color w:val="10253F"/>
                <w:sz w:val="20"/>
                <w:szCs w:val="20"/>
              </w:rPr>
            </w:pPr>
          </w:p>
        </w:tc>
        <w:tc>
          <w:tcPr>
            <w:tcW w:w="1240" w:type="dxa"/>
            <w:vMerge/>
            <w:tcBorders>
              <w:top w:val="nil"/>
              <w:left w:val="single" w:sz="8" w:space="0" w:color="FFFFFF"/>
              <w:bottom w:val="single" w:sz="8" w:space="0" w:color="FFFFFF"/>
              <w:right w:val="single" w:sz="8" w:space="0" w:color="FFFFFF"/>
            </w:tcBorders>
            <w:vAlign w:val="center"/>
            <w:hideMark/>
          </w:tcPr>
          <w:p w14:paraId="4E76DF5F" w14:textId="77777777" w:rsidR="005D3D73" w:rsidRPr="005D3D73" w:rsidRDefault="005D3D73" w:rsidP="005D3D73">
            <w:pPr>
              <w:rPr>
                <w:rFonts w:ascii="Arial" w:hAnsi="Arial" w:cs="Arial"/>
                <w:color w:val="10253F"/>
                <w:sz w:val="20"/>
                <w:szCs w:val="20"/>
              </w:rPr>
            </w:pPr>
          </w:p>
        </w:tc>
        <w:tc>
          <w:tcPr>
            <w:tcW w:w="1701" w:type="dxa"/>
            <w:tcBorders>
              <w:top w:val="nil"/>
              <w:left w:val="nil"/>
              <w:bottom w:val="single" w:sz="8" w:space="0" w:color="FFFFFF"/>
              <w:right w:val="single" w:sz="8" w:space="0" w:color="FFFFFF"/>
            </w:tcBorders>
            <w:shd w:val="clear" w:color="auto" w:fill="DBE5F1" w:themeFill="accent1" w:themeFillTint="33"/>
            <w:vAlign w:val="center"/>
            <w:hideMark/>
          </w:tcPr>
          <w:p w14:paraId="416426D7" w14:textId="77777777" w:rsidR="005D3D73" w:rsidRPr="005D3D73" w:rsidRDefault="005D3D73" w:rsidP="005D3D73">
            <w:pPr>
              <w:jc w:val="center"/>
              <w:rPr>
                <w:rFonts w:ascii="Arial" w:hAnsi="Arial" w:cs="Arial"/>
                <w:color w:val="10253F"/>
                <w:sz w:val="20"/>
                <w:szCs w:val="20"/>
              </w:rPr>
            </w:pPr>
            <w:r w:rsidRPr="005D3D73">
              <w:rPr>
                <w:rFonts w:ascii="Arial" w:hAnsi="Arial" w:cs="Arial"/>
                <w:color w:val="10253F"/>
                <w:sz w:val="20"/>
                <w:szCs w:val="20"/>
              </w:rPr>
              <w:t>Consumo en Kw/h</w:t>
            </w:r>
          </w:p>
        </w:tc>
        <w:tc>
          <w:tcPr>
            <w:tcW w:w="1701" w:type="dxa"/>
            <w:tcBorders>
              <w:top w:val="nil"/>
              <w:left w:val="nil"/>
              <w:bottom w:val="single" w:sz="8" w:space="0" w:color="FFFFFF"/>
              <w:right w:val="single" w:sz="8" w:space="0" w:color="FFFFFF"/>
            </w:tcBorders>
            <w:shd w:val="clear" w:color="auto" w:fill="DBE5F1" w:themeFill="accent1" w:themeFillTint="33"/>
            <w:vAlign w:val="center"/>
            <w:hideMark/>
          </w:tcPr>
          <w:p w14:paraId="3A32CC17" w14:textId="77777777" w:rsidR="005D3D73" w:rsidRPr="005D3D73" w:rsidRDefault="005D3D73" w:rsidP="005D3D73">
            <w:pPr>
              <w:jc w:val="center"/>
              <w:rPr>
                <w:rFonts w:ascii="Arial" w:hAnsi="Arial" w:cs="Arial"/>
                <w:color w:val="0F243E"/>
                <w:sz w:val="20"/>
                <w:szCs w:val="20"/>
              </w:rPr>
            </w:pPr>
            <w:r w:rsidRPr="005D3D73">
              <w:rPr>
                <w:rFonts w:ascii="Arial" w:hAnsi="Arial" w:cs="Arial"/>
                <w:color w:val="0F243E"/>
                <w:sz w:val="20"/>
                <w:szCs w:val="20"/>
              </w:rPr>
              <w:t>III Trimestre 2019-2018</w:t>
            </w:r>
          </w:p>
        </w:tc>
        <w:tc>
          <w:tcPr>
            <w:tcW w:w="1217" w:type="dxa"/>
            <w:tcBorders>
              <w:top w:val="nil"/>
              <w:left w:val="nil"/>
              <w:bottom w:val="single" w:sz="8" w:space="0" w:color="FFFFFF"/>
              <w:right w:val="single" w:sz="8" w:space="0" w:color="FFFFFF"/>
            </w:tcBorders>
            <w:shd w:val="clear" w:color="auto" w:fill="DBE5F1" w:themeFill="accent1" w:themeFillTint="33"/>
            <w:vAlign w:val="center"/>
            <w:hideMark/>
          </w:tcPr>
          <w:p w14:paraId="49CC5ADB" w14:textId="7C4E5346" w:rsidR="005D3D73" w:rsidRPr="005D3D73" w:rsidRDefault="005D3D73" w:rsidP="005D3D73">
            <w:pPr>
              <w:rPr>
                <w:rFonts w:ascii="Arial" w:hAnsi="Arial" w:cs="Arial"/>
                <w:color w:val="10253F"/>
                <w:sz w:val="20"/>
                <w:szCs w:val="20"/>
              </w:rPr>
            </w:pPr>
            <w:r w:rsidRPr="005D3D73">
              <w:rPr>
                <w:rFonts w:ascii="Arial" w:hAnsi="Arial" w:cs="Arial"/>
                <w:noProof/>
                <w:color w:val="10253F"/>
                <w:sz w:val="20"/>
                <w:szCs w:val="20"/>
              </w:rPr>
              <mc:AlternateContent>
                <mc:Choice Requires="wps">
                  <w:drawing>
                    <wp:anchor distT="0" distB="0" distL="114300" distR="114300" simplePos="0" relativeHeight="252012544" behindDoc="0" locked="0" layoutInCell="1" allowOverlap="1" wp14:anchorId="3A47AA1C" wp14:editId="65F17B83">
                      <wp:simplePos x="0" y="0"/>
                      <wp:positionH relativeFrom="column">
                        <wp:posOffset>142875</wp:posOffset>
                      </wp:positionH>
                      <wp:positionV relativeFrom="paragraph">
                        <wp:posOffset>64135</wp:posOffset>
                      </wp:positionV>
                      <wp:extent cx="342900" cy="209550"/>
                      <wp:effectExtent l="0" t="0" r="19050" b="19050"/>
                      <wp:wrapNone/>
                      <wp:docPr id="83" name="Triángulo isósceles 83"/>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06F85371" id="Triángulo isósceles 83" o:spid="_x0000_s1026" type="#_x0000_t5" style="position:absolute;margin-left:11.25pt;margin-top:5.05pt;width:27pt;height:16.5pt;rotation:180;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" filled="f" strokecolor="#376092" strokeweight="2pt"/>
                  </w:pict>
                </mc:Fallback>
              </mc:AlternateContent>
            </w:r>
          </w:p>
        </w:tc>
        <w:tc>
          <w:tcPr>
            <w:tcW w:w="0" w:type="auto"/>
            <w:tcBorders>
              <w:top w:val="nil"/>
              <w:left w:val="nil"/>
              <w:bottom w:val="single" w:sz="8" w:space="0" w:color="FFFFFF"/>
              <w:right w:val="single" w:sz="8" w:space="0" w:color="FFFFFF"/>
            </w:tcBorders>
            <w:shd w:val="clear" w:color="auto" w:fill="DBE5F1" w:themeFill="accent1" w:themeFillTint="33"/>
            <w:vAlign w:val="center"/>
            <w:hideMark/>
          </w:tcPr>
          <w:p w14:paraId="3FC66EDB" w14:textId="77777777" w:rsidR="005D3D73" w:rsidRPr="005D3D73" w:rsidRDefault="005D3D73" w:rsidP="005D3D73">
            <w:pPr>
              <w:jc w:val="right"/>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(83.896) Kw</w:t>
            </w:r>
          </w:p>
        </w:tc>
        <w:tc>
          <w:tcPr>
            <w:tcW w:w="0" w:type="auto"/>
            <w:tcBorders>
              <w:top w:val="nil"/>
              <w:left w:val="nil"/>
              <w:bottom w:val="single" w:sz="8" w:space="0" w:color="FFFFFF"/>
              <w:right w:val="single" w:sz="8" w:space="0" w:color="FFFFFF"/>
            </w:tcBorders>
            <w:shd w:val="clear" w:color="auto" w:fill="DBE5F1" w:themeFill="accent1" w:themeFillTint="33"/>
            <w:vAlign w:val="center"/>
            <w:hideMark/>
          </w:tcPr>
          <w:p w14:paraId="3A97A598" w14:textId="5BC216FC" w:rsidR="005D3D73" w:rsidRPr="005D3D73" w:rsidRDefault="005D3D73" w:rsidP="005D3D73">
            <w:pPr>
              <w:jc w:val="center"/>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(8%)</w:t>
            </w:r>
          </w:p>
        </w:tc>
      </w:tr>
      <w:tr w:rsidR="005D3D73" w:rsidRPr="005D3D73" w14:paraId="6D3A0AEC" w14:textId="77777777" w:rsidTr="005D3D73">
        <w:trPr>
          <w:trHeight w:val="750"/>
        </w:trPr>
        <w:tc>
          <w:tcPr>
            <w:tcW w:w="0" w:type="auto"/>
            <w:vMerge/>
            <w:tcBorders>
              <w:top w:val="nil"/>
              <w:left w:val="single" w:sz="8" w:space="0" w:color="FFFFFF"/>
              <w:bottom w:val="single" w:sz="8" w:space="0" w:color="FFFFFF"/>
              <w:right w:val="single" w:sz="8" w:space="0" w:color="FFFFFF"/>
            </w:tcBorders>
            <w:vAlign w:val="center"/>
            <w:hideMark/>
          </w:tcPr>
          <w:p w14:paraId="518BBDD6" w14:textId="77777777" w:rsidR="005D3D73" w:rsidRPr="005D3D73" w:rsidRDefault="005D3D73" w:rsidP="005D3D73">
            <w:pP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vAlign w:val="center"/>
            <w:hideMark/>
          </w:tcPr>
          <w:p w14:paraId="78FE9DF2" w14:textId="77777777" w:rsidR="005D3D73" w:rsidRPr="005D3D73" w:rsidRDefault="005D3D73" w:rsidP="005D3D73">
            <w:pPr>
              <w:rPr>
                <w:rFonts w:ascii="Arial" w:hAnsi="Arial" w:cs="Arial"/>
                <w:b/>
                <w:bCs/>
                <w:color w:val="10253F"/>
                <w:sz w:val="20"/>
                <w:szCs w:val="20"/>
              </w:rPr>
            </w:pPr>
          </w:p>
        </w:tc>
        <w:tc>
          <w:tcPr>
            <w:tcW w:w="1240" w:type="dxa"/>
            <w:vMerge w:val="restart"/>
            <w:tcBorders>
              <w:top w:val="nil"/>
              <w:left w:val="single" w:sz="8" w:space="0" w:color="FFFFFF"/>
              <w:bottom w:val="single" w:sz="8" w:space="0" w:color="FFFFFF"/>
              <w:right w:val="single" w:sz="8" w:space="0" w:color="FFFFFF"/>
            </w:tcBorders>
            <w:shd w:val="clear" w:color="000000" w:fill="B8CCE4"/>
            <w:vAlign w:val="center"/>
            <w:hideMark/>
          </w:tcPr>
          <w:p w14:paraId="5AFE39A2" w14:textId="77777777" w:rsidR="005D3D73" w:rsidRPr="005D3D73" w:rsidRDefault="005D3D73" w:rsidP="005D3D73">
            <w:pPr>
              <w:jc w:val="center"/>
              <w:rPr>
                <w:rFonts w:ascii="Arial" w:hAnsi="Arial" w:cs="Arial"/>
                <w:color w:val="10253F"/>
                <w:sz w:val="20"/>
                <w:szCs w:val="20"/>
              </w:rPr>
            </w:pPr>
            <w:r w:rsidRPr="005D3D73">
              <w:rPr>
                <w:rFonts w:ascii="Arial" w:hAnsi="Arial" w:cs="Arial"/>
                <w:color w:val="10253F"/>
                <w:sz w:val="20"/>
                <w:szCs w:val="20"/>
              </w:rPr>
              <w:t>Casas de Santa Bárbara</w:t>
            </w:r>
          </w:p>
        </w:tc>
        <w:tc>
          <w:tcPr>
            <w:tcW w:w="1701" w:type="dxa"/>
            <w:tcBorders>
              <w:top w:val="nil"/>
              <w:left w:val="nil"/>
              <w:bottom w:val="single" w:sz="8" w:space="0" w:color="FFFFFF"/>
              <w:right w:val="single" w:sz="8" w:space="0" w:color="FFFFFF"/>
            </w:tcBorders>
            <w:shd w:val="clear" w:color="auto" w:fill="B8CCE4" w:themeFill="accent1" w:themeFillTint="66"/>
            <w:vAlign w:val="center"/>
            <w:hideMark/>
          </w:tcPr>
          <w:p w14:paraId="65F5EB45" w14:textId="77777777" w:rsidR="005D3D73" w:rsidRPr="005D3D73" w:rsidRDefault="005D3D73" w:rsidP="005D3D73">
            <w:pPr>
              <w:jc w:val="center"/>
              <w:rPr>
                <w:rFonts w:ascii="Arial" w:hAnsi="Arial" w:cs="Arial"/>
                <w:color w:val="10253F"/>
                <w:sz w:val="20"/>
                <w:szCs w:val="20"/>
              </w:rPr>
            </w:pPr>
            <w:r w:rsidRPr="005D3D73">
              <w:rPr>
                <w:rFonts w:ascii="Arial" w:hAnsi="Arial" w:cs="Arial"/>
                <w:color w:val="10253F"/>
                <w:sz w:val="20"/>
                <w:szCs w:val="20"/>
              </w:rPr>
              <w:t>Valor del Gasto</w:t>
            </w:r>
          </w:p>
        </w:tc>
        <w:tc>
          <w:tcPr>
            <w:tcW w:w="1701" w:type="dxa"/>
            <w:tcBorders>
              <w:top w:val="nil"/>
              <w:left w:val="nil"/>
              <w:bottom w:val="single" w:sz="8" w:space="0" w:color="FFFFFF"/>
              <w:right w:val="single" w:sz="8" w:space="0" w:color="FFFFFF"/>
            </w:tcBorders>
            <w:shd w:val="clear" w:color="auto" w:fill="B8CCE4" w:themeFill="accent1" w:themeFillTint="66"/>
            <w:vAlign w:val="center"/>
            <w:hideMark/>
          </w:tcPr>
          <w:p w14:paraId="264F93BB" w14:textId="77777777" w:rsidR="005D3D73" w:rsidRPr="005D3D73" w:rsidRDefault="005D3D73" w:rsidP="005D3D73">
            <w:pPr>
              <w:jc w:val="center"/>
              <w:rPr>
                <w:rFonts w:ascii="Arial" w:hAnsi="Arial" w:cs="Arial"/>
                <w:color w:val="0F243E"/>
                <w:sz w:val="20"/>
                <w:szCs w:val="20"/>
              </w:rPr>
            </w:pPr>
            <w:r w:rsidRPr="005D3D73">
              <w:rPr>
                <w:rFonts w:ascii="Arial" w:hAnsi="Arial" w:cs="Arial"/>
                <w:color w:val="0F243E"/>
                <w:sz w:val="20"/>
                <w:szCs w:val="20"/>
              </w:rPr>
              <w:t>III Trimestre 2019-2018</w:t>
            </w:r>
          </w:p>
        </w:tc>
        <w:tc>
          <w:tcPr>
            <w:tcW w:w="1217" w:type="dxa"/>
            <w:tcBorders>
              <w:top w:val="nil"/>
              <w:left w:val="nil"/>
              <w:bottom w:val="single" w:sz="8" w:space="0" w:color="FFFFFF"/>
              <w:right w:val="single" w:sz="8" w:space="0" w:color="FFFFFF"/>
            </w:tcBorders>
            <w:shd w:val="clear" w:color="auto" w:fill="B8CCE4" w:themeFill="accent1" w:themeFillTint="66"/>
            <w:vAlign w:val="center"/>
            <w:hideMark/>
          </w:tcPr>
          <w:p w14:paraId="55E3225B" w14:textId="44C5A3BB" w:rsidR="005D3D73" w:rsidRPr="005D3D73" w:rsidRDefault="005D3D73" w:rsidP="005D3D73">
            <w:pPr>
              <w:rPr>
                <w:rFonts w:ascii="Arial" w:hAnsi="Arial" w:cs="Arial"/>
                <w:color w:val="10253F"/>
                <w:sz w:val="20"/>
                <w:szCs w:val="20"/>
              </w:rPr>
            </w:pPr>
            <w:r w:rsidRPr="005D3D73">
              <w:rPr>
                <w:rFonts w:ascii="Arial" w:hAnsi="Arial" w:cs="Arial"/>
                <w:noProof/>
                <w:color w:val="10253F"/>
                <w:sz w:val="20"/>
                <w:szCs w:val="20"/>
              </w:rPr>
              <mc:AlternateContent>
                <mc:Choice Requires="wps">
                  <w:drawing>
                    <wp:anchor distT="0" distB="0" distL="114300" distR="114300" simplePos="0" relativeHeight="252013568" behindDoc="0" locked="0" layoutInCell="1" allowOverlap="1" wp14:anchorId="6A55C4DE" wp14:editId="32368F9A">
                      <wp:simplePos x="0" y="0"/>
                      <wp:positionH relativeFrom="column">
                        <wp:posOffset>162560</wp:posOffset>
                      </wp:positionH>
                      <wp:positionV relativeFrom="paragraph">
                        <wp:posOffset>91440</wp:posOffset>
                      </wp:positionV>
                      <wp:extent cx="342900" cy="209550"/>
                      <wp:effectExtent l="0" t="0" r="19050" b="19050"/>
                      <wp:wrapNone/>
                      <wp:docPr id="82" name="Triángulo isósceles 82"/>
                      <wp:cNvGraphicFramePr/>
                      <a:graphic xmlns:a="http://schemas.openxmlformats.org/drawingml/2006/main">
                        <a:graphicData uri="http://schemas.microsoft.com/office/word/2010/wordprocessingShape">
                          <wps:wsp>
                            <wps:cNvSpPr/>
                            <wps:spPr>
                              <a:xfrm>
                                <a:off x="0" y="0"/>
                                <a:ext cx="342900" cy="209550"/>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D281834" id="Triángulo isósceles 82" o:spid="_x0000_s1026" type="#_x0000_t5" style="position:absolute;margin-left:12.8pt;margin-top:7.2pt;width:27pt;height:16.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" filled="f" strokecolor="#376092" strokeweight="2pt"/>
                  </w:pict>
                </mc:Fallback>
              </mc:AlternateContent>
            </w:r>
          </w:p>
        </w:tc>
        <w:tc>
          <w:tcPr>
            <w:tcW w:w="0" w:type="auto"/>
            <w:tcBorders>
              <w:top w:val="nil"/>
              <w:left w:val="nil"/>
              <w:bottom w:val="single" w:sz="8" w:space="0" w:color="FFFFFF"/>
              <w:right w:val="single" w:sz="8" w:space="0" w:color="FFFFFF"/>
            </w:tcBorders>
            <w:shd w:val="clear" w:color="auto" w:fill="B8CCE4" w:themeFill="accent1" w:themeFillTint="66"/>
            <w:vAlign w:val="center"/>
            <w:hideMark/>
          </w:tcPr>
          <w:p w14:paraId="05A9EA75" w14:textId="77777777" w:rsidR="005D3D73" w:rsidRPr="005D3D73" w:rsidRDefault="005D3D73" w:rsidP="005D3D73">
            <w:pPr>
              <w:jc w:val="right"/>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$51.417.060</w:t>
            </w:r>
          </w:p>
        </w:tc>
        <w:tc>
          <w:tcPr>
            <w:tcW w:w="0" w:type="auto"/>
            <w:tcBorders>
              <w:top w:val="nil"/>
              <w:left w:val="nil"/>
              <w:bottom w:val="single" w:sz="8" w:space="0" w:color="FFFFFF"/>
              <w:right w:val="single" w:sz="8" w:space="0" w:color="FFFFFF"/>
            </w:tcBorders>
            <w:shd w:val="clear" w:color="000000" w:fill="B8CCE4"/>
            <w:vAlign w:val="center"/>
            <w:hideMark/>
          </w:tcPr>
          <w:p w14:paraId="62944578" w14:textId="77777777" w:rsidR="005D3D73" w:rsidRPr="005D3D73" w:rsidRDefault="005D3D73" w:rsidP="005D3D73">
            <w:pPr>
              <w:jc w:val="center"/>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95%</w:t>
            </w:r>
          </w:p>
        </w:tc>
      </w:tr>
      <w:tr w:rsidR="005D3D73" w:rsidRPr="005D3D73" w14:paraId="576C6952" w14:textId="77777777" w:rsidTr="00B43521">
        <w:trPr>
          <w:trHeight w:val="874"/>
        </w:trPr>
        <w:tc>
          <w:tcPr>
            <w:tcW w:w="0" w:type="auto"/>
            <w:vMerge/>
            <w:tcBorders>
              <w:top w:val="nil"/>
              <w:left w:val="single" w:sz="8" w:space="0" w:color="FFFFFF"/>
              <w:bottom w:val="single" w:sz="8" w:space="0" w:color="FFFFFF"/>
              <w:right w:val="single" w:sz="8" w:space="0" w:color="FFFFFF"/>
            </w:tcBorders>
            <w:vAlign w:val="center"/>
            <w:hideMark/>
          </w:tcPr>
          <w:p w14:paraId="66C1E303" w14:textId="77777777" w:rsidR="005D3D73" w:rsidRPr="005D3D73" w:rsidRDefault="005D3D73" w:rsidP="005D3D73">
            <w:pP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vAlign w:val="center"/>
            <w:hideMark/>
          </w:tcPr>
          <w:p w14:paraId="372EDDDB" w14:textId="77777777" w:rsidR="005D3D73" w:rsidRPr="005D3D73" w:rsidRDefault="005D3D73" w:rsidP="005D3D73">
            <w:pPr>
              <w:rPr>
                <w:rFonts w:ascii="Arial" w:hAnsi="Arial" w:cs="Arial"/>
                <w:b/>
                <w:bCs/>
                <w:color w:val="10253F"/>
                <w:sz w:val="20"/>
                <w:szCs w:val="20"/>
              </w:rPr>
            </w:pPr>
          </w:p>
        </w:tc>
        <w:tc>
          <w:tcPr>
            <w:tcW w:w="1240" w:type="dxa"/>
            <w:vMerge/>
            <w:tcBorders>
              <w:top w:val="nil"/>
              <w:left w:val="single" w:sz="8" w:space="0" w:color="FFFFFF"/>
              <w:bottom w:val="single" w:sz="8" w:space="0" w:color="FFFFFF"/>
              <w:right w:val="single" w:sz="8" w:space="0" w:color="FFFFFF"/>
            </w:tcBorders>
            <w:vAlign w:val="center"/>
            <w:hideMark/>
          </w:tcPr>
          <w:p w14:paraId="1C01E663" w14:textId="77777777" w:rsidR="005D3D73" w:rsidRPr="005D3D73" w:rsidRDefault="005D3D73" w:rsidP="005D3D73">
            <w:pPr>
              <w:rPr>
                <w:rFonts w:ascii="Arial" w:hAnsi="Arial" w:cs="Arial"/>
                <w:color w:val="10253F"/>
                <w:sz w:val="20"/>
                <w:szCs w:val="20"/>
              </w:rPr>
            </w:pPr>
          </w:p>
        </w:tc>
        <w:tc>
          <w:tcPr>
            <w:tcW w:w="1701" w:type="dxa"/>
            <w:tcBorders>
              <w:top w:val="nil"/>
              <w:left w:val="nil"/>
              <w:bottom w:val="single" w:sz="8" w:space="0" w:color="FFFFFF"/>
              <w:right w:val="single" w:sz="8" w:space="0" w:color="FFFFFF"/>
            </w:tcBorders>
            <w:shd w:val="clear" w:color="auto" w:fill="DBE5F1" w:themeFill="accent1" w:themeFillTint="33"/>
            <w:vAlign w:val="center"/>
            <w:hideMark/>
          </w:tcPr>
          <w:p w14:paraId="0FF036EA" w14:textId="77777777" w:rsidR="005D3D73" w:rsidRPr="005D3D73" w:rsidRDefault="005D3D73" w:rsidP="005D3D73">
            <w:pPr>
              <w:jc w:val="center"/>
              <w:rPr>
                <w:rFonts w:ascii="Arial" w:hAnsi="Arial" w:cs="Arial"/>
                <w:color w:val="10253F"/>
                <w:sz w:val="20"/>
                <w:szCs w:val="20"/>
              </w:rPr>
            </w:pPr>
            <w:r w:rsidRPr="005D3D73">
              <w:rPr>
                <w:rFonts w:ascii="Arial" w:hAnsi="Arial" w:cs="Arial"/>
                <w:color w:val="10253F"/>
                <w:sz w:val="20"/>
                <w:szCs w:val="20"/>
              </w:rPr>
              <w:t>Consumo en Kw/h</w:t>
            </w:r>
          </w:p>
        </w:tc>
        <w:tc>
          <w:tcPr>
            <w:tcW w:w="1701" w:type="dxa"/>
            <w:tcBorders>
              <w:top w:val="nil"/>
              <w:left w:val="nil"/>
              <w:bottom w:val="single" w:sz="8" w:space="0" w:color="FFFFFF"/>
              <w:right w:val="single" w:sz="8" w:space="0" w:color="FFFFFF"/>
            </w:tcBorders>
            <w:shd w:val="clear" w:color="auto" w:fill="DBE5F1" w:themeFill="accent1" w:themeFillTint="33"/>
            <w:vAlign w:val="center"/>
            <w:hideMark/>
          </w:tcPr>
          <w:p w14:paraId="0D776569" w14:textId="77777777" w:rsidR="005D3D73" w:rsidRPr="005D3D73" w:rsidRDefault="005D3D73" w:rsidP="005D3D73">
            <w:pPr>
              <w:jc w:val="center"/>
              <w:rPr>
                <w:rFonts w:ascii="Arial" w:hAnsi="Arial" w:cs="Arial"/>
                <w:color w:val="0F243E"/>
                <w:sz w:val="20"/>
                <w:szCs w:val="20"/>
              </w:rPr>
            </w:pPr>
            <w:r w:rsidRPr="005D3D73">
              <w:rPr>
                <w:rFonts w:ascii="Arial" w:hAnsi="Arial" w:cs="Arial"/>
                <w:color w:val="0F243E"/>
                <w:sz w:val="20"/>
                <w:szCs w:val="20"/>
              </w:rPr>
              <w:t>III Trimestre 2019-2018</w:t>
            </w:r>
          </w:p>
        </w:tc>
        <w:tc>
          <w:tcPr>
            <w:tcW w:w="1217" w:type="dxa"/>
            <w:tcBorders>
              <w:top w:val="nil"/>
              <w:left w:val="nil"/>
              <w:bottom w:val="single" w:sz="8" w:space="0" w:color="FFFFFF"/>
              <w:right w:val="single" w:sz="8" w:space="0" w:color="FFFFFF"/>
            </w:tcBorders>
            <w:shd w:val="clear" w:color="auto" w:fill="DBE5F1" w:themeFill="accent1" w:themeFillTint="33"/>
            <w:vAlign w:val="center"/>
            <w:hideMark/>
          </w:tcPr>
          <w:p w14:paraId="387A1BAD" w14:textId="2A5EB62B" w:rsidR="005D3D73" w:rsidRPr="005D3D73" w:rsidRDefault="005D3D73" w:rsidP="005D3D73">
            <w:pPr>
              <w:rPr>
                <w:rFonts w:ascii="Arial" w:hAnsi="Arial" w:cs="Arial"/>
                <w:color w:val="10253F"/>
                <w:sz w:val="20"/>
                <w:szCs w:val="20"/>
              </w:rPr>
            </w:pPr>
            <w:r w:rsidRPr="005D3D73">
              <w:rPr>
                <w:rFonts w:ascii="Arial" w:hAnsi="Arial" w:cs="Arial"/>
                <w:noProof/>
                <w:color w:val="10253F"/>
                <w:sz w:val="20"/>
                <w:szCs w:val="20"/>
              </w:rPr>
              <mc:AlternateContent>
                <mc:Choice Requires="wps">
                  <w:drawing>
                    <wp:anchor distT="0" distB="0" distL="114300" distR="114300" simplePos="0" relativeHeight="252014592" behindDoc="0" locked="0" layoutInCell="1" allowOverlap="1" wp14:anchorId="776E6A89" wp14:editId="37AC16C3">
                      <wp:simplePos x="0" y="0"/>
                      <wp:positionH relativeFrom="column">
                        <wp:posOffset>170180</wp:posOffset>
                      </wp:positionH>
                      <wp:positionV relativeFrom="paragraph">
                        <wp:posOffset>46990</wp:posOffset>
                      </wp:positionV>
                      <wp:extent cx="342900" cy="200025"/>
                      <wp:effectExtent l="0" t="0" r="19050" b="28575"/>
                      <wp:wrapNone/>
                      <wp:docPr id="81" name="Triángulo isósceles 81"/>
                      <wp:cNvGraphicFramePr/>
                      <a:graphic xmlns:a="http://schemas.openxmlformats.org/drawingml/2006/main">
                        <a:graphicData uri="http://schemas.microsoft.com/office/word/2010/wordprocessingShape">
                          <wps:wsp>
                            <wps:cNvSpPr/>
                            <wps:spPr>
                              <a:xfrm>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8D1118E" id="Triángulo isósceles 81" o:spid="_x0000_s1026" type="#_x0000_t5" style="position:absolute;margin-left:13.4pt;margin-top:3.7pt;width:27pt;height:15.7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" filled="f" strokecolor="#376092" strokeweight="2pt"/>
                  </w:pict>
                </mc:Fallback>
              </mc:AlternateContent>
            </w:r>
          </w:p>
        </w:tc>
        <w:tc>
          <w:tcPr>
            <w:tcW w:w="0" w:type="auto"/>
            <w:tcBorders>
              <w:top w:val="nil"/>
              <w:left w:val="nil"/>
              <w:bottom w:val="single" w:sz="8" w:space="0" w:color="FFFFFF"/>
              <w:right w:val="single" w:sz="8" w:space="0" w:color="FFFFFF"/>
            </w:tcBorders>
            <w:shd w:val="clear" w:color="auto" w:fill="DBE5F1" w:themeFill="accent1" w:themeFillTint="33"/>
            <w:vAlign w:val="center"/>
            <w:hideMark/>
          </w:tcPr>
          <w:p w14:paraId="3F848DF8" w14:textId="77777777" w:rsidR="005D3D73" w:rsidRPr="005D3D73" w:rsidRDefault="005D3D73" w:rsidP="005D3D73">
            <w:pPr>
              <w:jc w:val="right"/>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127600 Kw</w:t>
            </w:r>
          </w:p>
        </w:tc>
        <w:tc>
          <w:tcPr>
            <w:tcW w:w="0" w:type="auto"/>
            <w:tcBorders>
              <w:top w:val="nil"/>
              <w:left w:val="nil"/>
              <w:bottom w:val="single" w:sz="8" w:space="0" w:color="FFFFFF"/>
              <w:right w:val="single" w:sz="8" w:space="0" w:color="FFFFFF"/>
            </w:tcBorders>
            <w:shd w:val="clear" w:color="auto" w:fill="DBE5F1" w:themeFill="accent1" w:themeFillTint="33"/>
            <w:vAlign w:val="center"/>
            <w:hideMark/>
          </w:tcPr>
          <w:p w14:paraId="5B473FEE" w14:textId="77777777" w:rsidR="005D3D73" w:rsidRPr="005D3D73" w:rsidRDefault="005D3D73" w:rsidP="005D3D73">
            <w:pPr>
              <w:jc w:val="center"/>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95%</w:t>
            </w:r>
          </w:p>
        </w:tc>
      </w:tr>
      <w:tr w:rsidR="005D3D73" w:rsidRPr="005D3D73" w14:paraId="12A00E1D" w14:textId="77777777" w:rsidTr="005D3D73">
        <w:trPr>
          <w:trHeight w:val="811"/>
        </w:trPr>
        <w:tc>
          <w:tcPr>
            <w:tcW w:w="0" w:type="auto"/>
            <w:vMerge w:val="restart"/>
            <w:tcBorders>
              <w:top w:val="nil"/>
              <w:left w:val="single" w:sz="8" w:space="0" w:color="FFFFFF"/>
              <w:bottom w:val="single" w:sz="8" w:space="0" w:color="FFFFFF"/>
              <w:right w:val="single" w:sz="8" w:space="0" w:color="FFFFFF"/>
            </w:tcBorders>
            <w:shd w:val="clear" w:color="000000" w:fill="4F81BD"/>
            <w:textDirection w:val="btLr"/>
            <w:vAlign w:val="center"/>
            <w:hideMark/>
          </w:tcPr>
          <w:p w14:paraId="75116326" w14:textId="77777777" w:rsidR="005D3D73" w:rsidRPr="005D3D73" w:rsidRDefault="005D3D73" w:rsidP="005D3D73">
            <w:pPr>
              <w:jc w:val="center"/>
              <w:rPr>
                <w:rFonts w:ascii="Arial" w:hAnsi="Arial" w:cs="Arial"/>
                <w:b/>
                <w:bCs/>
                <w:color w:val="FFFFFF"/>
                <w:sz w:val="20"/>
                <w:szCs w:val="20"/>
              </w:rPr>
            </w:pPr>
            <w:r w:rsidRPr="005D3D73">
              <w:rPr>
                <w:rFonts w:ascii="Arial" w:hAnsi="Arial" w:cs="Arial"/>
                <w:b/>
                <w:bCs/>
                <w:color w:val="FFFFFF"/>
                <w:sz w:val="20"/>
                <w:szCs w:val="20"/>
              </w:rPr>
              <w:t>Acueducto y Alcantarillado</w:t>
            </w:r>
          </w:p>
        </w:tc>
        <w:tc>
          <w:tcPr>
            <w:tcW w:w="0" w:type="auto"/>
            <w:vMerge w:val="restart"/>
            <w:tcBorders>
              <w:top w:val="nil"/>
              <w:left w:val="single" w:sz="8" w:space="0" w:color="FFFFFF"/>
              <w:bottom w:val="single" w:sz="8" w:space="0" w:color="FFFFFF"/>
              <w:right w:val="single" w:sz="8" w:space="0" w:color="FFFFFF"/>
            </w:tcBorders>
            <w:shd w:val="clear" w:color="000000" w:fill="B8CCE4"/>
            <w:vAlign w:val="center"/>
            <w:hideMark/>
          </w:tcPr>
          <w:p w14:paraId="3715AC61" w14:textId="3F7CF7B5" w:rsidR="005D3D73" w:rsidRPr="005D3D73" w:rsidRDefault="005D3D73" w:rsidP="00DB1BF2">
            <w:pPr>
              <w:jc w:val="center"/>
              <w:rPr>
                <w:rFonts w:ascii="Arial" w:hAnsi="Arial" w:cs="Arial"/>
                <w:color w:val="10253F"/>
                <w:sz w:val="20"/>
                <w:szCs w:val="20"/>
              </w:rPr>
            </w:pPr>
            <w:r w:rsidRPr="005D3D73">
              <w:rPr>
                <w:rFonts w:ascii="Arial" w:hAnsi="Arial" w:cs="Arial"/>
                <w:color w:val="10253F"/>
                <w:sz w:val="20"/>
                <w:szCs w:val="20"/>
              </w:rPr>
              <w:t> </w:t>
            </w:r>
            <w:r w:rsidR="00DB1BF2">
              <w:rPr>
                <w:rFonts w:ascii="Arial" w:hAnsi="Arial" w:cs="Arial"/>
                <w:color w:val="10253F"/>
                <w:sz w:val="20"/>
                <w:szCs w:val="20"/>
              </w:rPr>
              <w:t>8</w:t>
            </w:r>
            <w:r w:rsidRPr="005D3D73">
              <w:rPr>
                <w:rFonts w:ascii="Arial" w:hAnsi="Arial" w:cs="Arial"/>
                <w:b/>
                <w:bCs/>
                <w:color w:val="10253F"/>
                <w:sz w:val="20"/>
                <w:szCs w:val="20"/>
              </w:rPr>
              <w:t>.2</w:t>
            </w:r>
          </w:p>
        </w:tc>
        <w:tc>
          <w:tcPr>
            <w:tcW w:w="1240" w:type="dxa"/>
            <w:vMerge w:val="restart"/>
            <w:tcBorders>
              <w:top w:val="nil"/>
              <w:left w:val="single" w:sz="8" w:space="0" w:color="FFFFFF"/>
              <w:bottom w:val="single" w:sz="8" w:space="0" w:color="FFFFFF"/>
              <w:right w:val="single" w:sz="8" w:space="0" w:color="FFFFFF"/>
            </w:tcBorders>
            <w:shd w:val="clear" w:color="000000" w:fill="B8CCE4"/>
            <w:vAlign w:val="center"/>
            <w:hideMark/>
          </w:tcPr>
          <w:p w14:paraId="5582DD94" w14:textId="77777777" w:rsidR="005D3D73" w:rsidRPr="005D3D73" w:rsidRDefault="005D3D73" w:rsidP="005D3D73">
            <w:pPr>
              <w:jc w:val="center"/>
              <w:rPr>
                <w:rFonts w:ascii="Arial" w:hAnsi="Arial" w:cs="Arial"/>
                <w:color w:val="10253F"/>
                <w:sz w:val="20"/>
                <w:szCs w:val="20"/>
              </w:rPr>
            </w:pPr>
            <w:r w:rsidRPr="005D3D73">
              <w:rPr>
                <w:rFonts w:ascii="Arial" w:hAnsi="Arial" w:cs="Arial"/>
                <w:color w:val="10253F"/>
                <w:sz w:val="20"/>
                <w:szCs w:val="20"/>
              </w:rPr>
              <w:t>Edificio San Agustín</w:t>
            </w:r>
          </w:p>
        </w:tc>
        <w:tc>
          <w:tcPr>
            <w:tcW w:w="1701" w:type="dxa"/>
            <w:tcBorders>
              <w:top w:val="nil"/>
              <w:left w:val="nil"/>
              <w:bottom w:val="single" w:sz="8" w:space="0" w:color="FFFFFF"/>
              <w:right w:val="single" w:sz="8" w:space="0" w:color="FFFFFF"/>
            </w:tcBorders>
            <w:shd w:val="clear" w:color="auto" w:fill="B8CCE4" w:themeFill="accent1" w:themeFillTint="66"/>
            <w:vAlign w:val="center"/>
            <w:hideMark/>
          </w:tcPr>
          <w:p w14:paraId="187B5687" w14:textId="77777777" w:rsidR="005D3D73" w:rsidRPr="005D3D73" w:rsidRDefault="005D3D73" w:rsidP="005D3D73">
            <w:pPr>
              <w:jc w:val="center"/>
              <w:rPr>
                <w:rFonts w:ascii="Arial" w:hAnsi="Arial" w:cs="Arial"/>
                <w:color w:val="10253F"/>
                <w:sz w:val="20"/>
                <w:szCs w:val="20"/>
              </w:rPr>
            </w:pPr>
            <w:r w:rsidRPr="005D3D73">
              <w:rPr>
                <w:rFonts w:ascii="Arial" w:hAnsi="Arial" w:cs="Arial"/>
                <w:color w:val="10253F"/>
                <w:sz w:val="20"/>
                <w:szCs w:val="20"/>
              </w:rPr>
              <w:t>Valor del Gasto</w:t>
            </w:r>
          </w:p>
        </w:tc>
        <w:tc>
          <w:tcPr>
            <w:tcW w:w="1701" w:type="dxa"/>
            <w:tcBorders>
              <w:top w:val="nil"/>
              <w:left w:val="nil"/>
              <w:bottom w:val="single" w:sz="8" w:space="0" w:color="FFFFFF"/>
              <w:right w:val="single" w:sz="8" w:space="0" w:color="FFFFFF"/>
            </w:tcBorders>
            <w:shd w:val="clear" w:color="auto" w:fill="B8CCE4" w:themeFill="accent1" w:themeFillTint="66"/>
            <w:vAlign w:val="center"/>
            <w:hideMark/>
          </w:tcPr>
          <w:p w14:paraId="4EB331C3" w14:textId="77777777" w:rsidR="005D3D73" w:rsidRPr="005D3D73" w:rsidRDefault="005D3D73" w:rsidP="005D3D73">
            <w:pPr>
              <w:jc w:val="center"/>
              <w:rPr>
                <w:rFonts w:ascii="Arial" w:hAnsi="Arial" w:cs="Arial"/>
                <w:color w:val="0F243E"/>
                <w:sz w:val="20"/>
                <w:szCs w:val="20"/>
              </w:rPr>
            </w:pPr>
            <w:r w:rsidRPr="005D3D73">
              <w:rPr>
                <w:rFonts w:ascii="Arial" w:hAnsi="Arial" w:cs="Arial"/>
                <w:color w:val="0F243E"/>
                <w:sz w:val="20"/>
                <w:szCs w:val="20"/>
              </w:rPr>
              <w:t>III Trimestre 2019-2018</w:t>
            </w:r>
          </w:p>
        </w:tc>
        <w:tc>
          <w:tcPr>
            <w:tcW w:w="1217" w:type="dxa"/>
            <w:tcBorders>
              <w:top w:val="nil"/>
              <w:left w:val="nil"/>
              <w:bottom w:val="single" w:sz="8" w:space="0" w:color="FFFFFF"/>
              <w:right w:val="single" w:sz="8" w:space="0" w:color="FFFFFF"/>
            </w:tcBorders>
            <w:shd w:val="clear" w:color="auto" w:fill="B8CCE4" w:themeFill="accent1" w:themeFillTint="66"/>
            <w:vAlign w:val="center"/>
            <w:hideMark/>
          </w:tcPr>
          <w:p w14:paraId="4B88F2EF" w14:textId="7DEC69E7" w:rsidR="005D3D73" w:rsidRPr="005D3D73" w:rsidRDefault="005D3D73" w:rsidP="005D3D73">
            <w:pPr>
              <w:rPr>
                <w:rFonts w:ascii="Arial" w:hAnsi="Arial" w:cs="Arial"/>
                <w:color w:val="10253F"/>
                <w:sz w:val="20"/>
                <w:szCs w:val="20"/>
              </w:rPr>
            </w:pPr>
            <w:r w:rsidRPr="005D3D73">
              <w:rPr>
                <w:rFonts w:ascii="Arial" w:hAnsi="Arial" w:cs="Arial"/>
                <w:noProof/>
                <w:color w:val="10253F"/>
                <w:sz w:val="20"/>
                <w:szCs w:val="20"/>
              </w:rPr>
              <mc:AlternateContent>
                <mc:Choice Requires="wps">
                  <w:drawing>
                    <wp:anchor distT="0" distB="0" distL="114300" distR="114300" simplePos="0" relativeHeight="252015616" behindDoc="0" locked="0" layoutInCell="1" allowOverlap="1" wp14:anchorId="61FA0D91" wp14:editId="55CC89DE">
                      <wp:simplePos x="0" y="0"/>
                      <wp:positionH relativeFrom="column">
                        <wp:posOffset>169545</wp:posOffset>
                      </wp:positionH>
                      <wp:positionV relativeFrom="paragraph">
                        <wp:posOffset>-16510</wp:posOffset>
                      </wp:positionV>
                      <wp:extent cx="342900" cy="219075"/>
                      <wp:effectExtent l="0" t="0" r="19050" b="28575"/>
                      <wp:wrapNone/>
                      <wp:docPr id="80" name="Triángulo isósceles 80"/>
                      <wp:cNvGraphicFramePr/>
                      <a:graphic xmlns:a="http://schemas.openxmlformats.org/drawingml/2006/main">
                        <a:graphicData uri="http://schemas.microsoft.com/office/word/2010/wordprocessingShape">
                          <wps:wsp>
                            <wps:cNvSpPr/>
                            <wps:spPr>
                              <a:xfrm>
                                <a:off x="0" y="0"/>
                                <a:ext cx="342900" cy="21907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7B476D2" id="Triángulo isósceles 80" o:spid="_x0000_s1026" type="#_x0000_t5" style="position:absolute;margin-left:13.35pt;margin-top:-1.3pt;width:27pt;height:17.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" filled="f" strokecolor="#376092" strokeweight="2pt"/>
                  </w:pict>
                </mc:Fallback>
              </mc:AlternateContent>
            </w:r>
          </w:p>
        </w:tc>
        <w:tc>
          <w:tcPr>
            <w:tcW w:w="0" w:type="auto"/>
            <w:tcBorders>
              <w:top w:val="nil"/>
              <w:left w:val="nil"/>
              <w:bottom w:val="single" w:sz="8" w:space="0" w:color="FFFFFF"/>
              <w:right w:val="single" w:sz="8" w:space="0" w:color="FFFFFF"/>
            </w:tcBorders>
            <w:shd w:val="clear" w:color="auto" w:fill="B8CCE4" w:themeFill="accent1" w:themeFillTint="66"/>
            <w:vAlign w:val="center"/>
            <w:hideMark/>
          </w:tcPr>
          <w:p w14:paraId="5FDCA6A5" w14:textId="77777777" w:rsidR="005D3D73" w:rsidRPr="005D3D73" w:rsidRDefault="005D3D73" w:rsidP="005D3D73">
            <w:pPr>
              <w:jc w:val="right"/>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$618.607</w:t>
            </w:r>
          </w:p>
        </w:tc>
        <w:tc>
          <w:tcPr>
            <w:tcW w:w="0" w:type="auto"/>
            <w:tcBorders>
              <w:top w:val="nil"/>
              <w:left w:val="nil"/>
              <w:bottom w:val="single" w:sz="8" w:space="0" w:color="FFFFFF"/>
              <w:right w:val="single" w:sz="8" w:space="0" w:color="FFFFFF"/>
            </w:tcBorders>
            <w:shd w:val="clear" w:color="auto" w:fill="B8CCE4" w:themeFill="accent1" w:themeFillTint="66"/>
            <w:vAlign w:val="center"/>
            <w:hideMark/>
          </w:tcPr>
          <w:p w14:paraId="2EF1F065" w14:textId="77777777" w:rsidR="005D3D73" w:rsidRPr="005D3D73" w:rsidRDefault="005D3D73" w:rsidP="005D3D73">
            <w:pPr>
              <w:jc w:val="center"/>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4%</w:t>
            </w:r>
          </w:p>
        </w:tc>
      </w:tr>
      <w:tr w:rsidR="005D3D73" w:rsidRPr="005D3D73" w14:paraId="1A0C49CF" w14:textId="77777777" w:rsidTr="005D3D73">
        <w:trPr>
          <w:trHeight w:val="750"/>
        </w:trPr>
        <w:tc>
          <w:tcPr>
            <w:tcW w:w="0" w:type="auto"/>
            <w:vMerge/>
            <w:tcBorders>
              <w:top w:val="nil"/>
              <w:left w:val="single" w:sz="8" w:space="0" w:color="FFFFFF"/>
              <w:bottom w:val="single" w:sz="8" w:space="0" w:color="FFFFFF"/>
              <w:right w:val="single" w:sz="8" w:space="0" w:color="FFFFFF"/>
            </w:tcBorders>
            <w:vAlign w:val="center"/>
            <w:hideMark/>
          </w:tcPr>
          <w:p w14:paraId="214A2396" w14:textId="77777777" w:rsidR="005D3D73" w:rsidRPr="005D3D73" w:rsidRDefault="005D3D73" w:rsidP="005D3D73">
            <w:pP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vAlign w:val="center"/>
            <w:hideMark/>
          </w:tcPr>
          <w:p w14:paraId="3443FC0C" w14:textId="77777777" w:rsidR="005D3D73" w:rsidRPr="005D3D73" w:rsidRDefault="005D3D73" w:rsidP="005D3D73">
            <w:pPr>
              <w:rPr>
                <w:rFonts w:ascii="Arial" w:hAnsi="Arial" w:cs="Arial"/>
                <w:color w:val="10253F"/>
                <w:sz w:val="20"/>
                <w:szCs w:val="20"/>
              </w:rPr>
            </w:pPr>
          </w:p>
        </w:tc>
        <w:tc>
          <w:tcPr>
            <w:tcW w:w="1240" w:type="dxa"/>
            <w:vMerge/>
            <w:tcBorders>
              <w:top w:val="nil"/>
              <w:left w:val="single" w:sz="8" w:space="0" w:color="FFFFFF"/>
              <w:bottom w:val="single" w:sz="8" w:space="0" w:color="FFFFFF"/>
              <w:right w:val="single" w:sz="8" w:space="0" w:color="FFFFFF"/>
            </w:tcBorders>
            <w:vAlign w:val="center"/>
            <w:hideMark/>
          </w:tcPr>
          <w:p w14:paraId="2F2927EF" w14:textId="77777777" w:rsidR="005D3D73" w:rsidRPr="005D3D73" w:rsidRDefault="005D3D73" w:rsidP="005D3D73">
            <w:pPr>
              <w:rPr>
                <w:rFonts w:ascii="Arial" w:hAnsi="Arial" w:cs="Arial"/>
                <w:color w:val="10253F"/>
                <w:sz w:val="20"/>
                <w:szCs w:val="20"/>
              </w:rPr>
            </w:pPr>
          </w:p>
        </w:tc>
        <w:tc>
          <w:tcPr>
            <w:tcW w:w="1701" w:type="dxa"/>
            <w:tcBorders>
              <w:top w:val="nil"/>
              <w:left w:val="nil"/>
              <w:bottom w:val="single" w:sz="8" w:space="0" w:color="FFFFFF"/>
              <w:right w:val="single" w:sz="8" w:space="0" w:color="FFFFFF"/>
            </w:tcBorders>
            <w:shd w:val="clear" w:color="auto" w:fill="DBE5F1" w:themeFill="accent1" w:themeFillTint="33"/>
            <w:vAlign w:val="center"/>
            <w:hideMark/>
          </w:tcPr>
          <w:p w14:paraId="58EDD1EA" w14:textId="77777777" w:rsidR="005D3D73" w:rsidRPr="005D3D73" w:rsidRDefault="005D3D73" w:rsidP="005D3D73">
            <w:pPr>
              <w:jc w:val="center"/>
              <w:rPr>
                <w:rFonts w:ascii="Arial" w:hAnsi="Arial" w:cs="Arial"/>
                <w:color w:val="10253F"/>
                <w:sz w:val="20"/>
                <w:szCs w:val="20"/>
              </w:rPr>
            </w:pPr>
            <w:r w:rsidRPr="005D3D73">
              <w:rPr>
                <w:rFonts w:ascii="Arial" w:hAnsi="Arial" w:cs="Arial"/>
                <w:color w:val="10253F"/>
                <w:sz w:val="20"/>
                <w:szCs w:val="20"/>
              </w:rPr>
              <w:t>Consumo en Metros Cúbicos [M3]</w:t>
            </w:r>
          </w:p>
        </w:tc>
        <w:tc>
          <w:tcPr>
            <w:tcW w:w="1701" w:type="dxa"/>
            <w:tcBorders>
              <w:top w:val="nil"/>
              <w:left w:val="nil"/>
              <w:bottom w:val="single" w:sz="8" w:space="0" w:color="FFFFFF"/>
              <w:right w:val="single" w:sz="8" w:space="0" w:color="FFFFFF"/>
            </w:tcBorders>
            <w:shd w:val="clear" w:color="auto" w:fill="DBE5F1" w:themeFill="accent1" w:themeFillTint="33"/>
            <w:vAlign w:val="center"/>
            <w:hideMark/>
          </w:tcPr>
          <w:p w14:paraId="369AF2E6" w14:textId="77777777" w:rsidR="005D3D73" w:rsidRPr="005D3D73" w:rsidRDefault="005D3D73" w:rsidP="005D3D73">
            <w:pPr>
              <w:jc w:val="center"/>
              <w:rPr>
                <w:rFonts w:ascii="Arial" w:hAnsi="Arial" w:cs="Arial"/>
                <w:color w:val="0F243E"/>
                <w:sz w:val="20"/>
                <w:szCs w:val="20"/>
              </w:rPr>
            </w:pPr>
            <w:r w:rsidRPr="005D3D73">
              <w:rPr>
                <w:rFonts w:ascii="Arial" w:hAnsi="Arial" w:cs="Arial"/>
                <w:color w:val="0F243E"/>
                <w:sz w:val="20"/>
                <w:szCs w:val="20"/>
              </w:rPr>
              <w:t>III Trimestre 2019-2018</w:t>
            </w:r>
          </w:p>
        </w:tc>
        <w:tc>
          <w:tcPr>
            <w:tcW w:w="1217" w:type="dxa"/>
            <w:tcBorders>
              <w:top w:val="nil"/>
              <w:left w:val="nil"/>
              <w:bottom w:val="single" w:sz="8" w:space="0" w:color="FFFFFF"/>
              <w:right w:val="single" w:sz="8" w:space="0" w:color="FFFFFF"/>
            </w:tcBorders>
            <w:shd w:val="clear" w:color="auto" w:fill="DBE5F1" w:themeFill="accent1" w:themeFillTint="33"/>
            <w:vAlign w:val="center"/>
            <w:hideMark/>
          </w:tcPr>
          <w:p w14:paraId="716522D1" w14:textId="68B6E4AB" w:rsidR="005D3D73" w:rsidRPr="005D3D73" w:rsidRDefault="005D3D73" w:rsidP="005D3D73">
            <w:pPr>
              <w:rPr>
                <w:rFonts w:ascii="Arial" w:hAnsi="Arial" w:cs="Arial"/>
                <w:color w:val="10253F"/>
                <w:sz w:val="20"/>
                <w:szCs w:val="20"/>
              </w:rPr>
            </w:pPr>
            <w:r w:rsidRPr="005D3D73">
              <w:rPr>
                <w:rFonts w:ascii="Arial" w:hAnsi="Arial" w:cs="Arial"/>
                <w:noProof/>
                <w:color w:val="10253F"/>
                <w:sz w:val="20"/>
                <w:szCs w:val="20"/>
              </w:rPr>
              <mc:AlternateContent>
                <mc:Choice Requires="wps">
                  <w:drawing>
                    <wp:anchor distT="0" distB="0" distL="114300" distR="114300" simplePos="0" relativeHeight="252017664" behindDoc="0" locked="0" layoutInCell="1" allowOverlap="1" wp14:anchorId="50E760FF" wp14:editId="549E5E5B">
                      <wp:simplePos x="0" y="0"/>
                      <wp:positionH relativeFrom="column">
                        <wp:posOffset>179705</wp:posOffset>
                      </wp:positionH>
                      <wp:positionV relativeFrom="paragraph">
                        <wp:posOffset>-635</wp:posOffset>
                      </wp:positionV>
                      <wp:extent cx="342900" cy="219075"/>
                      <wp:effectExtent l="0" t="0" r="19050" b="28575"/>
                      <wp:wrapNone/>
                      <wp:docPr id="79" name="Triángulo isósceles 79"/>
                      <wp:cNvGraphicFramePr/>
                      <a:graphic xmlns:a="http://schemas.openxmlformats.org/drawingml/2006/main">
                        <a:graphicData uri="http://schemas.microsoft.com/office/word/2010/wordprocessingShape">
                          <wps:wsp>
                            <wps:cNvSpPr/>
                            <wps:spPr>
                              <a:xfrm>
                                <a:off x="0" y="0"/>
                                <a:ext cx="342900" cy="21907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E5C7215" id="Triángulo isósceles 79" o:spid="_x0000_s1026" type="#_x0000_t5" style="position:absolute;margin-left:14.15pt;margin-top:-.05pt;width:27pt;height:17.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" filled="f" strokecolor="#376092" strokeweight="2pt"/>
                  </w:pict>
                </mc:Fallback>
              </mc:AlternateContent>
            </w:r>
          </w:p>
        </w:tc>
        <w:tc>
          <w:tcPr>
            <w:tcW w:w="0" w:type="auto"/>
            <w:tcBorders>
              <w:top w:val="nil"/>
              <w:left w:val="nil"/>
              <w:bottom w:val="single" w:sz="8" w:space="0" w:color="FFFFFF"/>
              <w:right w:val="single" w:sz="8" w:space="0" w:color="FFFFFF"/>
            </w:tcBorders>
            <w:shd w:val="clear" w:color="auto" w:fill="DBE5F1" w:themeFill="accent1" w:themeFillTint="33"/>
            <w:vAlign w:val="center"/>
            <w:hideMark/>
          </w:tcPr>
          <w:p w14:paraId="4FF58DC8" w14:textId="77777777" w:rsidR="005D3D73" w:rsidRPr="005D3D73" w:rsidRDefault="005D3D73" w:rsidP="005D3D73">
            <w:pPr>
              <w:jc w:val="right"/>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778 M3</w:t>
            </w:r>
          </w:p>
        </w:tc>
        <w:tc>
          <w:tcPr>
            <w:tcW w:w="0" w:type="auto"/>
            <w:tcBorders>
              <w:top w:val="nil"/>
              <w:left w:val="nil"/>
              <w:bottom w:val="single" w:sz="8" w:space="0" w:color="FFFFFF"/>
              <w:right w:val="single" w:sz="8" w:space="0" w:color="FFFFFF"/>
            </w:tcBorders>
            <w:shd w:val="clear" w:color="auto" w:fill="DBE5F1" w:themeFill="accent1" w:themeFillTint="33"/>
            <w:vAlign w:val="center"/>
            <w:hideMark/>
          </w:tcPr>
          <w:p w14:paraId="1A4D1431" w14:textId="77777777" w:rsidR="005D3D73" w:rsidRPr="005D3D73" w:rsidRDefault="005D3D73" w:rsidP="005D3D73">
            <w:pPr>
              <w:jc w:val="center"/>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27%</w:t>
            </w:r>
          </w:p>
        </w:tc>
      </w:tr>
      <w:tr w:rsidR="005D3D73" w:rsidRPr="005D3D73" w14:paraId="7039268B" w14:textId="77777777" w:rsidTr="005D3D73">
        <w:trPr>
          <w:trHeight w:val="810"/>
        </w:trPr>
        <w:tc>
          <w:tcPr>
            <w:tcW w:w="0" w:type="auto"/>
            <w:vMerge/>
            <w:tcBorders>
              <w:top w:val="nil"/>
              <w:left w:val="single" w:sz="8" w:space="0" w:color="FFFFFF"/>
              <w:bottom w:val="single" w:sz="8" w:space="0" w:color="FFFFFF"/>
              <w:right w:val="single" w:sz="8" w:space="0" w:color="FFFFFF"/>
            </w:tcBorders>
            <w:vAlign w:val="center"/>
            <w:hideMark/>
          </w:tcPr>
          <w:p w14:paraId="647851E7" w14:textId="77777777" w:rsidR="005D3D73" w:rsidRPr="005D3D73" w:rsidRDefault="005D3D73" w:rsidP="005D3D73">
            <w:pP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vAlign w:val="center"/>
            <w:hideMark/>
          </w:tcPr>
          <w:p w14:paraId="76EB0499" w14:textId="77777777" w:rsidR="005D3D73" w:rsidRPr="005D3D73" w:rsidRDefault="005D3D73" w:rsidP="005D3D73">
            <w:pPr>
              <w:rPr>
                <w:rFonts w:ascii="Arial" w:hAnsi="Arial" w:cs="Arial"/>
                <w:color w:val="10253F"/>
                <w:sz w:val="20"/>
                <w:szCs w:val="20"/>
              </w:rPr>
            </w:pPr>
          </w:p>
        </w:tc>
        <w:tc>
          <w:tcPr>
            <w:tcW w:w="1240" w:type="dxa"/>
            <w:vMerge w:val="restart"/>
            <w:tcBorders>
              <w:top w:val="nil"/>
              <w:left w:val="single" w:sz="8" w:space="0" w:color="FFFFFF"/>
              <w:bottom w:val="single" w:sz="8" w:space="0" w:color="FFFFFF"/>
              <w:right w:val="single" w:sz="8" w:space="0" w:color="FFFFFF"/>
            </w:tcBorders>
            <w:shd w:val="clear" w:color="000000" w:fill="B8CCE4"/>
            <w:vAlign w:val="center"/>
            <w:hideMark/>
          </w:tcPr>
          <w:p w14:paraId="311C6130" w14:textId="77777777" w:rsidR="005D3D73" w:rsidRPr="005D3D73" w:rsidRDefault="005D3D73" w:rsidP="005D3D73">
            <w:pPr>
              <w:jc w:val="center"/>
              <w:rPr>
                <w:rFonts w:ascii="Arial" w:hAnsi="Arial" w:cs="Arial"/>
                <w:color w:val="10253F"/>
                <w:sz w:val="20"/>
                <w:szCs w:val="20"/>
              </w:rPr>
            </w:pPr>
            <w:r w:rsidRPr="005D3D73">
              <w:rPr>
                <w:rFonts w:ascii="Arial" w:hAnsi="Arial" w:cs="Arial"/>
                <w:color w:val="10253F"/>
                <w:sz w:val="20"/>
                <w:szCs w:val="20"/>
              </w:rPr>
              <w:t>Casas de Santa Bárbara</w:t>
            </w:r>
          </w:p>
        </w:tc>
        <w:tc>
          <w:tcPr>
            <w:tcW w:w="1701" w:type="dxa"/>
            <w:tcBorders>
              <w:top w:val="nil"/>
              <w:left w:val="nil"/>
              <w:bottom w:val="single" w:sz="8" w:space="0" w:color="FFFFFF"/>
              <w:right w:val="single" w:sz="8" w:space="0" w:color="FFFFFF"/>
            </w:tcBorders>
            <w:shd w:val="clear" w:color="auto" w:fill="B8CCE4" w:themeFill="accent1" w:themeFillTint="66"/>
            <w:vAlign w:val="center"/>
            <w:hideMark/>
          </w:tcPr>
          <w:p w14:paraId="28C92ECD" w14:textId="77777777" w:rsidR="005D3D73" w:rsidRPr="005D3D73" w:rsidRDefault="005D3D73" w:rsidP="005D3D73">
            <w:pPr>
              <w:jc w:val="center"/>
              <w:rPr>
                <w:rFonts w:ascii="Arial" w:hAnsi="Arial" w:cs="Arial"/>
                <w:color w:val="10253F"/>
                <w:sz w:val="20"/>
                <w:szCs w:val="20"/>
              </w:rPr>
            </w:pPr>
            <w:r w:rsidRPr="005D3D73">
              <w:rPr>
                <w:rFonts w:ascii="Arial" w:hAnsi="Arial" w:cs="Arial"/>
                <w:color w:val="10253F"/>
                <w:sz w:val="20"/>
                <w:szCs w:val="20"/>
              </w:rPr>
              <w:t>Valor del Gasto</w:t>
            </w:r>
          </w:p>
        </w:tc>
        <w:tc>
          <w:tcPr>
            <w:tcW w:w="1701" w:type="dxa"/>
            <w:tcBorders>
              <w:top w:val="nil"/>
              <w:left w:val="nil"/>
              <w:bottom w:val="single" w:sz="8" w:space="0" w:color="FFFFFF"/>
              <w:right w:val="single" w:sz="8" w:space="0" w:color="FFFFFF"/>
            </w:tcBorders>
            <w:shd w:val="clear" w:color="auto" w:fill="B8CCE4" w:themeFill="accent1" w:themeFillTint="66"/>
            <w:vAlign w:val="center"/>
            <w:hideMark/>
          </w:tcPr>
          <w:p w14:paraId="4915496F" w14:textId="77777777" w:rsidR="005D3D73" w:rsidRPr="005D3D73" w:rsidRDefault="005D3D73" w:rsidP="005D3D73">
            <w:pPr>
              <w:jc w:val="center"/>
              <w:rPr>
                <w:rFonts w:ascii="Arial" w:hAnsi="Arial" w:cs="Arial"/>
                <w:color w:val="0F243E"/>
                <w:sz w:val="20"/>
                <w:szCs w:val="20"/>
              </w:rPr>
            </w:pPr>
            <w:r w:rsidRPr="005D3D73">
              <w:rPr>
                <w:rFonts w:ascii="Arial" w:hAnsi="Arial" w:cs="Arial"/>
                <w:color w:val="0F243E"/>
                <w:sz w:val="20"/>
                <w:szCs w:val="20"/>
              </w:rPr>
              <w:t>III Trimestre 2019-2018</w:t>
            </w:r>
          </w:p>
        </w:tc>
        <w:tc>
          <w:tcPr>
            <w:tcW w:w="1217" w:type="dxa"/>
            <w:tcBorders>
              <w:top w:val="nil"/>
              <w:left w:val="nil"/>
              <w:bottom w:val="single" w:sz="8" w:space="0" w:color="FFFFFF"/>
              <w:right w:val="single" w:sz="8" w:space="0" w:color="FFFFFF"/>
            </w:tcBorders>
            <w:shd w:val="clear" w:color="auto" w:fill="B8CCE4" w:themeFill="accent1" w:themeFillTint="66"/>
            <w:vAlign w:val="center"/>
            <w:hideMark/>
          </w:tcPr>
          <w:p w14:paraId="50AF14CB" w14:textId="5B0F7C99" w:rsidR="005D3D73" w:rsidRPr="005D3D73" w:rsidRDefault="005D3D73" w:rsidP="005D3D73">
            <w:pPr>
              <w:rPr>
                <w:rFonts w:ascii="Arial" w:hAnsi="Arial" w:cs="Arial"/>
                <w:color w:val="10253F"/>
                <w:sz w:val="20"/>
                <w:szCs w:val="20"/>
              </w:rPr>
            </w:pPr>
            <w:r w:rsidRPr="005D3D73">
              <w:rPr>
                <w:rFonts w:ascii="Arial" w:hAnsi="Arial" w:cs="Arial"/>
                <w:noProof/>
                <w:color w:val="10253F"/>
                <w:sz w:val="20"/>
                <w:szCs w:val="20"/>
              </w:rPr>
              <mc:AlternateContent>
                <mc:Choice Requires="wps">
                  <w:drawing>
                    <wp:anchor distT="0" distB="0" distL="114300" distR="114300" simplePos="0" relativeHeight="252016640" behindDoc="0" locked="0" layoutInCell="1" allowOverlap="1" wp14:anchorId="5780F100" wp14:editId="21A64CFD">
                      <wp:simplePos x="0" y="0"/>
                      <wp:positionH relativeFrom="column">
                        <wp:posOffset>189865</wp:posOffset>
                      </wp:positionH>
                      <wp:positionV relativeFrom="paragraph">
                        <wp:posOffset>-9525</wp:posOffset>
                      </wp:positionV>
                      <wp:extent cx="342900" cy="200025"/>
                      <wp:effectExtent l="0" t="0" r="19050" b="28575"/>
                      <wp:wrapNone/>
                      <wp:docPr id="78" name="Triángulo isósceles 78"/>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F3AC06B" id="Triángulo isósceles 78" o:spid="_x0000_s1026" type="#_x0000_t5" style="position:absolute;margin-left:14.95pt;margin-top:-.75pt;width:27pt;height:15.75pt;rotation:180;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" filled="f" strokecolor="#376092" strokeweight="2pt"/>
                  </w:pict>
                </mc:Fallback>
              </mc:AlternateContent>
            </w:r>
          </w:p>
        </w:tc>
        <w:tc>
          <w:tcPr>
            <w:tcW w:w="0" w:type="auto"/>
            <w:tcBorders>
              <w:top w:val="nil"/>
              <w:left w:val="nil"/>
              <w:bottom w:val="single" w:sz="8" w:space="0" w:color="FFFFFF"/>
              <w:right w:val="single" w:sz="8" w:space="0" w:color="FFFFFF"/>
            </w:tcBorders>
            <w:shd w:val="clear" w:color="auto" w:fill="B8CCE4" w:themeFill="accent1" w:themeFillTint="66"/>
            <w:vAlign w:val="center"/>
            <w:hideMark/>
          </w:tcPr>
          <w:p w14:paraId="67BD980B" w14:textId="0A55B709" w:rsidR="005D3D73" w:rsidRPr="005D3D73" w:rsidRDefault="005D3D73" w:rsidP="005D3D73">
            <w:pPr>
              <w:jc w:val="right"/>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(1.049.270)</w:t>
            </w:r>
          </w:p>
        </w:tc>
        <w:tc>
          <w:tcPr>
            <w:tcW w:w="0" w:type="auto"/>
            <w:tcBorders>
              <w:top w:val="nil"/>
              <w:left w:val="nil"/>
              <w:bottom w:val="single" w:sz="8" w:space="0" w:color="FFFFFF"/>
              <w:right w:val="single" w:sz="8" w:space="0" w:color="FFFFFF"/>
            </w:tcBorders>
            <w:shd w:val="clear" w:color="000000" w:fill="B8CCE4"/>
            <w:vAlign w:val="center"/>
            <w:hideMark/>
          </w:tcPr>
          <w:p w14:paraId="6F7ED834" w14:textId="04CE0E81" w:rsidR="005D3D73" w:rsidRPr="005D3D73" w:rsidRDefault="005D3D73" w:rsidP="005D3D73">
            <w:pPr>
              <w:jc w:val="center"/>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(16%)</w:t>
            </w:r>
          </w:p>
        </w:tc>
      </w:tr>
      <w:tr w:rsidR="005D3D73" w:rsidRPr="005D3D73" w14:paraId="239C7EC9" w14:textId="77777777" w:rsidTr="005D3D73">
        <w:trPr>
          <w:trHeight w:val="1065"/>
        </w:trPr>
        <w:tc>
          <w:tcPr>
            <w:tcW w:w="0" w:type="auto"/>
            <w:vMerge/>
            <w:tcBorders>
              <w:top w:val="nil"/>
              <w:left w:val="single" w:sz="8" w:space="0" w:color="FFFFFF"/>
              <w:bottom w:val="single" w:sz="8" w:space="0" w:color="FFFFFF"/>
              <w:right w:val="single" w:sz="8" w:space="0" w:color="FFFFFF"/>
            </w:tcBorders>
            <w:vAlign w:val="center"/>
            <w:hideMark/>
          </w:tcPr>
          <w:p w14:paraId="5B8892D0" w14:textId="77777777" w:rsidR="005D3D73" w:rsidRPr="005D3D73" w:rsidRDefault="005D3D73" w:rsidP="005D3D73">
            <w:pPr>
              <w:rPr>
                <w:rFonts w:ascii="Arial" w:hAnsi="Arial" w:cs="Arial"/>
                <w:b/>
                <w:bCs/>
                <w:color w:val="FFFFFF"/>
                <w:sz w:val="20"/>
                <w:szCs w:val="20"/>
              </w:rPr>
            </w:pPr>
          </w:p>
        </w:tc>
        <w:tc>
          <w:tcPr>
            <w:tcW w:w="0" w:type="auto"/>
            <w:vMerge/>
            <w:tcBorders>
              <w:top w:val="nil"/>
              <w:left w:val="single" w:sz="8" w:space="0" w:color="FFFFFF"/>
              <w:bottom w:val="single" w:sz="8" w:space="0" w:color="FFFFFF"/>
              <w:right w:val="single" w:sz="8" w:space="0" w:color="FFFFFF"/>
            </w:tcBorders>
            <w:vAlign w:val="center"/>
            <w:hideMark/>
          </w:tcPr>
          <w:p w14:paraId="21751A32" w14:textId="77777777" w:rsidR="005D3D73" w:rsidRPr="005D3D73" w:rsidRDefault="005D3D73" w:rsidP="005D3D73">
            <w:pPr>
              <w:rPr>
                <w:rFonts w:ascii="Arial" w:hAnsi="Arial" w:cs="Arial"/>
                <w:color w:val="10253F"/>
                <w:sz w:val="20"/>
                <w:szCs w:val="20"/>
              </w:rPr>
            </w:pPr>
          </w:p>
        </w:tc>
        <w:tc>
          <w:tcPr>
            <w:tcW w:w="1240" w:type="dxa"/>
            <w:vMerge/>
            <w:tcBorders>
              <w:top w:val="nil"/>
              <w:left w:val="single" w:sz="8" w:space="0" w:color="FFFFFF"/>
              <w:bottom w:val="single" w:sz="8" w:space="0" w:color="FFFFFF"/>
              <w:right w:val="single" w:sz="8" w:space="0" w:color="FFFFFF"/>
            </w:tcBorders>
            <w:vAlign w:val="center"/>
            <w:hideMark/>
          </w:tcPr>
          <w:p w14:paraId="247AA178" w14:textId="77777777" w:rsidR="005D3D73" w:rsidRPr="005D3D73" w:rsidRDefault="005D3D73" w:rsidP="005D3D73">
            <w:pPr>
              <w:rPr>
                <w:rFonts w:ascii="Arial" w:hAnsi="Arial" w:cs="Arial"/>
                <w:color w:val="10253F"/>
                <w:sz w:val="20"/>
                <w:szCs w:val="20"/>
              </w:rPr>
            </w:pPr>
          </w:p>
        </w:tc>
        <w:tc>
          <w:tcPr>
            <w:tcW w:w="1701" w:type="dxa"/>
            <w:tcBorders>
              <w:top w:val="nil"/>
              <w:left w:val="nil"/>
              <w:bottom w:val="single" w:sz="8" w:space="0" w:color="FFFFFF"/>
              <w:right w:val="single" w:sz="8" w:space="0" w:color="FFFFFF"/>
            </w:tcBorders>
            <w:shd w:val="clear" w:color="auto" w:fill="DBE5F1" w:themeFill="accent1" w:themeFillTint="33"/>
            <w:vAlign w:val="center"/>
            <w:hideMark/>
          </w:tcPr>
          <w:p w14:paraId="0F914001" w14:textId="77777777" w:rsidR="005D3D73" w:rsidRPr="005D3D73" w:rsidRDefault="005D3D73" w:rsidP="005D3D73">
            <w:pPr>
              <w:jc w:val="center"/>
              <w:rPr>
                <w:rFonts w:ascii="Arial" w:hAnsi="Arial" w:cs="Arial"/>
                <w:color w:val="000000"/>
                <w:sz w:val="20"/>
                <w:szCs w:val="20"/>
              </w:rPr>
            </w:pPr>
            <w:r w:rsidRPr="005D3D73">
              <w:rPr>
                <w:rFonts w:ascii="Arial" w:hAnsi="Arial" w:cs="Arial"/>
                <w:color w:val="000000"/>
                <w:sz w:val="20"/>
                <w:szCs w:val="20"/>
              </w:rPr>
              <w:t>Consumo en Metros Cúbicos [M3]</w:t>
            </w:r>
          </w:p>
        </w:tc>
        <w:tc>
          <w:tcPr>
            <w:tcW w:w="1701" w:type="dxa"/>
            <w:tcBorders>
              <w:top w:val="nil"/>
              <w:left w:val="nil"/>
              <w:bottom w:val="single" w:sz="8" w:space="0" w:color="FFFFFF"/>
              <w:right w:val="single" w:sz="8" w:space="0" w:color="FFFFFF"/>
            </w:tcBorders>
            <w:shd w:val="clear" w:color="auto" w:fill="DBE5F1" w:themeFill="accent1" w:themeFillTint="33"/>
            <w:vAlign w:val="center"/>
            <w:hideMark/>
          </w:tcPr>
          <w:p w14:paraId="52511DCF" w14:textId="77777777" w:rsidR="005D3D73" w:rsidRPr="005D3D73" w:rsidRDefault="005D3D73" w:rsidP="005D3D73">
            <w:pPr>
              <w:jc w:val="center"/>
              <w:rPr>
                <w:rFonts w:ascii="Arial" w:hAnsi="Arial" w:cs="Arial"/>
                <w:color w:val="0F243E"/>
                <w:sz w:val="20"/>
                <w:szCs w:val="20"/>
              </w:rPr>
            </w:pPr>
            <w:r w:rsidRPr="005D3D73">
              <w:rPr>
                <w:rFonts w:ascii="Arial" w:hAnsi="Arial" w:cs="Arial"/>
                <w:color w:val="0F243E"/>
                <w:sz w:val="20"/>
                <w:szCs w:val="20"/>
              </w:rPr>
              <w:t>III Trimestre 2019-2018</w:t>
            </w:r>
          </w:p>
        </w:tc>
        <w:tc>
          <w:tcPr>
            <w:tcW w:w="1217" w:type="dxa"/>
            <w:tcBorders>
              <w:top w:val="nil"/>
              <w:left w:val="nil"/>
              <w:bottom w:val="single" w:sz="8" w:space="0" w:color="FFFFFF"/>
              <w:right w:val="single" w:sz="8" w:space="0" w:color="FFFFFF"/>
            </w:tcBorders>
            <w:shd w:val="clear" w:color="auto" w:fill="DBE5F1" w:themeFill="accent1" w:themeFillTint="33"/>
            <w:vAlign w:val="center"/>
            <w:hideMark/>
          </w:tcPr>
          <w:p w14:paraId="0CF177ED" w14:textId="500DEFDA" w:rsidR="005D3D73" w:rsidRPr="005D3D73" w:rsidRDefault="005D3D73" w:rsidP="005D3D73">
            <w:pPr>
              <w:rPr>
                <w:rFonts w:ascii="Arial" w:hAnsi="Arial" w:cs="Arial"/>
                <w:color w:val="000000"/>
                <w:sz w:val="20"/>
                <w:szCs w:val="20"/>
              </w:rPr>
            </w:pPr>
            <w:r w:rsidRPr="005D3D73">
              <w:rPr>
                <w:rFonts w:ascii="Arial" w:hAnsi="Arial" w:cs="Arial"/>
                <w:noProof/>
                <w:color w:val="000000"/>
                <w:sz w:val="20"/>
                <w:szCs w:val="20"/>
              </w:rPr>
              <mc:AlternateContent>
                <mc:Choice Requires="wps">
                  <w:drawing>
                    <wp:anchor distT="0" distB="0" distL="114300" distR="114300" simplePos="0" relativeHeight="252018688" behindDoc="0" locked="0" layoutInCell="1" allowOverlap="1" wp14:anchorId="08AA6917" wp14:editId="6A6EBBF4">
                      <wp:simplePos x="0" y="0"/>
                      <wp:positionH relativeFrom="column">
                        <wp:posOffset>199390</wp:posOffset>
                      </wp:positionH>
                      <wp:positionV relativeFrom="paragraph">
                        <wp:posOffset>24130</wp:posOffset>
                      </wp:positionV>
                      <wp:extent cx="342900" cy="200025"/>
                      <wp:effectExtent l="0" t="0" r="19050" b="28575"/>
                      <wp:wrapNone/>
                      <wp:docPr id="77" name="Triángulo isósceles 77"/>
                      <wp:cNvGraphicFramePr/>
                      <a:graphic xmlns:a="http://schemas.openxmlformats.org/drawingml/2006/main">
                        <a:graphicData uri="http://schemas.microsoft.com/office/word/2010/wordprocessingShape">
                          <wps:wsp>
                            <wps:cNvSpPr/>
                            <wps:spPr>
                              <a:xfrm>
                                <a:off x="0" y="0"/>
                                <a:ext cx="342900" cy="200025"/>
                              </a:xfrm>
                              <a:prstGeom prst="triangle">
                                <a:avLst/>
                              </a:prstGeom>
                              <a:no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83B527B" id="Triángulo isósceles 77" o:spid="_x0000_s1026" type="#_x0000_t5" style="position:absolute;margin-left:15.7pt;margin-top:1.9pt;width:27pt;height:15.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" filled="f" strokecolor="#376092" strokeweight="2pt"/>
                  </w:pict>
                </mc:Fallback>
              </mc:AlternateContent>
            </w:r>
          </w:p>
        </w:tc>
        <w:tc>
          <w:tcPr>
            <w:tcW w:w="0" w:type="auto"/>
            <w:tcBorders>
              <w:top w:val="nil"/>
              <w:left w:val="nil"/>
              <w:bottom w:val="single" w:sz="8" w:space="0" w:color="FFFFFF"/>
              <w:right w:val="single" w:sz="8" w:space="0" w:color="FFFFFF"/>
            </w:tcBorders>
            <w:shd w:val="clear" w:color="auto" w:fill="DBE5F1" w:themeFill="accent1" w:themeFillTint="33"/>
            <w:vAlign w:val="center"/>
            <w:hideMark/>
          </w:tcPr>
          <w:p w14:paraId="26927DE4" w14:textId="77777777" w:rsidR="005D3D73" w:rsidRPr="005D3D73" w:rsidRDefault="005D3D73" w:rsidP="005D3D73">
            <w:pPr>
              <w:jc w:val="right"/>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14 M3</w:t>
            </w:r>
          </w:p>
        </w:tc>
        <w:tc>
          <w:tcPr>
            <w:tcW w:w="0" w:type="auto"/>
            <w:tcBorders>
              <w:top w:val="nil"/>
              <w:left w:val="nil"/>
              <w:bottom w:val="single" w:sz="8" w:space="0" w:color="FFFFFF"/>
              <w:right w:val="single" w:sz="8" w:space="0" w:color="FFFFFF"/>
            </w:tcBorders>
            <w:shd w:val="clear" w:color="auto" w:fill="DBE5F1" w:themeFill="accent1" w:themeFillTint="33"/>
            <w:vAlign w:val="center"/>
            <w:hideMark/>
          </w:tcPr>
          <w:p w14:paraId="5CF44F8B" w14:textId="12A36406" w:rsidR="005D3D73" w:rsidRPr="005D3D73" w:rsidRDefault="005D3D73" w:rsidP="005D3D73">
            <w:pPr>
              <w:jc w:val="center"/>
              <w:rPr>
                <w:rFonts w:ascii="Arial" w:hAnsi="Arial" w:cs="Arial"/>
                <w:b/>
                <w:bCs/>
                <w:color w:val="0F243E" w:themeColor="text2" w:themeShade="80"/>
                <w:sz w:val="20"/>
                <w:szCs w:val="20"/>
              </w:rPr>
            </w:pPr>
            <w:r w:rsidRPr="005D3D73">
              <w:rPr>
                <w:rFonts w:ascii="Arial" w:hAnsi="Arial" w:cs="Arial"/>
                <w:b/>
                <w:bCs/>
                <w:color w:val="0F243E" w:themeColor="text2" w:themeShade="80"/>
                <w:sz w:val="20"/>
                <w:szCs w:val="20"/>
              </w:rPr>
              <w:t>2%</w:t>
            </w:r>
          </w:p>
        </w:tc>
      </w:tr>
    </w:tbl>
    <w:p w14:paraId="760A7750" w14:textId="22CDED26" w:rsidR="005D3D73" w:rsidRDefault="005D3D73" w:rsidP="005D3D73">
      <w:pPr>
        <w:spacing w:line="264" w:lineRule="auto"/>
        <w:rPr>
          <w:rFonts w:ascii="Arial" w:hAnsi="Arial" w:cs="Arial"/>
          <w:b/>
          <w:sz w:val="22"/>
          <w:szCs w:val="22"/>
          <w:highlight w:val="yellow"/>
        </w:rPr>
      </w:pPr>
    </w:p>
    <w:p w14:paraId="510F9E33" w14:textId="77777777" w:rsidR="005D3D73" w:rsidRPr="005D3D73" w:rsidRDefault="005D3D73" w:rsidP="005D3D73">
      <w:pPr>
        <w:spacing w:line="264" w:lineRule="auto"/>
        <w:rPr>
          <w:rFonts w:ascii="Arial" w:hAnsi="Arial" w:cs="Arial"/>
          <w:b/>
          <w:sz w:val="22"/>
          <w:szCs w:val="22"/>
          <w:highlight w:val="yellow"/>
        </w:rPr>
      </w:pPr>
    </w:p>
    <w:p w14:paraId="1AA33EB8" w14:textId="77777777" w:rsidR="009B3559" w:rsidRPr="00A003B6" w:rsidRDefault="009B3559" w:rsidP="009B3559">
      <w:pPr>
        <w:rPr>
          <w:highlight w:val="yellow"/>
        </w:rPr>
      </w:pPr>
    </w:p>
    <w:p w14:paraId="2A0D4672" w14:textId="77777777" w:rsidR="00C836A3" w:rsidRPr="000D6841" w:rsidRDefault="00C836A3" w:rsidP="00FB166D">
      <w:pPr>
        <w:tabs>
          <w:tab w:val="left" w:pos="5528"/>
        </w:tabs>
      </w:pPr>
    </w:p>
    <w:sectPr w:rsidR="00C836A3" w:rsidRPr="000D6841" w:rsidSect="00303207">
      <w:headerReference w:type="default" r:id="rId45"/>
      <w:footerReference w:type="default" r:id="rId46"/>
      <w:pgSz w:w="12240" w:h="15840" w:code="1"/>
      <w:pgMar w:top="1276" w:right="1134" w:bottom="1134" w:left="1418" w:header="28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44B05" w14:textId="77777777" w:rsidR="00EC6B4B" w:rsidRDefault="00EC6B4B">
      <w:r>
        <w:separator/>
      </w:r>
    </w:p>
  </w:endnote>
  <w:endnote w:type="continuationSeparator" w:id="0">
    <w:p w14:paraId="4359F613" w14:textId="77777777" w:rsidR="00EC6B4B" w:rsidRDefault="00EC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209491"/>
      <w:docPartObj>
        <w:docPartGallery w:val="Page Numbers (Bottom of Page)"/>
        <w:docPartUnique/>
      </w:docPartObj>
    </w:sdtPr>
    <w:sdtEndPr/>
    <w:sdtContent>
      <w:p w14:paraId="2E95A917" w14:textId="1F1C672A" w:rsidR="00CB7F73" w:rsidRDefault="00CB7F73">
        <w:pPr>
          <w:pStyle w:val="Piedepgina"/>
          <w:jc w:val="right"/>
        </w:pPr>
        <w:r>
          <w:fldChar w:fldCharType="begin"/>
        </w:r>
        <w:r>
          <w:instrText>PAGE   \* MERGEFORMAT</w:instrText>
        </w:r>
        <w:r>
          <w:fldChar w:fldCharType="separate"/>
        </w:r>
        <w:r w:rsidR="004B04A0" w:rsidRPr="004B04A0">
          <w:rPr>
            <w:noProof/>
            <w:lang w:val="es-ES"/>
          </w:rPr>
          <w:t>2</w:t>
        </w:r>
        <w:r>
          <w:fldChar w:fldCharType="end"/>
        </w:r>
      </w:p>
    </w:sdtContent>
  </w:sdt>
  <w:p w14:paraId="3E84B5D7" w14:textId="682BF471" w:rsidR="00CB7F73" w:rsidRPr="000402AB" w:rsidRDefault="00CB7F73" w:rsidP="001E7A32">
    <w:pPr>
      <w:pStyle w:val="Piedepgina"/>
      <w:pBdr>
        <w:top w:val="thickThinSmallGap" w:sz="24" w:space="1" w:color="auto"/>
      </w:pBdr>
      <w:tabs>
        <w:tab w:val="right" w:pos="9240"/>
      </w:tabs>
      <w:ind w:right="360"/>
      <w:rPr>
        <w:rFonts w:ascii="Arial" w:hAnsi="Arial" w:cs="Arial"/>
        <w:b/>
        <w:sz w:val="22"/>
        <w:szCs w:val="22"/>
      </w:rPr>
    </w:pPr>
    <w:r w:rsidRPr="00D93B49">
      <w:rPr>
        <w:rFonts w:ascii="Arial" w:hAnsi="Arial" w:cs="Arial"/>
        <w:b/>
        <w:snapToGrid w:val="0"/>
        <w:sz w:val="22"/>
        <w:szCs w:val="22"/>
      </w:rPr>
      <w:t xml:space="preserve">Oficina de Control Interno               </w:t>
    </w:r>
    <w:r w:rsidRPr="00D93B49">
      <w:rPr>
        <w:rFonts w:ascii="Arial" w:hAnsi="Arial" w:cs="Arial"/>
        <w:sz w:val="22"/>
        <w:szCs w:val="22"/>
      </w:rPr>
      <w:t xml:space="preserve">       </w:t>
    </w:r>
    <w:r w:rsidRPr="00D93B49">
      <w:rPr>
        <w:rFonts w:ascii="Arial" w:hAnsi="Arial" w:cs="Arial"/>
        <w:b/>
        <w:sz w:val="22"/>
        <w:szCs w:val="22"/>
      </w:rPr>
      <w:t xml:space="preserve">Informe 2019-ARL- </w:t>
    </w:r>
    <w:r w:rsidR="00D93B49">
      <w:rPr>
        <w:rFonts w:ascii="Arial" w:hAnsi="Arial" w:cs="Arial"/>
        <w:b/>
        <w:sz w:val="22"/>
        <w:szCs w:val="22"/>
      </w:rPr>
      <w:t xml:space="preserve">88 </w:t>
    </w:r>
    <w:r w:rsidRPr="00D93B49">
      <w:rPr>
        <w:rFonts w:ascii="Arial" w:hAnsi="Arial" w:cs="Arial"/>
        <w:b/>
        <w:sz w:val="22"/>
        <w:szCs w:val="22"/>
      </w:rPr>
      <w:t xml:space="preserve">del </w:t>
    </w:r>
    <w:r w:rsidR="00D93B49">
      <w:rPr>
        <w:rFonts w:ascii="Arial" w:hAnsi="Arial" w:cs="Arial"/>
        <w:b/>
        <w:sz w:val="22"/>
        <w:szCs w:val="22"/>
      </w:rPr>
      <w:t xml:space="preserve">6 </w:t>
    </w:r>
    <w:r w:rsidRPr="00D93B49">
      <w:rPr>
        <w:rFonts w:ascii="Arial" w:hAnsi="Arial" w:cs="Arial"/>
        <w:b/>
        <w:sz w:val="22"/>
        <w:szCs w:val="22"/>
      </w:rPr>
      <w:t>de diciembre de 2019</w:t>
    </w:r>
    <w:r>
      <w:rPr>
        <w:rFonts w:ascii="Arial" w:hAnsi="Arial" w:cs="Arial"/>
        <w:b/>
        <w:sz w:val="22"/>
        <w:szCs w:val="22"/>
      </w:rPr>
      <w:t xml:space="preserve"> </w:t>
    </w:r>
    <w:r w:rsidRPr="000E075A">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3456E" w14:textId="77777777" w:rsidR="00EC6B4B" w:rsidRDefault="00EC6B4B">
      <w:r>
        <w:separator/>
      </w:r>
    </w:p>
  </w:footnote>
  <w:footnote w:type="continuationSeparator" w:id="0">
    <w:p w14:paraId="5CA6DDC3" w14:textId="77777777" w:rsidR="00EC6B4B" w:rsidRDefault="00EC6B4B">
      <w:r>
        <w:continuationSeparator/>
      </w:r>
    </w:p>
  </w:footnote>
  <w:footnote w:id="1">
    <w:p w14:paraId="5B14EC7E" w14:textId="77777777" w:rsidR="00CB7F73" w:rsidRPr="00F77A37" w:rsidRDefault="00CB7F73" w:rsidP="00F77A37">
      <w:pPr>
        <w:spacing w:line="247" w:lineRule="auto"/>
        <w:rPr>
          <w:i/>
          <w:color w:val="000000" w:themeColor="text1"/>
          <w:sz w:val="20"/>
          <w:szCs w:val="20"/>
        </w:rPr>
      </w:pPr>
      <w:r>
        <w:rPr>
          <w:rStyle w:val="Refdenotaalpie"/>
        </w:rPr>
        <w:footnoteRef/>
      </w:r>
      <w:r>
        <w:t xml:space="preserve"> </w:t>
      </w:r>
      <w:r w:rsidRPr="00537AC0">
        <w:rPr>
          <w:rFonts w:cs="Arial"/>
          <w:color w:val="000000" w:themeColor="text1"/>
          <w:sz w:val="20"/>
          <w:szCs w:val="20"/>
        </w:rPr>
        <w:t>«</w:t>
      </w:r>
      <w:r w:rsidRPr="006C0FF8">
        <w:rPr>
          <w:rFonts w:ascii="Arial" w:hAnsi="Arial" w:cs="Arial"/>
          <w:i/>
          <w:color w:val="000000" w:themeColor="text1"/>
          <w:sz w:val="20"/>
          <w:szCs w:val="20"/>
        </w:rPr>
        <w:t>Por la cual se recopilan y modifican las normas que regulan algunas situaciones administrativas y se dictan otras disposiciones</w:t>
      </w:r>
      <w:r w:rsidRPr="00537AC0">
        <w:rPr>
          <w:rFonts w:cs="Arial"/>
          <w:i/>
          <w:color w:val="000000" w:themeColor="text1"/>
          <w:sz w:val="20"/>
          <w:szCs w:val="20"/>
        </w:rPr>
        <w:t>»</w:t>
      </w:r>
      <w:r>
        <w:rPr>
          <w:i/>
          <w:color w:val="000000" w:themeColor="text1"/>
          <w:sz w:val="20"/>
          <w:szCs w:val="20"/>
        </w:rPr>
        <w:t>.</w:t>
      </w:r>
    </w:p>
  </w:footnote>
  <w:footnote w:id="2">
    <w:p w14:paraId="4CC17FB4" w14:textId="77777777" w:rsidR="00CB7F73" w:rsidRDefault="00CB7F73" w:rsidP="00FA6E8A">
      <w:pPr>
        <w:pStyle w:val="Textonotapie"/>
      </w:pPr>
      <w:r>
        <w:rPr>
          <w:rStyle w:val="Refdenotaalpie"/>
        </w:rPr>
        <w:footnoteRef/>
      </w:r>
      <w:r>
        <w:t xml:space="preserve"> SJ: Subdirección Jurídica, DT: Dirección de Tecnología, DM: Despacho de Ministro, DGPPN: Dirección General de Presupuesto Público Nacional, DGCPTN: Dirección General de Crédito Público y Tesoro Nacional, DGRESS: Dirección General de Regulación Económica y Seguridad Social. DGPE: Dirección General de Participaciones Estatales, DPM: Dirección General de Política Macroeconómica, OCDI: Oficina de Control Interno Disciplinario, DGPM: Dirección General de Política Macroeconómica, DA: Dirección Administrativa, OAJ; Oficina Asesora Jurídica, OAP: Oficina Asesora de Planeación, OCI: Oficina de Control Interno, SG: Secretaría General, </w:t>
      </w:r>
      <w:r w:rsidRPr="0019569B">
        <w:t>SFOM</w:t>
      </w:r>
      <w:r>
        <w:t xml:space="preserve">: </w:t>
      </w:r>
      <w:r w:rsidRPr="0019569B">
        <w:t>Subdirección de Financiamiento don Organismos Multilaterales</w:t>
      </w:r>
      <w:r>
        <w:t xml:space="preserve">, SS y Subdirección de Servicios. DVT: Despacho Viceministerio Técnico.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1F338" w14:textId="77777777" w:rsidR="00CB7F73" w:rsidRDefault="00CB7F73" w:rsidP="008E44D4">
    <w:pPr>
      <w:pStyle w:val="Encabezado"/>
      <w:tabs>
        <w:tab w:val="left" w:pos="870"/>
      </w:tabs>
      <w:jc w:val="left"/>
    </w:pPr>
    <w:r>
      <w:rPr>
        <w:rFonts w:ascii="Arial" w:eastAsia="Times New Roman" w:hAnsi="Arial" w:cs="Arial"/>
        <w:noProof/>
        <w:color w:val="000000"/>
        <w:sz w:val="20"/>
        <w:szCs w:val="20"/>
        <w:lang w:eastAsia="es-CO"/>
      </w:rPr>
      <w:drawing>
        <wp:inline distT="0" distB="0" distL="0" distR="0" wp14:anchorId="69E52E25" wp14:editId="18283F66">
          <wp:extent cx="2638425" cy="476250"/>
          <wp:effectExtent l="0" t="0" r="9525" b="0"/>
          <wp:docPr id="24" name="Imagen 24" descr="http://www.minhacienda.gov.co/imagesnew/LogoMinhacie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hacienda.gov.co/imagesnew/LogoMinhaciend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429"/>
    <w:multiLevelType w:val="multilevel"/>
    <w:tmpl w:val="3B72DB70"/>
    <w:lvl w:ilvl="0">
      <w:start w:val="6"/>
      <w:numFmt w:val="decimal"/>
      <w:lvlText w:val="%1."/>
      <w:lvlJc w:val="left"/>
      <w:pPr>
        <w:ind w:left="360" w:hanging="360"/>
      </w:pPr>
      <w:rPr>
        <w:rFonts w:hint="default"/>
        <w:b/>
      </w:rPr>
    </w:lvl>
    <w:lvl w:ilvl="1">
      <w:start w:val="4"/>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A2A64"/>
    <w:multiLevelType w:val="hybridMultilevel"/>
    <w:tmpl w:val="CE24C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8C2F10"/>
    <w:multiLevelType w:val="multilevel"/>
    <w:tmpl w:val="5BA2BEE6"/>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B1608"/>
    <w:multiLevelType w:val="hybridMultilevel"/>
    <w:tmpl w:val="A3B6EED4"/>
    <w:lvl w:ilvl="0" w:tplc="EE70ED90">
      <w:start w:val="1"/>
      <w:numFmt w:val="bullet"/>
      <w:lvlText w:val=""/>
      <w:lvlJc w:val="left"/>
      <w:pPr>
        <w:ind w:left="928" w:hanging="360"/>
      </w:pPr>
      <w:rPr>
        <w:rFonts w:ascii="Arial" w:hAnsi="Arial" w:cs="Arial" w:hint="default"/>
        <w:sz w:val="22"/>
        <w:szCs w:val="22"/>
      </w:rPr>
    </w:lvl>
    <w:lvl w:ilvl="1" w:tplc="240A0003">
      <w:start w:val="1"/>
      <w:numFmt w:val="bullet"/>
      <w:lvlText w:val="o"/>
      <w:lvlJc w:val="left"/>
      <w:pPr>
        <w:ind w:left="192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CD46212"/>
    <w:multiLevelType w:val="multilevel"/>
    <w:tmpl w:val="2C3C5A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CB5F71"/>
    <w:multiLevelType w:val="hybridMultilevel"/>
    <w:tmpl w:val="E682D0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EF5464"/>
    <w:multiLevelType w:val="hybridMultilevel"/>
    <w:tmpl w:val="34DA06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0CB3351"/>
    <w:multiLevelType w:val="multilevel"/>
    <w:tmpl w:val="BFD26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A1092"/>
    <w:multiLevelType w:val="hybridMultilevel"/>
    <w:tmpl w:val="6E52CC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4625FA9"/>
    <w:multiLevelType w:val="multilevel"/>
    <w:tmpl w:val="2A9035B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1C1FA0"/>
    <w:multiLevelType w:val="hybridMultilevel"/>
    <w:tmpl w:val="9834891E"/>
    <w:lvl w:ilvl="0" w:tplc="0018DF0E">
      <w:start w:val="1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99D734A"/>
    <w:multiLevelType w:val="hybridMultilevel"/>
    <w:tmpl w:val="68B8E10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B33423F"/>
    <w:multiLevelType w:val="hybridMultilevel"/>
    <w:tmpl w:val="64BABE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C6148D"/>
    <w:multiLevelType w:val="hybridMultilevel"/>
    <w:tmpl w:val="17A0C9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35D76D7"/>
    <w:multiLevelType w:val="hybridMultilevel"/>
    <w:tmpl w:val="60AE4C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37234C2"/>
    <w:multiLevelType w:val="hybridMultilevel"/>
    <w:tmpl w:val="56B4CE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59E00D7"/>
    <w:multiLevelType w:val="hybridMultilevel"/>
    <w:tmpl w:val="B3EE3D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7444569"/>
    <w:multiLevelType w:val="hybridMultilevel"/>
    <w:tmpl w:val="FEC8C4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D0C1387"/>
    <w:multiLevelType w:val="hybridMultilevel"/>
    <w:tmpl w:val="E9A637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E723226"/>
    <w:multiLevelType w:val="hybridMultilevel"/>
    <w:tmpl w:val="8BD286D6"/>
    <w:lvl w:ilvl="0" w:tplc="32984052">
      <w:start w:val="12"/>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0" w15:restartNumberingAfterBreak="0">
    <w:nsid w:val="526E1724"/>
    <w:multiLevelType w:val="hybridMultilevel"/>
    <w:tmpl w:val="CCD0BF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5324453E"/>
    <w:multiLevelType w:val="hybridMultilevel"/>
    <w:tmpl w:val="FAC04788"/>
    <w:lvl w:ilvl="0" w:tplc="ABF0B2A4">
      <w:start w:val="1"/>
      <w:numFmt w:val="decimal"/>
      <w:lvlText w:val="%1."/>
      <w:lvlJc w:val="left"/>
      <w:pPr>
        <w:ind w:left="2345" w:hanging="360"/>
      </w:pPr>
      <w:rPr>
        <w:rFonts w:hint="default"/>
        <w:b/>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FFB7A1B"/>
    <w:multiLevelType w:val="hybridMultilevel"/>
    <w:tmpl w:val="B19645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75F804EA"/>
    <w:multiLevelType w:val="hybridMultilevel"/>
    <w:tmpl w:val="5D3638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8E664E1"/>
    <w:multiLevelType w:val="hybridMultilevel"/>
    <w:tmpl w:val="C1FA3A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5" w15:restartNumberingAfterBreak="0">
    <w:nsid w:val="7D630F91"/>
    <w:multiLevelType w:val="hybridMultilevel"/>
    <w:tmpl w:val="C7688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0"/>
  </w:num>
  <w:num w:numId="4">
    <w:abstractNumId w:val="12"/>
  </w:num>
  <w:num w:numId="5">
    <w:abstractNumId w:val="16"/>
  </w:num>
  <w:num w:numId="6">
    <w:abstractNumId w:val="24"/>
  </w:num>
  <w:num w:numId="7">
    <w:abstractNumId w:val="11"/>
  </w:num>
  <w:num w:numId="8">
    <w:abstractNumId w:val="21"/>
  </w:num>
  <w:num w:numId="9">
    <w:abstractNumId w:val="25"/>
  </w:num>
  <w:num w:numId="10">
    <w:abstractNumId w:val="13"/>
  </w:num>
  <w:num w:numId="11">
    <w:abstractNumId w:val="6"/>
  </w:num>
  <w:num w:numId="12">
    <w:abstractNumId w:val="7"/>
  </w:num>
  <w:num w:numId="13">
    <w:abstractNumId w:val="4"/>
  </w:num>
  <w:num w:numId="14">
    <w:abstractNumId w:val="19"/>
  </w:num>
  <w:num w:numId="15">
    <w:abstractNumId w:val="1"/>
  </w:num>
  <w:num w:numId="16">
    <w:abstractNumId w:val="2"/>
  </w:num>
  <w:num w:numId="17">
    <w:abstractNumId w:val="5"/>
  </w:num>
  <w:num w:numId="18">
    <w:abstractNumId w:val="8"/>
  </w:num>
  <w:num w:numId="19">
    <w:abstractNumId w:val="15"/>
  </w:num>
  <w:num w:numId="20">
    <w:abstractNumId w:val="3"/>
  </w:num>
  <w:num w:numId="21">
    <w:abstractNumId w:val="23"/>
  </w:num>
  <w:num w:numId="22">
    <w:abstractNumId w:val="18"/>
  </w:num>
  <w:num w:numId="23">
    <w:abstractNumId w:val="22"/>
  </w:num>
  <w:num w:numId="24">
    <w:abstractNumId w:val="9"/>
  </w:num>
  <w:num w:numId="25">
    <w:abstractNumId w:val="0"/>
  </w:num>
  <w:num w:numId="2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72"/>
    <w:rsid w:val="00000416"/>
    <w:rsid w:val="00000672"/>
    <w:rsid w:val="000006B8"/>
    <w:rsid w:val="00000B1F"/>
    <w:rsid w:val="00000BA9"/>
    <w:rsid w:val="00000FCA"/>
    <w:rsid w:val="00001823"/>
    <w:rsid w:val="0000198A"/>
    <w:rsid w:val="000023B4"/>
    <w:rsid w:val="000026A5"/>
    <w:rsid w:val="000028E2"/>
    <w:rsid w:val="0000292A"/>
    <w:rsid w:val="00002C9C"/>
    <w:rsid w:val="00002EFA"/>
    <w:rsid w:val="000032E5"/>
    <w:rsid w:val="00003446"/>
    <w:rsid w:val="000035DE"/>
    <w:rsid w:val="000038CC"/>
    <w:rsid w:val="00003B5E"/>
    <w:rsid w:val="00003C7D"/>
    <w:rsid w:val="00003CDA"/>
    <w:rsid w:val="00004447"/>
    <w:rsid w:val="000045DF"/>
    <w:rsid w:val="000048E8"/>
    <w:rsid w:val="000049F3"/>
    <w:rsid w:val="00004A84"/>
    <w:rsid w:val="00004A8C"/>
    <w:rsid w:val="00004B3B"/>
    <w:rsid w:val="00004DF7"/>
    <w:rsid w:val="00004F1E"/>
    <w:rsid w:val="00005276"/>
    <w:rsid w:val="00005444"/>
    <w:rsid w:val="000059B9"/>
    <w:rsid w:val="00005E77"/>
    <w:rsid w:val="00005EA9"/>
    <w:rsid w:val="00005EEC"/>
    <w:rsid w:val="000061FC"/>
    <w:rsid w:val="000063C5"/>
    <w:rsid w:val="0000641A"/>
    <w:rsid w:val="000064B0"/>
    <w:rsid w:val="000065EC"/>
    <w:rsid w:val="000066BF"/>
    <w:rsid w:val="00006810"/>
    <w:rsid w:val="000072CA"/>
    <w:rsid w:val="000073F8"/>
    <w:rsid w:val="00007663"/>
    <w:rsid w:val="00007EE0"/>
    <w:rsid w:val="00010137"/>
    <w:rsid w:val="000104E7"/>
    <w:rsid w:val="00010599"/>
    <w:rsid w:val="00010658"/>
    <w:rsid w:val="000108ED"/>
    <w:rsid w:val="00010951"/>
    <w:rsid w:val="00010ABF"/>
    <w:rsid w:val="00010E1E"/>
    <w:rsid w:val="0001123D"/>
    <w:rsid w:val="0001142B"/>
    <w:rsid w:val="0001148F"/>
    <w:rsid w:val="0001178D"/>
    <w:rsid w:val="00011C24"/>
    <w:rsid w:val="00011D73"/>
    <w:rsid w:val="00011F52"/>
    <w:rsid w:val="00011F60"/>
    <w:rsid w:val="0001210C"/>
    <w:rsid w:val="00012319"/>
    <w:rsid w:val="00012510"/>
    <w:rsid w:val="00012835"/>
    <w:rsid w:val="00012951"/>
    <w:rsid w:val="00012BD1"/>
    <w:rsid w:val="00012D93"/>
    <w:rsid w:val="00013454"/>
    <w:rsid w:val="00013891"/>
    <w:rsid w:val="00013D84"/>
    <w:rsid w:val="00013E9B"/>
    <w:rsid w:val="00013FF9"/>
    <w:rsid w:val="000144D7"/>
    <w:rsid w:val="000145EB"/>
    <w:rsid w:val="00014CA9"/>
    <w:rsid w:val="000151E1"/>
    <w:rsid w:val="0001539A"/>
    <w:rsid w:val="000153B3"/>
    <w:rsid w:val="0001541F"/>
    <w:rsid w:val="00015D1B"/>
    <w:rsid w:val="000160DE"/>
    <w:rsid w:val="00016412"/>
    <w:rsid w:val="00016536"/>
    <w:rsid w:val="00016653"/>
    <w:rsid w:val="000171B0"/>
    <w:rsid w:val="00017C08"/>
    <w:rsid w:val="00017C1C"/>
    <w:rsid w:val="00017CC5"/>
    <w:rsid w:val="00020298"/>
    <w:rsid w:val="00020387"/>
    <w:rsid w:val="00020A0A"/>
    <w:rsid w:val="00020FDE"/>
    <w:rsid w:val="00021D28"/>
    <w:rsid w:val="0002233D"/>
    <w:rsid w:val="0002250B"/>
    <w:rsid w:val="000227AC"/>
    <w:rsid w:val="0002377A"/>
    <w:rsid w:val="00023836"/>
    <w:rsid w:val="00023A32"/>
    <w:rsid w:val="00023D1B"/>
    <w:rsid w:val="00023DBB"/>
    <w:rsid w:val="00023F5E"/>
    <w:rsid w:val="000242A7"/>
    <w:rsid w:val="00024456"/>
    <w:rsid w:val="000244E8"/>
    <w:rsid w:val="000250D9"/>
    <w:rsid w:val="0002560E"/>
    <w:rsid w:val="0002569E"/>
    <w:rsid w:val="000266DB"/>
    <w:rsid w:val="000266E2"/>
    <w:rsid w:val="00026762"/>
    <w:rsid w:val="00026928"/>
    <w:rsid w:val="000269F6"/>
    <w:rsid w:val="00026A70"/>
    <w:rsid w:val="00026B0C"/>
    <w:rsid w:val="00026DBF"/>
    <w:rsid w:val="000274A0"/>
    <w:rsid w:val="0002797F"/>
    <w:rsid w:val="00027A0C"/>
    <w:rsid w:val="00027B3C"/>
    <w:rsid w:val="00027CBE"/>
    <w:rsid w:val="00027D1A"/>
    <w:rsid w:val="00030089"/>
    <w:rsid w:val="000300AE"/>
    <w:rsid w:val="000300D8"/>
    <w:rsid w:val="000302F6"/>
    <w:rsid w:val="00030444"/>
    <w:rsid w:val="00030518"/>
    <w:rsid w:val="00030894"/>
    <w:rsid w:val="00030A6E"/>
    <w:rsid w:val="00030B48"/>
    <w:rsid w:val="00030F9B"/>
    <w:rsid w:val="000310DB"/>
    <w:rsid w:val="0003164F"/>
    <w:rsid w:val="000316EC"/>
    <w:rsid w:val="00031862"/>
    <w:rsid w:val="000318F9"/>
    <w:rsid w:val="00031C58"/>
    <w:rsid w:val="00031D7E"/>
    <w:rsid w:val="00031F14"/>
    <w:rsid w:val="00032C9C"/>
    <w:rsid w:val="000330F1"/>
    <w:rsid w:val="00033109"/>
    <w:rsid w:val="00033234"/>
    <w:rsid w:val="00033238"/>
    <w:rsid w:val="000332F5"/>
    <w:rsid w:val="0003380F"/>
    <w:rsid w:val="0003384A"/>
    <w:rsid w:val="000342F8"/>
    <w:rsid w:val="00034967"/>
    <w:rsid w:val="00034983"/>
    <w:rsid w:val="00034B4D"/>
    <w:rsid w:val="00034D91"/>
    <w:rsid w:val="00034DD0"/>
    <w:rsid w:val="00035191"/>
    <w:rsid w:val="00035327"/>
    <w:rsid w:val="000353E8"/>
    <w:rsid w:val="00035665"/>
    <w:rsid w:val="0003572C"/>
    <w:rsid w:val="0003581D"/>
    <w:rsid w:val="0003597E"/>
    <w:rsid w:val="000359AB"/>
    <w:rsid w:val="00035E54"/>
    <w:rsid w:val="0003615B"/>
    <w:rsid w:val="00036385"/>
    <w:rsid w:val="00036525"/>
    <w:rsid w:val="00036931"/>
    <w:rsid w:val="00036A09"/>
    <w:rsid w:val="00036A9B"/>
    <w:rsid w:val="0003711D"/>
    <w:rsid w:val="000374FC"/>
    <w:rsid w:val="0003759B"/>
    <w:rsid w:val="000375A0"/>
    <w:rsid w:val="00037874"/>
    <w:rsid w:val="0003794B"/>
    <w:rsid w:val="00037A26"/>
    <w:rsid w:val="00037BD2"/>
    <w:rsid w:val="00037C62"/>
    <w:rsid w:val="0004010B"/>
    <w:rsid w:val="000402AB"/>
    <w:rsid w:val="0004098F"/>
    <w:rsid w:val="000409DB"/>
    <w:rsid w:val="0004114A"/>
    <w:rsid w:val="00041158"/>
    <w:rsid w:val="0004122E"/>
    <w:rsid w:val="00041447"/>
    <w:rsid w:val="00041B41"/>
    <w:rsid w:val="00041BEA"/>
    <w:rsid w:val="00041ED4"/>
    <w:rsid w:val="00042070"/>
    <w:rsid w:val="0004245F"/>
    <w:rsid w:val="0004270D"/>
    <w:rsid w:val="00042CEC"/>
    <w:rsid w:val="00043519"/>
    <w:rsid w:val="00043570"/>
    <w:rsid w:val="00043720"/>
    <w:rsid w:val="00043A85"/>
    <w:rsid w:val="00043B92"/>
    <w:rsid w:val="00043D49"/>
    <w:rsid w:val="00044436"/>
    <w:rsid w:val="000444C5"/>
    <w:rsid w:val="000445DB"/>
    <w:rsid w:val="00044706"/>
    <w:rsid w:val="0004482B"/>
    <w:rsid w:val="000448D0"/>
    <w:rsid w:val="00044F6E"/>
    <w:rsid w:val="0004569D"/>
    <w:rsid w:val="00045980"/>
    <w:rsid w:val="00045B46"/>
    <w:rsid w:val="00045CB3"/>
    <w:rsid w:val="00045DFD"/>
    <w:rsid w:val="0004604E"/>
    <w:rsid w:val="0004641D"/>
    <w:rsid w:val="00046898"/>
    <w:rsid w:val="00047299"/>
    <w:rsid w:val="00047407"/>
    <w:rsid w:val="000477B5"/>
    <w:rsid w:val="00047A2A"/>
    <w:rsid w:val="00047A8F"/>
    <w:rsid w:val="00047F35"/>
    <w:rsid w:val="00050B4B"/>
    <w:rsid w:val="00050CD0"/>
    <w:rsid w:val="00051478"/>
    <w:rsid w:val="00051537"/>
    <w:rsid w:val="00051702"/>
    <w:rsid w:val="000520B8"/>
    <w:rsid w:val="000525A1"/>
    <w:rsid w:val="00053181"/>
    <w:rsid w:val="000533F6"/>
    <w:rsid w:val="00053518"/>
    <w:rsid w:val="0005372D"/>
    <w:rsid w:val="00053FC8"/>
    <w:rsid w:val="0005406B"/>
    <w:rsid w:val="0005429A"/>
    <w:rsid w:val="00054367"/>
    <w:rsid w:val="00054617"/>
    <w:rsid w:val="00054696"/>
    <w:rsid w:val="00054A0C"/>
    <w:rsid w:val="00054A12"/>
    <w:rsid w:val="00055B77"/>
    <w:rsid w:val="00055BE9"/>
    <w:rsid w:val="00056C0F"/>
    <w:rsid w:val="00056D64"/>
    <w:rsid w:val="00056E7C"/>
    <w:rsid w:val="0005717B"/>
    <w:rsid w:val="0005785C"/>
    <w:rsid w:val="00057DFC"/>
    <w:rsid w:val="0006001D"/>
    <w:rsid w:val="00060127"/>
    <w:rsid w:val="00060A36"/>
    <w:rsid w:val="00060CB1"/>
    <w:rsid w:val="00060D3E"/>
    <w:rsid w:val="00061471"/>
    <w:rsid w:val="000614D4"/>
    <w:rsid w:val="0006163D"/>
    <w:rsid w:val="00061DF7"/>
    <w:rsid w:val="000620B4"/>
    <w:rsid w:val="000620BB"/>
    <w:rsid w:val="000620DE"/>
    <w:rsid w:val="000625A4"/>
    <w:rsid w:val="00062681"/>
    <w:rsid w:val="00062B71"/>
    <w:rsid w:val="00062C54"/>
    <w:rsid w:val="00062D31"/>
    <w:rsid w:val="000630A1"/>
    <w:rsid w:val="00063203"/>
    <w:rsid w:val="00063A93"/>
    <w:rsid w:val="00063EEB"/>
    <w:rsid w:val="00064CAC"/>
    <w:rsid w:val="00065688"/>
    <w:rsid w:val="000656D1"/>
    <w:rsid w:val="00065949"/>
    <w:rsid w:val="00065B73"/>
    <w:rsid w:val="00065CFD"/>
    <w:rsid w:val="000660DE"/>
    <w:rsid w:val="00066E26"/>
    <w:rsid w:val="00070177"/>
    <w:rsid w:val="000703AD"/>
    <w:rsid w:val="00070647"/>
    <w:rsid w:val="00070C32"/>
    <w:rsid w:val="00070FD8"/>
    <w:rsid w:val="0007192E"/>
    <w:rsid w:val="00071936"/>
    <w:rsid w:val="00071ACE"/>
    <w:rsid w:val="000720C7"/>
    <w:rsid w:val="0007260C"/>
    <w:rsid w:val="00072CE4"/>
    <w:rsid w:val="00072D76"/>
    <w:rsid w:val="00073455"/>
    <w:rsid w:val="000735EA"/>
    <w:rsid w:val="000744EC"/>
    <w:rsid w:val="000745FF"/>
    <w:rsid w:val="00074C96"/>
    <w:rsid w:val="000752D9"/>
    <w:rsid w:val="00075346"/>
    <w:rsid w:val="000753D4"/>
    <w:rsid w:val="00075495"/>
    <w:rsid w:val="000754A5"/>
    <w:rsid w:val="0007582F"/>
    <w:rsid w:val="0007594E"/>
    <w:rsid w:val="000767EE"/>
    <w:rsid w:val="000769EC"/>
    <w:rsid w:val="00076C76"/>
    <w:rsid w:val="00076D5E"/>
    <w:rsid w:val="00076F45"/>
    <w:rsid w:val="00077004"/>
    <w:rsid w:val="000779B9"/>
    <w:rsid w:val="00077E9B"/>
    <w:rsid w:val="000800EF"/>
    <w:rsid w:val="000801BB"/>
    <w:rsid w:val="00080935"/>
    <w:rsid w:val="000811AF"/>
    <w:rsid w:val="000811C9"/>
    <w:rsid w:val="00081CA1"/>
    <w:rsid w:val="00081FAC"/>
    <w:rsid w:val="00082395"/>
    <w:rsid w:val="00082422"/>
    <w:rsid w:val="000827B3"/>
    <w:rsid w:val="00082894"/>
    <w:rsid w:val="000829C0"/>
    <w:rsid w:val="00082A09"/>
    <w:rsid w:val="00082BF2"/>
    <w:rsid w:val="00082D67"/>
    <w:rsid w:val="000835B2"/>
    <w:rsid w:val="0008371C"/>
    <w:rsid w:val="00083756"/>
    <w:rsid w:val="0008378D"/>
    <w:rsid w:val="00083D05"/>
    <w:rsid w:val="00083DD7"/>
    <w:rsid w:val="00083E2E"/>
    <w:rsid w:val="0008457E"/>
    <w:rsid w:val="000846AB"/>
    <w:rsid w:val="00084963"/>
    <w:rsid w:val="00084970"/>
    <w:rsid w:val="00084982"/>
    <w:rsid w:val="00084A57"/>
    <w:rsid w:val="00084CF7"/>
    <w:rsid w:val="00084E74"/>
    <w:rsid w:val="00084F23"/>
    <w:rsid w:val="00085009"/>
    <w:rsid w:val="000850F8"/>
    <w:rsid w:val="0008550B"/>
    <w:rsid w:val="0008606A"/>
    <w:rsid w:val="000861ED"/>
    <w:rsid w:val="000866AA"/>
    <w:rsid w:val="000869DA"/>
    <w:rsid w:val="00086C00"/>
    <w:rsid w:val="00086E67"/>
    <w:rsid w:val="00086EA9"/>
    <w:rsid w:val="000870D2"/>
    <w:rsid w:val="000875A2"/>
    <w:rsid w:val="00087838"/>
    <w:rsid w:val="00087FB2"/>
    <w:rsid w:val="00090131"/>
    <w:rsid w:val="00090140"/>
    <w:rsid w:val="0009020D"/>
    <w:rsid w:val="0009039E"/>
    <w:rsid w:val="0009062E"/>
    <w:rsid w:val="0009088A"/>
    <w:rsid w:val="00090BE1"/>
    <w:rsid w:val="00090CD3"/>
    <w:rsid w:val="00090ECA"/>
    <w:rsid w:val="00090F14"/>
    <w:rsid w:val="000911EE"/>
    <w:rsid w:val="00091B40"/>
    <w:rsid w:val="00091C46"/>
    <w:rsid w:val="00091C8A"/>
    <w:rsid w:val="00092077"/>
    <w:rsid w:val="000921B8"/>
    <w:rsid w:val="0009265D"/>
    <w:rsid w:val="00092666"/>
    <w:rsid w:val="000928A0"/>
    <w:rsid w:val="000928FC"/>
    <w:rsid w:val="000929C2"/>
    <w:rsid w:val="00092AF9"/>
    <w:rsid w:val="0009323F"/>
    <w:rsid w:val="0009363B"/>
    <w:rsid w:val="00093AD1"/>
    <w:rsid w:val="00093F7D"/>
    <w:rsid w:val="0009451C"/>
    <w:rsid w:val="00094792"/>
    <w:rsid w:val="00094A2C"/>
    <w:rsid w:val="00094A7E"/>
    <w:rsid w:val="00094AE9"/>
    <w:rsid w:val="00094B37"/>
    <w:rsid w:val="00094EB0"/>
    <w:rsid w:val="00095E4E"/>
    <w:rsid w:val="000963B1"/>
    <w:rsid w:val="00096596"/>
    <w:rsid w:val="000967E8"/>
    <w:rsid w:val="00096AAD"/>
    <w:rsid w:val="00096E86"/>
    <w:rsid w:val="00096FAA"/>
    <w:rsid w:val="00096FE7"/>
    <w:rsid w:val="0009714D"/>
    <w:rsid w:val="0009728E"/>
    <w:rsid w:val="000972A1"/>
    <w:rsid w:val="000972A2"/>
    <w:rsid w:val="000973C7"/>
    <w:rsid w:val="000973E1"/>
    <w:rsid w:val="000973F8"/>
    <w:rsid w:val="00097422"/>
    <w:rsid w:val="00097792"/>
    <w:rsid w:val="000979D2"/>
    <w:rsid w:val="00097C40"/>
    <w:rsid w:val="00097FF6"/>
    <w:rsid w:val="000A0239"/>
    <w:rsid w:val="000A0841"/>
    <w:rsid w:val="000A09A0"/>
    <w:rsid w:val="000A1681"/>
    <w:rsid w:val="000A1711"/>
    <w:rsid w:val="000A172E"/>
    <w:rsid w:val="000A1789"/>
    <w:rsid w:val="000A1A99"/>
    <w:rsid w:val="000A2295"/>
    <w:rsid w:val="000A27D1"/>
    <w:rsid w:val="000A2840"/>
    <w:rsid w:val="000A291F"/>
    <w:rsid w:val="000A2A02"/>
    <w:rsid w:val="000A2A34"/>
    <w:rsid w:val="000A2D2F"/>
    <w:rsid w:val="000A2D4E"/>
    <w:rsid w:val="000A33AB"/>
    <w:rsid w:val="000A38F7"/>
    <w:rsid w:val="000A3C8C"/>
    <w:rsid w:val="000A43AF"/>
    <w:rsid w:val="000A4B40"/>
    <w:rsid w:val="000A518F"/>
    <w:rsid w:val="000A536D"/>
    <w:rsid w:val="000A5384"/>
    <w:rsid w:val="000A5482"/>
    <w:rsid w:val="000A591F"/>
    <w:rsid w:val="000A5E6A"/>
    <w:rsid w:val="000A63CD"/>
    <w:rsid w:val="000A696D"/>
    <w:rsid w:val="000A6A80"/>
    <w:rsid w:val="000A6BDC"/>
    <w:rsid w:val="000A6E46"/>
    <w:rsid w:val="000A6E52"/>
    <w:rsid w:val="000A70E6"/>
    <w:rsid w:val="000A70E9"/>
    <w:rsid w:val="000A7203"/>
    <w:rsid w:val="000A72BC"/>
    <w:rsid w:val="000A7563"/>
    <w:rsid w:val="000A78F9"/>
    <w:rsid w:val="000A7A29"/>
    <w:rsid w:val="000A7A30"/>
    <w:rsid w:val="000B0124"/>
    <w:rsid w:val="000B0DDD"/>
    <w:rsid w:val="000B0E44"/>
    <w:rsid w:val="000B17DE"/>
    <w:rsid w:val="000B1847"/>
    <w:rsid w:val="000B1A03"/>
    <w:rsid w:val="000B1C1B"/>
    <w:rsid w:val="000B21B5"/>
    <w:rsid w:val="000B26C6"/>
    <w:rsid w:val="000B2853"/>
    <w:rsid w:val="000B2867"/>
    <w:rsid w:val="000B2915"/>
    <w:rsid w:val="000B2EDD"/>
    <w:rsid w:val="000B312C"/>
    <w:rsid w:val="000B3275"/>
    <w:rsid w:val="000B41F3"/>
    <w:rsid w:val="000B4938"/>
    <w:rsid w:val="000B49F5"/>
    <w:rsid w:val="000B4BFF"/>
    <w:rsid w:val="000B4DF3"/>
    <w:rsid w:val="000B4F5A"/>
    <w:rsid w:val="000B4F80"/>
    <w:rsid w:val="000B5525"/>
    <w:rsid w:val="000B5ABC"/>
    <w:rsid w:val="000B6038"/>
    <w:rsid w:val="000B6770"/>
    <w:rsid w:val="000B7059"/>
    <w:rsid w:val="000B773D"/>
    <w:rsid w:val="000B77E8"/>
    <w:rsid w:val="000C033E"/>
    <w:rsid w:val="000C03A2"/>
    <w:rsid w:val="000C0901"/>
    <w:rsid w:val="000C0CB8"/>
    <w:rsid w:val="000C0FF5"/>
    <w:rsid w:val="000C1024"/>
    <w:rsid w:val="000C181A"/>
    <w:rsid w:val="000C1A95"/>
    <w:rsid w:val="000C1DFC"/>
    <w:rsid w:val="000C2168"/>
    <w:rsid w:val="000C28EE"/>
    <w:rsid w:val="000C31E5"/>
    <w:rsid w:val="000C38F1"/>
    <w:rsid w:val="000C3BBC"/>
    <w:rsid w:val="000C418A"/>
    <w:rsid w:val="000C49CC"/>
    <w:rsid w:val="000C4A52"/>
    <w:rsid w:val="000C4A9C"/>
    <w:rsid w:val="000C4AE2"/>
    <w:rsid w:val="000C4F5D"/>
    <w:rsid w:val="000C53FD"/>
    <w:rsid w:val="000C63C2"/>
    <w:rsid w:val="000C65AB"/>
    <w:rsid w:val="000C6793"/>
    <w:rsid w:val="000C69C7"/>
    <w:rsid w:val="000C69D6"/>
    <w:rsid w:val="000C6FC8"/>
    <w:rsid w:val="000C78F7"/>
    <w:rsid w:val="000C7A4C"/>
    <w:rsid w:val="000D0086"/>
    <w:rsid w:val="000D00F0"/>
    <w:rsid w:val="000D014C"/>
    <w:rsid w:val="000D037B"/>
    <w:rsid w:val="000D084E"/>
    <w:rsid w:val="000D09FE"/>
    <w:rsid w:val="000D0AC2"/>
    <w:rsid w:val="000D0C2E"/>
    <w:rsid w:val="000D0EAF"/>
    <w:rsid w:val="000D1070"/>
    <w:rsid w:val="000D11A8"/>
    <w:rsid w:val="000D11C4"/>
    <w:rsid w:val="000D13B3"/>
    <w:rsid w:val="000D183D"/>
    <w:rsid w:val="000D18C8"/>
    <w:rsid w:val="000D1AE2"/>
    <w:rsid w:val="000D1D43"/>
    <w:rsid w:val="000D2D64"/>
    <w:rsid w:val="000D2FAA"/>
    <w:rsid w:val="000D303D"/>
    <w:rsid w:val="000D3577"/>
    <w:rsid w:val="000D38A6"/>
    <w:rsid w:val="000D3B6F"/>
    <w:rsid w:val="000D4000"/>
    <w:rsid w:val="000D4075"/>
    <w:rsid w:val="000D40EC"/>
    <w:rsid w:val="000D4855"/>
    <w:rsid w:val="000D4DCE"/>
    <w:rsid w:val="000D4E3C"/>
    <w:rsid w:val="000D5028"/>
    <w:rsid w:val="000D5336"/>
    <w:rsid w:val="000D5743"/>
    <w:rsid w:val="000D5A68"/>
    <w:rsid w:val="000D60B2"/>
    <w:rsid w:val="000D6320"/>
    <w:rsid w:val="000D648B"/>
    <w:rsid w:val="000D6530"/>
    <w:rsid w:val="000D66F0"/>
    <w:rsid w:val="000D6841"/>
    <w:rsid w:val="000D6A45"/>
    <w:rsid w:val="000D6CA3"/>
    <w:rsid w:val="000D6DD9"/>
    <w:rsid w:val="000D6EFC"/>
    <w:rsid w:val="000D6F33"/>
    <w:rsid w:val="000D7815"/>
    <w:rsid w:val="000D784F"/>
    <w:rsid w:val="000D7F99"/>
    <w:rsid w:val="000E047D"/>
    <w:rsid w:val="000E0700"/>
    <w:rsid w:val="000E075A"/>
    <w:rsid w:val="000E0804"/>
    <w:rsid w:val="000E0AD2"/>
    <w:rsid w:val="000E0BA8"/>
    <w:rsid w:val="000E0C07"/>
    <w:rsid w:val="000E0EE7"/>
    <w:rsid w:val="000E179A"/>
    <w:rsid w:val="000E1880"/>
    <w:rsid w:val="000E19C1"/>
    <w:rsid w:val="000E1D33"/>
    <w:rsid w:val="000E20CF"/>
    <w:rsid w:val="000E2851"/>
    <w:rsid w:val="000E299F"/>
    <w:rsid w:val="000E29A4"/>
    <w:rsid w:val="000E29BB"/>
    <w:rsid w:val="000E2C21"/>
    <w:rsid w:val="000E2C2B"/>
    <w:rsid w:val="000E399C"/>
    <w:rsid w:val="000E3DBD"/>
    <w:rsid w:val="000E405F"/>
    <w:rsid w:val="000E4429"/>
    <w:rsid w:val="000E445F"/>
    <w:rsid w:val="000E4898"/>
    <w:rsid w:val="000E4942"/>
    <w:rsid w:val="000E4A80"/>
    <w:rsid w:val="000E4E5C"/>
    <w:rsid w:val="000E4EFF"/>
    <w:rsid w:val="000E57B0"/>
    <w:rsid w:val="000E5A1E"/>
    <w:rsid w:val="000E5AEB"/>
    <w:rsid w:val="000E6191"/>
    <w:rsid w:val="000E61BE"/>
    <w:rsid w:val="000E64AE"/>
    <w:rsid w:val="000E6C51"/>
    <w:rsid w:val="000E7088"/>
    <w:rsid w:val="000E7175"/>
    <w:rsid w:val="000E71A6"/>
    <w:rsid w:val="000E71B1"/>
    <w:rsid w:val="000E7B63"/>
    <w:rsid w:val="000E7DE4"/>
    <w:rsid w:val="000F005E"/>
    <w:rsid w:val="000F014A"/>
    <w:rsid w:val="000F0323"/>
    <w:rsid w:val="000F085B"/>
    <w:rsid w:val="000F09D0"/>
    <w:rsid w:val="000F0B21"/>
    <w:rsid w:val="000F0CF6"/>
    <w:rsid w:val="000F1416"/>
    <w:rsid w:val="000F1CB0"/>
    <w:rsid w:val="000F1D92"/>
    <w:rsid w:val="000F2A04"/>
    <w:rsid w:val="000F3083"/>
    <w:rsid w:val="000F330E"/>
    <w:rsid w:val="000F35DF"/>
    <w:rsid w:val="000F3975"/>
    <w:rsid w:val="000F3F2D"/>
    <w:rsid w:val="000F4005"/>
    <w:rsid w:val="000F43FE"/>
    <w:rsid w:val="000F46A7"/>
    <w:rsid w:val="000F46C8"/>
    <w:rsid w:val="000F46E5"/>
    <w:rsid w:val="000F4EB5"/>
    <w:rsid w:val="000F5251"/>
    <w:rsid w:val="000F5798"/>
    <w:rsid w:val="000F5B0C"/>
    <w:rsid w:val="000F5F61"/>
    <w:rsid w:val="000F6104"/>
    <w:rsid w:val="000F693C"/>
    <w:rsid w:val="000F6B99"/>
    <w:rsid w:val="000F6C84"/>
    <w:rsid w:val="000F71E9"/>
    <w:rsid w:val="000F73E7"/>
    <w:rsid w:val="000F7AC1"/>
    <w:rsid w:val="00100126"/>
    <w:rsid w:val="00100327"/>
    <w:rsid w:val="001003C9"/>
    <w:rsid w:val="00100A21"/>
    <w:rsid w:val="00101425"/>
    <w:rsid w:val="0010157B"/>
    <w:rsid w:val="001016B3"/>
    <w:rsid w:val="00101A9C"/>
    <w:rsid w:val="00101F75"/>
    <w:rsid w:val="00102556"/>
    <w:rsid w:val="001025FF"/>
    <w:rsid w:val="00102603"/>
    <w:rsid w:val="00103285"/>
    <w:rsid w:val="001036AA"/>
    <w:rsid w:val="001037B5"/>
    <w:rsid w:val="0010393E"/>
    <w:rsid w:val="00103E4D"/>
    <w:rsid w:val="001040F8"/>
    <w:rsid w:val="001044BD"/>
    <w:rsid w:val="00104623"/>
    <w:rsid w:val="00104963"/>
    <w:rsid w:val="001049B6"/>
    <w:rsid w:val="00105343"/>
    <w:rsid w:val="00105413"/>
    <w:rsid w:val="00105524"/>
    <w:rsid w:val="0010598A"/>
    <w:rsid w:val="00105AD9"/>
    <w:rsid w:val="00105B84"/>
    <w:rsid w:val="00105F49"/>
    <w:rsid w:val="0010605F"/>
    <w:rsid w:val="00106465"/>
    <w:rsid w:val="0010650D"/>
    <w:rsid w:val="001068E4"/>
    <w:rsid w:val="00106B7E"/>
    <w:rsid w:val="00106DAE"/>
    <w:rsid w:val="00106E4C"/>
    <w:rsid w:val="00107631"/>
    <w:rsid w:val="0010772A"/>
    <w:rsid w:val="00107936"/>
    <w:rsid w:val="00107E01"/>
    <w:rsid w:val="00110109"/>
    <w:rsid w:val="00110473"/>
    <w:rsid w:val="00110864"/>
    <w:rsid w:val="001109E4"/>
    <w:rsid w:val="00110E24"/>
    <w:rsid w:val="00111076"/>
    <w:rsid w:val="00111080"/>
    <w:rsid w:val="001112E1"/>
    <w:rsid w:val="00111DF8"/>
    <w:rsid w:val="0011240C"/>
    <w:rsid w:val="00112422"/>
    <w:rsid w:val="001127A6"/>
    <w:rsid w:val="0011284B"/>
    <w:rsid w:val="00112AB9"/>
    <w:rsid w:val="00113371"/>
    <w:rsid w:val="001134C7"/>
    <w:rsid w:val="00113636"/>
    <w:rsid w:val="0011384C"/>
    <w:rsid w:val="00113985"/>
    <w:rsid w:val="001139E7"/>
    <w:rsid w:val="00113BA7"/>
    <w:rsid w:val="00113C16"/>
    <w:rsid w:val="001140E7"/>
    <w:rsid w:val="0011413D"/>
    <w:rsid w:val="00114AE7"/>
    <w:rsid w:val="001150A8"/>
    <w:rsid w:val="00115415"/>
    <w:rsid w:val="0011548C"/>
    <w:rsid w:val="0011574E"/>
    <w:rsid w:val="00115B03"/>
    <w:rsid w:val="00115B0A"/>
    <w:rsid w:val="00115CBA"/>
    <w:rsid w:val="0011617B"/>
    <w:rsid w:val="001161DA"/>
    <w:rsid w:val="001162C8"/>
    <w:rsid w:val="001166C2"/>
    <w:rsid w:val="00116E6E"/>
    <w:rsid w:val="001172F6"/>
    <w:rsid w:val="00117389"/>
    <w:rsid w:val="00117425"/>
    <w:rsid w:val="001175CE"/>
    <w:rsid w:val="00117D80"/>
    <w:rsid w:val="00117F46"/>
    <w:rsid w:val="00117F5A"/>
    <w:rsid w:val="001200E7"/>
    <w:rsid w:val="0012096E"/>
    <w:rsid w:val="00120980"/>
    <w:rsid w:val="001209AC"/>
    <w:rsid w:val="001209EB"/>
    <w:rsid w:val="00120E1F"/>
    <w:rsid w:val="00120FF3"/>
    <w:rsid w:val="00121281"/>
    <w:rsid w:val="001214F8"/>
    <w:rsid w:val="0012187C"/>
    <w:rsid w:val="00121A95"/>
    <w:rsid w:val="00121CF4"/>
    <w:rsid w:val="00121FB7"/>
    <w:rsid w:val="00122144"/>
    <w:rsid w:val="00122B67"/>
    <w:rsid w:val="00122CDF"/>
    <w:rsid w:val="00122EC1"/>
    <w:rsid w:val="001232B5"/>
    <w:rsid w:val="001232BD"/>
    <w:rsid w:val="00123CD1"/>
    <w:rsid w:val="0012405B"/>
    <w:rsid w:val="00124203"/>
    <w:rsid w:val="0012421F"/>
    <w:rsid w:val="0012481F"/>
    <w:rsid w:val="0012499E"/>
    <w:rsid w:val="00124B5A"/>
    <w:rsid w:val="00124E61"/>
    <w:rsid w:val="00125005"/>
    <w:rsid w:val="00125335"/>
    <w:rsid w:val="001254E7"/>
    <w:rsid w:val="00125A08"/>
    <w:rsid w:val="00125CEB"/>
    <w:rsid w:val="00125F01"/>
    <w:rsid w:val="001260B8"/>
    <w:rsid w:val="001260BA"/>
    <w:rsid w:val="00126244"/>
    <w:rsid w:val="00126279"/>
    <w:rsid w:val="0012637D"/>
    <w:rsid w:val="00126733"/>
    <w:rsid w:val="00126D08"/>
    <w:rsid w:val="00126E18"/>
    <w:rsid w:val="00127591"/>
    <w:rsid w:val="00127849"/>
    <w:rsid w:val="00127921"/>
    <w:rsid w:val="00127C1B"/>
    <w:rsid w:val="00127C70"/>
    <w:rsid w:val="0013038E"/>
    <w:rsid w:val="001305BD"/>
    <w:rsid w:val="00130A2F"/>
    <w:rsid w:val="00130A42"/>
    <w:rsid w:val="00130B50"/>
    <w:rsid w:val="00130CCF"/>
    <w:rsid w:val="001311D6"/>
    <w:rsid w:val="001311E8"/>
    <w:rsid w:val="001313D1"/>
    <w:rsid w:val="001314BB"/>
    <w:rsid w:val="001316CA"/>
    <w:rsid w:val="00131A3E"/>
    <w:rsid w:val="00131BF7"/>
    <w:rsid w:val="00131E00"/>
    <w:rsid w:val="00132411"/>
    <w:rsid w:val="00132430"/>
    <w:rsid w:val="00132C59"/>
    <w:rsid w:val="00132E3A"/>
    <w:rsid w:val="00133106"/>
    <w:rsid w:val="001333F3"/>
    <w:rsid w:val="001337E6"/>
    <w:rsid w:val="0013380E"/>
    <w:rsid w:val="001339D2"/>
    <w:rsid w:val="00133A2E"/>
    <w:rsid w:val="00133CE0"/>
    <w:rsid w:val="00134473"/>
    <w:rsid w:val="00134821"/>
    <w:rsid w:val="00135CC4"/>
    <w:rsid w:val="00135E0F"/>
    <w:rsid w:val="00135F16"/>
    <w:rsid w:val="001363B4"/>
    <w:rsid w:val="00136705"/>
    <w:rsid w:val="0013695A"/>
    <w:rsid w:val="00136A26"/>
    <w:rsid w:val="00136D82"/>
    <w:rsid w:val="00136F4B"/>
    <w:rsid w:val="001374A7"/>
    <w:rsid w:val="00137525"/>
    <w:rsid w:val="0013768A"/>
    <w:rsid w:val="00137834"/>
    <w:rsid w:val="00137A90"/>
    <w:rsid w:val="00137B5B"/>
    <w:rsid w:val="001401AF"/>
    <w:rsid w:val="0014048B"/>
    <w:rsid w:val="001407DE"/>
    <w:rsid w:val="00140EBD"/>
    <w:rsid w:val="001411C8"/>
    <w:rsid w:val="00141477"/>
    <w:rsid w:val="00141C2D"/>
    <w:rsid w:val="00141E5A"/>
    <w:rsid w:val="0014227C"/>
    <w:rsid w:val="0014235D"/>
    <w:rsid w:val="0014253B"/>
    <w:rsid w:val="00142B15"/>
    <w:rsid w:val="00142B3B"/>
    <w:rsid w:val="00142D5F"/>
    <w:rsid w:val="001430D6"/>
    <w:rsid w:val="001436AB"/>
    <w:rsid w:val="00143949"/>
    <w:rsid w:val="001440BF"/>
    <w:rsid w:val="00144178"/>
    <w:rsid w:val="00144974"/>
    <w:rsid w:val="00144A75"/>
    <w:rsid w:val="00144B79"/>
    <w:rsid w:val="00144EE0"/>
    <w:rsid w:val="00144F26"/>
    <w:rsid w:val="0014501A"/>
    <w:rsid w:val="00145156"/>
    <w:rsid w:val="00145B53"/>
    <w:rsid w:val="00145DA9"/>
    <w:rsid w:val="00146217"/>
    <w:rsid w:val="001463E8"/>
    <w:rsid w:val="0014656E"/>
    <w:rsid w:val="00146620"/>
    <w:rsid w:val="0014690D"/>
    <w:rsid w:val="00146E58"/>
    <w:rsid w:val="0014708E"/>
    <w:rsid w:val="001473FD"/>
    <w:rsid w:val="001478AC"/>
    <w:rsid w:val="00150928"/>
    <w:rsid w:val="00150967"/>
    <w:rsid w:val="001510F0"/>
    <w:rsid w:val="001513C1"/>
    <w:rsid w:val="001513D7"/>
    <w:rsid w:val="0015142E"/>
    <w:rsid w:val="0015154D"/>
    <w:rsid w:val="001519CD"/>
    <w:rsid w:val="001519E1"/>
    <w:rsid w:val="00151B33"/>
    <w:rsid w:val="00151B78"/>
    <w:rsid w:val="001521F6"/>
    <w:rsid w:val="001524BB"/>
    <w:rsid w:val="00152953"/>
    <w:rsid w:val="00152D56"/>
    <w:rsid w:val="00152E40"/>
    <w:rsid w:val="0015314C"/>
    <w:rsid w:val="00153256"/>
    <w:rsid w:val="0015379E"/>
    <w:rsid w:val="00153ED3"/>
    <w:rsid w:val="001541D1"/>
    <w:rsid w:val="00155295"/>
    <w:rsid w:val="001554EC"/>
    <w:rsid w:val="00155666"/>
    <w:rsid w:val="001556C8"/>
    <w:rsid w:val="001556D9"/>
    <w:rsid w:val="00155715"/>
    <w:rsid w:val="00155D85"/>
    <w:rsid w:val="001562EC"/>
    <w:rsid w:val="00156322"/>
    <w:rsid w:val="001565EC"/>
    <w:rsid w:val="001567A6"/>
    <w:rsid w:val="00156927"/>
    <w:rsid w:val="00156F78"/>
    <w:rsid w:val="00157269"/>
    <w:rsid w:val="001573AA"/>
    <w:rsid w:val="00157859"/>
    <w:rsid w:val="0015792B"/>
    <w:rsid w:val="001579D8"/>
    <w:rsid w:val="00157CFA"/>
    <w:rsid w:val="00157EFE"/>
    <w:rsid w:val="0016003F"/>
    <w:rsid w:val="0016043F"/>
    <w:rsid w:val="00160678"/>
    <w:rsid w:val="00160723"/>
    <w:rsid w:val="00160FAC"/>
    <w:rsid w:val="0016137C"/>
    <w:rsid w:val="001613A0"/>
    <w:rsid w:val="001614B2"/>
    <w:rsid w:val="001614D6"/>
    <w:rsid w:val="00161BE5"/>
    <w:rsid w:val="00161BFB"/>
    <w:rsid w:val="00161EB4"/>
    <w:rsid w:val="0016321E"/>
    <w:rsid w:val="0016392A"/>
    <w:rsid w:val="00163958"/>
    <w:rsid w:val="00164012"/>
    <w:rsid w:val="0016456B"/>
    <w:rsid w:val="0016471A"/>
    <w:rsid w:val="0016478F"/>
    <w:rsid w:val="001648F9"/>
    <w:rsid w:val="00164A3C"/>
    <w:rsid w:val="00164AE8"/>
    <w:rsid w:val="00165FB9"/>
    <w:rsid w:val="001664FC"/>
    <w:rsid w:val="001668D6"/>
    <w:rsid w:val="00166CE7"/>
    <w:rsid w:val="00166DFA"/>
    <w:rsid w:val="00166E97"/>
    <w:rsid w:val="0016711A"/>
    <w:rsid w:val="001678A0"/>
    <w:rsid w:val="00167B67"/>
    <w:rsid w:val="0017036B"/>
    <w:rsid w:val="0017074B"/>
    <w:rsid w:val="00171017"/>
    <w:rsid w:val="00171561"/>
    <w:rsid w:val="0017162F"/>
    <w:rsid w:val="001717F4"/>
    <w:rsid w:val="00171AB6"/>
    <w:rsid w:val="00172321"/>
    <w:rsid w:val="001723D5"/>
    <w:rsid w:val="0017268D"/>
    <w:rsid w:val="0017284B"/>
    <w:rsid w:val="00172B59"/>
    <w:rsid w:val="00172ECF"/>
    <w:rsid w:val="001731A2"/>
    <w:rsid w:val="001732CF"/>
    <w:rsid w:val="001732D5"/>
    <w:rsid w:val="001739E8"/>
    <w:rsid w:val="00173A45"/>
    <w:rsid w:val="00173BB1"/>
    <w:rsid w:val="00174044"/>
    <w:rsid w:val="0017423E"/>
    <w:rsid w:val="001742A2"/>
    <w:rsid w:val="00174575"/>
    <w:rsid w:val="00174766"/>
    <w:rsid w:val="00174BCF"/>
    <w:rsid w:val="00174DDD"/>
    <w:rsid w:val="00175572"/>
    <w:rsid w:val="001757DD"/>
    <w:rsid w:val="00175806"/>
    <w:rsid w:val="00175C8A"/>
    <w:rsid w:val="00176479"/>
    <w:rsid w:val="0017664A"/>
    <w:rsid w:val="0017687D"/>
    <w:rsid w:val="00176B39"/>
    <w:rsid w:val="00176C2B"/>
    <w:rsid w:val="00177676"/>
    <w:rsid w:val="00177D55"/>
    <w:rsid w:val="00177E1F"/>
    <w:rsid w:val="001802B0"/>
    <w:rsid w:val="00180592"/>
    <w:rsid w:val="0018063C"/>
    <w:rsid w:val="00180663"/>
    <w:rsid w:val="001807A5"/>
    <w:rsid w:val="00180841"/>
    <w:rsid w:val="00180B54"/>
    <w:rsid w:val="00180C76"/>
    <w:rsid w:val="00180D86"/>
    <w:rsid w:val="0018130E"/>
    <w:rsid w:val="0018181B"/>
    <w:rsid w:val="00181888"/>
    <w:rsid w:val="00181B85"/>
    <w:rsid w:val="00181C21"/>
    <w:rsid w:val="00181C90"/>
    <w:rsid w:val="0018200A"/>
    <w:rsid w:val="00182546"/>
    <w:rsid w:val="0018295F"/>
    <w:rsid w:val="001829A6"/>
    <w:rsid w:val="001829EA"/>
    <w:rsid w:val="00182B14"/>
    <w:rsid w:val="00182CF3"/>
    <w:rsid w:val="001831A9"/>
    <w:rsid w:val="00183344"/>
    <w:rsid w:val="00183C1C"/>
    <w:rsid w:val="00183F9B"/>
    <w:rsid w:val="00184451"/>
    <w:rsid w:val="001844F5"/>
    <w:rsid w:val="001845EF"/>
    <w:rsid w:val="001845F2"/>
    <w:rsid w:val="00184B72"/>
    <w:rsid w:val="00185065"/>
    <w:rsid w:val="001850ED"/>
    <w:rsid w:val="00185192"/>
    <w:rsid w:val="0018583C"/>
    <w:rsid w:val="001858A9"/>
    <w:rsid w:val="001858F3"/>
    <w:rsid w:val="00185B95"/>
    <w:rsid w:val="00185CC0"/>
    <w:rsid w:val="00185DA4"/>
    <w:rsid w:val="00185DF5"/>
    <w:rsid w:val="00185E3E"/>
    <w:rsid w:val="00186055"/>
    <w:rsid w:val="00186202"/>
    <w:rsid w:val="001864FB"/>
    <w:rsid w:val="00186915"/>
    <w:rsid w:val="001871F3"/>
    <w:rsid w:val="00187562"/>
    <w:rsid w:val="001876D1"/>
    <w:rsid w:val="001876D7"/>
    <w:rsid w:val="00187886"/>
    <w:rsid w:val="00187A1D"/>
    <w:rsid w:val="00187B6C"/>
    <w:rsid w:val="00187D5B"/>
    <w:rsid w:val="00187E04"/>
    <w:rsid w:val="0019042E"/>
    <w:rsid w:val="00190752"/>
    <w:rsid w:val="0019090B"/>
    <w:rsid w:val="00190B57"/>
    <w:rsid w:val="00190D0D"/>
    <w:rsid w:val="00190D99"/>
    <w:rsid w:val="00190DFA"/>
    <w:rsid w:val="0019117F"/>
    <w:rsid w:val="00191340"/>
    <w:rsid w:val="00191503"/>
    <w:rsid w:val="00191566"/>
    <w:rsid w:val="00191979"/>
    <w:rsid w:val="00191D5E"/>
    <w:rsid w:val="00191DA0"/>
    <w:rsid w:val="0019227A"/>
    <w:rsid w:val="00192438"/>
    <w:rsid w:val="001926EE"/>
    <w:rsid w:val="00193094"/>
    <w:rsid w:val="0019313F"/>
    <w:rsid w:val="0019380B"/>
    <w:rsid w:val="0019393E"/>
    <w:rsid w:val="00193AB6"/>
    <w:rsid w:val="00193AD1"/>
    <w:rsid w:val="00193B45"/>
    <w:rsid w:val="00193BD9"/>
    <w:rsid w:val="00194423"/>
    <w:rsid w:val="001947A0"/>
    <w:rsid w:val="00194FBA"/>
    <w:rsid w:val="001951D0"/>
    <w:rsid w:val="0019569B"/>
    <w:rsid w:val="00195AA9"/>
    <w:rsid w:val="001960DD"/>
    <w:rsid w:val="00196165"/>
    <w:rsid w:val="00196496"/>
    <w:rsid w:val="00196540"/>
    <w:rsid w:val="00196A39"/>
    <w:rsid w:val="00196B88"/>
    <w:rsid w:val="00196BD4"/>
    <w:rsid w:val="00196E0B"/>
    <w:rsid w:val="001970E3"/>
    <w:rsid w:val="001971B0"/>
    <w:rsid w:val="0019722E"/>
    <w:rsid w:val="00197348"/>
    <w:rsid w:val="00197809"/>
    <w:rsid w:val="001A0678"/>
    <w:rsid w:val="001A0740"/>
    <w:rsid w:val="001A0754"/>
    <w:rsid w:val="001A184D"/>
    <w:rsid w:val="001A18CB"/>
    <w:rsid w:val="001A193D"/>
    <w:rsid w:val="001A1B9B"/>
    <w:rsid w:val="001A2001"/>
    <w:rsid w:val="001A2159"/>
    <w:rsid w:val="001A231A"/>
    <w:rsid w:val="001A2450"/>
    <w:rsid w:val="001A2A18"/>
    <w:rsid w:val="001A2E6B"/>
    <w:rsid w:val="001A2EA8"/>
    <w:rsid w:val="001A2FE7"/>
    <w:rsid w:val="001A3140"/>
    <w:rsid w:val="001A3468"/>
    <w:rsid w:val="001A3683"/>
    <w:rsid w:val="001A37B8"/>
    <w:rsid w:val="001A3A19"/>
    <w:rsid w:val="001A3E7F"/>
    <w:rsid w:val="001A3E9B"/>
    <w:rsid w:val="001A4101"/>
    <w:rsid w:val="001A468F"/>
    <w:rsid w:val="001A4B04"/>
    <w:rsid w:val="001A4B0B"/>
    <w:rsid w:val="001A4D1F"/>
    <w:rsid w:val="001A4DEE"/>
    <w:rsid w:val="001A4EA3"/>
    <w:rsid w:val="001A5135"/>
    <w:rsid w:val="001A5405"/>
    <w:rsid w:val="001A5FC6"/>
    <w:rsid w:val="001A5FEB"/>
    <w:rsid w:val="001A6418"/>
    <w:rsid w:val="001A6584"/>
    <w:rsid w:val="001A6CD7"/>
    <w:rsid w:val="001A6DB3"/>
    <w:rsid w:val="001A6E53"/>
    <w:rsid w:val="001A70CA"/>
    <w:rsid w:val="001A719C"/>
    <w:rsid w:val="001A72BD"/>
    <w:rsid w:val="001A75B7"/>
    <w:rsid w:val="001A767B"/>
    <w:rsid w:val="001A7EE7"/>
    <w:rsid w:val="001B00EA"/>
    <w:rsid w:val="001B0320"/>
    <w:rsid w:val="001B0849"/>
    <w:rsid w:val="001B0E84"/>
    <w:rsid w:val="001B1100"/>
    <w:rsid w:val="001B1466"/>
    <w:rsid w:val="001B1553"/>
    <w:rsid w:val="001B16D8"/>
    <w:rsid w:val="001B190D"/>
    <w:rsid w:val="001B2123"/>
    <w:rsid w:val="001B24C0"/>
    <w:rsid w:val="001B24F4"/>
    <w:rsid w:val="001B286E"/>
    <w:rsid w:val="001B2A16"/>
    <w:rsid w:val="001B2F3C"/>
    <w:rsid w:val="001B2FD0"/>
    <w:rsid w:val="001B3549"/>
    <w:rsid w:val="001B379C"/>
    <w:rsid w:val="001B3830"/>
    <w:rsid w:val="001B3A82"/>
    <w:rsid w:val="001B3A9B"/>
    <w:rsid w:val="001B3DCF"/>
    <w:rsid w:val="001B4082"/>
    <w:rsid w:val="001B4165"/>
    <w:rsid w:val="001B44DE"/>
    <w:rsid w:val="001B4528"/>
    <w:rsid w:val="001B46D1"/>
    <w:rsid w:val="001B4C0B"/>
    <w:rsid w:val="001B4C78"/>
    <w:rsid w:val="001B5043"/>
    <w:rsid w:val="001B6324"/>
    <w:rsid w:val="001B652A"/>
    <w:rsid w:val="001B6AD0"/>
    <w:rsid w:val="001B6DD6"/>
    <w:rsid w:val="001B780E"/>
    <w:rsid w:val="001B7C59"/>
    <w:rsid w:val="001B7DF0"/>
    <w:rsid w:val="001C0B5F"/>
    <w:rsid w:val="001C0ECC"/>
    <w:rsid w:val="001C0F69"/>
    <w:rsid w:val="001C1244"/>
    <w:rsid w:val="001C1F87"/>
    <w:rsid w:val="001C2325"/>
    <w:rsid w:val="001C2332"/>
    <w:rsid w:val="001C2379"/>
    <w:rsid w:val="001C26EC"/>
    <w:rsid w:val="001C2702"/>
    <w:rsid w:val="001C2EA9"/>
    <w:rsid w:val="001C2F1F"/>
    <w:rsid w:val="001C32E9"/>
    <w:rsid w:val="001C36ED"/>
    <w:rsid w:val="001C38E0"/>
    <w:rsid w:val="001C39F4"/>
    <w:rsid w:val="001C3C77"/>
    <w:rsid w:val="001C4781"/>
    <w:rsid w:val="001C4916"/>
    <w:rsid w:val="001C4976"/>
    <w:rsid w:val="001C51FB"/>
    <w:rsid w:val="001C571F"/>
    <w:rsid w:val="001C57A8"/>
    <w:rsid w:val="001C5988"/>
    <w:rsid w:val="001C5DE6"/>
    <w:rsid w:val="001C5DFD"/>
    <w:rsid w:val="001C5FA7"/>
    <w:rsid w:val="001C642E"/>
    <w:rsid w:val="001C65D4"/>
    <w:rsid w:val="001C688A"/>
    <w:rsid w:val="001C69DD"/>
    <w:rsid w:val="001C6A3D"/>
    <w:rsid w:val="001C6D39"/>
    <w:rsid w:val="001C7B81"/>
    <w:rsid w:val="001C7D9E"/>
    <w:rsid w:val="001C7FAE"/>
    <w:rsid w:val="001D05CC"/>
    <w:rsid w:val="001D1052"/>
    <w:rsid w:val="001D12A1"/>
    <w:rsid w:val="001D12D1"/>
    <w:rsid w:val="001D168B"/>
    <w:rsid w:val="001D18A2"/>
    <w:rsid w:val="001D1E6F"/>
    <w:rsid w:val="001D2067"/>
    <w:rsid w:val="001D22EB"/>
    <w:rsid w:val="001D24F0"/>
    <w:rsid w:val="001D2C10"/>
    <w:rsid w:val="001D2E13"/>
    <w:rsid w:val="001D31E7"/>
    <w:rsid w:val="001D355F"/>
    <w:rsid w:val="001D3DE5"/>
    <w:rsid w:val="001D3FD1"/>
    <w:rsid w:val="001D4833"/>
    <w:rsid w:val="001D4876"/>
    <w:rsid w:val="001D4992"/>
    <w:rsid w:val="001D4BFC"/>
    <w:rsid w:val="001D4FD8"/>
    <w:rsid w:val="001D5068"/>
    <w:rsid w:val="001D519B"/>
    <w:rsid w:val="001D531C"/>
    <w:rsid w:val="001D5923"/>
    <w:rsid w:val="001D5C05"/>
    <w:rsid w:val="001D5D2D"/>
    <w:rsid w:val="001D5F96"/>
    <w:rsid w:val="001D5FB2"/>
    <w:rsid w:val="001D5FEB"/>
    <w:rsid w:val="001D61AA"/>
    <w:rsid w:val="001D62C6"/>
    <w:rsid w:val="001D6423"/>
    <w:rsid w:val="001D645A"/>
    <w:rsid w:val="001D65A4"/>
    <w:rsid w:val="001D665C"/>
    <w:rsid w:val="001D693E"/>
    <w:rsid w:val="001D74CA"/>
    <w:rsid w:val="001D76FF"/>
    <w:rsid w:val="001D7870"/>
    <w:rsid w:val="001D7CCD"/>
    <w:rsid w:val="001D7EF4"/>
    <w:rsid w:val="001E004B"/>
    <w:rsid w:val="001E01F6"/>
    <w:rsid w:val="001E0339"/>
    <w:rsid w:val="001E05EB"/>
    <w:rsid w:val="001E0FC8"/>
    <w:rsid w:val="001E0FF7"/>
    <w:rsid w:val="001E103F"/>
    <w:rsid w:val="001E106B"/>
    <w:rsid w:val="001E1371"/>
    <w:rsid w:val="001E146E"/>
    <w:rsid w:val="001E2012"/>
    <w:rsid w:val="001E23C8"/>
    <w:rsid w:val="001E26DF"/>
    <w:rsid w:val="001E280D"/>
    <w:rsid w:val="001E286C"/>
    <w:rsid w:val="001E2C57"/>
    <w:rsid w:val="001E3092"/>
    <w:rsid w:val="001E323E"/>
    <w:rsid w:val="001E35F9"/>
    <w:rsid w:val="001E365B"/>
    <w:rsid w:val="001E3AF4"/>
    <w:rsid w:val="001E3BC6"/>
    <w:rsid w:val="001E3E93"/>
    <w:rsid w:val="001E4386"/>
    <w:rsid w:val="001E4592"/>
    <w:rsid w:val="001E4A8A"/>
    <w:rsid w:val="001E521F"/>
    <w:rsid w:val="001E5572"/>
    <w:rsid w:val="001E5C4D"/>
    <w:rsid w:val="001E5D68"/>
    <w:rsid w:val="001E6182"/>
    <w:rsid w:val="001E6CA7"/>
    <w:rsid w:val="001E6DAC"/>
    <w:rsid w:val="001E6EB5"/>
    <w:rsid w:val="001E7840"/>
    <w:rsid w:val="001E7A32"/>
    <w:rsid w:val="001E7AB5"/>
    <w:rsid w:val="001E7CE7"/>
    <w:rsid w:val="001E7CEC"/>
    <w:rsid w:val="001E7CFF"/>
    <w:rsid w:val="001E7DF9"/>
    <w:rsid w:val="001E7ED4"/>
    <w:rsid w:val="001F0096"/>
    <w:rsid w:val="001F0099"/>
    <w:rsid w:val="001F0188"/>
    <w:rsid w:val="001F0328"/>
    <w:rsid w:val="001F0363"/>
    <w:rsid w:val="001F0635"/>
    <w:rsid w:val="001F06AD"/>
    <w:rsid w:val="001F08CB"/>
    <w:rsid w:val="001F1001"/>
    <w:rsid w:val="001F1864"/>
    <w:rsid w:val="001F19F2"/>
    <w:rsid w:val="001F1DE6"/>
    <w:rsid w:val="001F22B5"/>
    <w:rsid w:val="001F23F0"/>
    <w:rsid w:val="001F2507"/>
    <w:rsid w:val="001F27A5"/>
    <w:rsid w:val="001F2C4B"/>
    <w:rsid w:val="001F31AD"/>
    <w:rsid w:val="001F36E7"/>
    <w:rsid w:val="001F37C7"/>
    <w:rsid w:val="001F3898"/>
    <w:rsid w:val="001F3F59"/>
    <w:rsid w:val="001F4246"/>
    <w:rsid w:val="001F492C"/>
    <w:rsid w:val="001F493C"/>
    <w:rsid w:val="001F4B9C"/>
    <w:rsid w:val="001F539C"/>
    <w:rsid w:val="001F57AB"/>
    <w:rsid w:val="001F5BC2"/>
    <w:rsid w:val="001F6185"/>
    <w:rsid w:val="001F634F"/>
    <w:rsid w:val="001F6623"/>
    <w:rsid w:val="001F68B2"/>
    <w:rsid w:val="001F6A5A"/>
    <w:rsid w:val="001F6BEC"/>
    <w:rsid w:val="001F6C8E"/>
    <w:rsid w:val="001F6CBF"/>
    <w:rsid w:val="001F7125"/>
    <w:rsid w:val="001F7250"/>
    <w:rsid w:val="001F741A"/>
    <w:rsid w:val="001F74DB"/>
    <w:rsid w:val="001F754C"/>
    <w:rsid w:val="001F77F9"/>
    <w:rsid w:val="001F78C0"/>
    <w:rsid w:val="001F7947"/>
    <w:rsid w:val="001F7964"/>
    <w:rsid w:val="001F7AE5"/>
    <w:rsid w:val="001F7E64"/>
    <w:rsid w:val="002005B3"/>
    <w:rsid w:val="00201644"/>
    <w:rsid w:val="002016BF"/>
    <w:rsid w:val="0020188D"/>
    <w:rsid w:val="00201D17"/>
    <w:rsid w:val="00201EDA"/>
    <w:rsid w:val="00201F17"/>
    <w:rsid w:val="002026B1"/>
    <w:rsid w:val="00202775"/>
    <w:rsid w:val="002027EF"/>
    <w:rsid w:val="00202918"/>
    <w:rsid w:val="00202B2F"/>
    <w:rsid w:val="00202F30"/>
    <w:rsid w:val="0020323D"/>
    <w:rsid w:val="002032EA"/>
    <w:rsid w:val="00203676"/>
    <w:rsid w:val="00203810"/>
    <w:rsid w:val="00203929"/>
    <w:rsid w:val="00203987"/>
    <w:rsid w:val="002039F0"/>
    <w:rsid w:val="00203A20"/>
    <w:rsid w:val="00203BC1"/>
    <w:rsid w:val="00204031"/>
    <w:rsid w:val="002043B6"/>
    <w:rsid w:val="002045BB"/>
    <w:rsid w:val="0020468D"/>
    <w:rsid w:val="002049CC"/>
    <w:rsid w:val="00204AD2"/>
    <w:rsid w:val="00204CE0"/>
    <w:rsid w:val="0020516F"/>
    <w:rsid w:val="00205619"/>
    <w:rsid w:val="00205638"/>
    <w:rsid w:val="002057F8"/>
    <w:rsid w:val="00205B26"/>
    <w:rsid w:val="00205BFF"/>
    <w:rsid w:val="00205D0E"/>
    <w:rsid w:val="00205EA5"/>
    <w:rsid w:val="00206150"/>
    <w:rsid w:val="00206259"/>
    <w:rsid w:val="00206351"/>
    <w:rsid w:val="00206433"/>
    <w:rsid w:val="0020654A"/>
    <w:rsid w:val="00206789"/>
    <w:rsid w:val="002068E9"/>
    <w:rsid w:val="002069BB"/>
    <w:rsid w:val="00206A72"/>
    <w:rsid w:val="00206CEE"/>
    <w:rsid w:val="00206F0C"/>
    <w:rsid w:val="002071F4"/>
    <w:rsid w:val="0020747D"/>
    <w:rsid w:val="002074E3"/>
    <w:rsid w:val="002077B4"/>
    <w:rsid w:val="00207B8A"/>
    <w:rsid w:val="00207C6A"/>
    <w:rsid w:val="00210AFB"/>
    <w:rsid w:val="00210BF1"/>
    <w:rsid w:val="00210FD2"/>
    <w:rsid w:val="002111E2"/>
    <w:rsid w:val="002113B9"/>
    <w:rsid w:val="002117EB"/>
    <w:rsid w:val="00211824"/>
    <w:rsid w:val="002118DA"/>
    <w:rsid w:val="00211AFD"/>
    <w:rsid w:val="00212575"/>
    <w:rsid w:val="00212B3C"/>
    <w:rsid w:val="00212E1D"/>
    <w:rsid w:val="00212F97"/>
    <w:rsid w:val="002130F1"/>
    <w:rsid w:val="00213455"/>
    <w:rsid w:val="00213D12"/>
    <w:rsid w:val="00213F18"/>
    <w:rsid w:val="00214006"/>
    <w:rsid w:val="002140AE"/>
    <w:rsid w:val="00214803"/>
    <w:rsid w:val="00214D78"/>
    <w:rsid w:val="00214F54"/>
    <w:rsid w:val="0021536E"/>
    <w:rsid w:val="002154A0"/>
    <w:rsid w:val="00215799"/>
    <w:rsid w:val="002158C2"/>
    <w:rsid w:val="00215A03"/>
    <w:rsid w:val="00215CA4"/>
    <w:rsid w:val="00215CE2"/>
    <w:rsid w:val="00216619"/>
    <w:rsid w:val="002166D4"/>
    <w:rsid w:val="00216911"/>
    <w:rsid w:val="00216DF0"/>
    <w:rsid w:val="00216E33"/>
    <w:rsid w:val="0021774B"/>
    <w:rsid w:val="002177B3"/>
    <w:rsid w:val="00217AB8"/>
    <w:rsid w:val="00217BE2"/>
    <w:rsid w:val="00217CC9"/>
    <w:rsid w:val="00217F3D"/>
    <w:rsid w:val="002200B1"/>
    <w:rsid w:val="0022014B"/>
    <w:rsid w:val="00220313"/>
    <w:rsid w:val="002203BF"/>
    <w:rsid w:val="00220433"/>
    <w:rsid w:val="0022080F"/>
    <w:rsid w:val="002208EE"/>
    <w:rsid w:val="002208F0"/>
    <w:rsid w:val="00220ED8"/>
    <w:rsid w:val="00221399"/>
    <w:rsid w:val="0022153A"/>
    <w:rsid w:val="00221848"/>
    <w:rsid w:val="002218EA"/>
    <w:rsid w:val="0022190D"/>
    <w:rsid w:val="00221971"/>
    <w:rsid w:val="00221A6B"/>
    <w:rsid w:val="00221A94"/>
    <w:rsid w:val="00221AE6"/>
    <w:rsid w:val="00221D0C"/>
    <w:rsid w:val="00221D4C"/>
    <w:rsid w:val="00221FEF"/>
    <w:rsid w:val="00222053"/>
    <w:rsid w:val="00222513"/>
    <w:rsid w:val="00222747"/>
    <w:rsid w:val="002228B4"/>
    <w:rsid w:val="00222980"/>
    <w:rsid w:val="00222D07"/>
    <w:rsid w:val="00222DF0"/>
    <w:rsid w:val="00223140"/>
    <w:rsid w:val="002231B7"/>
    <w:rsid w:val="00223659"/>
    <w:rsid w:val="002236EA"/>
    <w:rsid w:val="0022386A"/>
    <w:rsid w:val="00223B03"/>
    <w:rsid w:val="00223B73"/>
    <w:rsid w:val="00223F27"/>
    <w:rsid w:val="0022430C"/>
    <w:rsid w:val="00224FDA"/>
    <w:rsid w:val="002250AC"/>
    <w:rsid w:val="002251B6"/>
    <w:rsid w:val="00225361"/>
    <w:rsid w:val="00225B92"/>
    <w:rsid w:val="00225CB3"/>
    <w:rsid w:val="002265D3"/>
    <w:rsid w:val="00226656"/>
    <w:rsid w:val="002269CF"/>
    <w:rsid w:val="002271E7"/>
    <w:rsid w:val="002271FB"/>
    <w:rsid w:val="002272EA"/>
    <w:rsid w:val="00227538"/>
    <w:rsid w:val="00227756"/>
    <w:rsid w:val="00227862"/>
    <w:rsid w:val="00227AA7"/>
    <w:rsid w:val="00227CD0"/>
    <w:rsid w:val="00227FB4"/>
    <w:rsid w:val="00230096"/>
    <w:rsid w:val="002304ED"/>
    <w:rsid w:val="002305E8"/>
    <w:rsid w:val="0023072F"/>
    <w:rsid w:val="00230811"/>
    <w:rsid w:val="00230AF8"/>
    <w:rsid w:val="00230BD1"/>
    <w:rsid w:val="00230C37"/>
    <w:rsid w:val="00230F3B"/>
    <w:rsid w:val="00231090"/>
    <w:rsid w:val="002315D4"/>
    <w:rsid w:val="002317D3"/>
    <w:rsid w:val="002317FC"/>
    <w:rsid w:val="00232027"/>
    <w:rsid w:val="00232149"/>
    <w:rsid w:val="00232170"/>
    <w:rsid w:val="00232515"/>
    <w:rsid w:val="00232525"/>
    <w:rsid w:val="00232768"/>
    <w:rsid w:val="002327EE"/>
    <w:rsid w:val="00232A53"/>
    <w:rsid w:val="00233421"/>
    <w:rsid w:val="00233A1E"/>
    <w:rsid w:val="00233ABD"/>
    <w:rsid w:val="00233C35"/>
    <w:rsid w:val="00233CAE"/>
    <w:rsid w:val="00233D31"/>
    <w:rsid w:val="00233DCE"/>
    <w:rsid w:val="00234518"/>
    <w:rsid w:val="00234699"/>
    <w:rsid w:val="0023499B"/>
    <w:rsid w:val="0023512B"/>
    <w:rsid w:val="002351A8"/>
    <w:rsid w:val="002352C6"/>
    <w:rsid w:val="0023551B"/>
    <w:rsid w:val="00235544"/>
    <w:rsid w:val="00235A28"/>
    <w:rsid w:val="00235BCD"/>
    <w:rsid w:val="00235D9F"/>
    <w:rsid w:val="00236268"/>
    <w:rsid w:val="002364A6"/>
    <w:rsid w:val="002364A7"/>
    <w:rsid w:val="00236BE8"/>
    <w:rsid w:val="00236E8B"/>
    <w:rsid w:val="002373D2"/>
    <w:rsid w:val="002374C6"/>
    <w:rsid w:val="00237BAC"/>
    <w:rsid w:val="00237BBB"/>
    <w:rsid w:val="00240568"/>
    <w:rsid w:val="00240750"/>
    <w:rsid w:val="00240884"/>
    <w:rsid w:val="00240A4D"/>
    <w:rsid w:val="00240BC7"/>
    <w:rsid w:val="00241001"/>
    <w:rsid w:val="00241017"/>
    <w:rsid w:val="00241277"/>
    <w:rsid w:val="002416BC"/>
    <w:rsid w:val="002417AB"/>
    <w:rsid w:val="00241DF0"/>
    <w:rsid w:val="002422B2"/>
    <w:rsid w:val="00242461"/>
    <w:rsid w:val="00242528"/>
    <w:rsid w:val="00242683"/>
    <w:rsid w:val="0024285F"/>
    <w:rsid w:val="00242BF4"/>
    <w:rsid w:val="00242CAE"/>
    <w:rsid w:val="00242E36"/>
    <w:rsid w:val="00242FE5"/>
    <w:rsid w:val="002430CC"/>
    <w:rsid w:val="0024334C"/>
    <w:rsid w:val="00243673"/>
    <w:rsid w:val="00243A5A"/>
    <w:rsid w:val="00243B1B"/>
    <w:rsid w:val="00243F00"/>
    <w:rsid w:val="00244249"/>
    <w:rsid w:val="0024437B"/>
    <w:rsid w:val="00244DD9"/>
    <w:rsid w:val="0024590A"/>
    <w:rsid w:val="00245C96"/>
    <w:rsid w:val="002464DE"/>
    <w:rsid w:val="002465E9"/>
    <w:rsid w:val="00246C64"/>
    <w:rsid w:val="00247100"/>
    <w:rsid w:val="00247514"/>
    <w:rsid w:val="00247692"/>
    <w:rsid w:val="00247CC7"/>
    <w:rsid w:val="002500C5"/>
    <w:rsid w:val="00250179"/>
    <w:rsid w:val="00250403"/>
    <w:rsid w:val="00250414"/>
    <w:rsid w:val="0025069E"/>
    <w:rsid w:val="00250C38"/>
    <w:rsid w:val="00250FF3"/>
    <w:rsid w:val="002514A0"/>
    <w:rsid w:val="00251544"/>
    <w:rsid w:val="002516CF"/>
    <w:rsid w:val="0025188E"/>
    <w:rsid w:val="002518A1"/>
    <w:rsid w:val="0025196D"/>
    <w:rsid w:val="002519A1"/>
    <w:rsid w:val="002521BE"/>
    <w:rsid w:val="002523CF"/>
    <w:rsid w:val="00252B4C"/>
    <w:rsid w:val="00252DF2"/>
    <w:rsid w:val="00253470"/>
    <w:rsid w:val="0025353C"/>
    <w:rsid w:val="00253936"/>
    <w:rsid w:val="00253EA6"/>
    <w:rsid w:val="00254251"/>
    <w:rsid w:val="002542BD"/>
    <w:rsid w:val="00254327"/>
    <w:rsid w:val="0025494B"/>
    <w:rsid w:val="00254A72"/>
    <w:rsid w:val="00255255"/>
    <w:rsid w:val="00255279"/>
    <w:rsid w:val="002559D6"/>
    <w:rsid w:val="00256028"/>
    <w:rsid w:val="00256070"/>
    <w:rsid w:val="00256236"/>
    <w:rsid w:val="0025648E"/>
    <w:rsid w:val="00256771"/>
    <w:rsid w:val="00256BC8"/>
    <w:rsid w:val="00256D05"/>
    <w:rsid w:val="00256F66"/>
    <w:rsid w:val="00257449"/>
    <w:rsid w:val="002574CE"/>
    <w:rsid w:val="00257846"/>
    <w:rsid w:val="00257876"/>
    <w:rsid w:val="00257B3B"/>
    <w:rsid w:val="00257D1F"/>
    <w:rsid w:val="00257DFF"/>
    <w:rsid w:val="00257FFE"/>
    <w:rsid w:val="00260248"/>
    <w:rsid w:val="00260629"/>
    <w:rsid w:val="00260772"/>
    <w:rsid w:val="002607D7"/>
    <w:rsid w:val="00260B6A"/>
    <w:rsid w:val="0026103D"/>
    <w:rsid w:val="002611AF"/>
    <w:rsid w:val="00261219"/>
    <w:rsid w:val="00261912"/>
    <w:rsid w:val="00261B7E"/>
    <w:rsid w:val="00262187"/>
    <w:rsid w:val="002622D4"/>
    <w:rsid w:val="00262450"/>
    <w:rsid w:val="00262487"/>
    <w:rsid w:val="00262493"/>
    <w:rsid w:val="0026265A"/>
    <w:rsid w:val="0026277B"/>
    <w:rsid w:val="00262930"/>
    <w:rsid w:val="0026311A"/>
    <w:rsid w:val="002637EA"/>
    <w:rsid w:val="002639FA"/>
    <w:rsid w:val="00263B23"/>
    <w:rsid w:val="00263EA7"/>
    <w:rsid w:val="002645BB"/>
    <w:rsid w:val="002648FD"/>
    <w:rsid w:val="002649E9"/>
    <w:rsid w:val="00264E80"/>
    <w:rsid w:val="0026517A"/>
    <w:rsid w:val="002651E2"/>
    <w:rsid w:val="00265BF5"/>
    <w:rsid w:val="00265FBA"/>
    <w:rsid w:val="0026607A"/>
    <w:rsid w:val="002664D6"/>
    <w:rsid w:val="00266B1A"/>
    <w:rsid w:val="00266EBC"/>
    <w:rsid w:val="0026724C"/>
    <w:rsid w:val="00267263"/>
    <w:rsid w:val="00267298"/>
    <w:rsid w:val="00267517"/>
    <w:rsid w:val="0026757D"/>
    <w:rsid w:val="00267A2D"/>
    <w:rsid w:val="00270205"/>
    <w:rsid w:val="00270603"/>
    <w:rsid w:val="002708A1"/>
    <w:rsid w:val="002708E3"/>
    <w:rsid w:val="00270C4F"/>
    <w:rsid w:val="00271333"/>
    <w:rsid w:val="00271745"/>
    <w:rsid w:val="002717F3"/>
    <w:rsid w:val="002718B5"/>
    <w:rsid w:val="00271A29"/>
    <w:rsid w:val="002723E9"/>
    <w:rsid w:val="002725C9"/>
    <w:rsid w:val="002726A2"/>
    <w:rsid w:val="002727C5"/>
    <w:rsid w:val="00272901"/>
    <w:rsid w:val="00272C39"/>
    <w:rsid w:val="00272C42"/>
    <w:rsid w:val="00272F8D"/>
    <w:rsid w:val="0027300D"/>
    <w:rsid w:val="002732A7"/>
    <w:rsid w:val="002733B2"/>
    <w:rsid w:val="002733DF"/>
    <w:rsid w:val="00273585"/>
    <w:rsid w:val="002737EC"/>
    <w:rsid w:val="0027380C"/>
    <w:rsid w:val="002739CA"/>
    <w:rsid w:val="00273BC5"/>
    <w:rsid w:val="002740DB"/>
    <w:rsid w:val="002746BD"/>
    <w:rsid w:val="002746E3"/>
    <w:rsid w:val="00274A12"/>
    <w:rsid w:val="00274BAC"/>
    <w:rsid w:val="00274C04"/>
    <w:rsid w:val="0027506B"/>
    <w:rsid w:val="002755E8"/>
    <w:rsid w:val="00275EAA"/>
    <w:rsid w:val="00275EF1"/>
    <w:rsid w:val="00276296"/>
    <w:rsid w:val="00276FFA"/>
    <w:rsid w:val="002772F1"/>
    <w:rsid w:val="00277419"/>
    <w:rsid w:val="0027741C"/>
    <w:rsid w:val="002779A5"/>
    <w:rsid w:val="00277B4B"/>
    <w:rsid w:val="00277B56"/>
    <w:rsid w:val="00277C32"/>
    <w:rsid w:val="00277CF2"/>
    <w:rsid w:val="00277F47"/>
    <w:rsid w:val="00280094"/>
    <w:rsid w:val="002802C8"/>
    <w:rsid w:val="002809DA"/>
    <w:rsid w:val="00280C53"/>
    <w:rsid w:val="00280DFB"/>
    <w:rsid w:val="002810DE"/>
    <w:rsid w:val="002811A2"/>
    <w:rsid w:val="0028125A"/>
    <w:rsid w:val="0028154A"/>
    <w:rsid w:val="00281BB7"/>
    <w:rsid w:val="00282086"/>
    <w:rsid w:val="00282284"/>
    <w:rsid w:val="0028238B"/>
    <w:rsid w:val="0028281A"/>
    <w:rsid w:val="0028287A"/>
    <w:rsid w:val="00282D4A"/>
    <w:rsid w:val="00282F3D"/>
    <w:rsid w:val="00282F6D"/>
    <w:rsid w:val="00282FC1"/>
    <w:rsid w:val="0028327D"/>
    <w:rsid w:val="002837D8"/>
    <w:rsid w:val="00283860"/>
    <w:rsid w:val="00283AC9"/>
    <w:rsid w:val="00283DEC"/>
    <w:rsid w:val="00284E21"/>
    <w:rsid w:val="002851DB"/>
    <w:rsid w:val="002853A1"/>
    <w:rsid w:val="00285A94"/>
    <w:rsid w:val="00285B26"/>
    <w:rsid w:val="00285DCC"/>
    <w:rsid w:val="002861A5"/>
    <w:rsid w:val="002865CE"/>
    <w:rsid w:val="00286644"/>
    <w:rsid w:val="0028668C"/>
    <w:rsid w:val="002866A9"/>
    <w:rsid w:val="002869E9"/>
    <w:rsid w:val="00286BCD"/>
    <w:rsid w:val="00287743"/>
    <w:rsid w:val="002879AF"/>
    <w:rsid w:val="00287E7D"/>
    <w:rsid w:val="00287FF2"/>
    <w:rsid w:val="00290943"/>
    <w:rsid w:val="00290C5B"/>
    <w:rsid w:val="00290FA5"/>
    <w:rsid w:val="0029134A"/>
    <w:rsid w:val="00291B43"/>
    <w:rsid w:val="00291C92"/>
    <w:rsid w:val="00291CF6"/>
    <w:rsid w:val="00292613"/>
    <w:rsid w:val="00292631"/>
    <w:rsid w:val="0029269E"/>
    <w:rsid w:val="00292FB0"/>
    <w:rsid w:val="002935E5"/>
    <w:rsid w:val="002938D7"/>
    <w:rsid w:val="00293B3B"/>
    <w:rsid w:val="00293F72"/>
    <w:rsid w:val="00294112"/>
    <w:rsid w:val="0029474E"/>
    <w:rsid w:val="002949FC"/>
    <w:rsid w:val="00294C38"/>
    <w:rsid w:val="00295231"/>
    <w:rsid w:val="0029527A"/>
    <w:rsid w:val="00296312"/>
    <w:rsid w:val="0029635D"/>
    <w:rsid w:val="0029660F"/>
    <w:rsid w:val="00296B44"/>
    <w:rsid w:val="00296B7C"/>
    <w:rsid w:val="00296E6F"/>
    <w:rsid w:val="00297546"/>
    <w:rsid w:val="0029763E"/>
    <w:rsid w:val="002978CE"/>
    <w:rsid w:val="00297944"/>
    <w:rsid w:val="00297AA6"/>
    <w:rsid w:val="00297ADE"/>
    <w:rsid w:val="00297C93"/>
    <w:rsid w:val="00297DAE"/>
    <w:rsid w:val="002A01EF"/>
    <w:rsid w:val="002A0573"/>
    <w:rsid w:val="002A086A"/>
    <w:rsid w:val="002A0BCF"/>
    <w:rsid w:val="002A0FAC"/>
    <w:rsid w:val="002A1239"/>
    <w:rsid w:val="002A143F"/>
    <w:rsid w:val="002A1552"/>
    <w:rsid w:val="002A15AD"/>
    <w:rsid w:val="002A1694"/>
    <w:rsid w:val="002A1B88"/>
    <w:rsid w:val="002A1C7E"/>
    <w:rsid w:val="002A1FAC"/>
    <w:rsid w:val="002A23D8"/>
    <w:rsid w:val="002A2477"/>
    <w:rsid w:val="002A28E7"/>
    <w:rsid w:val="002A294D"/>
    <w:rsid w:val="002A2B16"/>
    <w:rsid w:val="002A2B7D"/>
    <w:rsid w:val="002A2F7B"/>
    <w:rsid w:val="002A3402"/>
    <w:rsid w:val="002A39CA"/>
    <w:rsid w:val="002A3A04"/>
    <w:rsid w:val="002A3EA6"/>
    <w:rsid w:val="002A42A0"/>
    <w:rsid w:val="002A43BA"/>
    <w:rsid w:val="002A44D1"/>
    <w:rsid w:val="002A483F"/>
    <w:rsid w:val="002A4995"/>
    <w:rsid w:val="002A5329"/>
    <w:rsid w:val="002A5645"/>
    <w:rsid w:val="002A56B2"/>
    <w:rsid w:val="002A59AF"/>
    <w:rsid w:val="002A5A16"/>
    <w:rsid w:val="002A5D22"/>
    <w:rsid w:val="002A6055"/>
    <w:rsid w:val="002A60E1"/>
    <w:rsid w:val="002A64D6"/>
    <w:rsid w:val="002A698C"/>
    <w:rsid w:val="002A6D0C"/>
    <w:rsid w:val="002A6ED1"/>
    <w:rsid w:val="002A75AE"/>
    <w:rsid w:val="002A761C"/>
    <w:rsid w:val="002A7699"/>
    <w:rsid w:val="002A7ABD"/>
    <w:rsid w:val="002A7D90"/>
    <w:rsid w:val="002A7E70"/>
    <w:rsid w:val="002B0154"/>
    <w:rsid w:val="002B0432"/>
    <w:rsid w:val="002B0816"/>
    <w:rsid w:val="002B0916"/>
    <w:rsid w:val="002B0944"/>
    <w:rsid w:val="002B09CB"/>
    <w:rsid w:val="002B12E7"/>
    <w:rsid w:val="002B151E"/>
    <w:rsid w:val="002B19F9"/>
    <w:rsid w:val="002B1F1B"/>
    <w:rsid w:val="002B1F27"/>
    <w:rsid w:val="002B20CE"/>
    <w:rsid w:val="002B24FE"/>
    <w:rsid w:val="002B2A53"/>
    <w:rsid w:val="002B2C1D"/>
    <w:rsid w:val="002B2D1B"/>
    <w:rsid w:val="002B2FD9"/>
    <w:rsid w:val="002B3401"/>
    <w:rsid w:val="002B3652"/>
    <w:rsid w:val="002B379F"/>
    <w:rsid w:val="002B3C67"/>
    <w:rsid w:val="002B3D52"/>
    <w:rsid w:val="002B3F39"/>
    <w:rsid w:val="002B400B"/>
    <w:rsid w:val="002B4285"/>
    <w:rsid w:val="002B4ADD"/>
    <w:rsid w:val="002B5202"/>
    <w:rsid w:val="002B5445"/>
    <w:rsid w:val="002B565E"/>
    <w:rsid w:val="002B5BB8"/>
    <w:rsid w:val="002B5C2C"/>
    <w:rsid w:val="002B5DB4"/>
    <w:rsid w:val="002B5EE2"/>
    <w:rsid w:val="002B65BB"/>
    <w:rsid w:val="002B6608"/>
    <w:rsid w:val="002B6793"/>
    <w:rsid w:val="002B723D"/>
    <w:rsid w:val="002B7573"/>
    <w:rsid w:val="002B7BF6"/>
    <w:rsid w:val="002B7BFC"/>
    <w:rsid w:val="002B7FE9"/>
    <w:rsid w:val="002C0001"/>
    <w:rsid w:val="002C00BE"/>
    <w:rsid w:val="002C03C5"/>
    <w:rsid w:val="002C09C9"/>
    <w:rsid w:val="002C0DDE"/>
    <w:rsid w:val="002C0EAA"/>
    <w:rsid w:val="002C120E"/>
    <w:rsid w:val="002C165C"/>
    <w:rsid w:val="002C1F5A"/>
    <w:rsid w:val="002C1FE7"/>
    <w:rsid w:val="002C21FE"/>
    <w:rsid w:val="002C2640"/>
    <w:rsid w:val="002C2842"/>
    <w:rsid w:val="002C2906"/>
    <w:rsid w:val="002C2A4F"/>
    <w:rsid w:val="002C2B99"/>
    <w:rsid w:val="002C2EBC"/>
    <w:rsid w:val="002C2F38"/>
    <w:rsid w:val="002C3105"/>
    <w:rsid w:val="002C3133"/>
    <w:rsid w:val="002C3288"/>
    <w:rsid w:val="002C353E"/>
    <w:rsid w:val="002C3AE8"/>
    <w:rsid w:val="002C42BD"/>
    <w:rsid w:val="002C44BC"/>
    <w:rsid w:val="002C4D33"/>
    <w:rsid w:val="002C4E0C"/>
    <w:rsid w:val="002C50D6"/>
    <w:rsid w:val="002C593C"/>
    <w:rsid w:val="002C5BBD"/>
    <w:rsid w:val="002C60E6"/>
    <w:rsid w:val="002C61EC"/>
    <w:rsid w:val="002C62AB"/>
    <w:rsid w:val="002C689A"/>
    <w:rsid w:val="002C6B39"/>
    <w:rsid w:val="002C6CC8"/>
    <w:rsid w:val="002C6E26"/>
    <w:rsid w:val="002C740C"/>
    <w:rsid w:val="002C7730"/>
    <w:rsid w:val="002C7841"/>
    <w:rsid w:val="002C7AE8"/>
    <w:rsid w:val="002C7BCA"/>
    <w:rsid w:val="002C7BDC"/>
    <w:rsid w:val="002D0195"/>
    <w:rsid w:val="002D03C8"/>
    <w:rsid w:val="002D04E0"/>
    <w:rsid w:val="002D05E7"/>
    <w:rsid w:val="002D11B3"/>
    <w:rsid w:val="002D1B3E"/>
    <w:rsid w:val="002D1D79"/>
    <w:rsid w:val="002D1FC3"/>
    <w:rsid w:val="002D2231"/>
    <w:rsid w:val="002D22BC"/>
    <w:rsid w:val="002D2746"/>
    <w:rsid w:val="002D2EA1"/>
    <w:rsid w:val="002D3242"/>
    <w:rsid w:val="002D37F3"/>
    <w:rsid w:val="002D383D"/>
    <w:rsid w:val="002D3C7E"/>
    <w:rsid w:val="002D3F47"/>
    <w:rsid w:val="002D4817"/>
    <w:rsid w:val="002D4948"/>
    <w:rsid w:val="002D4ED4"/>
    <w:rsid w:val="002D4FD3"/>
    <w:rsid w:val="002D5C55"/>
    <w:rsid w:val="002D6716"/>
    <w:rsid w:val="002D6AAC"/>
    <w:rsid w:val="002D6BF8"/>
    <w:rsid w:val="002D6CEF"/>
    <w:rsid w:val="002D6E50"/>
    <w:rsid w:val="002D7054"/>
    <w:rsid w:val="002E006D"/>
    <w:rsid w:val="002E00BD"/>
    <w:rsid w:val="002E04B7"/>
    <w:rsid w:val="002E04D4"/>
    <w:rsid w:val="002E0973"/>
    <w:rsid w:val="002E09E9"/>
    <w:rsid w:val="002E0ADA"/>
    <w:rsid w:val="002E0E6A"/>
    <w:rsid w:val="002E0F23"/>
    <w:rsid w:val="002E1469"/>
    <w:rsid w:val="002E160C"/>
    <w:rsid w:val="002E1BF8"/>
    <w:rsid w:val="002E1C94"/>
    <w:rsid w:val="002E1CB8"/>
    <w:rsid w:val="002E21E9"/>
    <w:rsid w:val="002E24B1"/>
    <w:rsid w:val="002E258A"/>
    <w:rsid w:val="002E2635"/>
    <w:rsid w:val="002E269F"/>
    <w:rsid w:val="002E26B1"/>
    <w:rsid w:val="002E2726"/>
    <w:rsid w:val="002E2835"/>
    <w:rsid w:val="002E28DC"/>
    <w:rsid w:val="002E3534"/>
    <w:rsid w:val="002E3A0D"/>
    <w:rsid w:val="002E3A86"/>
    <w:rsid w:val="002E3DCC"/>
    <w:rsid w:val="002E3F48"/>
    <w:rsid w:val="002E444D"/>
    <w:rsid w:val="002E45CE"/>
    <w:rsid w:val="002E46D0"/>
    <w:rsid w:val="002E46FA"/>
    <w:rsid w:val="002E4CAC"/>
    <w:rsid w:val="002E4ED3"/>
    <w:rsid w:val="002E57E3"/>
    <w:rsid w:val="002E5E3D"/>
    <w:rsid w:val="002E6071"/>
    <w:rsid w:val="002E62DF"/>
    <w:rsid w:val="002E65FD"/>
    <w:rsid w:val="002E672A"/>
    <w:rsid w:val="002E6B99"/>
    <w:rsid w:val="002E6CC9"/>
    <w:rsid w:val="002E7032"/>
    <w:rsid w:val="002E77AC"/>
    <w:rsid w:val="002E7979"/>
    <w:rsid w:val="002E7CC8"/>
    <w:rsid w:val="002E7D6D"/>
    <w:rsid w:val="002E7E4B"/>
    <w:rsid w:val="002F006B"/>
    <w:rsid w:val="002F00EA"/>
    <w:rsid w:val="002F0545"/>
    <w:rsid w:val="002F0A20"/>
    <w:rsid w:val="002F0AA1"/>
    <w:rsid w:val="002F0B3D"/>
    <w:rsid w:val="002F0DC8"/>
    <w:rsid w:val="002F0F5A"/>
    <w:rsid w:val="002F107E"/>
    <w:rsid w:val="002F11C1"/>
    <w:rsid w:val="002F12C0"/>
    <w:rsid w:val="002F14A2"/>
    <w:rsid w:val="002F1952"/>
    <w:rsid w:val="002F1B30"/>
    <w:rsid w:val="002F1BB2"/>
    <w:rsid w:val="002F1BB8"/>
    <w:rsid w:val="002F1DF6"/>
    <w:rsid w:val="002F1FAB"/>
    <w:rsid w:val="002F21E0"/>
    <w:rsid w:val="002F223F"/>
    <w:rsid w:val="002F234E"/>
    <w:rsid w:val="002F2595"/>
    <w:rsid w:val="002F25EB"/>
    <w:rsid w:val="002F28D1"/>
    <w:rsid w:val="002F2A65"/>
    <w:rsid w:val="002F2BC9"/>
    <w:rsid w:val="002F306F"/>
    <w:rsid w:val="002F30E0"/>
    <w:rsid w:val="002F3256"/>
    <w:rsid w:val="002F330C"/>
    <w:rsid w:val="002F34D8"/>
    <w:rsid w:val="002F3729"/>
    <w:rsid w:val="002F3732"/>
    <w:rsid w:val="002F39D6"/>
    <w:rsid w:val="002F40F2"/>
    <w:rsid w:val="002F413C"/>
    <w:rsid w:val="002F4150"/>
    <w:rsid w:val="002F4238"/>
    <w:rsid w:val="002F43ED"/>
    <w:rsid w:val="002F4CC0"/>
    <w:rsid w:val="002F4EA2"/>
    <w:rsid w:val="002F4EC4"/>
    <w:rsid w:val="002F53A9"/>
    <w:rsid w:val="002F5882"/>
    <w:rsid w:val="002F58AE"/>
    <w:rsid w:val="002F5B14"/>
    <w:rsid w:val="002F5C0E"/>
    <w:rsid w:val="002F5C57"/>
    <w:rsid w:val="002F6694"/>
    <w:rsid w:val="002F6C29"/>
    <w:rsid w:val="002F6F56"/>
    <w:rsid w:val="002F6F90"/>
    <w:rsid w:val="002F74D0"/>
    <w:rsid w:val="002F7791"/>
    <w:rsid w:val="003001AB"/>
    <w:rsid w:val="003003DD"/>
    <w:rsid w:val="0030077F"/>
    <w:rsid w:val="00300FC6"/>
    <w:rsid w:val="00301138"/>
    <w:rsid w:val="0030128C"/>
    <w:rsid w:val="00301479"/>
    <w:rsid w:val="00301671"/>
    <w:rsid w:val="00301B71"/>
    <w:rsid w:val="00301EE8"/>
    <w:rsid w:val="00301F78"/>
    <w:rsid w:val="00302121"/>
    <w:rsid w:val="003023B1"/>
    <w:rsid w:val="00302415"/>
    <w:rsid w:val="0030249D"/>
    <w:rsid w:val="003024E0"/>
    <w:rsid w:val="003026CE"/>
    <w:rsid w:val="00302A3D"/>
    <w:rsid w:val="00302D99"/>
    <w:rsid w:val="00302DF8"/>
    <w:rsid w:val="00303207"/>
    <w:rsid w:val="003033F9"/>
    <w:rsid w:val="00303631"/>
    <w:rsid w:val="00303A3F"/>
    <w:rsid w:val="003040E2"/>
    <w:rsid w:val="0030436C"/>
    <w:rsid w:val="00304418"/>
    <w:rsid w:val="0030476D"/>
    <w:rsid w:val="00304B4F"/>
    <w:rsid w:val="00304BD7"/>
    <w:rsid w:val="003050BC"/>
    <w:rsid w:val="003050C4"/>
    <w:rsid w:val="003055A9"/>
    <w:rsid w:val="00305B25"/>
    <w:rsid w:val="00305D25"/>
    <w:rsid w:val="00305F4A"/>
    <w:rsid w:val="0030619B"/>
    <w:rsid w:val="0030668E"/>
    <w:rsid w:val="00306B4B"/>
    <w:rsid w:val="00306DDA"/>
    <w:rsid w:val="00306EA4"/>
    <w:rsid w:val="003078DC"/>
    <w:rsid w:val="00307AB5"/>
    <w:rsid w:val="00307C5A"/>
    <w:rsid w:val="00307E82"/>
    <w:rsid w:val="00310198"/>
    <w:rsid w:val="003103AB"/>
    <w:rsid w:val="00310508"/>
    <w:rsid w:val="0031081F"/>
    <w:rsid w:val="0031090E"/>
    <w:rsid w:val="00310D24"/>
    <w:rsid w:val="003112D3"/>
    <w:rsid w:val="00311424"/>
    <w:rsid w:val="0031145B"/>
    <w:rsid w:val="0031149C"/>
    <w:rsid w:val="00311679"/>
    <w:rsid w:val="00311CE4"/>
    <w:rsid w:val="00311F01"/>
    <w:rsid w:val="00311FA1"/>
    <w:rsid w:val="003120F3"/>
    <w:rsid w:val="00312149"/>
    <w:rsid w:val="00312192"/>
    <w:rsid w:val="003123EF"/>
    <w:rsid w:val="00312C09"/>
    <w:rsid w:val="00312CBB"/>
    <w:rsid w:val="003130D4"/>
    <w:rsid w:val="0031318A"/>
    <w:rsid w:val="00313FAD"/>
    <w:rsid w:val="003141F7"/>
    <w:rsid w:val="0031434D"/>
    <w:rsid w:val="003149AB"/>
    <w:rsid w:val="00314B7E"/>
    <w:rsid w:val="00315020"/>
    <w:rsid w:val="00315087"/>
    <w:rsid w:val="003154A4"/>
    <w:rsid w:val="00315824"/>
    <w:rsid w:val="00315A59"/>
    <w:rsid w:val="00315C20"/>
    <w:rsid w:val="00315CED"/>
    <w:rsid w:val="00315DDF"/>
    <w:rsid w:val="003161AB"/>
    <w:rsid w:val="0031633B"/>
    <w:rsid w:val="00316644"/>
    <w:rsid w:val="00316EAD"/>
    <w:rsid w:val="003170E5"/>
    <w:rsid w:val="003171F3"/>
    <w:rsid w:val="0031783B"/>
    <w:rsid w:val="0032022A"/>
    <w:rsid w:val="00320242"/>
    <w:rsid w:val="003203BA"/>
    <w:rsid w:val="003205EA"/>
    <w:rsid w:val="00320800"/>
    <w:rsid w:val="00320CA2"/>
    <w:rsid w:val="00321208"/>
    <w:rsid w:val="00322197"/>
    <w:rsid w:val="003221D9"/>
    <w:rsid w:val="00322257"/>
    <w:rsid w:val="00322685"/>
    <w:rsid w:val="003237C3"/>
    <w:rsid w:val="003238C4"/>
    <w:rsid w:val="00323B3D"/>
    <w:rsid w:val="00323C21"/>
    <w:rsid w:val="00323CC6"/>
    <w:rsid w:val="0032428F"/>
    <w:rsid w:val="0032444A"/>
    <w:rsid w:val="00324457"/>
    <w:rsid w:val="0032485D"/>
    <w:rsid w:val="00324897"/>
    <w:rsid w:val="003248ED"/>
    <w:rsid w:val="00324C41"/>
    <w:rsid w:val="00324DD2"/>
    <w:rsid w:val="00324F13"/>
    <w:rsid w:val="00325224"/>
    <w:rsid w:val="0032531C"/>
    <w:rsid w:val="00325495"/>
    <w:rsid w:val="003264C7"/>
    <w:rsid w:val="00326AE2"/>
    <w:rsid w:val="003277CB"/>
    <w:rsid w:val="003278B3"/>
    <w:rsid w:val="00327A3D"/>
    <w:rsid w:val="00330103"/>
    <w:rsid w:val="00330370"/>
    <w:rsid w:val="0033052A"/>
    <w:rsid w:val="003305EE"/>
    <w:rsid w:val="00330A04"/>
    <w:rsid w:val="00330C69"/>
    <w:rsid w:val="00330EB4"/>
    <w:rsid w:val="0033157E"/>
    <w:rsid w:val="00331589"/>
    <w:rsid w:val="00331EBD"/>
    <w:rsid w:val="00332478"/>
    <w:rsid w:val="00332D3D"/>
    <w:rsid w:val="00332F54"/>
    <w:rsid w:val="00333738"/>
    <w:rsid w:val="00333773"/>
    <w:rsid w:val="003339C6"/>
    <w:rsid w:val="00333A1A"/>
    <w:rsid w:val="00333CDE"/>
    <w:rsid w:val="00333DAE"/>
    <w:rsid w:val="00333E49"/>
    <w:rsid w:val="00333F11"/>
    <w:rsid w:val="003349CF"/>
    <w:rsid w:val="00334F4F"/>
    <w:rsid w:val="003350CE"/>
    <w:rsid w:val="00335442"/>
    <w:rsid w:val="00335519"/>
    <w:rsid w:val="0033581E"/>
    <w:rsid w:val="00335E51"/>
    <w:rsid w:val="00335EE7"/>
    <w:rsid w:val="00335F09"/>
    <w:rsid w:val="00336559"/>
    <w:rsid w:val="003365F9"/>
    <w:rsid w:val="003368AA"/>
    <w:rsid w:val="003369B7"/>
    <w:rsid w:val="00336A84"/>
    <w:rsid w:val="00337064"/>
    <w:rsid w:val="00337105"/>
    <w:rsid w:val="00337201"/>
    <w:rsid w:val="003372D6"/>
    <w:rsid w:val="00337336"/>
    <w:rsid w:val="00337A58"/>
    <w:rsid w:val="00337AC4"/>
    <w:rsid w:val="00340086"/>
    <w:rsid w:val="0034027F"/>
    <w:rsid w:val="003407C5"/>
    <w:rsid w:val="00340A5B"/>
    <w:rsid w:val="00340AC0"/>
    <w:rsid w:val="003412A4"/>
    <w:rsid w:val="003419E4"/>
    <w:rsid w:val="00341EDC"/>
    <w:rsid w:val="0034229E"/>
    <w:rsid w:val="00342344"/>
    <w:rsid w:val="003425E0"/>
    <w:rsid w:val="003425E6"/>
    <w:rsid w:val="00342B7F"/>
    <w:rsid w:val="00342C6A"/>
    <w:rsid w:val="00342CB1"/>
    <w:rsid w:val="00342DAF"/>
    <w:rsid w:val="00343075"/>
    <w:rsid w:val="003433A6"/>
    <w:rsid w:val="0034340D"/>
    <w:rsid w:val="003437AB"/>
    <w:rsid w:val="00343825"/>
    <w:rsid w:val="00343E55"/>
    <w:rsid w:val="00343FC7"/>
    <w:rsid w:val="0034408D"/>
    <w:rsid w:val="003440D8"/>
    <w:rsid w:val="003442BE"/>
    <w:rsid w:val="00344495"/>
    <w:rsid w:val="003444BC"/>
    <w:rsid w:val="00344652"/>
    <w:rsid w:val="003448CE"/>
    <w:rsid w:val="00344A0F"/>
    <w:rsid w:val="00344CA4"/>
    <w:rsid w:val="00344F32"/>
    <w:rsid w:val="0034521C"/>
    <w:rsid w:val="0034572A"/>
    <w:rsid w:val="00345D22"/>
    <w:rsid w:val="00345ED6"/>
    <w:rsid w:val="003461FC"/>
    <w:rsid w:val="00346269"/>
    <w:rsid w:val="003468A7"/>
    <w:rsid w:val="00347066"/>
    <w:rsid w:val="003471BD"/>
    <w:rsid w:val="00347207"/>
    <w:rsid w:val="00347246"/>
    <w:rsid w:val="0034765D"/>
    <w:rsid w:val="00347774"/>
    <w:rsid w:val="00347BBF"/>
    <w:rsid w:val="00347EAA"/>
    <w:rsid w:val="003501ED"/>
    <w:rsid w:val="0035050B"/>
    <w:rsid w:val="003505DC"/>
    <w:rsid w:val="0035078C"/>
    <w:rsid w:val="00350B96"/>
    <w:rsid w:val="00350E33"/>
    <w:rsid w:val="00351543"/>
    <w:rsid w:val="00351838"/>
    <w:rsid w:val="0035190F"/>
    <w:rsid w:val="00351936"/>
    <w:rsid w:val="00351A2D"/>
    <w:rsid w:val="00351FFB"/>
    <w:rsid w:val="00352369"/>
    <w:rsid w:val="0035238E"/>
    <w:rsid w:val="00352390"/>
    <w:rsid w:val="003526FE"/>
    <w:rsid w:val="00352897"/>
    <w:rsid w:val="00352982"/>
    <w:rsid w:val="00352BDE"/>
    <w:rsid w:val="00352D79"/>
    <w:rsid w:val="00353130"/>
    <w:rsid w:val="00353352"/>
    <w:rsid w:val="003533A3"/>
    <w:rsid w:val="00353762"/>
    <w:rsid w:val="00353CBF"/>
    <w:rsid w:val="00353D5B"/>
    <w:rsid w:val="00353E54"/>
    <w:rsid w:val="00354A53"/>
    <w:rsid w:val="00354BE9"/>
    <w:rsid w:val="00354CB4"/>
    <w:rsid w:val="003552F6"/>
    <w:rsid w:val="00355993"/>
    <w:rsid w:val="00355ACC"/>
    <w:rsid w:val="00355D0B"/>
    <w:rsid w:val="00355DD8"/>
    <w:rsid w:val="00355F41"/>
    <w:rsid w:val="003562A8"/>
    <w:rsid w:val="00356329"/>
    <w:rsid w:val="00356408"/>
    <w:rsid w:val="003567C0"/>
    <w:rsid w:val="0035681E"/>
    <w:rsid w:val="00356827"/>
    <w:rsid w:val="00357000"/>
    <w:rsid w:val="00357030"/>
    <w:rsid w:val="003571AC"/>
    <w:rsid w:val="00357C27"/>
    <w:rsid w:val="00360059"/>
    <w:rsid w:val="003602DC"/>
    <w:rsid w:val="003606F3"/>
    <w:rsid w:val="00360C81"/>
    <w:rsid w:val="00360CC6"/>
    <w:rsid w:val="00360FEB"/>
    <w:rsid w:val="0036100A"/>
    <w:rsid w:val="0036147C"/>
    <w:rsid w:val="0036166D"/>
    <w:rsid w:val="00361A06"/>
    <w:rsid w:val="00361AE8"/>
    <w:rsid w:val="003624EA"/>
    <w:rsid w:val="0036256F"/>
    <w:rsid w:val="003626B9"/>
    <w:rsid w:val="0036288A"/>
    <w:rsid w:val="003628F6"/>
    <w:rsid w:val="00362C93"/>
    <w:rsid w:val="00362D6E"/>
    <w:rsid w:val="00362EFE"/>
    <w:rsid w:val="00363073"/>
    <w:rsid w:val="003630A7"/>
    <w:rsid w:val="003630C5"/>
    <w:rsid w:val="00363252"/>
    <w:rsid w:val="003632CB"/>
    <w:rsid w:val="00363694"/>
    <w:rsid w:val="00363882"/>
    <w:rsid w:val="00363C78"/>
    <w:rsid w:val="00364180"/>
    <w:rsid w:val="003641AA"/>
    <w:rsid w:val="003641E4"/>
    <w:rsid w:val="0036444A"/>
    <w:rsid w:val="003646C6"/>
    <w:rsid w:val="0036486E"/>
    <w:rsid w:val="003649E4"/>
    <w:rsid w:val="00364C34"/>
    <w:rsid w:val="00364DF1"/>
    <w:rsid w:val="00364ED1"/>
    <w:rsid w:val="0036511F"/>
    <w:rsid w:val="0036512E"/>
    <w:rsid w:val="00365152"/>
    <w:rsid w:val="003652D4"/>
    <w:rsid w:val="003654E9"/>
    <w:rsid w:val="00365639"/>
    <w:rsid w:val="00365768"/>
    <w:rsid w:val="003657D3"/>
    <w:rsid w:val="00365838"/>
    <w:rsid w:val="00365867"/>
    <w:rsid w:val="00365926"/>
    <w:rsid w:val="00366129"/>
    <w:rsid w:val="00366548"/>
    <w:rsid w:val="00366744"/>
    <w:rsid w:val="00366BE6"/>
    <w:rsid w:val="00366EE2"/>
    <w:rsid w:val="003676C1"/>
    <w:rsid w:val="0036775C"/>
    <w:rsid w:val="003678A3"/>
    <w:rsid w:val="0036790D"/>
    <w:rsid w:val="00367931"/>
    <w:rsid w:val="00367F1F"/>
    <w:rsid w:val="00370333"/>
    <w:rsid w:val="003705A6"/>
    <w:rsid w:val="0037128B"/>
    <w:rsid w:val="00371458"/>
    <w:rsid w:val="003717B2"/>
    <w:rsid w:val="00371B45"/>
    <w:rsid w:val="00371BD6"/>
    <w:rsid w:val="00371C09"/>
    <w:rsid w:val="00372612"/>
    <w:rsid w:val="00372C7E"/>
    <w:rsid w:val="00372F75"/>
    <w:rsid w:val="0037332E"/>
    <w:rsid w:val="0037334F"/>
    <w:rsid w:val="003733E4"/>
    <w:rsid w:val="00373C4E"/>
    <w:rsid w:val="003741C6"/>
    <w:rsid w:val="00374208"/>
    <w:rsid w:val="00374584"/>
    <w:rsid w:val="003749FC"/>
    <w:rsid w:val="00374A10"/>
    <w:rsid w:val="00374CF1"/>
    <w:rsid w:val="00374E83"/>
    <w:rsid w:val="003757EB"/>
    <w:rsid w:val="003759DD"/>
    <w:rsid w:val="00375C65"/>
    <w:rsid w:val="003766D7"/>
    <w:rsid w:val="00376710"/>
    <w:rsid w:val="0037679A"/>
    <w:rsid w:val="003769C6"/>
    <w:rsid w:val="003773B0"/>
    <w:rsid w:val="00377593"/>
    <w:rsid w:val="003775D5"/>
    <w:rsid w:val="00377725"/>
    <w:rsid w:val="00377985"/>
    <w:rsid w:val="003779EA"/>
    <w:rsid w:val="00377F64"/>
    <w:rsid w:val="00377FA2"/>
    <w:rsid w:val="0038040E"/>
    <w:rsid w:val="0038074B"/>
    <w:rsid w:val="003808B7"/>
    <w:rsid w:val="00380A14"/>
    <w:rsid w:val="00380CC1"/>
    <w:rsid w:val="00380E62"/>
    <w:rsid w:val="003812E7"/>
    <w:rsid w:val="00381730"/>
    <w:rsid w:val="0038177E"/>
    <w:rsid w:val="00381EE0"/>
    <w:rsid w:val="003822AC"/>
    <w:rsid w:val="00382532"/>
    <w:rsid w:val="003829CE"/>
    <w:rsid w:val="00382A66"/>
    <w:rsid w:val="00382AB5"/>
    <w:rsid w:val="00382CEE"/>
    <w:rsid w:val="00383051"/>
    <w:rsid w:val="00383332"/>
    <w:rsid w:val="00383395"/>
    <w:rsid w:val="00383399"/>
    <w:rsid w:val="003835B4"/>
    <w:rsid w:val="0038364F"/>
    <w:rsid w:val="003838D4"/>
    <w:rsid w:val="0038391E"/>
    <w:rsid w:val="00383ABB"/>
    <w:rsid w:val="00383E48"/>
    <w:rsid w:val="00384072"/>
    <w:rsid w:val="003842DF"/>
    <w:rsid w:val="0038439F"/>
    <w:rsid w:val="003853CE"/>
    <w:rsid w:val="00385423"/>
    <w:rsid w:val="00385B25"/>
    <w:rsid w:val="00385D2A"/>
    <w:rsid w:val="00386184"/>
    <w:rsid w:val="00386256"/>
    <w:rsid w:val="003866F4"/>
    <w:rsid w:val="003869AD"/>
    <w:rsid w:val="003869B0"/>
    <w:rsid w:val="00386CC5"/>
    <w:rsid w:val="003872F1"/>
    <w:rsid w:val="00387474"/>
    <w:rsid w:val="003875C7"/>
    <w:rsid w:val="003877CD"/>
    <w:rsid w:val="0038798A"/>
    <w:rsid w:val="003879E2"/>
    <w:rsid w:val="00387AEB"/>
    <w:rsid w:val="00387B65"/>
    <w:rsid w:val="00387DCB"/>
    <w:rsid w:val="00390553"/>
    <w:rsid w:val="00390DB5"/>
    <w:rsid w:val="00390F1F"/>
    <w:rsid w:val="00391027"/>
    <w:rsid w:val="00391154"/>
    <w:rsid w:val="003912B3"/>
    <w:rsid w:val="00391651"/>
    <w:rsid w:val="003919C0"/>
    <w:rsid w:val="00391A5E"/>
    <w:rsid w:val="00391BC8"/>
    <w:rsid w:val="00391E05"/>
    <w:rsid w:val="0039228B"/>
    <w:rsid w:val="003922CA"/>
    <w:rsid w:val="003922F4"/>
    <w:rsid w:val="00392A05"/>
    <w:rsid w:val="00392D96"/>
    <w:rsid w:val="00393411"/>
    <w:rsid w:val="0039397E"/>
    <w:rsid w:val="00393B75"/>
    <w:rsid w:val="00393BAC"/>
    <w:rsid w:val="00393CC9"/>
    <w:rsid w:val="00393F25"/>
    <w:rsid w:val="0039430C"/>
    <w:rsid w:val="00394466"/>
    <w:rsid w:val="0039457F"/>
    <w:rsid w:val="003945E6"/>
    <w:rsid w:val="003946AD"/>
    <w:rsid w:val="00394A12"/>
    <w:rsid w:val="00394BA5"/>
    <w:rsid w:val="00394F4E"/>
    <w:rsid w:val="00395023"/>
    <w:rsid w:val="003955EC"/>
    <w:rsid w:val="003956AE"/>
    <w:rsid w:val="0039573E"/>
    <w:rsid w:val="00395A72"/>
    <w:rsid w:val="00395F72"/>
    <w:rsid w:val="003961D3"/>
    <w:rsid w:val="0039641B"/>
    <w:rsid w:val="003964F6"/>
    <w:rsid w:val="00396798"/>
    <w:rsid w:val="003968E1"/>
    <w:rsid w:val="00396A9B"/>
    <w:rsid w:val="00396CD6"/>
    <w:rsid w:val="00396D26"/>
    <w:rsid w:val="00396EBC"/>
    <w:rsid w:val="003975D3"/>
    <w:rsid w:val="00397CDF"/>
    <w:rsid w:val="00397E3D"/>
    <w:rsid w:val="003A0399"/>
    <w:rsid w:val="003A04A5"/>
    <w:rsid w:val="003A0947"/>
    <w:rsid w:val="003A0950"/>
    <w:rsid w:val="003A0D21"/>
    <w:rsid w:val="003A0F66"/>
    <w:rsid w:val="003A15C7"/>
    <w:rsid w:val="003A18FD"/>
    <w:rsid w:val="003A1D17"/>
    <w:rsid w:val="003A21CC"/>
    <w:rsid w:val="003A22BE"/>
    <w:rsid w:val="003A246B"/>
    <w:rsid w:val="003A250C"/>
    <w:rsid w:val="003A27A5"/>
    <w:rsid w:val="003A2924"/>
    <w:rsid w:val="003A2A42"/>
    <w:rsid w:val="003A2A4B"/>
    <w:rsid w:val="003A2D17"/>
    <w:rsid w:val="003A3569"/>
    <w:rsid w:val="003A370C"/>
    <w:rsid w:val="003A3A15"/>
    <w:rsid w:val="003A3B14"/>
    <w:rsid w:val="003A3CD4"/>
    <w:rsid w:val="003A3DDF"/>
    <w:rsid w:val="003A3FCC"/>
    <w:rsid w:val="003A417F"/>
    <w:rsid w:val="003A435A"/>
    <w:rsid w:val="003A4599"/>
    <w:rsid w:val="003A4920"/>
    <w:rsid w:val="003A4AC2"/>
    <w:rsid w:val="003A4D0F"/>
    <w:rsid w:val="003A4D71"/>
    <w:rsid w:val="003A51B7"/>
    <w:rsid w:val="003A5798"/>
    <w:rsid w:val="003A6196"/>
    <w:rsid w:val="003A621F"/>
    <w:rsid w:val="003A62C7"/>
    <w:rsid w:val="003A64FD"/>
    <w:rsid w:val="003A6E06"/>
    <w:rsid w:val="003A73D7"/>
    <w:rsid w:val="003A7E4B"/>
    <w:rsid w:val="003B014E"/>
    <w:rsid w:val="003B047B"/>
    <w:rsid w:val="003B051F"/>
    <w:rsid w:val="003B058D"/>
    <w:rsid w:val="003B06AC"/>
    <w:rsid w:val="003B077C"/>
    <w:rsid w:val="003B0F74"/>
    <w:rsid w:val="003B18B6"/>
    <w:rsid w:val="003B1B51"/>
    <w:rsid w:val="003B1C1C"/>
    <w:rsid w:val="003B2096"/>
    <w:rsid w:val="003B20BA"/>
    <w:rsid w:val="003B24CF"/>
    <w:rsid w:val="003B2569"/>
    <w:rsid w:val="003B277C"/>
    <w:rsid w:val="003B2B55"/>
    <w:rsid w:val="003B2B56"/>
    <w:rsid w:val="003B3124"/>
    <w:rsid w:val="003B3479"/>
    <w:rsid w:val="003B37C5"/>
    <w:rsid w:val="003B3A91"/>
    <w:rsid w:val="003B3C80"/>
    <w:rsid w:val="003B499A"/>
    <w:rsid w:val="003B4AC4"/>
    <w:rsid w:val="003B51AB"/>
    <w:rsid w:val="003B5555"/>
    <w:rsid w:val="003B557E"/>
    <w:rsid w:val="003B61F5"/>
    <w:rsid w:val="003B6284"/>
    <w:rsid w:val="003B6597"/>
    <w:rsid w:val="003B6677"/>
    <w:rsid w:val="003B67AC"/>
    <w:rsid w:val="003B6B55"/>
    <w:rsid w:val="003B6D25"/>
    <w:rsid w:val="003B6FDD"/>
    <w:rsid w:val="003B753D"/>
    <w:rsid w:val="003B75F2"/>
    <w:rsid w:val="003B76E3"/>
    <w:rsid w:val="003B79BF"/>
    <w:rsid w:val="003B7A17"/>
    <w:rsid w:val="003B7D2E"/>
    <w:rsid w:val="003C0083"/>
    <w:rsid w:val="003C0368"/>
    <w:rsid w:val="003C075F"/>
    <w:rsid w:val="003C0C9C"/>
    <w:rsid w:val="003C1976"/>
    <w:rsid w:val="003C1A6F"/>
    <w:rsid w:val="003C1AE9"/>
    <w:rsid w:val="003C1B84"/>
    <w:rsid w:val="003C1D52"/>
    <w:rsid w:val="003C1ED8"/>
    <w:rsid w:val="003C2658"/>
    <w:rsid w:val="003C2851"/>
    <w:rsid w:val="003C2C1F"/>
    <w:rsid w:val="003C2EA1"/>
    <w:rsid w:val="003C337D"/>
    <w:rsid w:val="003C3468"/>
    <w:rsid w:val="003C36B2"/>
    <w:rsid w:val="003C37D6"/>
    <w:rsid w:val="003C3AC8"/>
    <w:rsid w:val="003C3B16"/>
    <w:rsid w:val="003C3BE1"/>
    <w:rsid w:val="003C3D21"/>
    <w:rsid w:val="003C425F"/>
    <w:rsid w:val="003C47B4"/>
    <w:rsid w:val="003C497C"/>
    <w:rsid w:val="003C4AD6"/>
    <w:rsid w:val="003C4AFB"/>
    <w:rsid w:val="003C4F1C"/>
    <w:rsid w:val="003C515D"/>
    <w:rsid w:val="003C516E"/>
    <w:rsid w:val="003C5799"/>
    <w:rsid w:val="003C5804"/>
    <w:rsid w:val="003C5937"/>
    <w:rsid w:val="003C5E8A"/>
    <w:rsid w:val="003C5ED4"/>
    <w:rsid w:val="003C609B"/>
    <w:rsid w:val="003C62C4"/>
    <w:rsid w:val="003C6309"/>
    <w:rsid w:val="003C654D"/>
    <w:rsid w:val="003C65D9"/>
    <w:rsid w:val="003C6A37"/>
    <w:rsid w:val="003C6BD4"/>
    <w:rsid w:val="003C6CF1"/>
    <w:rsid w:val="003C70B8"/>
    <w:rsid w:val="003C70F3"/>
    <w:rsid w:val="003C71EC"/>
    <w:rsid w:val="003C7552"/>
    <w:rsid w:val="003C770E"/>
    <w:rsid w:val="003C7750"/>
    <w:rsid w:val="003C77DB"/>
    <w:rsid w:val="003C7A07"/>
    <w:rsid w:val="003C7AF4"/>
    <w:rsid w:val="003C7FBF"/>
    <w:rsid w:val="003D01DB"/>
    <w:rsid w:val="003D0870"/>
    <w:rsid w:val="003D08E8"/>
    <w:rsid w:val="003D0C36"/>
    <w:rsid w:val="003D0E43"/>
    <w:rsid w:val="003D0EEF"/>
    <w:rsid w:val="003D114B"/>
    <w:rsid w:val="003D1C6B"/>
    <w:rsid w:val="003D2023"/>
    <w:rsid w:val="003D20B5"/>
    <w:rsid w:val="003D21C1"/>
    <w:rsid w:val="003D2343"/>
    <w:rsid w:val="003D2430"/>
    <w:rsid w:val="003D26BE"/>
    <w:rsid w:val="003D27C6"/>
    <w:rsid w:val="003D2ABF"/>
    <w:rsid w:val="003D2BFE"/>
    <w:rsid w:val="003D2C5B"/>
    <w:rsid w:val="003D2CFD"/>
    <w:rsid w:val="003D3278"/>
    <w:rsid w:val="003D33C5"/>
    <w:rsid w:val="003D36A1"/>
    <w:rsid w:val="003D36CD"/>
    <w:rsid w:val="003D397F"/>
    <w:rsid w:val="003D3A42"/>
    <w:rsid w:val="003D4047"/>
    <w:rsid w:val="003D45DE"/>
    <w:rsid w:val="003D4980"/>
    <w:rsid w:val="003D5B15"/>
    <w:rsid w:val="003D5D51"/>
    <w:rsid w:val="003D6601"/>
    <w:rsid w:val="003D68D2"/>
    <w:rsid w:val="003D6B54"/>
    <w:rsid w:val="003D6DB3"/>
    <w:rsid w:val="003D75CA"/>
    <w:rsid w:val="003D7643"/>
    <w:rsid w:val="003D7901"/>
    <w:rsid w:val="003D7B1F"/>
    <w:rsid w:val="003E0327"/>
    <w:rsid w:val="003E0462"/>
    <w:rsid w:val="003E09B9"/>
    <w:rsid w:val="003E0A54"/>
    <w:rsid w:val="003E0CA4"/>
    <w:rsid w:val="003E0F77"/>
    <w:rsid w:val="003E114C"/>
    <w:rsid w:val="003E18E3"/>
    <w:rsid w:val="003E194C"/>
    <w:rsid w:val="003E24B5"/>
    <w:rsid w:val="003E267E"/>
    <w:rsid w:val="003E26FB"/>
    <w:rsid w:val="003E2798"/>
    <w:rsid w:val="003E291A"/>
    <w:rsid w:val="003E29EF"/>
    <w:rsid w:val="003E3760"/>
    <w:rsid w:val="003E37ED"/>
    <w:rsid w:val="003E3AF9"/>
    <w:rsid w:val="003E3BEA"/>
    <w:rsid w:val="003E44B1"/>
    <w:rsid w:val="003E450E"/>
    <w:rsid w:val="003E4AC1"/>
    <w:rsid w:val="003E4E12"/>
    <w:rsid w:val="003E4F3F"/>
    <w:rsid w:val="003E4FF7"/>
    <w:rsid w:val="003E567B"/>
    <w:rsid w:val="003E5729"/>
    <w:rsid w:val="003E6918"/>
    <w:rsid w:val="003E6DAF"/>
    <w:rsid w:val="003E70FD"/>
    <w:rsid w:val="003E750F"/>
    <w:rsid w:val="003E7545"/>
    <w:rsid w:val="003E7848"/>
    <w:rsid w:val="003E7FB7"/>
    <w:rsid w:val="003F0371"/>
    <w:rsid w:val="003F08FE"/>
    <w:rsid w:val="003F0D92"/>
    <w:rsid w:val="003F1122"/>
    <w:rsid w:val="003F1874"/>
    <w:rsid w:val="003F1CBD"/>
    <w:rsid w:val="003F1E28"/>
    <w:rsid w:val="003F21F4"/>
    <w:rsid w:val="003F22FE"/>
    <w:rsid w:val="003F2819"/>
    <w:rsid w:val="003F2986"/>
    <w:rsid w:val="003F32E0"/>
    <w:rsid w:val="003F37C0"/>
    <w:rsid w:val="003F37D8"/>
    <w:rsid w:val="003F3862"/>
    <w:rsid w:val="003F3B7E"/>
    <w:rsid w:val="003F3D94"/>
    <w:rsid w:val="003F3E4C"/>
    <w:rsid w:val="003F3F23"/>
    <w:rsid w:val="003F4548"/>
    <w:rsid w:val="003F4623"/>
    <w:rsid w:val="003F4936"/>
    <w:rsid w:val="003F4B4F"/>
    <w:rsid w:val="003F4E65"/>
    <w:rsid w:val="003F53BF"/>
    <w:rsid w:val="003F57BA"/>
    <w:rsid w:val="003F5866"/>
    <w:rsid w:val="003F64EB"/>
    <w:rsid w:val="003F6508"/>
    <w:rsid w:val="003F67EE"/>
    <w:rsid w:val="003F6940"/>
    <w:rsid w:val="003F69D5"/>
    <w:rsid w:val="003F6A4B"/>
    <w:rsid w:val="003F6BE2"/>
    <w:rsid w:val="003F6D54"/>
    <w:rsid w:val="003F6FF0"/>
    <w:rsid w:val="003F7169"/>
    <w:rsid w:val="003F7252"/>
    <w:rsid w:val="003F727B"/>
    <w:rsid w:val="003F733D"/>
    <w:rsid w:val="003F74DF"/>
    <w:rsid w:val="004002FB"/>
    <w:rsid w:val="004004EB"/>
    <w:rsid w:val="00400720"/>
    <w:rsid w:val="00400B9D"/>
    <w:rsid w:val="00400BF2"/>
    <w:rsid w:val="00400C5A"/>
    <w:rsid w:val="00400F30"/>
    <w:rsid w:val="00400F37"/>
    <w:rsid w:val="0040129A"/>
    <w:rsid w:val="0040193C"/>
    <w:rsid w:val="00401B0F"/>
    <w:rsid w:val="0040212C"/>
    <w:rsid w:val="00402172"/>
    <w:rsid w:val="0040268E"/>
    <w:rsid w:val="004026CB"/>
    <w:rsid w:val="004029B5"/>
    <w:rsid w:val="004029FD"/>
    <w:rsid w:val="00402EB0"/>
    <w:rsid w:val="00403003"/>
    <w:rsid w:val="00403198"/>
    <w:rsid w:val="004035F4"/>
    <w:rsid w:val="00403F54"/>
    <w:rsid w:val="00403FEE"/>
    <w:rsid w:val="00405053"/>
    <w:rsid w:val="00405351"/>
    <w:rsid w:val="0040540C"/>
    <w:rsid w:val="004056CD"/>
    <w:rsid w:val="00405748"/>
    <w:rsid w:val="0040591B"/>
    <w:rsid w:val="00405A08"/>
    <w:rsid w:val="00405C63"/>
    <w:rsid w:val="00405C67"/>
    <w:rsid w:val="00406AC8"/>
    <w:rsid w:val="00406E57"/>
    <w:rsid w:val="00407801"/>
    <w:rsid w:val="00407AAC"/>
    <w:rsid w:val="00407B9E"/>
    <w:rsid w:val="00407C09"/>
    <w:rsid w:val="00407EA4"/>
    <w:rsid w:val="004101E6"/>
    <w:rsid w:val="004105A1"/>
    <w:rsid w:val="00410964"/>
    <w:rsid w:val="00410AE9"/>
    <w:rsid w:val="00410D05"/>
    <w:rsid w:val="00410D46"/>
    <w:rsid w:val="0041106B"/>
    <w:rsid w:val="00411087"/>
    <w:rsid w:val="004112D9"/>
    <w:rsid w:val="004124A2"/>
    <w:rsid w:val="00412C5B"/>
    <w:rsid w:val="00412E49"/>
    <w:rsid w:val="004130BF"/>
    <w:rsid w:val="004131EE"/>
    <w:rsid w:val="004135A3"/>
    <w:rsid w:val="0041368B"/>
    <w:rsid w:val="00413C82"/>
    <w:rsid w:val="00413CB5"/>
    <w:rsid w:val="00413F49"/>
    <w:rsid w:val="0041443E"/>
    <w:rsid w:val="0041451D"/>
    <w:rsid w:val="00414C78"/>
    <w:rsid w:val="00414DC8"/>
    <w:rsid w:val="00415230"/>
    <w:rsid w:val="0041562D"/>
    <w:rsid w:val="00415747"/>
    <w:rsid w:val="00415AD4"/>
    <w:rsid w:val="00415B7D"/>
    <w:rsid w:val="00415D1F"/>
    <w:rsid w:val="00416100"/>
    <w:rsid w:val="004164C3"/>
    <w:rsid w:val="004168A1"/>
    <w:rsid w:val="004169E3"/>
    <w:rsid w:val="00416B75"/>
    <w:rsid w:val="00416B9C"/>
    <w:rsid w:val="00416C60"/>
    <w:rsid w:val="00416D7E"/>
    <w:rsid w:val="00416E11"/>
    <w:rsid w:val="004170D6"/>
    <w:rsid w:val="004172DB"/>
    <w:rsid w:val="004172DC"/>
    <w:rsid w:val="004177C2"/>
    <w:rsid w:val="00417A0C"/>
    <w:rsid w:val="00417C35"/>
    <w:rsid w:val="00420198"/>
    <w:rsid w:val="00420408"/>
    <w:rsid w:val="00420FE9"/>
    <w:rsid w:val="004210F4"/>
    <w:rsid w:val="004212E1"/>
    <w:rsid w:val="004213BA"/>
    <w:rsid w:val="004216AD"/>
    <w:rsid w:val="004217B5"/>
    <w:rsid w:val="00421823"/>
    <w:rsid w:val="00421B35"/>
    <w:rsid w:val="00421CEF"/>
    <w:rsid w:val="00422211"/>
    <w:rsid w:val="00422222"/>
    <w:rsid w:val="00422325"/>
    <w:rsid w:val="00422553"/>
    <w:rsid w:val="00422792"/>
    <w:rsid w:val="00422B54"/>
    <w:rsid w:val="00422BDB"/>
    <w:rsid w:val="00422D23"/>
    <w:rsid w:val="0042316C"/>
    <w:rsid w:val="004231FF"/>
    <w:rsid w:val="00423335"/>
    <w:rsid w:val="004235E9"/>
    <w:rsid w:val="00423B7E"/>
    <w:rsid w:val="00423E0E"/>
    <w:rsid w:val="00424530"/>
    <w:rsid w:val="00424564"/>
    <w:rsid w:val="004245F4"/>
    <w:rsid w:val="00424646"/>
    <w:rsid w:val="00424EAD"/>
    <w:rsid w:val="00424FBE"/>
    <w:rsid w:val="004257C3"/>
    <w:rsid w:val="00425AB1"/>
    <w:rsid w:val="00425ABD"/>
    <w:rsid w:val="004264A3"/>
    <w:rsid w:val="0042664F"/>
    <w:rsid w:val="00426715"/>
    <w:rsid w:val="00426894"/>
    <w:rsid w:val="00426A60"/>
    <w:rsid w:val="00427671"/>
    <w:rsid w:val="00427E4B"/>
    <w:rsid w:val="00430385"/>
    <w:rsid w:val="00430917"/>
    <w:rsid w:val="00430C6A"/>
    <w:rsid w:val="00431195"/>
    <w:rsid w:val="004312BC"/>
    <w:rsid w:val="004315E2"/>
    <w:rsid w:val="00431ABA"/>
    <w:rsid w:val="00431D96"/>
    <w:rsid w:val="00431DA7"/>
    <w:rsid w:val="00431FB1"/>
    <w:rsid w:val="00431FB4"/>
    <w:rsid w:val="004320F6"/>
    <w:rsid w:val="004325B3"/>
    <w:rsid w:val="004325FF"/>
    <w:rsid w:val="00432FC9"/>
    <w:rsid w:val="0043386C"/>
    <w:rsid w:val="00433A3E"/>
    <w:rsid w:val="00433B40"/>
    <w:rsid w:val="00433E6E"/>
    <w:rsid w:val="004340D5"/>
    <w:rsid w:val="004342C3"/>
    <w:rsid w:val="00434313"/>
    <w:rsid w:val="0043435F"/>
    <w:rsid w:val="0043484A"/>
    <w:rsid w:val="00434988"/>
    <w:rsid w:val="00434AEF"/>
    <w:rsid w:val="00434C69"/>
    <w:rsid w:val="00434F18"/>
    <w:rsid w:val="004351F3"/>
    <w:rsid w:val="004352F7"/>
    <w:rsid w:val="00435E8A"/>
    <w:rsid w:val="0043666B"/>
    <w:rsid w:val="00436949"/>
    <w:rsid w:val="00436B6B"/>
    <w:rsid w:val="00436C94"/>
    <w:rsid w:val="00436D3C"/>
    <w:rsid w:val="00436DD6"/>
    <w:rsid w:val="00437067"/>
    <w:rsid w:val="0043715E"/>
    <w:rsid w:val="00437658"/>
    <w:rsid w:val="004376F2"/>
    <w:rsid w:val="004377A7"/>
    <w:rsid w:val="00437C9F"/>
    <w:rsid w:val="00437F2F"/>
    <w:rsid w:val="00437FAB"/>
    <w:rsid w:val="00440029"/>
    <w:rsid w:val="004402CD"/>
    <w:rsid w:val="004407A8"/>
    <w:rsid w:val="0044094C"/>
    <w:rsid w:val="00440989"/>
    <w:rsid w:val="00440DF7"/>
    <w:rsid w:val="00441019"/>
    <w:rsid w:val="00441508"/>
    <w:rsid w:val="0044155B"/>
    <w:rsid w:val="00441672"/>
    <w:rsid w:val="0044202C"/>
    <w:rsid w:val="00442965"/>
    <w:rsid w:val="00442996"/>
    <w:rsid w:val="00442C61"/>
    <w:rsid w:val="00442D50"/>
    <w:rsid w:val="00442F5C"/>
    <w:rsid w:val="0044308A"/>
    <w:rsid w:val="00443160"/>
    <w:rsid w:val="0044336C"/>
    <w:rsid w:val="004439ED"/>
    <w:rsid w:val="00443D01"/>
    <w:rsid w:val="004447B1"/>
    <w:rsid w:val="00444879"/>
    <w:rsid w:val="00444B7A"/>
    <w:rsid w:val="00444C5B"/>
    <w:rsid w:val="00444CDD"/>
    <w:rsid w:val="00444D5D"/>
    <w:rsid w:val="00444E5A"/>
    <w:rsid w:val="004450A2"/>
    <w:rsid w:val="0044535F"/>
    <w:rsid w:val="004457D2"/>
    <w:rsid w:val="00445F1C"/>
    <w:rsid w:val="004463EC"/>
    <w:rsid w:val="0044644D"/>
    <w:rsid w:val="00446535"/>
    <w:rsid w:val="00446A16"/>
    <w:rsid w:val="00446AAF"/>
    <w:rsid w:val="00446B5F"/>
    <w:rsid w:val="00446E5A"/>
    <w:rsid w:val="004470E8"/>
    <w:rsid w:val="00447290"/>
    <w:rsid w:val="004473CB"/>
    <w:rsid w:val="0044740D"/>
    <w:rsid w:val="004478FC"/>
    <w:rsid w:val="004479D1"/>
    <w:rsid w:val="00447D78"/>
    <w:rsid w:val="00447DC9"/>
    <w:rsid w:val="00447DF2"/>
    <w:rsid w:val="0045010C"/>
    <w:rsid w:val="004504DC"/>
    <w:rsid w:val="004505FF"/>
    <w:rsid w:val="004508BE"/>
    <w:rsid w:val="004509F8"/>
    <w:rsid w:val="00450A97"/>
    <w:rsid w:val="00451442"/>
    <w:rsid w:val="00451501"/>
    <w:rsid w:val="004515AF"/>
    <w:rsid w:val="0045172A"/>
    <w:rsid w:val="00451753"/>
    <w:rsid w:val="00451A0E"/>
    <w:rsid w:val="00451C1A"/>
    <w:rsid w:val="00451CA7"/>
    <w:rsid w:val="00451D24"/>
    <w:rsid w:val="00452030"/>
    <w:rsid w:val="00452151"/>
    <w:rsid w:val="004521FD"/>
    <w:rsid w:val="004523C4"/>
    <w:rsid w:val="0045250A"/>
    <w:rsid w:val="004526DD"/>
    <w:rsid w:val="0045289C"/>
    <w:rsid w:val="00452D6B"/>
    <w:rsid w:val="00452EE2"/>
    <w:rsid w:val="00453AFE"/>
    <w:rsid w:val="00454154"/>
    <w:rsid w:val="004544B8"/>
    <w:rsid w:val="004546D0"/>
    <w:rsid w:val="00454C25"/>
    <w:rsid w:val="0045514F"/>
    <w:rsid w:val="00455219"/>
    <w:rsid w:val="00455E39"/>
    <w:rsid w:val="00455EE8"/>
    <w:rsid w:val="00455F8B"/>
    <w:rsid w:val="0045629B"/>
    <w:rsid w:val="00456517"/>
    <w:rsid w:val="00456CC4"/>
    <w:rsid w:val="00457454"/>
    <w:rsid w:val="0045752D"/>
    <w:rsid w:val="00457E0C"/>
    <w:rsid w:val="00457E8E"/>
    <w:rsid w:val="004609FC"/>
    <w:rsid w:val="00460A97"/>
    <w:rsid w:val="00460C7B"/>
    <w:rsid w:val="00460DB3"/>
    <w:rsid w:val="00460E40"/>
    <w:rsid w:val="00460EFA"/>
    <w:rsid w:val="00461211"/>
    <w:rsid w:val="004612EB"/>
    <w:rsid w:val="004613E7"/>
    <w:rsid w:val="00461CB6"/>
    <w:rsid w:val="00461CBA"/>
    <w:rsid w:val="00462208"/>
    <w:rsid w:val="0046235B"/>
    <w:rsid w:val="0046240B"/>
    <w:rsid w:val="0046265C"/>
    <w:rsid w:val="004628E2"/>
    <w:rsid w:val="0046294C"/>
    <w:rsid w:val="00462A57"/>
    <w:rsid w:val="00462D0F"/>
    <w:rsid w:val="00463470"/>
    <w:rsid w:val="004635F6"/>
    <w:rsid w:val="0046364D"/>
    <w:rsid w:val="0046364F"/>
    <w:rsid w:val="00463A3E"/>
    <w:rsid w:val="00463D7E"/>
    <w:rsid w:val="00464185"/>
    <w:rsid w:val="0046443C"/>
    <w:rsid w:val="004644EC"/>
    <w:rsid w:val="0046473C"/>
    <w:rsid w:val="00464A31"/>
    <w:rsid w:val="00464D11"/>
    <w:rsid w:val="00465308"/>
    <w:rsid w:val="00465786"/>
    <w:rsid w:val="004657C2"/>
    <w:rsid w:val="00465E2F"/>
    <w:rsid w:val="00465F3D"/>
    <w:rsid w:val="004663C9"/>
    <w:rsid w:val="00466406"/>
    <w:rsid w:val="0046641B"/>
    <w:rsid w:val="0046690C"/>
    <w:rsid w:val="00466B14"/>
    <w:rsid w:val="004679A1"/>
    <w:rsid w:val="00467C40"/>
    <w:rsid w:val="00470240"/>
    <w:rsid w:val="00470952"/>
    <w:rsid w:val="00471114"/>
    <w:rsid w:val="004712F1"/>
    <w:rsid w:val="004713E7"/>
    <w:rsid w:val="004719EF"/>
    <w:rsid w:val="00471AAB"/>
    <w:rsid w:val="00471D5C"/>
    <w:rsid w:val="00471FC7"/>
    <w:rsid w:val="00472502"/>
    <w:rsid w:val="00472830"/>
    <w:rsid w:val="00472A5B"/>
    <w:rsid w:val="00472DB1"/>
    <w:rsid w:val="00472E1A"/>
    <w:rsid w:val="0047320F"/>
    <w:rsid w:val="004732C6"/>
    <w:rsid w:val="00473AEE"/>
    <w:rsid w:val="00473D56"/>
    <w:rsid w:val="00473E62"/>
    <w:rsid w:val="0047421D"/>
    <w:rsid w:val="004745BC"/>
    <w:rsid w:val="00474758"/>
    <w:rsid w:val="004748CB"/>
    <w:rsid w:val="00474AFF"/>
    <w:rsid w:val="00474CC6"/>
    <w:rsid w:val="004752FF"/>
    <w:rsid w:val="0047544F"/>
    <w:rsid w:val="004757C5"/>
    <w:rsid w:val="00475C22"/>
    <w:rsid w:val="00475D25"/>
    <w:rsid w:val="00475D6B"/>
    <w:rsid w:val="00475E25"/>
    <w:rsid w:val="00475FF2"/>
    <w:rsid w:val="004765B1"/>
    <w:rsid w:val="00476D38"/>
    <w:rsid w:val="00476F64"/>
    <w:rsid w:val="004770B8"/>
    <w:rsid w:val="00477679"/>
    <w:rsid w:val="004776EC"/>
    <w:rsid w:val="00477878"/>
    <w:rsid w:val="00477A34"/>
    <w:rsid w:val="00477D47"/>
    <w:rsid w:val="00477DFE"/>
    <w:rsid w:val="0048030E"/>
    <w:rsid w:val="0048045A"/>
    <w:rsid w:val="0048046F"/>
    <w:rsid w:val="004805F2"/>
    <w:rsid w:val="0048070D"/>
    <w:rsid w:val="00480D86"/>
    <w:rsid w:val="004811AA"/>
    <w:rsid w:val="0048127E"/>
    <w:rsid w:val="00481565"/>
    <w:rsid w:val="00481A20"/>
    <w:rsid w:val="00481CAB"/>
    <w:rsid w:val="004821DB"/>
    <w:rsid w:val="00482FBC"/>
    <w:rsid w:val="00483590"/>
    <w:rsid w:val="00483ED6"/>
    <w:rsid w:val="004841B4"/>
    <w:rsid w:val="0048483E"/>
    <w:rsid w:val="00484891"/>
    <w:rsid w:val="00484A99"/>
    <w:rsid w:val="00484C66"/>
    <w:rsid w:val="00484E87"/>
    <w:rsid w:val="00485161"/>
    <w:rsid w:val="00485331"/>
    <w:rsid w:val="00485A08"/>
    <w:rsid w:val="00485A6B"/>
    <w:rsid w:val="00485C9B"/>
    <w:rsid w:val="00486071"/>
    <w:rsid w:val="0048617E"/>
    <w:rsid w:val="0048636D"/>
    <w:rsid w:val="0048643C"/>
    <w:rsid w:val="00486486"/>
    <w:rsid w:val="004866A0"/>
    <w:rsid w:val="00486CA9"/>
    <w:rsid w:val="00486EA3"/>
    <w:rsid w:val="004872BC"/>
    <w:rsid w:val="0048740D"/>
    <w:rsid w:val="0048750B"/>
    <w:rsid w:val="00487690"/>
    <w:rsid w:val="0049003F"/>
    <w:rsid w:val="00490275"/>
    <w:rsid w:val="0049052C"/>
    <w:rsid w:val="00490831"/>
    <w:rsid w:val="0049099A"/>
    <w:rsid w:val="00490DEC"/>
    <w:rsid w:val="0049103D"/>
    <w:rsid w:val="00491471"/>
    <w:rsid w:val="00491832"/>
    <w:rsid w:val="00491A08"/>
    <w:rsid w:val="00491E6E"/>
    <w:rsid w:val="00491F68"/>
    <w:rsid w:val="00491FF6"/>
    <w:rsid w:val="0049230B"/>
    <w:rsid w:val="004923E1"/>
    <w:rsid w:val="0049249D"/>
    <w:rsid w:val="004927FE"/>
    <w:rsid w:val="004928C7"/>
    <w:rsid w:val="00493950"/>
    <w:rsid w:val="004943BA"/>
    <w:rsid w:val="00494ACD"/>
    <w:rsid w:val="004951A6"/>
    <w:rsid w:val="004953A0"/>
    <w:rsid w:val="00495A15"/>
    <w:rsid w:val="00495DEE"/>
    <w:rsid w:val="00495FC4"/>
    <w:rsid w:val="0049633B"/>
    <w:rsid w:val="004963E7"/>
    <w:rsid w:val="004965FA"/>
    <w:rsid w:val="0049665C"/>
    <w:rsid w:val="00496886"/>
    <w:rsid w:val="00496A22"/>
    <w:rsid w:val="00496BAC"/>
    <w:rsid w:val="00496BD5"/>
    <w:rsid w:val="00496D11"/>
    <w:rsid w:val="00496E52"/>
    <w:rsid w:val="00497113"/>
    <w:rsid w:val="00497308"/>
    <w:rsid w:val="00497425"/>
    <w:rsid w:val="004975C0"/>
    <w:rsid w:val="0049761E"/>
    <w:rsid w:val="00497D49"/>
    <w:rsid w:val="004A0149"/>
    <w:rsid w:val="004A0188"/>
    <w:rsid w:val="004A053D"/>
    <w:rsid w:val="004A0797"/>
    <w:rsid w:val="004A0866"/>
    <w:rsid w:val="004A0E5D"/>
    <w:rsid w:val="004A0E98"/>
    <w:rsid w:val="004A1200"/>
    <w:rsid w:val="004A130B"/>
    <w:rsid w:val="004A13FB"/>
    <w:rsid w:val="004A144A"/>
    <w:rsid w:val="004A1549"/>
    <w:rsid w:val="004A184A"/>
    <w:rsid w:val="004A192A"/>
    <w:rsid w:val="004A1B4C"/>
    <w:rsid w:val="004A1CA3"/>
    <w:rsid w:val="004A1F8D"/>
    <w:rsid w:val="004A20CE"/>
    <w:rsid w:val="004A211C"/>
    <w:rsid w:val="004A2CA3"/>
    <w:rsid w:val="004A3643"/>
    <w:rsid w:val="004A39F7"/>
    <w:rsid w:val="004A3EC9"/>
    <w:rsid w:val="004A4268"/>
    <w:rsid w:val="004A45D3"/>
    <w:rsid w:val="004A462A"/>
    <w:rsid w:val="004A46B4"/>
    <w:rsid w:val="004A470B"/>
    <w:rsid w:val="004A4F69"/>
    <w:rsid w:val="004A5998"/>
    <w:rsid w:val="004A5B99"/>
    <w:rsid w:val="004A71AB"/>
    <w:rsid w:val="004A789B"/>
    <w:rsid w:val="004A7E9D"/>
    <w:rsid w:val="004A7EFB"/>
    <w:rsid w:val="004B020D"/>
    <w:rsid w:val="004B03F5"/>
    <w:rsid w:val="004B04A0"/>
    <w:rsid w:val="004B0B24"/>
    <w:rsid w:val="004B0B2A"/>
    <w:rsid w:val="004B0C43"/>
    <w:rsid w:val="004B0ED9"/>
    <w:rsid w:val="004B0FC9"/>
    <w:rsid w:val="004B1260"/>
    <w:rsid w:val="004B1320"/>
    <w:rsid w:val="004B1449"/>
    <w:rsid w:val="004B176F"/>
    <w:rsid w:val="004B17C0"/>
    <w:rsid w:val="004B2261"/>
    <w:rsid w:val="004B23CF"/>
    <w:rsid w:val="004B253D"/>
    <w:rsid w:val="004B27E1"/>
    <w:rsid w:val="004B2852"/>
    <w:rsid w:val="004B2B6D"/>
    <w:rsid w:val="004B2DF2"/>
    <w:rsid w:val="004B2DF6"/>
    <w:rsid w:val="004B3057"/>
    <w:rsid w:val="004B34A2"/>
    <w:rsid w:val="004B376A"/>
    <w:rsid w:val="004B3BF4"/>
    <w:rsid w:val="004B3D67"/>
    <w:rsid w:val="004B3F52"/>
    <w:rsid w:val="004B40BE"/>
    <w:rsid w:val="004B4189"/>
    <w:rsid w:val="004B41FE"/>
    <w:rsid w:val="004B44A4"/>
    <w:rsid w:val="004B47D9"/>
    <w:rsid w:val="004B48A1"/>
    <w:rsid w:val="004B4903"/>
    <w:rsid w:val="004B4C0B"/>
    <w:rsid w:val="004B4E83"/>
    <w:rsid w:val="004B5965"/>
    <w:rsid w:val="004B5E57"/>
    <w:rsid w:val="004B6138"/>
    <w:rsid w:val="004B6363"/>
    <w:rsid w:val="004B6C73"/>
    <w:rsid w:val="004B6ED9"/>
    <w:rsid w:val="004B762F"/>
    <w:rsid w:val="004C01F8"/>
    <w:rsid w:val="004C03ED"/>
    <w:rsid w:val="004C051B"/>
    <w:rsid w:val="004C0545"/>
    <w:rsid w:val="004C0BB9"/>
    <w:rsid w:val="004C0BF9"/>
    <w:rsid w:val="004C150F"/>
    <w:rsid w:val="004C16DD"/>
    <w:rsid w:val="004C1747"/>
    <w:rsid w:val="004C20DB"/>
    <w:rsid w:val="004C294E"/>
    <w:rsid w:val="004C2B36"/>
    <w:rsid w:val="004C2DC3"/>
    <w:rsid w:val="004C2F6A"/>
    <w:rsid w:val="004C32C6"/>
    <w:rsid w:val="004C3460"/>
    <w:rsid w:val="004C36AF"/>
    <w:rsid w:val="004C39B0"/>
    <w:rsid w:val="004C4260"/>
    <w:rsid w:val="004C4757"/>
    <w:rsid w:val="004C4995"/>
    <w:rsid w:val="004C499A"/>
    <w:rsid w:val="004C4DF7"/>
    <w:rsid w:val="004C5330"/>
    <w:rsid w:val="004C5437"/>
    <w:rsid w:val="004C544F"/>
    <w:rsid w:val="004C54C6"/>
    <w:rsid w:val="004C5B0C"/>
    <w:rsid w:val="004C5C08"/>
    <w:rsid w:val="004C5D6B"/>
    <w:rsid w:val="004C5D77"/>
    <w:rsid w:val="004C6110"/>
    <w:rsid w:val="004C6144"/>
    <w:rsid w:val="004C624F"/>
    <w:rsid w:val="004C62DF"/>
    <w:rsid w:val="004C62E7"/>
    <w:rsid w:val="004C634C"/>
    <w:rsid w:val="004C66E3"/>
    <w:rsid w:val="004C693D"/>
    <w:rsid w:val="004C69DC"/>
    <w:rsid w:val="004C6AFB"/>
    <w:rsid w:val="004C6BCB"/>
    <w:rsid w:val="004C7162"/>
    <w:rsid w:val="004C7211"/>
    <w:rsid w:val="004C764D"/>
    <w:rsid w:val="004C78A0"/>
    <w:rsid w:val="004C78F5"/>
    <w:rsid w:val="004C79E5"/>
    <w:rsid w:val="004C7BF4"/>
    <w:rsid w:val="004D0423"/>
    <w:rsid w:val="004D090D"/>
    <w:rsid w:val="004D0A49"/>
    <w:rsid w:val="004D0C8C"/>
    <w:rsid w:val="004D0CD6"/>
    <w:rsid w:val="004D114F"/>
    <w:rsid w:val="004D133B"/>
    <w:rsid w:val="004D1A32"/>
    <w:rsid w:val="004D2203"/>
    <w:rsid w:val="004D26A1"/>
    <w:rsid w:val="004D2980"/>
    <w:rsid w:val="004D2A41"/>
    <w:rsid w:val="004D2C19"/>
    <w:rsid w:val="004D3139"/>
    <w:rsid w:val="004D3398"/>
    <w:rsid w:val="004D353D"/>
    <w:rsid w:val="004D37B8"/>
    <w:rsid w:val="004D39B8"/>
    <w:rsid w:val="004D3A94"/>
    <w:rsid w:val="004D3B79"/>
    <w:rsid w:val="004D400B"/>
    <w:rsid w:val="004D408E"/>
    <w:rsid w:val="004D42DB"/>
    <w:rsid w:val="004D4AB6"/>
    <w:rsid w:val="004D512A"/>
    <w:rsid w:val="004D51FD"/>
    <w:rsid w:val="004D5583"/>
    <w:rsid w:val="004D55BB"/>
    <w:rsid w:val="004D5BFC"/>
    <w:rsid w:val="004D5D43"/>
    <w:rsid w:val="004D68F6"/>
    <w:rsid w:val="004D6D0E"/>
    <w:rsid w:val="004D6EFE"/>
    <w:rsid w:val="004D6F60"/>
    <w:rsid w:val="004D7220"/>
    <w:rsid w:val="004D7FB0"/>
    <w:rsid w:val="004E005C"/>
    <w:rsid w:val="004E0089"/>
    <w:rsid w:val="004E0182"/>
    <w:rsid w:val="004E02BB"/>
    <w:rsid w:val="004E08BF"/>
    <w:rsid w:val="004E091B"/>
    <w:rsid w:val="004E0F61"/>
    <w:rsid w:val="004E18D0"/>
    <w:rsid w:val="004E1D72"/>
    <w:rsid w:val="004E232E"/>
    <w:rsid w:val="004E2354"/>
    <w:rsid w:val="004E38EE"/>
    <w:rsid w:val="004E38F0"/>
    <w:rsid w:val="004E3912"/>
    <w:rsid w:val="004E3AC5"/>
    <w:rsid w:val="004E3BE9"/>
    <w:rsid w:val="004E40C9"/>
    <w:rsid w:val="004E4695"/>
    <w:rsid w:val="004E4EB6"/>
    <w:rsid w:val="004E50D5"/>
    <w:rsid w:val="004E5C5E"/>
    <w:rsid w:val="004E5CD4"/>
    <w:rsid w:val="004E61AA"/>
    <w:rsid w:val="004E65B5"/>
    <w:rsid w:val="004E6689"/>
    <w:rsid w:val="004E6989"/>
    <w:rsid w:val="004E6BF0"/>
    <w:rsid w:val="004E746E"/>
    <w:rsid w:val="004E74F6"/>
    <w:rsid w:val="004E7913"/>
    <w:rsid w:val="004E7B1C"/>
    <w:rsid w:val="004F0769"/>
    <w:rsid w:val="004F1204"/>
    <w:rsid w:val="004F1906"/>
    <w:rsid w:val="004F1918"/>
    <w:rsid w:val="004F1BE8"/>
    <w:rsid w:val="004F1F19"/>
    <w:rsid w:val="004F1F3E"/>
    <w:rsid w:val="004F264C"/>
    <w:rsid w:val="004F2916"/>
    <w:rsid w:val="004F2F40"/>
    <w:rsid w:val="004F3464"/>
    <w:rsid w:val="004F38A3"/>
    <w:rsid w:val="004F3F84"/>
    <w:rsid w:val="004F440A"/>
    <w:rsid w:val="004F44CB"/>
    <w:rsid w:val="004F45FA"/>
    <w:rsid w:val="004F47B1"/>
    <w:rsid w:val="004F49BF"/>
    <w:rsid w:val="004F57E0"/>
    <w:rsid w:val="004F57E6"/>
    <w:rsid w:val="004F591D"/>
    <w:rsid w:val="004F5DDB"/>
    <w:rsid w:val="004F650D"/>
    <w:rsid w:val="004F68DB"/>
    <w:rsid w:val="004F6983"/>
    <w:rsid w:val="004F6CB7"/>
    <w:rsid w:val="004F6E30"/>
    <w:rsid w:val="004F72BB"/>
    <w:rsid w:val="004F7890"/>
    <w:rsid w:val="004F7A6D"/>
    <w:rsid w:val="004F7CC7"/>
    <w:rsid w:val="004F7DD9"/>
    <w:rsid w:val="00500010"/>
    <w:rsid w:val="00500300"/>
    <w:rsid w:val="00500474"/>
    <w:rsid w:val="00500566"/>
    <w:rsid w:val="005008C2"/>
    <w:rsid w:val="005009F9"/>
    <w:rsid w:val="00500BCD"/>
    <w:rsid w:val="00501228"/>
    <w:rsid w:val="00501495"/>
    <w:rsid w:val="00501655"/>
    <w:rsid w:val="005016E4"/>
    <w:rsid w:val="00501B60"/>
    <w:rsid w:val="00501C9F"/>
    <w:rsid w:val="00502103"/>
    <w:rsid w:val="0050221C"/>
    <w:rsid w:val="00502536"/>
    <w:rsid w:val="00502813"/>
    <w:rsid w:val="00502E81"/>
    <w:rsid w:val="00502E9B"/>
    <w:rsid w:val="00503134"/>
    <w:rsid w:val="005033C1"/>
    <w:rsid w:val="005034A0"/>
    <w:rsid w:val="005040ED"/>
    <w:rsid w:val="00504474"/>
    <w:rsid w:val="00504575"/>
    <w:rsid w:val="0050486C"/>
    <w:rsid w:val="00504896"/>
    <w:rsid w:val="0050494A"/>
    <w:rsid w:val="005049FE"/>
    <w:rsid w:val="00504A6A"/>
    <w:rsid w:val="00505026"/>
    <w:rsid w:val="00505198"/>
    <w:rsid w:val="00505248"/>
    <w:rsid w:val="00505A65"/>
    <w:rsid w:val="00505B52"/>
    <w:rsid w:val="00505DB9"/>
    <w:rsid w:val="00505EB6"/>
    <w:rsid w:val="0050608F"/>
    <w:rsid w:val="005064D7"/>
    <w:rsid w:val="0050692E"/>
    <w:rsid w:val="00506BF2"/>
    <w:rsid w:val="00506C26"/>
    <w:rsid w:val="00506D42"/>
    <w:rsid w:val="00507103"/>
    <w:rsid w:val="005079A3"/>
    <w:rsid w:val="00507A11"/>
    <w:rsid w:val="00507CE7"/>
    <w:rsid w:val="00507DBF"/>
    <w:rsid w:val="00510C72"/>
    <w:rsid w:val="00510F67"/>
    <w:rsid w:val="0051150A"/>
    <w:rsid w:val="00511CA1"/>
    <w:rsid w:val="00511EEB"/>
    <w:rsid w:val="0051243B"/>
    <w:rsid w:val="005126DC"/>
    <w:rsid w:val="005127FF"/>
    <w:rsid w:val="00512A0C"/>
    <w:rsid w:val="00512A32"/>
    <w:rsid w:val="00512A46"/>
    <w:rsid w:val="00512B30"/>
    <w:rsid w:val="00512D31"/>
    <w:rsid w:val="00512D8C"/>
    <w:rsid w:val="00513062"/>
    <w:rsid w:val="005133EB"/>
    <w:rsid w:val="00513442"/>
    <w:rsid w:val="00513B9C"/>
    <w:rsid w:val="00513BE7"/>
    <w:rsid w:val="00513CA6"/>
    <w:rsid w:val="00513D3B"/>
    <w:rsid w:val="00514612"/>
    <w:rsid w:val="0051493C"/>
    <w:rsid w:val="00514A5D"/>
    <w:rsid w:val="00514D11"/>
    <w:rsid w:val="00514E76"/>
    <w:rsid w:val="00515063"/>
    <w:rsid w:val="0051518D"/>
    <w:rsid w:val="005151E5"/>
    <w:rsid w:val="005151FA"/>
    <w:rsid w:val="0051526E"/>
    <w:rsid w:val="005152E2"/>
    <w:rsid w:val="005154FD"/>
    <w:rsid w:val="005157BE"/>
    <w:rsid w:val="00515D3A"/>
    <w:rsid w:val="00515E09"/>
    <w:rsid w:val="00515F7D"/>
    <w:rsid w:val="00516177"/>
    <w:rsid w:val="00516319"/>
    <w:rsid w:val="0051637C"/>
    <w:rsid w:val="005164C4"/>
    <w:rsid w:val="00516716"/>
    <w:rsid w:val="00516ACE"/>
    <w:rsid w:val="00516C0F"/>
    <w:rsid w:val="00516C93"/>
    <w:rsid w:val="00516F2D"/>
    <w:rsid w:val="00517141"/>
    <w:rsid w:val="00517839"/>
    <w:rsid w:val="00517B87"/>
    <w:rsid w:val="00517C4C"/>
    <w:rsid w:val="0052049B"/>
    <w:rsid w:val="005204C0"/>
    <w:rsid w:val="005205F1"/>
    <w:rsid w:val="00520698"/>
    <w:rsid w:val="005206FC"/>
    <w:rsid w:val="0052083C"/>
    <w:rsid w:val="00520BAC"/>
    <w:rsid w:val="00520D5E"/>
    <w:rsid w:val="00520D98"/>
    <w:rsid w:val="00520F3D"/>
    <w:rsid w:val="00520FEB"/>
    <w:rsid w:val="00521466"/>
    <w:rsid w:val="005216C4"/>
    <w:rsid w:val="00521B61"/>
    <w:rsid w:val="00521D75"/>
    <w:rsid w:val="0052249C"/>
    <w:rsid w:val="00522515"/>
    <w:rsid w:val="00522A6F"/>
    <w:rsid w:val="00522D6E"/>
    <w:rsid w:val="00522F40"/>
    <w:rsid w:val="0052364D"/>
    <w:rsid w:val="005236C0"/>
    <w:rsid w:val="005236F8"/>
    <w:rsid w:val="00523AC7"/>
    <w:rsid w:val="00523B20"/>
    <w:rsid w:val="00523BAF"/>
    <w:rsid w:val="0052435B"/>
    <w:rsid w:val="0052450B"/>
    <w:rsid w:val="0052461C"/>
    <w:rsid w:val="00525519"/>
    <w:rsid w:val="00525646"/>
    <w:rsid w:val="00526140"/>
    <w:rsid w:val="0052636A"/>
    <w:rsid w:val="00526593"/>
    <w:rsid w:val="0052666B"/>
    <w:rsid w:val="005267BF"/>
    <w:rsid w:val="0052695C"/>
    <w:rsid w:val="00526F0B"/>
    <w:rsid w:val="00526FB6"/>
    <w:rsid w:val="00527005"/>
    <w:rsid w:val="005270A2"/>
    <w:rsid w:val="0052727D"/>
    <w:rsid w:val="005273ED"/>
    <w:rsid w:val="005277AE"/>
    <w:rsid w:val="00527851"/>
    <w:rsid w:val="00527C13"/>
    <w:rsid w:val="00527F80"/>
    <w:rsid w:val="00530006"/>
    <w:rsid w:val="005303C0"/>
    <w:rsid w:val="00530722"/>
    <w:rsid w:val="00530B44"/>
    <w:rsid w:val="00530C54"/>
    <w:rsid w:val="00531083"/>
    <w:rsid w:val="005318EB"/>
    <w:rsid w:val="00531C88"/>
    <w:rsid w:val="00531CBF"/>
    <w:rsid w:val="00531FBC"/>
    <w:rsid w:val="0053216B"/>
    <w:rsid w:val="00532250"/>
    <w:rsid w:val="005325A9"/>
    <w:rsid w:val="005327A9"/>
    <w:rsid w:val="0053288D"/>
    <w:rsid w:val="0053325D"/>
    <w:rsid w:val="005333BC"/>
    <w:rsid w:val="00533CE6"/>
    <w:rsid w:val="0053403A"/>
    <w:rsid w:val="00534087"/>
    <w:rsid w:val="005344A3"/>
    <w:rsid w:val="00534565"/>
    <w:rsid w:val="00534986"/>
    <w:rsid w:val="00534A6C"/>
    <w:rsid w:val="00534D1E"/>
    <w:rsid w:val="00535509"/>
    <w:rsid w:val="00535647"/>
    <w:rsid w:val="005359A8"/>
    <w:rsid w:val="00535A4D"/>
    <w:rsid w:val="00535AAE"/>
    <w:rsid w:val="00535CB7"/>
    <w:rsid w:val="00535ED3"/>
    <w:rsid w:val="005361EB"/>
    <w:rsid w:val="00536278"/>
    <w:rsid w:val="00536538"/>
    <w:rsid w:val="00536A63"/>
    <w:rsid w:val="00536BA9"/>
    <w:rsid w:val="0053715B"/>
    <w:rsid w:val="0053717F"/>
    <w:rsid w:val="005374CF"/>
    <w:rsid w:val="00537558"/>
    <w:rsid w:val="00537689"/>
    <w:rsid w:val="005376A1"/>
    <w:rsid w:val="00537853"/>
    <w:rsid w:val="005378DB"/>
    <w:rsid w:val="00537D9E"/>
    <w:rsid w:val="00540191"/>
    <w:rsid w:val="00540283"/>
    <w:rsid w:val="005407DA"/>
    <w:rsid w:val="00540BF8"/>
    <w:rsid w:val="00540FA0"/>
    <w:rsid w:val="00541112"/>
    <w:rsid w:val="005411AF"/>
    <w:rsid w:val="005414F5"/>
    <w:rsid w:val="00541638"/>
    <w:rsid w:val="0054164C"/>
    <w:rsid w:val="005419E7"/>
    <w:rsid w:val="00541C1F"/>
    <w:rsid w:val="00541DC9"/>
    <w:rsid w:val="0054208A"/>
    <w:rsid w:val="00542140"/>
    <w:rsid w:val="00542595"/>
    <w:rsid w:val="005425B6"/>
    <w:rsid w:val="005428FF"/>
    <w:rsid w:val="0054310D"/>
    <w:rsid w:val="005434E6"/>
    <w:rsid w:val="005434EE"/>
    <w:rsid w:val="00543B3A"/>
    <w:rsid w:val="00543E64"/>
    <w:rsid w:val="00543E9B"/>
    <w:rsid w:val="00543EB7"/>
    <w:rsid w:val="00543F7F"/>
    <w:rsid w:val="005441AE"/>
    <w:rsid w:val="005442BC"/>
    <w:rsid w:val="0054441B"/>
    <w:rsid w:val="005446B7"/>
    <w:rsid w:val="00544BEE"/>
    <w:rsid w:val="00545349"/>
    <w:rsid w:val="005457C7"/>
    <w:rsid w:val="005461BC"/>
    <w:rsid w:val="005462B3"/>
    <w:rsid w:val="0054653A"/>
    <w:rsid w:val="00546624"/>
    <w:rsid w:val="00546E89"/>
    <w:rsid w:val="0054702C"/>
    <w:rsid w:val="005471C6"/>
    <w:rsid w:val="00547925"/>
    <w:rsid w:val="005501E4"/>
    <w:rsid w:val="005503C4"/>
    <w:rsid w:val="005503F5"/>
    <w:rsid w:val="005509AB"/>
    <w:rsid w:val="00550A05"/>
    <w:rsid w:val="00550D67"/>
    <w:rsid w:val="0055100A"/>
    <w:rsid w:val="005513AE"/>
    <w:rsid w:val="00551683"/>
    <w:rsid w:val="00551A03"/>
    <w:rsid w:val="0055273E"/>
    <w:rsid w:val="00552D72"/>
    <w:rsid w:val="00552F05"/>
    <w:rsid w:val="0055319A"/>
    <w:rsid w:val="005534D7"/>
    <w:rsid w:val="0055353E"/>
    <w:rsid w:val="00553B5C"/>
    <w:rsid w:val="0055418F"/>
    <w:rsid w:val="00554238"/>
    <w:rsid w:val="005543BD"/>
    <w:rsid w:val="005549DB"/>
    <w:rsid w:val="005549E8"/>
    <w:rsid w:val="00554F83"/>
    <w:rsid w:val="005558AA"/>
    <w:rsid w:val="00555ABD"/>
    <w:rsid w:val="005561E2"/>
    <w:rsid w:val="0055645E"/>
    <w:rsid w:val="005565D8"/>
    <w:rsid w:val="00556DB2"/>
    <w:rsid w:val="005572F9"/>
    <w:rsid w:val="00557385"/>
    <w:rsid w:val="005573BD"/>
    <w:rsid w:val="005577BC"/>
    <w:rsid w:val="00557871"/>
    <w:rsid w:val="00557994"/>
    <w:rsid w:val="00557A55"/>
    <w:rsid w:val="00557B02"/>
    <w:rsid w:val="0056002F"/>
    <w:rsid w:val="00560456"/>
    <w:rsid w:val="00560C2F"/>
    <w:rsid w:val="00561013"/>
    <w:rsid w:val="00561058"/>
    <w:rsid w:val="00561403"/>
    <w:rsid w:val="0056162A"/>
    <w:rsid w:val="00561A39"/>
    <w:rsid w:val="00561A9A"/>
    <w:rsid w:val="00561C6B"/>
    <w:rsid w:val="005621D1"/>
    <w:rsid w:val="00562469"/>
    <w:rsid w:val="005626BE"/>
    <w:rsid w:val="00562CFF"/>
    <w:rsid w:val="00562EC9"/>
    <w:rsid w:val="005635B3"/>
    <w:rsid w:val="005635F1"/>
    <w:rsid w:val="00563D3A"/>
    <w:rsid w:val="00563E15"/>
    <w:rsid w:val="00563EC5"/>
    <w:rsid w:val="00563F36"/>
    <w:rsid w:val="00564002"/>
    <w:rsid w:val="005644EE"/>
    <w:rsid w:val="0056474B"/>
    <w:rsid w:val="00564F41"/>
    <w:rsid w:val="0056522D"/>
    <w:rsid w:val="005654E8"/>
    <w:rsid w:val="005655EF"/>
    <w:rsid w:val="00565D66"/>
    <w:rsid w:val="005660D6"/>
    <w:rsid w:val="00566149"/>
    <w:rsid w:val="00566174"/>
    <w:rsid w:val="005662DC"/>
    <w:rsid w:val="00566318"/>
    <w:rsid w:val="00566697"/>
    <w:rsid w:val="005666CB"/>
    <w:rsid w:val="005667F8"/>
    <w:rsid w:val="005668F8"/>
    <w:rsid w:val="00566BCE"/>
    <w:rsid w:val="00566D8B"/>
    <w:rsid w:val="00567297"/>
    <w:rsid w:val="0056737C"/>
    <w:rsid w:val="005677CF"/>
    <w:rsid w:val="00567C2B"/>
    <w:rsid w:val="005700B5"/>
    <w:rsid w:val="0057060C"/>
    <w:rsid w:val="00570BC8"/>
    <w:rsid w:val="00570DD1"/>
    <w:rsid w:val="005710DC"/>
    <w:rsid w:val="005710FA"/>
    <w:rsid w:val="00571466"/>
    <w:rsid w:val="0057147D"/>
    <w:rsid w:val="00571960"/>
    <w:rsid w:val="00571A39"/>
    <w:rsid w:val="00571F02"/>
    <w:rsid w:val="00572085"/>
    <w:rsid w:val="005721B3"/>
    <w:rsid w:val="005726F1"/>
    <w:rsid w:val="00572B36"/>
    <w:rsid w:val="00572F69"/>
    <w:rsid w:val="00573255"/>
    <w:rsid w:val="00573928"/>
    <w:rsid w:val="00573A70"/>
    <w:rsid w:val="00573AB4"/>
    <w:rsid w:val="00573B77"/>
    <w:rsid w:val="00573BC6"/>
    <w:rsid w:val="00573F50"/>
    <w:rsid w:val="00574452"/>
    <w:rsid w:val="0057460C"/>
    <w:rsid w:val="00574891"/>
    <w:rsid w:val="00574AA6"/>
    <w:rsid w:val="00574EC6"/>
    <w:rsid w:val="00574F99"/>
    <w:rsid w:val="00575406"/>
    <w:rsid w:val="005755B8"/>
    <w:rsid w:val="005755E9"/>
    <w:rsid w:val="0057574C"/>
    <w:rsid w:val="00575832"/>
    <w:rsid w:val="00575B80"/>
    <w:rsid w:val="00575BAD"/>
    <w:rsid w:val="00575DC9"/>
    <w:rsid w:val="00575F53"/>
    <w:rsid w:val="0057667D"/>
    <w:rsid w:val="00576821"/>
    <w:rsid w:val="00576C38"/>
    <w:rsid w:val="00576FA1"/>
    <w:rsid w:val="005770A7"/>
    <w:rsid w:val="0057711D"/>
    <w:rsid w:val="005772BC"/>
    <w:rsid w:val="005772EE"/>
    <w:rsid w:val="005774E8"/>
    <w:rsid w:val="00577B43"/>
    <w:rsid w:val="00577B7D"/>
    <w:rsid w:val="00580101"/>
    <w:rsid w:val="00580123"/>
    <w:rsid w:val="0058015B"/>
    <w:rsid w:val="0058088E"/>
    <w:rsid w:val="005809E4"/>
    <w:rsid w:val="00580A6F"/>
    <w:rsid w:val="00580C0B"/>
    <w:rsid w:val="005812DA"/>
    <w:rsid w:val="00581A7C"/>
    <w:rsid w:val="00581B51"/>
    <w:rsid w:val="00581C5F"/>
    <w:rsid w:val="00581E8B"/>
    <w:rsid w:val="0058257B"/>
    <w:rsid w:val="0058266B"/>
    <w:rsid w:val="00582B57"/>
    <w:rsid w:val="00582D6C"/>
    <w:rsid w:val="00582E70"/>
    <w:rsid w:val="00583199"/>
    <w:rsid w:val="005831F1"/>
    <w:rsid w:val="005833CA"/>
    <w:rsid w:val="00583C72"/>
    <w:rsid w:val="00583EBE"/>
    <w:rsid w:val="005844C5"/>
    <w:rsid w:val="0058466A"/>
    <w:rsid w:val="00584708"/>
    <w:rsid w:val="005847DA"/>
    <w:rsid w:val="00584CD7"/>
    <w:rsid w:val="0058527C"/>
    <w:rsid w:val="005855CB"/>
    <w:rsid w:val="005857ED"/>
    <w:rsid w:val="00585B64"/>
    <w:rsid w:val="0058611A"/>
    <w:rsid w:val="00586336"/>
    <w:rsid w:val="005864D9"/>
    <w:rsid w:val="005866DE"/>
    <w:rsid w:val="005867A0"/>
    <w:rsid w:val="005867E6"/>
    <w:rsid w:val="00586979"/>
    <w:rsid w:val="00587686"/>
    <w:rsid w:val="00587BFA"/>
    <w:rsid w:val="00587C76"/>
    <w:rsid w:val="00587F4B"/>
    <w:rsid w:val="00587F66"/>
    <w:rsid w:val="00590185"/>
    <w:rsid w:val="005905AE"/>
    <w:rsid w:val="005907BA"/>
    <w:rsid w:val="005907F4"/>
    <w:rsid w:val="0059080B"/>
    <w:rsid w:val="00590B16"/>
    <w:rsid w:val="00590D40"/>
    <w:rsid w:val="00590EA5"/>
    <w:rsid w:val="00591B9B"/>
    <w:rsid w:val="00591DA1"/>
    <w:rsid w:val="00591EA4"/>
    <w:rsid w:val="0059213C"/>
    <w:rsid w:val="005921B9"/>
    <w:rsid w:val="005926B8"/>
    <w:rsid w:val="00592776"/>
    <w:rsid w:val="00592BD8"/>
    <w:rsid w:val="00593B08"/>
    <w:rsid w:val="00594203"/>
    <w:rsid w:val="00594218"/>
    <w:rsid w:val="005944B7"/>
    <w:rsid w:val="005946A2"/>
    <w:rsid w:val="00594796"/>
    <w:rsid w:val="00594AF8"/>
    <w:rsid w:val="005950E5"/>
    <w:rsid w:val="00595179"/>
    <w:rsid w:val="005951B1"/>
    <w:rsid w:val="005952EA"/>
    <w:rsid w:val="005952EE"/>
    <w:rsid w:val="005954EC"/>
    <w:rsid w:val="005955B5"/>
    <w:rsid w:val="00595F26"/>
    <w:rsid w:val="00595FB3"/>
    <w:rsid w:val="00596DC6"/>
    <w:rsid w:val="00596DC8"/>
    <w:rsid w:val="00596FC1"/>
    <w:rsid w:val="00597071"/>
    <w:rsid w:val="005977D3"/>
    <w:rsid w:val="005978AE"/>
    <w:rsid w:val="005A07AF"/>
    <w:rsid w:val="005A091D"/>
    <w:rsid w:val="005A095E"/>
    <w:rsid w:val="005A0962"/>
    <w:rsid w:val="005A0A82"/>
    <w:rsid w:val="005A0AC0"/>
    <w:rsid w:val="005A0B6F"/>
    <w:rsid w:val="005A0B73"/>
    <w:rsid w:val="005A1253"/>
    <w:rsid w:val="005A1311"/>
    <w:rsid w:val="005A19CC"/>
    <w:rsid w:val="005A19F8"/>
    <w:rsid w:val="005A1C7A"/>
    <w:rsid w:val="005A1CC0"/>
    <w:rsid w:val="005A1D55"/>
    <w:rsid w:val="005A1E8D"/>
    <w:rsid w:val="005A2B51"/>
    <w:rsid w:val="005A2ECA"/>
    <w:rsid w:val="005A2F45"/>
    <w:rsid w:val="005A3A7A"/>
    <w:rsid w:val="005A3D7A"/>
    <w:rsid w:val="005A41EF"/>
    <w:rsid w:val="005A4518"/>
    <w:rsid w:val="005A47BE"/>
    <w:rsid w:val="005A4D90"/>
    <w:rsid w:val="005A50B9"/>
    <w:rsid w:val="005A5236"/>
    <w:rsid w:val="005A5359"/>
    <w:rsid w:val="005A542E"/>
    <w:rsid w:val="005A56ED"/>
    <w:rsid w:val="005A5BB3"/>
    <w:rsid w:val="005A5FE3"/>
    <w:rsid w:val="005A60FA"/>
    <w:rsid w:val="005A6177"/>
    <w:rsid w:val="005A63E5"/>
    <w:rsid w:val="005A6D28"/>
    <w:rsid w:val="005A6D9B"/>
    <w:rsid w:val="005A70EA"/>
    <w:rsid w:val="005A7B0F"/>
    <w:rsid w:val="005A7C97"/>
    <w:rsid w:val="005A7F22"/>
    <w:rsid w:val="005B0217"/>
    <w:rsid w:val="005B0526"/>
    <w:rsid w:val="005B06B1"/>
    <w:rsid w:val="005B0795"/>
    <w:rsid w:val="005B0949"/>
    <w:rsid w:val="005B0A16"/>
    <w:rsid w:val="005B0C2C"/>
    <w:rsid w:val="005B0CF5"/>
    <w:rsid w:val="005B0D95"/>
    <w:rsid w:val="005B24E4"/>
    <w:rsid w:val="005B283D"/>
    <w:rsid w:val="005B28D9"/>
    <w:rsid w:val="005B2DCA"/>
    <w:rsid w:val="005B375A"/>
    <w:rsid w:val="005B39E5"/>
    <w:rsid w:val="005B4515"/>
    <w:rsid w:val="005B45DD"/>
    <w:rsid w:val="005B45E3"/>
    <w:rsid w:val="005B50A1"/>
    <w:rsid w:val="005B5157"/>
    <w:rsid w:val="005B565A"/>
    <w:rsid w:val="005B5A27"/>
    <w:rsid w:val="005B6393"/>
    <w:rsid w:val="005B63A4"/>
    <w:rsid w:val="005B645D"/>
    <w:rsid w:val="005B650A"/>
    <w:rsid w:val="005B675E"/>
    <w:rsid w:val="005B67FC"/>
    <w:rsid w:val="005B6A2E"/>
    <w:rsid w:val="005B6B73"/>
    <w:rsid w:val="005B6B75"/>
    <w:rsid w:val="005B6BD5"/>
    <w:rsid w:val="005B7143"/>
    <w:rsid w:val="005B746B"/>
    <w:rsid w:val="005B74FC"/>
    <w:rsid w:val="005B79AA"/>
    <w:rsid w:val="005B7BB4"/>
    <w:rsid w:val="005B7CEF"/>
    <w:rsid w:val="005B7FC5"/>
    <w:rsid w:val="005C0346"/>
    <w:rsid w:val="005C051A"/>
    <w:rsid w:val="005C06C4"/>
    <w:rsid w:val="005C142C"/>
    <w:rsid w:val="005C2026"/>
    <w:rsid w:val="005C2263"/>
    <w:rsid w:val="005C29E6"/>
    <w:rsid w:val="005C2FFE"/>
    <w:rsid w:val="005C30B4"/>
    <w:rsid w:val="005C31FB"/>
    <w:rsid w:val="005C374C"/>
    <w:rsid w:val="005C397C"/>
    <w:rsid w:val="005C3BF6"/>
    <w:rsid w:val="005C45F1"/>
    <w:rsid w:val="005C4956"/>
    <w:rsid w:val="005C4993"/>
    <w:rsid w:val="005C4A7C"/>
    <w:rsid w:val="005C4B66"/>
    <w:rsid w:val="005C5166"/>
    <w:rsid w:val="005C5587"/>
    <w:rsid w:val="005C55CE"/>
    <w:rsid w:val="005C64ED"/>
    <w:rsid w:val="005C669B"/>
    <w:rsid w:val="005C67D3"/>
    <w:rsid w:val="005C68A6"/>
    <w:rsid w:val="005C6A11"/>
    <w:rsid w:val="005C733D"/>
    <w:rsid w:val="005C73C0"/>
    <w:rsid w:val="005C7426"/>
    <w:rsid w:val="005C756C"/>
    <w:rsid w:val="005C78DD"/>
    <w:rsid w:val="005C7EDA"/>
    <w:rsid w:val="005D011D"/>
    <w:rsid w:val="005D023F"/>
    <w:rsid w:val="005D02CE"/>
    <w:rsid w:val="005D05DC"/>
    <w:rsid w:val="005D0CD4"/>
    <w:rsid w:val="005D0D14"/>
    <w:rsid w:val="005D0DB1"/>
    <w:rsid w:val="005D0DB6"/>
    <w:rsid w:val="005D1952"/>
    <w:rsid w:val="005D1A3D"/>
    <w:rsid w:val="005D1CB9"/>
    <w:rsid w:val="005D1E9C"/>
    <w:rsid w:val="005D20BF"/>
    <w:rsid w:val="005D2CC8"/>
    <w:rsid w:val="005D3223"/>
    <w:rsid w:val="005D32B7"/>
    <w:rsid w:val="005D3380"/>
    <w:rsid w:val="005D3395"/>
    <w:rsid w:val="005D3CAF"/>
    <w:rsid w:val="005D3D73"/>
    <w:rsid w:val="005D3DAE"/>
    <w:rsid w:val="005D3ECF"/>
    <w:rsid w:val="005D4154"/>
    <w:rsid w:val="005D4349"/>
    <w:rsid w:val="005D4443"/>
    <w:rsid w:val="005D44E4"/>
    <w:rsid w:val="005D4794"/>
    <w:rsid w:val="005D48B4"/>
    <w:rsid w:val="005D4C9E"/>
    <w:rsid w:val="005D4E0B"/>
    <w:rsid w:val="005D51B4"/>
    <w:rsid w:val="005D522C"/>
    <w:rsid w:val="005D5265"/>
    <w:rsid w:val="005D5376"/>
    <w:rsid w:val="005D54B4"/>
    <w:rsid w:val="005D552E"/>
    <w:rsid w:val="005D5918"/>
    <w:rsid w:val="005D5964"/>
    <w:rsid w:val="005D5A2A"/>
    <w:rsid w:val="005D62D1"/>
    <w:rsid w:val="005D679F"/>
    <w:rsid w:val="005D6B93"/>
    <w:rsid w:val="005D6BDD"/>
    <w:rsid w:val="005D6C09"/>
    <w:rsid w:val="005D71D5"/>
    <w:rsid w:val="005D7406"/>
    <w:rsid w:val="005D7514"/>
    <w:rsid w:val="005D76B7"/>
    <w:rsid w:val="005D7A58"/>
    <w:rsid w:val="005D7AEE"/>
    <w:rsid w:val="005D7F52"/>
    <w:rsid w:val="005E0585"/>
    <w:rsid w:val="005E068A"/>
    <w:rsid w:val="005E0E69"/>
    <w:rsid w:val="005E0FC2"/>
    <w:rsid w:val="005E1251"/>
    <w:rsid w:val="005E1303"/>
    <w:rsid w:val="005E1682"/>
    <w:rsid w:val="005E1808"/>
    <w:rsid w:val="005E1B47"/>
    <w:rsid w:val="005E1B54"/>
    <w:rsid w:val="005E1E4C"/>
    <w:rsid w:val="005E217A"/>
    <w:rsid w:val="005E234D"/>
    <w:rsid w:val="005E242B"/>
    <w:rsid w:val="005E24BD"/>
    <w:rsid w:val="005E269B"/>
    <w:rsid w:val="005E29E1"/>
    <w:rsid w:val="005E2AE1"/>
    <w:rsid w:val="005E2DDF"/>
    <w:rsid w:val="005E2FA3"/>
    <w:rsid w:val="005E3104"/>
    <w:rsid w:val="005E363E"/>
    <w:rsid w:val="005E3BB1"/>
    <w:rsid w:val="005E3ECE"/>
    <w:rsid w:val="005E422A"/>
    <w:rsid w:val="005E42B4"/>
    <w:rsid w:val="005E4312"/>
    <w:rsid w:val="005E44C6"/>
    <w:rsid w:val="005E48CF"/>
    <w:rsid w:val="005E4998"/>
    <w:rsid w:val="005E49A7"/>
    <w:rsid w:val="005E52D3"/>
    <w:rsid w:val="005E5447"/>
    <w:rsid w:val="005E5831"/>
    <w:rsid w:val="005E5839"/>
    <w:rsid w:val="005E5FF2"/>
    <w:rsid w:val="005E61FD"/>
    <w:rsid w:val="005E6490"/>
    <w:rsid w:val="005E65D3"/>
    <w:rsid w:val="005E6719"/>
    <w:rsid w:val="005E6D33"/>
    <w:rsid w:val="005E6D86"/>
    <w:rsid w:val="005E6E6E"/>
    <w:rsid w:val="005E6F27"/>
    <w:rsid w:val="005E7362"/>
    <w:rsid w:val="005E78C1"/>
    <w:rsid w:val="005F0544"/>
    <w:rsid w:val="005F0B67"/>
    <w:rsid w:val="005F143D"/>
    <w:rsid w:val="005F1EEB"/>
    <w:rsid w:val="005F1F2F"/>
    <w:rsid w:val="005F20FC"/>
    <w:rsid w:val="005F253C"/>
    <w:rsid w:val="005F2811"/>
    <w:rsid w:val="005F3142"/>
    <w:rsid w:val="005F3401"/>
    <w:rsid w:val="005F367C"/>
    <w:rsid w:val="005F37FF"/>
    <w:rsid w:val="005F3C1C"/>
    <w:rsid w:val="005F3C97"/>
    <w:rsid w:val="005F3E1B"/>
    <w:rsid w:val="005F4135"/>
    <w:rsid w:val="005F4620"/>
    <w:rsid w:val="005F467B"/>
    <w:rsid w:val="005F4788"/>
    <w:rsid w:val="005F483F"/>
    <w:rsid w:val="005F4CE3"/>
    <w:rsid w:val="005F4CF0"/>
    <w:rsid w:val="005F50FB"/>
    <w:rsid w:val="005F528C"/>
    <w:rsid w:val="005F52FC"/>
    <w:rsid w:val="005F568C"/>
    <w:rsid w:val="005F56A4"/>
    <w:rsid w:val="005F5705"/>
    <w:rsid w:val="005F593E"/>
    <w:rsid w:val="005F59C8"/>
    <w:rsid w:val="005F5B3B"/>
    <w:rsid w:val="005F5E8A"/>
    <w:rsid w:val="005F614E"/>
    <w:rsid w:val="005F6319"/>
    <w:rsid w:val="005F677B"/>
    <w:rsid w:val="005F6F96"/>
    <w:rsid w:val="005F739D"/>
    <w:rsid w:val="005F7A0E"/>
    <w:rsid w:val="005F7AD4"/>
    <w:rsid w:val="005F7B6D"/>
    <w:rsid w:val="005F7E09"/>
    <w:rsid w:val="005F7E32"/>
    <w:rsid w:val="005F7E53"/>
    <w:rsid w:val="005F7F07"/>
    <w:rsid w:val="00600126"/>
    <w:rsid w:val="006002F0"/>
    <w:rsid w:val="0060046E"/>
    <w:rsid w:val="006005C9"/>
    <w:rsid w:val="006005F8"/>
    <w:rsid w:val="006009F6"/>
    <w:rsid w:val="00600C07"/>
    <w:rsid w:val="00600D72"/>
    <w:rsid w:val="00600F12"/>
    <w:rsid w:val="0060113D"/>
    <w:rsid w:val="0060148A"/>
    <w:rsid w:val="006015C6"/>
    <w:rsid w:val="00601760"/>
    <w:rsid w:val="00601BB8"/>
    <w:rsid w:val="00601EE3"/>
    <w:rsid w:val="0060227C"/>
    <w:rsid w:val="00602649"/>
    <w:rsid w:val="00602696"/>
    <w:rsid w:val="00602717"/>
    <w:rsid w:val="006027FB"/>
    <w:rsid w:val="00602F1A"/>
    <w:rsid w:val="00603946"/>
    <w:rsid w:val="00603B7D"/>
    <w:rsid w:val="00603C9D"/>
    <w:rsid w:val="006045F5"/>
    <w:rsid w:val="00604625"/>
    <w:rsid w:val="0060468E"/>
    <w:rsid w:val="00604928"/>
    <w:rsid w:val="006049AD"/>
    <w:rsid w:val="00604D45"/>
    <w:rsid w:val="00605099"/>
    <w:rsid w:val="00605140"/>
    <w:rsid w:val="0060520A"/>
    <w:rsid w:val="00605314"/>
    <w:rsid w:val="0060544A"/>
    <w:rsid w:val="00605560"/>
    <w:rsid w:val="006059FD"/>
    <w:rsid w:val="00605AE1"/>
    <w:rsid w:val="00605CED"/>
    <w:rsid w:val="00605FFC"/>
    <w:rsid w:val="00606225"/>
    <w:rsid w:val="006066AA"/>
    <w:rsid w:val="006069E6"/>
    <w:rsid w:val="006074A2"/>
    <w:rsid w:val="00607567"/>
    <w:rsid w:val="00607709"/>
    <w:rsid w:val="00607BC4"/>
    <w:rsid w:val="00607FBD"/>
    <w:rsid w:val="00610132"/>
    <w:rsid w:val="00610148"/>
    <w:rsid w:val="00610934"/>
    <w:rsid w:val="00610E35"/>
    <w:rsid w:val="006117F0"/>
    <w:rsid w:val="00611863"/>
    <w:rsid w:val="00611904"/>
    <w:rsid w:val="00611993"/>
    <w:rsid w:val="00611B91"/>
    <w:rsid w:val="0061250D"/>
    <w:rsid w:val="0061261B"/>
    <w:rsid w:val="00612BB4"/>
    <w:rsid w:val="00612BCD"/>
    <w:rsid w:val="00612BD6"/>
    <w:rsid w:val="00612E71"/>
    <w:rsid w:val="00612F96"/>
    <w:rsid w:val="006132EA"/>
    <w:rsid w:val="00613310"/>
    <w:rsid w:val="0061364C"/>
    <w:rsid w:val="00613A70"/>
    <w:rsid w:val="00613B1B"/>
    <w:rsid w:val="00614211"/>
    <w:rsid w:val="0061441F"/>
    <w:rsid w:val="00614517"/>
    <w:rsid w:val="00614A18"/>
    <w:rsid w:val="00614AA5"/>
    <w:rsid w:val="00615037"/>
    <w:rsid w:val="006151B6"/>
    <w:rsid w:val="0061561B"/>
    <w:rsid w:val="006158B9"/>
    <w:rsid w:val="00615B78"/>
    <w:rsid w:val="00615B8D"/>
    <w:rsid w:val="00616076"/>
    <w:rsid w:val="006161EE"/>
    <w:rsid w:val="00616CE2"/>
    <w:rsid w:val="00616EDB"/>
    <w:rsid w:val="00616F1F"/>
    <w:rsid w:val="00616F60"/>
    <w:rsid w:val="00616FBE"/>
    <w:rsid w:val="00617725"/>
    <w:rsid w:val="00617A62"/>
    <w:rsid w:val="006203B9"/>
    <w:rsid w:val="00620450"/>
    <w:rsid w:val="006208A5"/>
    <w:rsid w:val="00620BDB"/>
    <w:rsid w:val="00620C99"/>
    <w:rsid w:val="00620CFE"/>
    <w:rsid w:val="00621378"/>
    <w:rsid w:val="0062142B"/>
    <w:rsid w:val="00621491"/>
    <w:rsid w:val="00621AFD"/>
    <w:rsid w:val="00621D82"/>
    <w:rsid w:val="00621E13"/>
    <w:rsid w:val="006221D2"/>
    <w:rsid w:val="0062232A"/>
    <w:rsid w:val="006225AF"/>
    <w:rsid w:val="006228FD"/>
    <w:rsid w:val="00622948"/>
    <w:rsid w:val="00622B95"/>
    <w:rsid w:val="00622D97"/>
    <w:rsid w:val="00622F1D"/>
    <w:rsid w:val="00623AEE"/>
    <w:rsid w:val="00623B09"/>
    <w:rsid w:val="00623EE9"/>
    <w:rsid w:val="00624046"/>
    <w:rsid w:val="006244FA"/>
    <w:rsid w:val="006245B6"/>
    <w:rsid w:val="006247FA"/>
    <w:rsid w:val="006248EB"/>
    <w:rsid w:val="00624938"/>
    <w:rsid w:val="0062493A"/>
    <w:rsid w:val="00624F68"/>
    <w:rsid w:val="0062543A"/>
    <w:rsid w:val="006254DC"/>
    <w:rsid w:val="0062564A"/>
    <w:rsid w:val="00625A74"/>
    <w:rsid w:val="0062647A"/>
    <w:rsid w:val="0062675F"/>
    <w:rsid w:val="00626806"/>
    <w:rsid w:val="00626AAF"/>
    <w:rsid w:val="00626DF3"/>
    <w:rsid w:val="00626F01"/>
    <w:rsid w:val="006271B5"/>
    <w:rsid w:val="00627903"/>
    <w:rsid w:val="00627A39"/>
    <w:rsid w:val="00627E2A"/>
    <w:rsid w:val="00630089"/>
    <w:rsid w:val="006305B3"/>
    <w:rsid w:val="00630C67"/>
    <w:rsid w:val="00630DED"/>
    <w:rsid w:val="00630E51"/>
    <w:rsid w:val="00630E59"/>
    <w:rsid w:val="00631A36"/>
    <w:rsid w:val="00631BB5"/>
    <w:rsid w:val="00631CFC"/>
    <w:rsid w:val="00631FFE"/>
    <w:rsid w:val="00632816"/>
    <w:rsid w:val="00632909"/>
    <w:rsid w:val="00632A7B"/>
    <w:rsid w:val="00633725"/>
    <w:rsid w:val="006338D8"/>
    <w:rsid w:val="006338F1"/>
    <w:rsid w:val="00633955"/>
    <w:rsid w:val="00633C58"/>
    <w:rsid w:val="0063421A"/>
    <w:rsid w:val="006342D2"/>
    <w:rsid w:val="00634392"/>
    <w:rsid w:val="006343F0"/>
    <w:rsid w:val="006345D7"/>
    <w:rsid w:val="00634651"/>
    <w:rsid w:val="00634786"/>
    <w:rsid w:val="006348C8"/>
    <w:rsid w:val="00634962"/>
    <w:rsid w:val="00634A87"/>
    <w:rsid w:val="00634AE0"/>
    <w:rsid w:val="00634B0B"/>
    <w:rsid w:val="00634E88"/>
    <w:rsid w:val="00635049"/>
    <w:rsid w:val="0063518D"/>
    <w:rsid w:val="00635207"/>
    <w:rsid w:val="00635441"/>
    <w:rsid w:val="0063559D"/>
    <w:rsid w:val="00635BAD"/>
    <w:rsid w:val="0063602F"/>
    <w:rsid w:val="00636158"/>
    <w:rsid w:val="0063661F"/>
    <w:rsid w:val="00636B65"/>
    <w:rsid w:val="00637165"/>
    <w:rsid w:val="006374CB"/>
    <w:rsid w:val="006375B6"/>
    <w:rsid w:val="006376DC"/>
    <w:rsid w:val="006378A4"/>
    <w:rsid w:val="00637D4D"/>
    <w:rsid w:val="00637F30"/>
    <w:rsid w:val="00640656"/>
    <w:rsid w:val="00640861"/>
    <w:rsid w:val="00640AF6"/>
    <w:rsid w:val="00640C7A"/>
    <w:rsid w:val="00640C96"/>
    <w:rsid w:val="00641075"/>
    <w:rsid w:val="00641099"/>
    <w:rsid w:val="0064121D"/>
    <w:rsid w:val="0064126E"/>
    <w:rsid w:val="0064192F"/>
    <w:rsid w:val="0064194F"/>
    <w:rsid w:val="00641958"/>
    <w:rsid w:val="00641CB2"/>
    <w:rsid w:val="00641CD7"/>
    <w:rsid w:val="00642388"/>
    <w:rsid w:val="0064268A"/>
    <w:rsid w:val="006426CA"/>
    <w:rsid w:val="0064275A"/>
    <w:rsid w:val="006428B2"/>
    <w:rsid w:val="00642B17"/>
    <w:rsid w:val="00642C6C"/>
    <w:rsid w:val="00642DAD"/>
    <w:rsid w:val="0064300E"/>
    <w:rsid w:val="006436F0"/>
    <w:rsid w:val="006437DC"/>
    <w:rsid w:val="00643985"/>
    <w:rsid w:val="00643A0A"/>
    <w:rsid w:val="00643A5C"/>
    <w:rsid w:val="00643ED4"/>
    <w:rsid w:val="00643EDD"/>
    <w:rsid w:val="00644257"/>
    <w:rsid w:val="00644306"/>
    <w:rsid w:val="00644639"/>
    <w:rsid w:val="006448E3"/>
    <w:rsid w:val="00644CD9"/>
    <w:rsid w:val="00645103"/>
    <w:rsid w:val="00645535"/>
    <w:rsid w:val="006457D0"/>
    <w:rsid w:val="00645981"/>
    <w:rsid w:val="00646052"/>
    <w:rsid w:val="006460EA"/>
    <w:rsid w:val="0064618E"/>
    <w:rsid w:val="00646238"/>
    <w:rsid w:val="006462A7"/>
    <w:rsid w:val="00646730"/>
    <w:rsid w:val="00646A4E"/>
    <w:rsid w:val="00646F39"/>
    <w:rsid w:val="00646FC5"/>
    <w:rsid w:val="00647407"/>
    <w:rsid w:val="00647547"/>
    <w:rsid w:val="00647578"/>
    <w:rsid w:val="006475B8"/>
    <w:rsid w:val="0064774E"/>
    <w:rsid w:val="00647E17"/>
    <w:rsid w:val="00647F4E"/>
    <w:rsid w:val="00650079"/>
    <w:rsid w:val="00650116"/>
    <w:rsid w:val="00650E8E"/>
    <w:rsid w:val="00651065"/>
    <w:rsid w:val="0065158D"/>
    <w:rsid w:val="0065178C"/>
    <w:rsid w:val="0065187F"/>
    <w:rsid w:val="00651E13"/>
    <w:rsid w:val="00651E1F"/>
    <w:rsid w:val="00651E36"/>
    <w:rsid w:val="00651F89"/>
    <w:rsid w:val="006524D7"/>
    <w:rsid w:val="006525C1"/>
    <w:rsid w:val="006526F8"/>
    <w:rsid w:val="00652ECB"/>
    <w:rsid w:val="006532E8"/>
    <w:rsid w:val="00653356"/>
    <w:rsid w:val="00653707"/>
    <w:rsid w:val="00653AFB"/>
    <w:rsid w:val="00653BEC"/>
    <w:rsid w:val="00653D06"/>
    <w:rsid w:val="00653E91"/>
    <w:rsid w:val="00654E54"/>
    <w:rsid w:val="0065501B"/>
    <w:rsid w:val="00655C15"/>
    <w:rsid w:val="0065611C"/>
    <w:rsid w:val="00656578"/>
    <w:rsid w:val="00656A98"/>
    <w:rsid w:val="00656B59"/>
    <w:rsid w:val="00656F39"/>
    <w:rsid w:val="00657323"/>
    <w:rsid w:val="0065790A"/>
    <w:rsid w:val="00657E7B"/>
    <w:rsid w:val="00657E81"/>
    <w:rsid w:val="00657EAA"/>
    <w:rsid w:val="00657F13"/>
    <w:rsid w:val="00660779"/>
    <w:rsid w:val="00660AD6"/>
    <w:rsid w:val="00660CC8"/>
    <w:rsid w:val="00660EE4"/>
    <w:rsid w:val="00661C39"/>
    <w:rsid w:val="00662095"/>
    <w:rsid w:val="006620F2"/>
    <w:rsid w:val="006621F3"/>
    <w:rsid w:val="006627CE"/>
    <w:rsid w:val="006628E6"/>
    <w:rsid w:val="00662A90"/>
    <w:rsid w:val="00662D0B"/>
    <w:rsid w:val="006634DC"/>
    <w:rsid w:val="00663871"/>
    <w:rsid w:val="00663A76"/>
    <w:rsid w:val="00663E32"/>
    <w:rsid w:val="00663E9C"/>
    <w:rsid w:val="00664328"/>
    <w:rsid w:val="00664761"/>
    <w:rsid w:val="00664901"/>
    <w:rsid w:val="00664D3B"/>
    <w:rsid w:val="00664FED"/>
    <w:rsid w:val="0066554D"/>
    <w:rsid w:val="00665768"/>
    <w:rsid w:val="00665BE8"/>
    <w:rsid w:val="0066654F"/>
    <w:rsid w:val="006666F9"/>
    <w:rsid w:val="0066679D"/>
    <w:rsid w:val="006667AD"/>
    <w:rsid w:val="00666F1E"/>
    <w:rsid w:val="0066727E"/>
    <w:rsid w:val="00667676"/>
    <w:rsid w:val="00667729"/>
    <w:rsid w:val="0066786E"/>
    <w:rsid w:val="006678FB"/>
    <w:rsid w:val="00670653"/>
    <w:rsid w:val="006706CE"/>
    <w:rsid w:val="00670A8D"/>
    <w:rsid w:val="00670C1C"/>
    <w:rsid w:val="00671070"/>
    <w:rsid w:val="0067148B"/>
    <w:rsid w:val="00671818"/>
    <w:rsid w:val="00671C6D"/>
    <w:rsid w:val="006722C3"/>
    <w:rsid w:val="00672849"/>
    <w:rsid w:val="0067288B"/>
    <w:rsid w:val="00672AC2"/>
    <w:rsid w:val="00672AD8"/>
    <w:rsid w:val="00672F0D"/>
    <w:rsid w:val="00673131"/>
    <w:rsid w:val="006737CD"/>
    <w:rsid w:val="0067397C"/>
    <w:rsid w:val="00673FFD"/>
    <w:rsid w:val="0067429B"/>
    <w:rsid w:val="00674463"/>
    <w:rsid w:val="00674A6C"/>
    <w:rsid w:val="00674AB7"/>
    <w:rsid w:val="00674AFD"/>
    <w:rsid w:val="00674D81"/>
    <w:rsid w:val="00674EB4"/>
    <w:rsid w:val="00675883"/>
    <w:rsid w:val="006758EA"/>
    <w:rsid w:val="00676829"/>
    <w:rsid w:val="00676B3B"/>
    <w:rsid w:val="00677186"/>
    <w:rsid w:val="0067735B"/>
    <w:rsid w:val="00677403"/>
    <w:rsid w:val="006778B6"/>
    <w:rsid w:val="00677B88"/>
    <w:rsid w:val="00677BFE"/>
    <w:rsid w:val="00677D17"/>
    <w:rsid w:val="00677E3A"/>
    <w:rsid w:val="00680263"/>
    <w:rsid w:val="006803D7"/>
    <w:rsid w:val="006808BA"/>
    <w:rsid w:val="00680F54"/>
    <w:rsid w:val="006811EE"/>
    <w:rsid w:val="0068179A"/>
    <w:rsid w:val="00681899"/>
    <w:rsid w:val="00681C77"/>
    <w:rsid w:val="00681D83"/>
    <w:rsid w:val="00681FEA"/>
    <w:rsid w:val="006821DB"/>
    <w:rsid w:val="006825D8"/>
    <w:rsid w:val="006826C1"/>
    <w:rsid w:val="00682850"/>
    <w:rsid w:val="006829DE"/>
    <w:rsid w:val="00682AC4"/>
    <w:rsid w:val="00682CA4"/>
    <w:rsid w:val="00683E00"/>
    <w:rsid w:val="00684038"/>
    <w:rsid w:val="00684271"/>
    <w:rsid w:val="00684A6A"/>
    <w:rsid w:val="00684C50"/>
    <w:rsid w:val="00685013"/>
    <w:rsid w:val="006856BA"/>
    <w:rsid w:val="00685724"/>
    <w:rsid w:val="00685BA6"/>
    <w:rsid w:val="00685C0B"/>
    <w:rsid w:val="006862DF"/>
    <w:rsid w:val="00686394"/>
    <w:rsid w:val="00686790"/>
    <w:rsid w:val="006868E9"/>
    <w:rsid w:val="0068714E"/>
    <w:rsid w:val="006900F3"/>
    <w:rsid w:val="0069016C"/>
    <w:rsid w:val="006903D0"/>
    <w:rsid w:val="006905BF"/>
    <w:rsid w:val="006907B3"/>
    <w:rsid w:val="006908B5"/>
    <w:rsid w:val="00690D46"/>
    <w:rsid w:val="0069119A"/>
    <w:rsid w:val="00691210"/>
    <w:rsid w:val="006912A5"/>
    <w:rsid w:val="0069134A"/>
    <w:rsid w:val="006916C9"/>
    <w:rsid w:val="00691902"/>
    <w:rsid w:val="00691F23"/>
    <w:rsid w:val="00692188"/>
    <w:rsid w:val="006924F8"/>
    <w:rsid w:val="00692530"/>
    <w:rsid w:val="006925A5"/>
    <w:rsid w:val="0069289D"/>
    <w:rsid w:val="006929AD"/>
    <w:rsid w:val="00693114"/>
    <w:rsid w:val="00693459"/>
    <w:rsid w:val="00693D4F"/>
    <w:rsid w:val="00693F32"/>
    <w:rsid w:val="0069403A"/>
    <w:rsid w:val="006941EF"/>
    <w:rsid w:val="00694322"/>
    <w:rsid w:val="0069491B"/>
    <w:rsid w:val="00694AD3"/>
    <w:rsid w:val="00694E11"/>
    <w:rsid w:val="00694E63"/>
    <w:rsid w:val="00695351"/>
    <w:rsid w:val="006955AE"/>
    <w:rsid w:val="00695601"/>
    <w:rsid w:val="00695A04"/>
    <w:rsid w:val="00695AF4"/>
    <w:rsid w:val="00695E30"/>
    <w:rsid w:val="00696519"/>
    <w:rsid w:val="00696642"/>
    <w:rsid w:val="006966F9"/>
    <w:rsid w:val="00696CC1"/>
    <w:rsid w:val="00696D4F"/>
    <w:rsid w:val="006970E4"/>
    <w:rsid w:val="006975CD"/>
    <w:rsid w:val="006975F4"/>
    <w:rsid w:val="006978D4"/>
    <w:rsid w:val="00697931"/>
    <w:rsid w:val="00697B74"/>
    <w:rsid w:val="00697ED9"/>
    <w:rsid w:val="006A00C6"/>
    <w:rsid w:val="006A0D73"/>
    <w:rsid w:val="006A1582"/>
    <w:rsid w:val="006A1D90"/>
    <w:rsid w:val="006A20AD"/>
    <w:rsid w:val="006A3322"/>
    <w:rsid w:val="006A3340"/>
    <w:rsid w:val="006A358E"/>
    <w:rsid w:val="006A3A14"/>
    <w:rsid w:val="006A3C02"/>
    <w:rsid w:val="006A3C19"/>
    <w:rsid w:val="006A3DBA"/>
    <w:rsid w:val="006A405E"/>
    <w:rsid w:val="006A4151"/>
    <w:rsid w:val="006A4968"/>
    <w:rsid w:val="006A54E9"/>
    <w:rsid w:val="006A55DC"/>
    <w:rsid w:val="006A56C8"/>
    <w:rsid w:val="006A57FA"/>
    <w:rsid w:val="006A5AA0"/>
    <w:rsid w:val="006A5E99"/>
    <w:rsid w:val="006A61CC"/>
    <w:rsid w:val="006A62C9"/>
    <w:rsid w:val="006A64BD"/>
    <w:rsid w:val="006A64CC"/>
    <w:rsid w:val="006A6AB2"/>
    <w:rsid w:val="006A6AFF"/>
    <w:rsid w:val="006A6BD2"/>
    <w:rsid w:val="006A7520"/>
    <w:rsid w:val="006A77E2"/>
    <w:rsid w:val="006A789D"/>
    <w:rsid w:val="006A7CA1"/>
    <w:rsid w:val="006A7CA7"/>
    <w:rsid w:val="006B0084"/>
    <w:rsid w:val="006B031C"/>
    <w:rsid w:val="006B06A4"/>
    <w:rsid w:val="006B0731"/>
    <w:rsid w:val="006B1592"/>
    <w:rsid w:val="006B1A84"/>
    <w:rsid w:val="006B1DD4"/>
    <w:rsid w:val="006B1F41"/>
    <w:rsid w:val="006B209C"/>
    <w:rsid w:val="006B20D9"/>
    <w:rsid w:val="006B2279"/>
    <w:rsid w:val="006B25D6"/>
    <w:rsid w:val="006B25F4"/>
    <w:rsid w:val="006B26E4"/>
    <w:rsid w:val="006B2952"/>
    <w:rsid w:val="006B3204"/>
    <w:rsid w:val="006B32A2"/>
    <w:rsid w:val="006B346F"/>
    <w:rsid w:val="006B34F5"/>
    <w:rsid w:val="006B3EB2"/>
    <w:rsid w:val="006B3F24"/>
    <w:rsid w:val="006B4068"/>
    <w:rsid w:val="006B45CB"/>
    <w:rsid w:val="006B48BC"/>
    <w:rsid w:val="006B4DC4"/>
    <w:rsid w:val="006B56C0"/>
    <w:rsid w:val="006B5C6F"/>
    <w:rsid w:val="006B5D63"/>
    <w:rsid w:val="006B5D6D"/>
    <w:rsid w:val="006B5E25"/>
    <w:rsid w:val="006B61ED"/>
    <w:rsid w:val="006B6BCC"/>
    <w:rsid w:val="006B6BF9"/>
    <w:rsid w:val="006B796D"/>
    <w:rsid w:val="006B7CA0"/>
    <w:rsid w:val="006C0149"/>
    <w:rsid w:val="006C029E"/>
    <w:rsid w:val="006C05EC"/>
    <w:rsid w:val="006C0D16"/>
    <w:rsid w:val="006C0FF8"/>
    <w:rsid w:val="006C120F"/>
    <w:rsid w:val="006C173C"/>
    <w:rsid w:val="006C1872"/>
    <w:rsid w:val="006C18CA"/>
    <w:rsid w:val="006C1A11"/>
    <w:rsid w:val="006C1B07"/>
    <w:rsid w:val="006C1CC3"/>
    <w:rsid w:val="006C1F90"/>
    <w:rsid w:val="006C1FD8"/>
    <w:rsid w:val="006C218D"/>
    <w:rsid w:val="006C22A8"/>
    <w:rsid w:val="006C2712"/>
    <w:rsid w:val="006C27E9"/>
    <w:rsid w:val="006C2B41"/>
    <w:rsid w:val="006C305A"/>
    <w:rsid w:val="006C307A"/>
    <w:rsid w:val="006C3121"/>
    <w:rsid w:val="006C320F"/>
    <w:rsid w:val="006C3254"/>
    <w:rsid w:val="006C33EF"/>
    <w:rsid w:val="006C3488"/>
    <w:rsid w:val="006C38B9"/>
    <w:rsid w:val="006C38F3"/>
    <w:rsid w:val="006C3EC6"/>
    <w:rsid w:val="006C3F79"/>
    <w:rsid w:val="006C428D"/>
    <w:rsid w:val="006C447F"/>
    <w:rsid w:val="006C461B"/>
    <w:rsid w:val="006C4D60"/>
    <w:rsid w:val="006C5058"/>
    <w:rsid w:val="006C538F"/>
    <w:rsid w:val="006C5403"/>
    <w:rsid w:val="006C5407"/>
    <w:rsid w:val="006C54B2"/>
    <w:rsid w:val="006C5690"/>
    <w:rsid w:val="006C5F33"/>
    <w:rsid w:val="006C644E"/>
    <w:rsid w:val="006C66C7"/>
    <w:rsid w:val="006C6DD6"/>
    <w:rsid w:val="006C7178"/>
    <w:rsid w:val="006C7269"/>
    <w:rsid w:val="006C7814"/>
    <w:rsid w:val="006C7A7F"/>
    <w:rsid w:val="006D03B5"/>
    <w:rsid w:val="006D03BF"/>
    <w:rsid w:val="006D041C"/>
    <w:rsid w:val="006D0A1F"/>
    <w:rsid w:val="006D0BB0"/>
    <w:rsid w:val="006D0C2E"/>
    <w:rsid w:val="006D0E6B"/>
    <w:rsid w:val="006D1963"/>
    <w:rsid w:val="006D1D19"/>
    <w:rsid w:val="006D2219"/>
    <w:rsid w:val="006D259C"/>
    <w:rsid w:val="006D2682"/>
    <w:rsid w:val="006D2734"/>
    <w:rsid w:val="006D3448"/>
    <w:rsid w:val="006D389E"/>
    <w:rsid w:val="006D3C52"/>
    <w:rsid w:val="006D4018"/>
    <w:rsid w:val="006D4127"/>
    <w:rsid w:val="006D41BB"/>
    <w:rsid w:val="006D4538"/>
    <w:rsid w:val="006D45CF"/>
    <w:rsid w:val="006D47E5"/>
    <w:rsid w:val="006D4826"/>
    <w:rsid w:val="006D4AAB"/>
    <w:rsid w:val="006D4CAC"/>
    <w:rsid w:val="006D4E50"/>
    <w:rsid w:val="006D4F2D"/>
    <w:rsid w:val="006D5173"/>
    <w:rsid w:val="006D5235"/>
    <w:rsid w:val="006D5611"/>
    <w:rsid w:val="006D6229"/>
    <w:rsid w:val="006D6550"/>
    <w:rsid w:val="006D655D"/>
    <w:rsid w:val="006D662B"/>
    <w:rsid w:val="006D6776"/>
    <w:rsid w:val="006D6DDA"/>
    <w:rsid w:val="006D7414"/>
    <w:rsid w:val="006D74A7"/>
    <w:rsid w:val="006D78B0"/>
    <w:rsid w:val="006D7A6A"/>
    <w:rsid w:val="006E0311"/>
    <w:rsid w:val="006E041E"/>
    <w:rsid w:val="006E08F8"/>
    <w:rsid w:val="006E0B87"/>
    <w:rsid w:val="006E0CB7"/>
    <w:rsid w:val="006E0E17"/>
    <w:rsid w:val="006E0F82"/>
    <w:rsid w:val="006E0FBC"/>
    <w:rsid w:val="006E1865"/>
    <w:rsid w:val="006E24E0"/>
    <w:rsid w:val="006E2601"/>
    <w:rsid w:val="006E2B60"/>
    <w:rsid w:val="006E2BD1"/>
    <w:rsid w:val="006E2EBC"/>
    <w:rsid w:val="006E3305"/>
    <w:rsid w:val="006E3327"/>
    <w:rsid w:val="006E3A56"/>
    <w:rsid w:val="006E3AA7"/>
    <w:rsid w:val="006E3BE7"/>
    <w:rsid w:val="006E4492"/>
    <w:rsid w:val="006E47D1"/>
    <w:rsid w:val="006E494F"/>
    <w:rsid w:val="006E49B2"/>
    <w:rsid w:val="006E4D30"/>
    <w:rsid w:val="006E4E6B"/>
    <w:rsid w:val="006E4FE4"/>
    <w:rsid w:val="006E54D9"/>
    <w:rsid w:val="006E58CA"/>
    <w:rsid w:val="006E590F"/>
    <w:rsid w:val="006E5AD9"/>
    <w:rsid w:val="006E5BF9"/>
    <w:rsid w:val="006E5C2A"/>
    <w:rsid w:val="006E5FB6"/>
    <w:rsid w:val="006E6308"/>
    <w:rsid w:val="006E6A38"/>
    <w:rsid w:val="006E6F76"/>
    <w:rsid w:val="006E7529"/>
    <w:rsid w:val="006E7B32"/>
    <w:rsid w:val="006E7D6D"/>
    <w:rsid w:val="006E7FD9"/>
    <w:rsid w:val="006F0232"/>
    <w:rsid w:val="006F058C"/>
    <w:rsid w:val="006F05A9"/>
    <w:rsid w:val="006F1072"/>
    <w:rsid w:val="006F1206"/>
    <w:rsid w:val="006F172F"/>
    <w:rsid w:val="006F17DA"/>
    <w:rsid w:val="006F1AD2"/>
    <w:rsid w:val="006F1EA6"/>
    <w:rsid w:val="006F227D"/>
    <w:rsid w:val="006F2321"/>
    <w:rsid w:val="006F2546"/>
    <w:rsid w:val="006F2725"/>
    <w:rsid w:val="006F276C"/>
    <w:rsid w:val="006F3535"/>
    <w:rsid w:val="006F3595"/>
    <w:rsid w:val="006F3704"/>
    <w:rsid w:val="006F3F6E"/>
    <w:rsid w:val="006F4133"/>
    <w:rsid w:val="006F45DA"/>
    <w:rsid w:val="006F485E"/>
    <w:rsid w:val="006F5212"/>
    <w:rsid w:val="006F5242"/>
    <w:rsid w:val="006F57A7"/>
    <w:rsid w:val="006F5B16"/>
    <w:rsid w:val="006F5C15"/>
    <w:rsid w:val="006F5C40"/>
    <w:rsid w:val="006F5D7D"/>
    <w:rsid w:val="006F5E0F"/>
    <w:rsid w:val="006F5FE6"/>
    <w:rsid w:val="006F6092"/>
    <w:rsid w:val="006F6418"/>
    <w:rsid w:val="006F6C16"/>
    <w:rsid w:val="006F6FB1"/>
    <w:rsid w:val="006F7EDA"/>
    <w:rsid w:val="006F7EEF"/>
    <w:rsid w:val="006F7FFE"/>
    <w:rsid w:val="00700379"/>
    <w:rsid w:val="0070058C"/>
    <w:rsid w:val="00700590"/>
    <w:rsid w:val="0070063C"/>
    <w:rsid w:val="00700F38"/>
    <w:rsid w:val="0070138C"/>
    <w:rsid w:val="007014B5"/>
    <w:rsid w:val="0070190C"/>
    <w:rsid w:val="0070225C"/>
    <w:rsid w:val="00702C50"/>
    <w:rsid w:val="007034A4"/>
    <w:rsid w:val="00703841"/>
    <w:rsid w:val="007038AD"/>
    <w:rsid w:val="007039A4"/>
    <w:rsid w:val="00703DF0"/>
    <w:rsid w:val="00703FE6"/>
    <w:rsid w:val="00704E5F"/>
    <w:rsid w:val="00704EC2"/>
    <w:rsid w:val="00704FB1"/>
    <w:rsid w:val="0070513A"/>
    <w:rsid w:val="007053EE"/>
    <w:rsid w:val="00705830"/>
    <w:rsid w:val="00705A9C"/>
    <w:rsid w:val="00705F6F"/>
    <w:rsid w:val="00705F96"/>
    <w:rsid w:val="007062C5"/>
    <w:rsid w:val="00706743"/>
    <w:rsid w:val="00706A90"/>
    <w:rsid w:val="00706A93"/>
    <w:rsid w:val="00707121"/>
    <w:rsid w:val="007071E9"/>
    <w:rsid w:val="00707649"/>
    <w:rsid w:val="007077C4"/>
    <w:rsid w:val="007077E4"/>
    <w:rsid w:val="007078D5"/>
    <w:rsid w:val="00707972"/>
    <w:rsid w:val="00707CDB"/>
    <w:rsid w:val="00707E61"/>
    <w:rsid w:val="0071078B"/>
    <w:rsid w:val="00710CFC"/>
    <w:rsid w:val="00710D80"/>
    <w:rsid w:val="00711132"/>
    <w:rsid w:val="007115AE"/>
    <w:rsid w:val="00711996"/>
    <w:rsid w:val="00711B09"/>
    <w:rsid w:val="00711C92"/>
    <w:rsid w:val="00711D11"/>
    <w:rsid w:val="00712436"/>
    <w:rsid w:val="00712583"/>
    <w:rsid w:val="00712845"/>
    <w:rsid w:val="00712AB7"/>
    <w:rsid w:val="00712EE9"/>
    <w:rsid w:val="00712FBC"/>
    <w:rsid w:val="007132B2"/>
    <w:rsid w:val="007132D7"/>
    <w:rsid w:val="0071333C"/>
    <w:rsid w:val="00713457"/>
    <w:rsid w:val="007136AA"/>
    <w:rsid w:val="00713713"/>
    <w:rsid w:val="00713964"/>
    <w:rsid w:val="00713D39"/>
    <w:rsid w:val="00714021"/>
    <w:rsid w:val="00714124"/>
    <w:rsid w:val="00714260"/>
    <w:rsid w:val="0071457A"/>
    <w:rsid w:val="007147FC"/>
    <w:rsid w:val="00714C18"/>
    <w:rsid w:val="00714D90"/>
    <w:rsid w:val="00714FD3"/>
    <w:rsid w:val="00714FEE"/>
    <w:rsid w:val="0071502E"/>
    <w:rsid w:val="00715438"/>
    <w:rsid w:val="0071571E"/>
    <w:rsid w:val="00715D9B"/>
    <w:rsid w:val="00716261"/>
    <w:rsid w:val="00716BDB"/>
    <w:rsid w:val="00716CE7"/>
    <w:rsid w:val="00717290"/>
    <w:rsid w:val="007175BB"/>
    <w:rsid w:val="007175F1"/>
    <w:rsid w:val="00717BC6"/>
    <w:rsid w:val="00720001"/>
    <w:rsid w:val="007201B8"/>
    <w:rsid w:val="00720402"/>
    <w:rsid w:val="00720849"/>
    <w:rsid w:val="007218C7"/>
    <w:rsid w:val="00721952"/>
    <w:rsid w:val="007219FF"/>
    <w:rsid w:val="00721B33"/>
    <w:rsid w:val="00722446"/>
    <w:rsid w:val="007224BD"/>
    <w:rsid w:val="00722A47"/>
    <w:rsid w:val="00722F51"/>
    <w:rsid w:val="0072314D"/>
    <w:rsid w:val="00723396"/>
    <w:rsid w:val="0072375A"/>
    <w:rsid w:val="007239DE"/>
    <w:rsid w:val="00723AE5"/>
    <w:rsid w:val="007241CC"/>
    <w:rsid w:val="0072446C"/>
    <w:rsid w:val="00724A3E"/>
    <w:rsid w:val="00724E4A"/>
    <w:rsid w:val="007254DC"/>
    <w:rsid w:val="007256CD"/>
    <w:rsid w:val="00725C82"/>
    <w:rsid w:val="0072608D"/>
    <w:rsid w:val="007260C7"/>
    <w:rsid w:val="007260E9"/>
    <w:rsid w:val="00726638"/>
    <w:rsid w:val="0072678F"/>
    <w:rsid w:val="00726C4F"/>
    <w:rsid w:val="00726C75"/>
    <w:rsid w:val="00727297"/>
    <w:rsid w:val="007272F7"/>
    <w:rsid w:val="00727320"/>
    <w:rsid w:val="0072737D"/>
    <w:rsid w:val="00727C2B"/>
    <w:rsid w:val="00727E72"/>
    <w:rsid w:val="007307BE"/>
    <w:rsid w:val="00730916"/>
    <w:rsid w:val="00731643"/>
    <w:rsid w:val="00731786"/>
    <w:rsid w:val="007318D9"/>
    <w:rsid w:val="0073199C"/>
    <w:rsid w:val="00731C03"/>
    <w:rsid w:val="00731C46"/>
    <w:rsid w:val="00731CA0"/>
    <w:rsid w:val="007323A3"/>
    <w:rsid w:val="007324A8"/>
    <w:rsid w:val="00732667"/>
    <w:rsid w:val="00732FF8"/>
    <w:rsid w:val="00733329"/>
    <w:rsid w:val="0073366A"/>
    <w:rsid w:val="00733762"/>
    <w:rsid w:val="007339DA"/>
    <w:rsid w:val="0073420E"/>
    <w:rsid w:val="007345B7"/>
    <w:rsid w:val="00734883"/>
    <w:rsid w:val="00734D2B"/>
    <w:rsid w:val="00735034"/>
    <w:rsid w:val="0073507D"/>
    <w:rsid w:val="0073598E"/>
    <w:rsid w:val="00735A86"/>
    <w:rsid w:val="00735CBD"/>
    <w:rsid w:val="00736006"/>
    <w:rsid w:val="00736367"/>
    <w:rsid w:val="007363A8"/>
    <w:rsid w:val="00736522"/>
    <w:rsid w:val="0073670E"/>
    <w:rsid w:val="00736871"/>
    <w:rsid w:val="00736A95"/>
    <w:rsid w:val="00736F3A"/>
    <w:rsid w:val="00737009"/>
    <w:rsid w:val="00737402"/>
    <w:rsid w:val="00740299"/>
    <w:rsid w:val="00740CDF"/>
    <w:rsid w:val="00740EA8"/>
    <w:rsid w:val="00740FE6"/>
    <w:rsid w:val="0074111A"/>
    <w:rsid w:val="0074120F"/>
    <w:rsid w:val="007413C2"/>
    <w:rsid w:val="00741630"/>
    <w:rsid w:val="00741634"/>
    <w:rsid w:val="007417E3"/>
    <w:rsid w:val="007418C2"/>
    <w:rsid w:val="007422BB"/>
    <w:rsid w:val="007427C6"/>
    <w:rsid w:val="007431E3"/>
    <w:rsid w:val="00743327"/>
    <w:rsid w:val="007435BD"/>
    <w:rsid w:val="0074399F"/>
    <w:rsid w:val="00743E79"/>
    <w:rsid w:val="00744008"/>
    <w:rsid w:val="007445C3"/>
    <w:rsid w:val="007445F2"/>
    <w:rsid w:val="00744737"/>
    <w:rsid w:val="00745283"/>
    <w:rsid w:val="007456FD"/>
    <w:rsid w:val="0074578C"/>
    <w:rsid w:val="00745EC3"/>
    <w:rsid w:val="00745EEB"/>
    <w:rsid w:val="00746223"/>
    <w:rsid w:val="007468F8"/>
    <w:rsid w:val="00746B9F"/>
    <w:rsid w:val="00746D18"/>
    <w:rsid w:val="0074701B"/>
    <w:rsid w:val="0074711D"/>
    <w:rsid w:val="00747216"/>
    <w:rsid w:val="00747262"/>
    <w:rsid w:val="007472D2"/>
    <w:rsid w:val="007477AD"/>
    <w:rsid w:val="00747EF1"/>
    <w:rsid w:val="00747F12"/>
    <w:rsid w:val="00750573"/>
    <w:rsid w:val="007507BA"/>
    <w:rsid w:val="00750A1D"/>
    <w:rsid w:val="0075103F"/>
    <w:rsid w:val="00751318"/>
    <w:rsid w:val="00751433"/>
    <w:rsid w:val="007515D5"/>
    <w:rsid w:val="00751979"/>
    <w:rsid w:val="00751C79"/>
    <w:rsid w:val="00752593"/>
    <w:rsid w:val="007526A2"/>
    <w:rsid w:val="007526D3"/>
    <w:rsid w:val="007528F4"/>
    <w:rsid w:val="00752C9D"/>
    <w:rsid w:val="00752F1F"/>
    <w:rsid w:val="00752FEC"/>
    <w:rsid w:val="007531F0"/>
    <w:rsid w:val="00753683"/>
    <w:rsid w:val="00753D41"/>
    <w:rsid w:val="00753F93"/>
    <w:rsid w:val="007551A2"/>
    <w:rsid w:val="0075536D"/>
    <w:rsid w:val="00755722"/>
    <w:rsid w:val="00755A2A"/>
    <w:rsid w:val="00755B37"/>
    <w:rsid w:val="00755BD2"/>
    <w:rsid w:val="007563C6"/>
    <w:rsid w:val="0075640E"/>
    <w:rsid w:val="0075647F"/>
    <w:rsid w:val="0075651C"/>
    <w:rsid w:val="00756581"/>
    <w:rsid w:val="007565EC"/>
    <w:rsid w:val="00756649"/>
    <w:rsid w:val="0075670B"/>
    <w:rsid w:val="0075698D"/>
    <w:rsid w:val="0075699B"/>
    <w:rsid w:val="00756B1A"/>
    <w:rsid w:val="00756C31"/>
    <w:rsid w:val="00757244"/>
    <w:rsid w:val="00757A76"/>
    <w:rsid w:val="00757C76"/>
    <w:rsid w:val="007600D8"/>
    <w:rsid w:val="00760234"/>
    <w:rsid w:val="007602E6"/>
    <w:rsid w:val="00760751"/>
    <w:rsid w:val="00760C43"/>
    <w:rsid w:val="00760DFE"/>
    <w:rsid w:val="00761165"/>
    <w:rsid w:val="00761750"/>
    <w:rsid w:val="00762397"/>
    <w:rsid w:val="00762450"/>
    <w:rsid w:val="0076254C"/>
    <w:rsid w:val="007629C8"/>
    <w:rsid w:val="007629FC"/>
    <w:rsid w:val="00762A1B"/>
    <w:rsid w:val="00762B6D"/>
    <w:rsid w:val="00762C01"/>
    <w:rsid w:val="00762C20"/>
    <w:rsid w:val="007638AA"/>
    <w:rsid w:val="00763AF8"/>
    <w:rsid w:val="00763B7D"/>
    <w:rsid w:val="00763C46"/>
    <w:rsid w:val="00763F9B"/>
    <w:rsid w:val="00763F9E"/>
    <w:rsid w:val="0076432E"/>
    <w:rsid w:val="0076433F"/>
    <w:rsid w:val="00764786"/>
    <w:rsid w:val="007648A5"/>
    <w:rsid w:val="00764993"/>
    <w:rsid w:val="0076503F"/>
    <w:rsid w:val="0076521F"/>
    <w:rsid w:val="00765581"/>
    <w:rsid w:val="00765A4C"/>
    <w:rsid w:val="0076609E"/>
    <w:rsid w:val="0076614B"/>
    <w:rsid w:val="007661C4"/>
    <w:rsid w:val="0076654F"/>
    <w:rsid w:val="007666E5"/>
    <w:rsid w:val="00766864"/>
    <w:rsid w:val="00766937"/>
    <w:rsid w:val="00766A3C"/>
    <w:rsid w:val="00766BD1"/>
    <w:rsid w:val="00766DA3"/>
    <w:rsid w:val="0076709F"/>
    <w:rsid w:val="007671B6"/>
    <w:rsid w:val="00767440"/>
    <w:rsid w:val="00767727"/>
    <w:rsid w:val="00767D2A"/>
    <w:rsid w:val="00767E1D"/>
    <w:rsid w:val="00767F89"/>
    <w:rsid w:val="0077084E"/>
    <w:rsid w:val="00770CF7"/>
    <w:rsid w:val="00770E98"/>
    <w:rsid w:val="00771289"/>
    <w:rsid w:val="0077137C"/>
    <w:rsid w:val="007714DD"/>
    <w:rsid w:val="00771571"/>
    <w:rsid w:val="00771708"/>
    <w:rsid w:val="00771770"/>
    <w:rsid w:val="00771C28"/>
    <w:rsid w:val="0077205C"/>
    <w:rsid w:val="0077278D"/>
    <w:rsid w:val="0077290C"/>
    <w:rsid w:val="00772C80"/>
    <w:rsid w:val="0077350C"/>
    <w:rsid w:val="0077371F"/>
    <w:rsid w:val="00774041"/>
    <w:rsid w:val="00774130"/>
    <w:rsid w:val="00774252"/>
    <w:rsid w:val="007744DB"/>
    <w:rsid w:val="007744F3"/>
    <w:rsid w:val="0077499C"/>
    <w:rsid w:val="00774B36"/>
    <w:rsid w:val="00774C99"/>
    <w:rsid w:val="00774E22"/>
    <w:rsid w:val="0077699C"/>
    <w:rsid w:val="00776A48"/>
    <w:rsid w:val="00776AC3"/>
    <w:rsid w:val="00776F36"/>
    <w:rsid w:val="00777008"/>
    <w:rsid w:val="00777033"/>
    <w:rsid w:val="00777219"/>
    <w:rsid w:val="007773C1"/>
    <w:rsid w:val="00777942"/>
    <w:rsid w:val="00777EE5"/>
    <w:rsid w:val="00777F3C"/>
    <w:rsid w:val="007802A8"/>
    <w:rsid w:val="0078046A"/>
    <w:rsid w:val="007804A9"/>
    <w:rsid w:val="00780508"/>
    <w:rsid w:val="007811FD"/>
    <w:rsid w:val="0078124A"/>
    <w:rsid w:val="00781856"/>
    <w:rsid w:val="00781B01"/>
    <w:rsid w:val="00782087"/>
    <w:rsid w:val="007824C4"/>
    <w:rsid w:val="007828D0"/>
    <w:rsid w:val="00782F3F"/>
    <w:rsid w:val="00782F5F"/>
    <w:rsid w:val="00783500"/>
    <w:rsid w:val="00783CCF"/>
    <w:rsid w:val="00783EE4"/>
    <w:rsid w:val="00783F1E"/>
    <w:rsid w:val="00783F90"/>
    <w:rsid w:val="007840A0"/>
    <w:rsid w:val="00784601"/>
    <w:rsid w:val="00784B54"/>
    <w:rsid w:val="007857A1"/>
    <w:rsid w:val="00785993"/>
    <w:rsid w:val="00785C06"/>
    <w:rsid w:val="00785E75"/>
    <w:rsid w:val="00785FA6"/>
    <w:rsid w:val="00786025"/>
    <w:rsid w:val="00786E2E"/>
    <w:rsid w:val="00786F88"/>
    <w:rsid w:val="00787286"/>
    <w:rsid w:val="0078735D"/>
    <w:rsid w:val="00787613"/>
    <w:rsid w:val="00787A6A"/>
    <w:rsid w:val="00787B11"/>
    <w:rsid w:val="00787FBC"/>
    <w:rsid w:val="0079027D"/>
    <w:rsid w:val="00790619"/>
    <w:rsid w:val="00790648"/>
    <w:rsid w:val="00790971"/>
    <w:rsid w:val="007909D1"/>
    <w:rsid w:val="00790A9D"/>
    <w:rsid w:val="00790DBF"/>
    <w:rsid w:val="0079109E"/>
    <w:rsid w:val="007911D6"/>
    <w:rsid w:val="0079158A"/>
    <w:rsid w:val="00791637"/>
    <w:rsid w:val="00791761"/>
    <w:rsid w:val="00791D34"/>
    <w:rsid w:val="00792016"/>
    <w:rsid w:val="0079219A"/>
    <w:rsid w:val="007923F9"/>
    <w:rsid w:val="00792496"/>
    <w:rsid w:val="00792D31"/>
    <w:rsid w:val="00792F04"/>
    <w:rsid w:val="00792F93"/>
    <w:rsid w:val="007932FB"/>
    <w:rsid w:val="00793A3B"/>
    <w:rsid w:val="00793D4D"/>
    <w:rsid w:val="00793DAA"/>
    <w:rsid w:val="00793E4C"/>
    <w:rsid w:val="0079405B"/>
    <w:rsid w:val="0079421D"/>
    <w:rsid w:val="007944A1"/>
    <w:rsid w:val="0079459A"/>
    <w:rsid w:val="007948BC"/>
    <w:rsid w:val="007949B4"/>
    <w:rsid w:val="00794A6A"/>
    <w:rsid w:val="00794CA1"/>
    <w:rsid w:val="00794CEC"/>
    <w:rsid w:val="007957B8"/>
    <w:rsid w:val="007957D2"/>
    <w:rsid w:val="0079582E"/>
    <w:rsid w:val="00795884"/>
    <w:rsid w:val="00795F19"/>
    <w:rsid w:val="00795FE4"/>
    <w:rsid w:val="00796606"/>
    <w:rsid w:val="00796790"/>
    <w:rsid w:val="0079690E"/>
    <w:rsid w:val="0079729F"/>
    <w:rsid w:val="0079760B"/>
    <w:rsid w:val="00797810"/>
    <w:rsid w:val="00797BAE"/>
    <w:rsid w:val="00797D90"/>
    <w:rsid w:val="00797F5E"/>
    <w:rsid w:val="007A0331"/>
    <w:rsid w:val="007A053A"/>
    <w:rsid w:val="007A089D"/>
    <w:rsid w:val="007A0C5D"/>
    <w:rsid w:val="007A0FE5"/>
    <w:rsid w:val="007A14D9"/>
    <w:rsid w:val="007A1845"/>
    <w:rsid w:val="007A1A13"/>
    <w:rsid w:val="007A1BFA"/>
    <w:rsid w:val="007A1D25"/>
    <w:rsid w:val="007A24FE"/>
    <w:rsid w:val="007A2611"/>
    <w:rsid w:val="007A2FD2"/>
    <w:rsid w:val="007A31F8"/>
    <w:rsid w:val="007A3651"/>
    <w:rsid w:val="007A42AE"/>
    <w:rsid w:val="007A433F"/>
    <w:rsid w:val="007A4689"/>
    <w:rsid w:val="007A46E8"/>
    <w:rsid w:val="007A48BB"/>
    <w:rsid w:val="007A508E"/>
    <w:rsid w:val="007A58CF"/>
    <w:rsid w:val="007A5F82"/>
    <w:rsid w:val="007A5FDF"/>
    <w:rsid w:val="007A60DF"/>
    <w:rsid w:val="007A6520"/>
    <w:rsid w:val="007A6BD6"/>
    <w:rsid w:val="007A7308"/>
    <w:rsid w:val="007A73A6"/>
    <w:rsid w:val="007A7424"/>
    <w:rsid w:val="007A7470"/>
    <w:rsid w:val="007A752A"/>
    <w:rsid w:val="007A755C"/>
    <w:rsid w:val="007A7865"/>
    <w:rsid w:val="007A7AFA"/>
    <w:rsid w:val="007B05AD"/>
    <w:rsid w:val="007B05FE"/>
    <w:rsid w:val="007B067C"/>
    <w:rsid w:val="007B06E9"/>
    <w:rsid w:val="007B0CE5"/>
    <w:rsid w:val="007B0FA4"/>
    <w:rsid w:val="007B10B2"/>
    <w:rsid w:val="007B10CD"/>
    <w:rsid w:val="007B156B"/>
    <w:rsid w:val="007B1646"/>
    <w:rsid w:val="007B17ED"/>
    <w:rsid w:val="007B180A"/>
    <w:rsid w:val="007B1CFF"/>
    <w:rsid w:val="007B1E9C"/>
    <w:rsid w:val="007B20BD"/>
    <w:rsid w:val="007B232B"/>
    <w:rsid w:val="007B282E"/>
    <w:rsid w:val="007B2A70"/>
    <w:rsid w:val="007B2B0D"/>
    <w:rsid w:val="007B33F8"/>
    <w:rsid w:val="007B43E3"/>
    <w:rsid w:val="007B4682"/>
    <w:rsid w:val="007B4A76"/>
    <w:rsid w:val="007B4D58"/>
    <w:rsid w:val="007B4E98"/>
    <w:rsid w:val="007B500A"/>
    <w:rsid w:val="007B5023"/>
    <w:rsid w:val="007B5196"/>
    <w:rsid w:val="007B5404"/>
    <w:rsid w:val="007B5586"/>
    <w:rsid w:val="007B5598"/>
    <w:rsid w:val="007B5D16"/>
    <w:rsid w:val="007B5D9C"/>
    <w:rsid w:val="007B5FEF"/>
    <w:rsid w:val="007B6307"/>
    <w:rsid w:val="007B6C00"/>
    <w:rsid w:val="007B6E13"/>
    <w:rsid w:val="007B6FA4"/>
    <w:rsid w:val="007B75C5"/>
    <w:rsid w:val="007B7949"/>
    <w:rsid w:val="007B79E1"/>
    <w:rsid w:val="007C00E5"/>
    <w:rsid w:val="007C04F2"/>
    <w:rsid w:val="007C0896"/>
    <w:rsid w:val="007C0D47"/>
    <w:rsid w:val="007C112A"/>
    <w:rsid w:val="007C121A"/>
    <w:rsid w:val="007C15B2"/>
    <w:rsid w:val="007C16B4"/>
    <w:rsid w:val="007C174D"/>
    <w:rsid w:val="007C22F9"/>
    <w:rsid w:val="007C23EA"/>
    <w:rsid w:val="007C250E"/>
    <w:rsid w:val="007C2AFA"/>
    <w:rsid w:val="007C2B64"/>
    <w:rsid w:val="007C2B7C"/>
    <w:rsid w:val="007C2DFB"/>
    <w:rsid w:val="007C3566"/>
    <w:rsid w:val="007C3986"/>
    <w:rsid w:val="007C3FAA"/>
    <w:rsid w:val="007C483E"/>
    <w:rsid w:val="007C485A"/>
    <w:rsid w:val="007C4A46"/>
    <w:rsid w:val="007C4A99"/>
    <w:rsid w:val="007C4AA5"/>
    <w:rsid w:val="007C51F6"/>
    <w:rsid w:val="007C528C"/>
    <w:rsid w:val="007C5373"/>
    <w:rsid w:val="007C53F7"/>
    <w:rsid w:val="007C54DD"/>
    <w:rsid w:val="007C5662"/>
    <w:rsid w:val="007C5746"/>
    <w:rsid w:val="007C5916"/>
    <w:rsid w:val="007C594E"/>
    <w:rsid w:val="007C6159"/>
    <w:rsid w:val="007C638A"/>
    <w:rsid w:val="007C692C"/>
    <w:rsid w:val="007C6AB0"/>
    <w:rsid w:val="007C6EDD"/>
    <w:rsid w:val="007C6F56"/>
    <w:rsid w:val="007C767A"/>
    <w:rsid w:val="007C7802"/>
    <w:rsid w:val="007C7AAA"/>
    <w:rsid w:val="007D00C7"/>
    <w:rsid w:val="007D03CB"/>
    <w:rsid w:val="007D03E9"/>
    <w:rsid w:val="007D0A36"/>
    <w:rsid w:val="007D0C04"/>
    <w:rsid w:val="007D0C9E"/>
    <w:rsid w:val="007D1507"/>
    <w:rsid w:val="007D1768"/>
    <w:rsid w:val="007D17BE"/>
    <w:rsid w:val="007D17D2"/>
    <w:rsid w:val="007D1D13"/>
    <w:rsid w:val="007D23F7"/>
    <w:rsid w:val="007D248E"/>
    <w:rsid w:val="007D26AB"/>
    <w:rsid w:val="007D27F1"/>
    <w:rsid w:val="007D3ADA"/>
    <w:rsid w:val="007D3F7B"/>
    <w:rsid w:val="007D477B"/>
    <w:rsid w:val="007D4AC9"/>
    <w:rsid w:val="007D4B08"/>
    <w:rsid w:val="007D53CA"/>
    <w:rsid w:val="007D5C5C"/>
    <w:rsid w:val="007D6012"/>
    <w:rsid w:val="007D625D"/>
    <w:rsid w:val="007D6AD1"/>
    <w:rsid w:val="007D6C9A"/>
    <w:rsid w:val="007D6CC7"/>
    <w:rsid w:val="007D6CF0"/>
    <w:rsid w:val="007D74DD"/>
    <w:rsid w:val="007D7950"/>
    <w:rsid w:val="007D7EE2"/>
    <w:rsid w:val="007D7FF4"/>
    <w:rsid w:val="007E0123"/>
    <w:rsid w:val="007E08A2"/>
    <w:rsid w:val="007E0B20"/>
    <w:rsid w:val="007E0C2E"/>
    <w:rsid w:val="007E0F8F"/>
    <w:rsid w:val="007E10B3"/>
    <w:rsid w:val="007E152E"/>
    <w:rsid w:val="007E16AE"/>
    <w:rsid w:val="007E19D2"/>
    <w:rsid w:val="007E19F4"/>
    <w:rsid w:val="007E1CA2"/>
    <w:rsid w:val="007E203A"/>
    <w:rsid w:val="007E2365"/>
    <w:rsid w:val="007E2884"/>
    <w:rsid w:val="007E2950"/>
    <w:rsid w:val="007E2BBD"/>
    <w:rsid w:val="007E2D01"/>
    <w:rsid w:val="007E321E"/>
    <w:rsid w:val="007E32F3"/>
    <w:rsid w:val="007E3880"/>
    <w:rsid w:val="007E3F3A"/>
    <w:rsid w:val="007E41E3"/>
    <w:rsid w:val="007E4354"/>
    <w:rsid w:val="007E43DE"/>
    <w:rsid w:val="007E4422"/>
    <w:rsid w:val="007E46D7"/>
    <w:rsid w:val="007E4A44"/>
    <w:rsid w:val="007E4A5A"/>
    <w:rsid w:val="007E4EC4"/>
    <w:rsid w:val="007E52C4"/>
    <w:rsid w:val="007E57B4"/>
    <w:rsid w:val="007E5E34"/>
    <w:rsid w:val="007E61C7"/>
    <w:rsid w:val="007E65E7"/>
    <w:rsid w:val="007E65E8"/>
    <w:rsid w:val="007E6770"/>
    <w:rsid w:val="007E6B93"/>
    <w:rsid w:val="007E6F23"/>
    <w:rsid w:val="007E71A2"/>
    <w:rsid w:val="007E7B9E"/>
    <w:rsid w:val="007E7DB8"/>
    <w:rsid w:val="007E7F07"/>
    <w:rsid w:val="007F004E"/>
    <w:rsid w:val="007F0213"/>
    <w:rsid w:val="007F02D7"/>
    <w:rsid w:val="007F0CA9"/>
    <w:rsid w:val="007F0CFA"/>
    <w:rsid w:val="007F0D4A"/>
    <w:rsid w:val="007F0E56"/>
    <w:rsid w:val="007F1890"/>
    <w:rsid w:val="007F1960"/>
    <w:rsid w:val="007F1D9E"/>
    <w:rsid w:val="007F1FA1"/>
    <w:rsid w:val="007F209F"/>
    <w:rsid w:val="007F2969"/>
    <w:rsid w:val="007F2A5C"/>
    <w:rsid w:val="007F2D56"/>
    <w:rsid w:val="007F3C38"/>
    <w:rsid w:val="007F43AD"/>
    <w:rsid w:val="007F447D"/>
    <w:rsid w:val="007F44FF"/>
    <w:rsid w:val="007F4F2A"/>
    <w:rsid w:val="007F52BD"/>
    <w:rsid w:val="007F52DB"/>
    <w:rsid w:val="007F5305"/>
    <w:rsid w:val="007F540D"/>
    <w:rsid w:val="007F5431"/>
    <w:rsid w:val="007F57DD"/>
    <w:rsid w:val="007F5924"/>
    <w:rsid w:val="007F5B61"/>
    <w:rsid w:val="007F5CA3"/>
    <w:rsid w:val="007F65CE"/>
    <w:rsid w:val="007F67C2"/>
    <w:rsid w:val="007F6B55"/>
    <w:rsid w:val="007F71B1"/>
    <w:rsid w:val="007F749C"/>
    <w:rsid w:val="007F78A6"/>
    <w:rsid w:val="007F7BC5"/>
    <w:rsid w:val="008001E7"/>
    <w:rsid w:val="008005BB"/>
    <w:rsid w:val="0080103F"/>
    <w:rsid w:val="008010A1"/>
    <w:rsid w:val="008010AC"/>
    <w:rsid w:val="00801641"/>
    <w:rsid w:val="008016B8"/>
    <w:rsid w:val="00801751"/>
    <w:rsid w:val="00801EB3"/>
    <w:rsid w:val="00802102"/>
    <w:rsid w:val="00802134"/>
    <w:rsid w:val="008028CA"/>
    <w:rsid w:val="00802A67"/>
    <w:rsid w:val="00802F06"/>
    <w:rsid w:val="00802FFB"/>
    <w:rsid w:val="008038D1"/>
    <w:rsid w:val="00803C2C"/>
    <w:rsid w:val="00803D48"/>
    <w:rsid w:val="00803E5D"/>
    <w:rsid w:val="00804339"/>
    <w:rsid w:val="008046C4"/>
    <w:rsid w:val="00804F2B"/>
    <w:rsid w:val="00805360"/>
    <w:rsid w:val="0080562E"/>
    <w:rsid w:val="0080566F"/>
    <w:rsid w:val="0080577E"/>
    <w:rsid w:val="0080590A"/>
    <w:rsid w:val="00805BCE"/>
    <w:rsid w:val="00805D92"/>
    <w:rsid w:val="00805E69"/>
    <w:rsid w:val="00806046"/>
    <w:rsid w:val="008061D1"/>
    <w:rsid w:val="00806207"/>
    <w:rsid w:val="008062E1"/>
    <w:rsid w:val="00806537"/>
    <w:rsid w:val="008067F8"/>
    <w:rsid w:val="00806926"/>
    <w:rsid w:val="00806928"/>
    <w:rsid w:val="008071DF"/>
    <w:rsid w:val="00807206"/>
    <w:rsid w:val="0080729B"/>
    <w:rsid w:val="00807313"/>
    <w:rsid w:val="00807468"/>
    <w:rsid w:val="00807500"/>
    <w:rsid w:val="00807620"/>
    <w:rsid w:val="008077E9"/>
    <w:rsid w:val="0080782C"/>
    <w:rsid w:val="00807B00"/>
    <w:rsid w:val="00810024"/>
    <w:rsid w:val="0081056C"/>
    <w:rsid w:val="0081056F"/>
    <w:rsid w:val="00810D52"/>
    <w:rsid w:val="00810F17"/>
    <w:rsid w:val="00810F7B"/>
    <w:rsid w:val="008112D8"/>
    <w:rsid w:val="00811891"/>
    <w:rsid w:val="00811C18"/>
    <w:rsid w:val="00811E42"/>
    <w:rsid w:val="00811FE8"/>
    <w:rsid w:val="008121D4"/>
    <w:rsid w:val="00812389"/>
    <w:rsid w:val="00812603"/>
    <w:rsid w:val="008128E4"/>
    <w:rsid w:val="00812A03"/>
    <w:rsid w:val="00812EB9"/>
    <w:rsid w:val="00813888"/>
    <w:rsid w:val="008138B1"/>
    <w:rsid w:val="0081390A"/>
    <w:rsid w:val="00813A10"/>
    <w:rsid w:val="00813C78"/>
    <w:rsid w:val="00813E1D"/>
    <w:rsid w:val="0081413D"/>
    <w:rsid w:val="008144D3"/>
    <w:rsid w:val="008145C9"/>
    <w:rsid w:val="00814A45"/>
    <w:rsid w:val="00814B9F"/>
    <w:rsid w:val="00815639"/>
    <w:rsid w:val="0081592A"/>
    <w:rsid w:val="00815FE2"/>
    <w:rsid w:val="00816069"/>
    <w:rsid w:val="00816325"/>
    <w:rsid w:val="00816459"/>
    <w:rsid w:val="0081674A"/>
    <w:rsid w:val="008168A9"/>
    <w:rsid w:val="00816D0D"/>
    <w:rsid w:val="00816DA5"/>
    <w:rsid w:val="00816DC6"/>
    <w:rsid w:val="00816F81"/>
    <w:rsid w:val="0081726A"/>
    <w:rsid w:val="00817898"/>
    <w:rsid w:val="00817A92"/>
    <w:rsid w:val="00817D10"/>
    <w:rsid w:val="00817F61"/>
    <w:rsid w:val="0082042D"/>
    <w:rsid w:val="00820AC8"/>
    <w:rsid w:val="00820B8A"/>
    <w:rsid w:val="00820F31"/>
    <w:rsid w:val="008213D9"/>
    <w:rsid w:val="00821A61"/>
    <w:rsid w:val="0082224A"/>
    <w:rsid w:val="008226F9"/>
    <w:rsid w:val="00822B66"/>
    <w:rsid w:val="00822E5C"/>
    <w:rsid w:val="00823559"/>
    <w:rsid w:val="00823954"/>
    <w:rsid w:val="00823B10"/>
    <w:rsid w:val="00823B68"/>
    <w:rsid w:val="00823CDB"/>
    <w:rsid w:val="00823D09"/>
    <w:rsid w:val="00823EE6"/>
    <w:rsid w:val="008244B1"/>
    <w:rsid w:val="008245EA"/>
    <w:rsid w:val="008247C2"/>
    <w:rsid w:val="00824879"/>
    <w:rsid w:val="00824A02"/>
    <w:rsid w:val="00824A74"/>
    <w:rsid w:val="00824B1D"/>
    <w:rsid w:val="00824B62"/>
    <w:rsid w:val="00824D02"/>
    <w:rsid w:val="00824F78"/>
    <w:rsid w:val="00825171"/>
    <w:rsid w:val="008255B6"/>
    <w:rsid w:val="008256F4"/>
    <w:rsid w:val="00825ABC"/>
    <w:rsid w:val="00825BD8"/>
    <w:rsid w:val="00825FAA"/>
    <w:rsid w:val="0082625B"/>
    <w:rsid w:val="00826586"/>
    <w:rsid w:val="0082660C"/>
    <w:rsid w:val="00826C12"/>
    <w:rsid w:val="0082779E"/>
    <w:rsid w:val="00827863"/>
    <w:rsid w:val="00827DFE"/>
    <w:rsid w:val="008310CD"/>
    <w:rsid w:val="008313EC"/>
    <w:rsid w:val="0083185B"/>
    <w:rsid w:val="00831C3C"/>
    <w:rsid w:val="008326E8"/>
    <w:rsid w:val="008328C3"/>
    <w:rsid w:val="00832A26"/>
    <w:rsid w:val="00832F4B"/>
    <w:rsid w:val="0083357A"/>
    <w:rsid w:val="00833BD4"/>
    <w:rsid w:val="008341AC"/>
    <w:rsid w:val="00834216"/>
    <w:rsid w:val="00834531"/>
    <w:rsid w:val="00834985"/>
    <w:rsid w:val="00835443"/>
    <w:rsid w:val="00835727"/>
    <w:rsid w:val="00835768"/>
    <w:rsid w:val="008363A1"/>
    <w:rsid w:val="008363D5"/>
    <w:rsid w:val="008365FA"/>
    <w:rsid w:val="00836746"/>
    <w:rsid w:val="008367EA"/>
    <w:rsid w:val="00836B8C"/>
    <w:rsid w:val="00836FD5"/>
    <w:rsid w:val="00837174"/>
    <w:rsid w:val="00837450"/>
    <w:rsid w:val="00837466"/>
    <w:rsid w:val="00837600"/>
    <w:rsid w:val="00837AAC"/>
    <w:rsid w:val="00837BC5"/>
    <w:rsid w:val="00837C8F"/>
    <w:rsid w:val="00837D25"/>
    <w:rsid w:val="00837D35"/>
    <w:rsid w:val="00837ED9"/>
    <w:rsid w:val="0084044A"/>
    <w:rsid w:val="00840849"/>
    <w:rsid w:val="00840F35"/>
    <w:rsid w:val="008411AB"/>
    <w:rsid w:val="008414DA"/>
    <w:rsid w:val="008415C7"/>
    <w:rsid w:val="00841639"/>
    <w:rsid w:val="00841B13"/>
    <w:rsid w:val="00841C5A"/>
    <w:rsid w:val="008420B8"/>
    <w:rsid w:val="008420EC"/>
    <w:rsid w:val="00842994"/>
    <w:rsid w:val="00842F74"/>
    <w:rsid w:val="008433A0"/>
    <w:rsid w:val="00843A39"/>
    <w:rsid w:val="00843CE4"/>
    <w:rsid w:val="008440AC"/>
    <w:rsid w:val="008448E0"/>
    <w:rsid w:val="00844B8B"/>
    <w:rsid w:val="00844FD8"/>
    <w:rsid w:val="008451E7"/>
    <w:rsid w:val="00845C93"/>
    <w:rsid w:val="00845DFC"/>
    <w:rsid w:val="00845F5C"/>
    <w:rsid w:val="0084602C"/>
    <w:rsid w:val="00846972"/>
    <w:rsid w:val="00846B45"/>
    <w:rsid w:val="00846DC1"/>
    <w:rsid w:val="00847050"/>
    <w:rsid w:val="008470F3"/>
    <w:rsid w:val="00847307"/>
    <w:rsid w:val="00847340"/>
    <w:rsid w:val="00847622"/>
    <w:rsid w:val="00847943"/>
    <w:rsid w:val="008479D5"/>
    <w:rsid w:val="0085066B"/>
    <w:rsid w:val="008506DC"/>
    <w:rsid w:val="00850EDE"/>
    <w:rsid w:val="00851294"/>
    <w:rsid w:val="008512B0"/>
    <w:rsid w:val="008515B2"/>
    <w:rsid w:val="008517AF"/>
    <w:rsid w:val="0085180A"/>
    <w:rsid w:val="00851AE6"/>
    <w:rsid w:val="00851E75"/>
    <w:rsid w:val="008522BA"/>
    <w:rsid w:val="008522EA"/>
    <w:rsid w:val="00852574"/>
    <w:rsid w:val="0085261E"/>
    <w:rsid w:val="00852B96"/>
    <w:rsid w:val="00852BCF"/>
    <w:rsid w:val="00852D86"/>
    <w:rsid w:val="00852FB6"/>
    <w:rsid w:val="00853035"/>
    <w:rsid w:val="00853652"/>
    <w:rsid w:val="00853F6C"/>
    <w:rsid w:val="00853F8A"/>
    <w:rsid w:val="00854194"/>
    <w:rsid w:val="0085431A"/>
    <w:rsid w:val="008543F2"/>
    <w:rsid w:val="00855434"/>
    <w:rsid w:val="008557E8"/>
    <w:rsid w:val="0085586E"/>
    <w:rsid w:val="00855A23"/>
    <w:rsid w:val="00855D82"/>
    <w:rsid w:val="00856B78"/>
    <w:rsid w:val="00856C1D"/>
    <w:rsid w:val="008574B0"/>
    <w:rsid w:val="00857A1C"/>
    <w:rsid w:val="00857DD8"/>
    <w:rsid w:val="0086017B"/>
    <w:rsid w:val="00860405"/>
    <w:rsid w:val="0086047D"/>
    <w:rsid w:val="00860ACD"/>
    <w:rsid w:val="00860C68"/>
    <w:rsid w:val="00860F9A"/>
    <w:rsid w:val="00860FE7"/>
    <w:rsid w:val="0086103E"/>
    <w:rsid w:val="0086112E"/>
    <w:rsid w:val="00861188"/>
    <w:rsid w:val="00861674"/>
    <w:rsid w:val="00861AC7"/>
    <w:rsid w:val="00861E27"/>
    <w:rsid w:val="00862047"/>
    <w:rsid w:val="00862051"/>
    <w:rsid w:val="008620A0"/>
    <w:rsid w:val="00862154"/>
    <w:rsid w:val="0086270F"/>
    <w:rsid w:val="00862922"/>
    <w:rsid w:val="008629C9"/>
    <w:rsid w:val="00862BCA"/>
    <w:rsid w:val="00862C4F"/>
    <w:rsid w:val="0086331B"/>
    <w:rsid w:val="008636F8"/>
    <w:rsid w:val="00863858"/>
    <w:rsid w:val="00863D8C"/>
    <w:rsid w:val="00864478"/>
    <w:rsid w:val="00864586"/>
    <w:rsid w:val="0086466D"/>
    <w:rsid w:val="0086488A"/>
    <w:rsid w:val="00864EFE"/>
    <w:rsid w:val="00864FD4"/>
    <w:rsid w:val="00865194"/>
    <w:rsid w:val="00865213"/>
    <w:rsid w:val="00865217"/>
    <w:rsid w:val="0086524C"/>
    <w:rsid w:val="008652B0"/>
    <w:rsid w:val="008652EA"/>
    <w:rsid w:val="008653C7"/>
    <w:rsid w:val="00865444"/>
    <w:rsid w:val="00865A64"/>
    <w:rsid w:val="00865D7E"/>
    <w:rsid w:val="008665AA"/>
    <w:rsid w:val="008666C4"/>
    <w:rsid w:val="0086677B"/>
    <w:rsid w:val="00866BF7"/>
    <w:rsid w:val="00866DBA"/>
    <w:rsid w:val="0086733F"/>
    <w:rsid w:val="00867406"/>
    <w:rsid w:val="00867C84"/>
    <w:rsid w:val="0087018C"/>
    <w:rsid w:val="00870784"/>
    <w:rsid w:val="00870BB8"/>
    <w:rsid w:val="00870D5C"/>
    <w:rsid w:val="00870EB1"/>
    <w:rsid w:val="00870EDA"/>
    <w:rsid w:val="00870F63"/>
    <w:rsid w:val="008710D0"/>
    <w:rsid w:val="00871E46"/>
    <w:rsid w:val="008720CC"/>
    <w:rsid w:val="008723CC"/>
    <w:rsid w:val="0087260A"/>
    <w:rsid w:val="00872C23"/>
    <w:rsid w:val="00873049"/>
    <w:rsid w:val="008731F2"/>
    <w:rsid w:val="008732B7"/>
    <w:rsid w:val="00873351"/>
    <w:rsid w:val="008736A8"/>
    <w:rsid w:val="00873758"/>
    <w:rsid w:val="00873810"/>
    <w:rsid w:val="0087381F"/>
    <w:rsid w:val="00874A92"/>
    <w:rsid w:val="00874E3F"/>
    <w:rsid w:val="0087569A"/>
    <w:rsid w:val="00875734"/>
    <w:rsid w:val="00875A3A"/>
    <w:rsid w:val="00875AA5"/>
    <w:rsid w:val="00875C3B"/>
    <w:rsid w:val="00876889"/>
    <w:rsid w:val="00876B67"/>
    <w:rsid w:val="00876EB7"/>
    <w:rsid w:val="0087715D"/>
    <w:rsid w:val="00877298"/>
    <w:rsid w:val="0087748F"/>
    <w:rsid w:val="00877CCD"/>
    <w:rsid w:val="00877F83"/>
    <w:rsid w:val="0088000A"/>
    <w:rsid w:val="0088058B"/>
    <w:rsid w:val="008807CF"/>
    <w:rsid w:val="00880A42"/>
    <w:rsid w:val="00880A75"/>
    <w:rsid w:val="00880F2A"/>
    <w:rsid w:val="008812C9"/>
    <w:rsid w:val="00881533"/>
    <w:rsid w:val="00881E2F"/>
    <w:rsid w:val="00881F93"/>
    <w:rsid w:val="00882110"/>
    <w:rsid w:val="0088227D"/>
    <w:rsid w:val="008823E5"/>
    <w:rsid w:val="00882516"/>
    <w:rsid w:val="008826D9"/>
    <w:rsid w:val="0088284C"/>
    <w:rsid w:val="0088301F"/>
    <w:rsid w:val="0088307B"/>
    <w:rsid w:val="008832EF"/>
    <w:rsid w:val="008834BD"/>
    <w:rsid w:val="00883528"/>
    <w:rsid w:val="008835DF"/>
    <w:rsid w:val="00883F4F"/>
    <w:rsid w:val="00884135"/>
    <w:rsid w:val="008841EE"/>
    <w:rsid w:val="0088429F"/>
    <w:rsid w:val="008845CA"/>
    <w:rsid w:val="008847B8"/>
    <w:rsid w:val="008852B6"/>
    <w:rsid w:val="008856B3"/>
    <w:rsid w:val="008858C7"/>
    <w:rsid w:val="00885932"/>
    <w:rsid w:val="008860E1"/>
    <w:rsid w:val="0088636A"/>
    <w:rsid w:val="008865D7"/>
    <w:rsid w:val="00886BFC"/>
    <w:rsid w:val="00887C1D"/>
    <w:rsid w:val="0089016A"/>
    <w:rsid w:val="00890251"/>
    <w:rsid w:val="0089033A"/>
    <w:rsid w:val="0089053E"/>
    <w:rsid w:val="00890A24"/>
    <w:rsid w:val="00890C2B"/>
    <w:rsid w:val="00890F56"/>
    <w:rsid w:val="00891336"/>
    <w:rsid w:val="0089199A"/>
    <w:rsid w:val="00891FC0"/>
    <w:rsid w:val="0089269A"/>
    <w:rsid w:val="00892A2B"/>
    <w:rsid w:val="00892E42"/>
    <w:rsid w:val="0089317A"/>
    <w:rsid w:val="008933D9"/>
    <w:rsid w:val="008937DA"/>
    <w:rsid w:val="008939DC"/>
    <w:rsid w:val="00893C8F"/>
    <w:rsid w:val="00893D0D"/>
    <w:rsid w:val="00893F3D"/>
    <w:rsid w:val="00893FFD"/>
    <w:rsid w:val="0089447C"/>
    <w:rsid w:val="008944FC"/>
    <w:rsid w:val="0089476A"/>
    <w:rsid w:val="00894794"/>
    <w:rsid w:val="0089484B"/>
    <w:rsid w:val="00894E01"/>
    <w:rsid w:val="0089503F"/>
    <w:rsid w:val="008953CB"/>
    <w:rsid w:val="00895A4F"/>
    <w:rsid w:val="00895D61"/>
    <w:rsid w:val="00895E31"/>
    <w:rsid w:val="00895F85"/>
    <w:rsid w:val="00896309"/>
    <w:rsid w:val="00896394"/>
    <w:rsid w:val="008964D0"/>
    <w:rsid w:val="00896782"/>
    <w:rsid w:val="0089693F"/>
    <w:rsid w:val="00896ADE"/>
    <w:rsid w:val="008978C9"/>
    <w:rsid w:val="0089791B"/>
    <w:rsid w:val="008979C7"/>
    <w:rsid w:val="00897D13"/>
    <w:rsid w:val="008A0130"/>
    <w:rsid w:val="008A029D"/>
    <w:rsid w:val="008A03BD"/>
    <w:rsid w:val="008A0805"/>
    <w:rsid w:val="008A0AC3"/>
    <w:rsid w:val="008A0B48"/>
    <w:rsid w:val="008A0C1A"/>
    <w:rsid w:val="008A0D4A"/>
    <w:rsid w:val="008A1202"/>
    <w:rsid w:val="008A1814"/>
    <w:rsid w:val="008A188F"/>
    <w:rsid w:val="008A198A"/>
    <w:rsid w:val="008A204B"/>
    <w:rsid w:val="008A20CA"/>
    <w:rsid w:val="008A28F3"/>
    <w:rsid w:val="008A2952"/>
    <w:rsid w:val="008A339D"/>
    <w:rsid w:val="008A36DA"/>
    <w:rsid w:val="008A3DAA"/>
    <w:rsid w:val="008A3E3B"/>
    <w:rsid w:val="008A3EA9"/>
    <w:rsid w:val="008A3FD3"/>
    <w:rsid w:val="008A44C8"/>
    <w:rsid w:val="008A4594"/>
    <w:rsid w:val="008A4940"/>
    <w:rsid w:val="008A4B51"/>
    <w:rsid w:val="008A4D96"/>
    <w:rsid w:val="008A556F"/>
    <w:rsid w:val="008A5A9A"/>
    <w:rsid w:val="008A64D2"/>
    <w:rsid w:val="008A6838"/>
    <w:rsid w:val="008A6917"/>
    <w:rsid w:val="008A6D04"/>
    <w:rsid w:val="008A720B"/>
    <w:rsid w:val="008A723F"/>
    <w:rsid w:val="008A72BC"/>
    <w:rsid w:val="008A7D06"/>
    <w:rsid w:val="008A7E7B"/>
    <w:rsid w:val="008B005D"/>
    <w:rsid w:val="008B0507"/>
    <w:rsid w:val="008B065A"/>
    <w:rsid w:val="008B0740"/>
    <w:rsid w:val="008B10DB"/>
    <w:rsid w:val="008B113D"/>
    <w:rsid w:val="008B116A"/>
    <w:rsid w:val="008B12EC"/>
    <w:rsid w:val="008B1792"/>
    <w:rsid w:val="008B1DB1"/>
    <w:rsid w:val="008B1ECB"/>
    <w:rsid w:val="008B1EF1"/>
    <w:rsid w:val="008B1F9F"/>
    <w:rsid w:val="008B236D"/>
    <w:rsid w:val="008B2440"/>
    <w:rsid w:val="008B2F5F"/>
    <w:rsid w:val="008B38ED"/>
    <w:rsid w:val="008B3A82"/>
    <w:rsid w:val="008B3A89"/>
    <w:rsid w:val="008B3BB0"/>
    <w:rsid w:val="008B3F54"/>
    <w:rsid w:val="008B5470"/>
    <w:rsid w:val="008B5657"/>
    <w:rsid w:val="008B5986"/>
    <w:rsid w:val="008B599B"/>
    <w:rsid w:val="008B5FC0"/>
    <w:rsid w:val="008B6841"/>
    <w:rsid w:val="008B6A50"/>
    <w:rsid w:val="008B6BCC"/>
    <w:rsid w:val="008B6BE6"/>
    <w:rsid w:val="008B6C6D"/>
    <w:rsid w:val="008B6D6B"/>
    <w:rsid w:val="008B77EB"/>
    <w:rsid w:val="008B78ED"/>
    <w:rsid w:val="008B79B1"/>
    <w:rsid w:val="008B7A50"/>
    <w:rsid w:val="008B7A9C"/>
    <w:rsid w:val="008C044F"/>
    <w:rsid w:val="008C04F3"/>
    <w:rsid w:val="008C0602"/>
    <w:rsid w:val="008C0899"/>
    <w:rsid w:val="008C0C27"/>
    <w:rsid w:val="008C0E9A"/>
    <w:rsid w:val="008C1242"/>
    <w:rsid w:val="008C144C"/>
    <w:rsid w:val="008C19AA"/>
    <w:rsid w:val="008C1D98"/>
    <w:rsid w:val="008C206C"/>
    <w:rsid w:val="008C2148"/>
    <w:rsid w:val="008C2571"/>
    <w:rsid w:val="008C29AC"/>
    <w:rsid w:val="008C2C5D"/>
    <w:rsid w:val="008C2E15"/>
    <w:rsid w:val="008C2E99"/>
    <w:rsid w:val="008C2EDE"/>
    <w:rsid w:val="008C331F"/>
    <w:rsid w:val="008C3A7D"/>
    <w:rsid w:val="008C3DFA"/>
    <w:rsid w:val="008C3E5C"/>
    <w:rsid w:val="008C3F4B"/>
    <w:rsid w:val="008C3FEE"/>
    <w:rsid w:val="008C4B0E"/>
    <w:rsid w:val="008C4C82"/>
    <w:rsid w:val="008C4D5C"/>
    <w:rsid w:val="008C51B1"/>
    <w:rsid w:val="008C5713"/>
    <w:rsid w:val="008C5E93"/>
    <w:rsid w:val="008C60AC"/>
    <w:rsid w:val="008C631D"/>
    <w:rsid w:val="008C648D"/>
    <w:rsid w:val="008C681E"/>
    <w:rsid w:val="008C6ACC"/>
    <w:rsid w:val="008C7415"/>
    <w:rsid w:val="008C79F3"/>
    <w:rsid w:val="008C7F86"/>
    <w:rsid w:val="008D0DB2"/>
    <w:rsid w:val="008D0F21"/>
    <w:rsid w:val="008D16E1"/>
    <w:rsid w:val="008D1874"/>
    <w:rsid w:val="008D1E1B"/>
    <w:rsid w:val="008D1EDE"/>
    <w:rsid w:val="008D235A"/>
    <w:rsid w:val="008D29EB"/>
    <w:rsid w:val="008D2A21"/>
    <w:rsid w:val="008D2AE3"/>
    <w:rsid w:val="008D2E34"/>
    <w:rsid w:val="008D2F14"/>
    <w:rsid w:val="008D3650"/>
    <w:rsid w:val="008D379C"/>
    <w:rsid w:val="008D37E9"/>
    <w:rsid w:val="008D399D"/>
    <w:rsid w:val="008D3C5B"/>
    <w:rsid w:val="008D3D9B"/>
    <w:rsid w:val="008D3FC2"/>
    <w:rsid w:val="008D426F"/>
    <w:rsid w:val="008D4F20"/>
    <w:rsid w:val="008D5A93"/>
    <w:rsid w:val="008D5ADC"/>
    <w:rsid w:val="008D5CDD"/>
    <w:rsid w:val="008D5FAA"/>
    <w:rsid w:val="008D600E"/>
    <w:rsid w:val="008D6139"/>
    <w:rsid w:val="008D678F"/>
    <w:rsid w:val="008D6A2B"/>
    <w:rsid w:val="008D737A"/>
    <w:rsid w:val="008D7523"/>
    <w:rsid w:val="008D780C"/>
    <w:rsid w:val="008D7A2B"/>
    <w:rsid w:val="008D7AB3"/>
    <w:rsid w:val="008D7C9B"/>
    <w:rsid w:val="008D7F20"/>
    <w:rsid w:val="008E02B9"/>
    <w:rsid w:val="008E08BA"/>
    <w:rsid w:val="008E0C66"/>
    <w:rsid w:val="008E127B"/>
    <w:rsid w:val="008E1301"/>
    <w:rsid w:val="008E16CB"/>
    <w:rsid w:val="008E1713"/>
    <w:rsid w:val="008E171F"/>
    <w:rsid w:val="008E177E"/>
    <w:rsid w:val="008E183B"/>
    <w:rsid w:val="008E18B2"/>
    <w:rsid w:val="008E1FFD"/>
    <w:rsid w:val="008E231B"/>
    <w:rsid w:val="008E2B19"/>
    <w:rsid w:val="008E32A5"/>
    <w:rsid w:val="008E348A"/>
    <w:rsid w:val="008E3CBD"/>
    <w:rsid w:val="008E3E38"/>
    <w:rsid w:val="008E412E"/>
    <w:rsid w:val="008E43C0"/>
    <w:rsid w:val="008E44B2"/>
    <w:rsid w:val="008E44D4"/>
    <w:rsid w:val="008E4BF2"/>
    <w:rsid w:val="008E4C25"/>
    <w:rsid w:val="008E4C5A"/>
    <w:rsid w:val="008E4D13"/>
    <w:rsid w:val="008E50D4"/>
    <w:rsid w:val="008E5978"/>
    <w:rsid w:val="008E5F53"/>
    <w:rsid w:val="008E6991"/>
    <w:rsid w:val="008E6B02"/>
    <w:rsid w:val="008E6D2A"/>
    <w:rsid w:val="008E6E00"/>
    <w:rsid w:val="008E7005"/>
    <w:rsid w:val="008E70E2"/>
    <w:rsid w:val="008E74DD"/>
    <w:rsid w:val="008E74EB"/>
    <w:rsid w:val="008E753C"/>
    <w:rsid w:val="008E7968"/>
    <w:rsid w:val="008E7D72"/>
    <w:rsid w:val="008F0570"/>
    <w:rsid w:val="008F07F1"/>
    <w:rsid w:val="008F0A62"/>
    <w:rsid w:val="008F0F73"/>
    <w:rsid w:val="008F1039"/>
    <w:rsid w:val="008F13D4"/>
    <w:rsid w:val="008F1488"/>
    <w:rsid w:val="008F157F"/>
    <w:rsid w:val="008F182C"/>
    <w:rsid w:val="008F1AA3"/>
    <w:rsid w:val="008F1C0B"/>
    <w:rsid w:val="008F1E49"/>
    <w:rsid w:val="008F1FC9"/>
    <w:rsid w:val="008F20C0"/>
    <w:rsid w:val="008F20D1"/>
    <w:rsid w:val="008F212F"/>
    <w:rsid w:val="008F273A"/>
    <w:rsid w:val="008F2BF8"/>
    <w:rsid w:val="008F3276"/>
    <w:rsid w:val="008F34A3"/>
    <w:rsid w:val="008F3666"/>
    <w:rsid w:val="008F3670"/>
    <w:rsid w:val="008F3776"/>
    <w:rsid w:val="008F4780"/>
    <w:rsid w:val="008F4A6A"/>
    <w:rsid w:val="008F4B86"/>
    <w:rsid w:val="008F4DCE"/>
    <w:rsid w:val="008F5409"/>
    <w:rsid w:val="008F5799"/>
    <w:rsid w:val="008F58C3"/>
    <w:rsid w:val="008F5BBC"/>
    <w:rsid w:val="008F5D22"/>
    <w:rsid w:val="008F650F"/>
    <w:rsid w:val="008F6622"/>
    <w:rsid w:val="008F67C6"/>
    <w:rsid w:val="008F67CC"/>
    <w:rsid w:val="008F68D9"/>
    <w:rsid w:val="008F69B6"/>
    <w:rsid w:val="008F6A7D"/>
    <w:rsid w:val="008F6AA9"/>
    <w:rsid w:val="008F6B7F"/>
    <w:rsid w:val="008F7180"/>
    <w:rsid w:val="008F768D"/>
    <w:rsid w:val="008F795D"/>
    <w:rsid w:val="008F7A8B"/>
    <w:rsid w:val="009002D5"/>
    <w:rsid w:val="009004F9"/>
    <w:rsid w:val="00900AD9"/>
    <w:rsid w:val="00901515"/>
    <w:rsid w:val="00901617"/>
    <w:rsid w:val="00901CA9"/>
    <w:rsid w:val="00901EBF"/>
    <w:rsid w:val="00902498"/>
    <w:rsid w:val="0090250A"/>
    <w:rsid w:val="00902F17"/>
    <w:rsid w:val="00903210"/>
    <w:rsid w:val="00903B2D"/>
    <w:rsid w:val="00903B38"/>
    <w:rsid w:val="00903E66"/>
    <w:rsid w:val="00903EE7"/>
    <w:rsid w:val="0090435C"/>
    <w:rsid w:val="00904435"/>
    <w:rsid w:val="0090449A"/>
    <w:rsid w:val="00904544"/>
    <w:rsid w:val="00904678"/>
    <w:rsid w:val="009046F1"/>
    <w:rsid w:val="00904E87"/>
    <w:rsid w:val="00905284"/>
    <w:rsid w:val="009057E4"/>
    <w:rsid w:val="00905BCD"/>
    <w:rsid w:val="00906485"/>
    <w:rsid w:val="00906C86"/>
    <w:rsid w:val="009070B2"/>
    <w:rsid w:val="0090713A"/>
    <w:rsid w:val="00907270"/>
    <w:rsid w:val="00907D7D"/>
    <w:rsid w:val="0091040D"/>
    <w:rsid w:val="00910899"/>
    <w:rsid w:val="00910D05"/>
    <w:rsid w:val="00910D66"/>
    <w:rsid w:val="00911402"/>
    <w:rsid w:val="009119BC"/>
    <w:rsid w:val="00911DD3"/>
    <w:rsid w:val="009121EC"/>
    <w:rsid w:val="009122A2"/>
    <w:rsid w:val="00912998"/>
    <w:rsid w:val="00912CB5"/>
    <w:rsid w:val="00912FDA"/>
    <w:rsid w:val="00913147"/>
    <w:rsid w:val="00913175"/>
    <w:rsid w:val="009135B4"/>
    <w:rsid w:val="0091373C"/>
    <w:rsid w:val="0091394B"/>
    <w:rsid w:val="0091412C"/>
    <w:rsid w:val="009143C1"/>
    <w:rsid w:val="00914939"/>
    <w:rsid w:val="009154AD"/>
    <w:rsid w:val="009154F8"/>
    <w:rsid w:val="00915543"/>
    <w:rsid w:val="009157E4"/>
    <w:rsid w:val="009158C2"/>
    <w:rsid w:val="0091605C"/>
    <w:rsid w:val="00916744"/>
    <w:rsid w:val="0091697F"/>
    <w:rsid w:val="00916BE2"/>
    <w:rsid w:val="00916BFE"/>
    <w:rsid w:val="00916E48"/>
    <w:rsid w:val="00916ECA"/>
    <w:rsid w:val="00916EF1"/>
    <w:rsid w:val="00916F6F"/>
    <w:rsid w:val="0091764D"/>
    <w:rsid w:val="0091795F"/>
    <w:rsid w:val="00917B03"/>
    <w:rsid w:val="00917E3C"/>
    <w:rsid w:val="00917F3E"/>
    <w:rsid w:val="00917FE5"/>
    <w:rsid w:val="009201AB"/>
    <w:rsid w:val="00920880"/>
    <w:rsid w:val="00920C4F"/>
    <w:rsid w:val="00920D46"/>
    <w:rsid w:val="00920D51"/>
    <w:rsid w:val="00920F48"/>
    <w:rsid w:val="00920FA3"/>
    <w:rsid w:val="0092112A"/>
    <w:rsid w:val="00921543"/>
    <w:rsid w:val="009215A8"/>
    <w:rsid w:val="00921ABD"/>
    <w:rsid w:val="00922638"/>
    <w:rsid w:val="009229E0"/>
    <w:rsid w:val="00922B14"/>
    <w:rsid w:val="00922C6E"/>
    <w:rsid w:val="00923373"/>
    <w:rsid w:val="009234F1"/>
    <w:rsid w:val="00923509"/>
    <w:rsid w:val="0092357F"/>
    <w:rsid w:val="00923C30"/>
    <w:rsid w:val="00923F1E"/>
    <w:rsid w:val="00924101"/>
    <w:rsid w:val="00924586"/>
    <w:rsid w:val="00924996"/>
    <w:rsid w:val="0092523E"/>
    <w:rsid w:val="00925BDC"/>
    <w:rsid w:val="00925BE6"/>
    <w:rsid w:val="00925EEC"/>
    <w:rsid w:val="00926088"/>
    <w:rsid w:val="0092672C"/>
    <w:rsid w:val="009267F0"/>
    <w:rsid w:val="00926879"/>
    <w:rsid w:val="0092699E"/>
    <w:rsid w:val="00926D75"/>
    <w:rsid w:val="00926FA7"/>
    <w:rsid w:val="00926FCE"/>
    <w:rsid w:val="00927B8A"/>
    <w:rsid w:val="00927DA3"/>
    <w:rsid w:val="009300C1"/>
    <w:rsid w:val="00930739"/>
    <w:rsid w:val="009307B7"/>
    <w:rsid w:val="00930D7A"/>
    <w:rsid w:val="00930F49"/>
    <w:rsid w:val="00930FC4"/>
    <w:rsid w:val="009310EE"/>
    <w:rsid w:val="009311F6"/>
    <w:rsid w:val="00931680"/>
    <w:rsid w:val="00931965"/>
    <w:rsid w:val="009325D3"/>
    <w:rsid w:val="009329DA"/>
    <w:rsid w:val="00932C54"/>
    <w:rsid w:val="0093308F"/>
    <w:rsid w:val="0093323A"/>
    <w:rsid w:val="0093323B"/>
    <w:rsid w:val="009334D3"/>
    <w:rsid w:val="009335E7"/>
    <w:rsid w:val="00933635"/>
    <w:rsid w:val="009338B8"/>
    <w:rsid w:val="00933F64"/>
    <w:rsid w:val="00933FD5"/>
    <w:rsid w:val="009342B5"/>
    <w:rsid w:val="00934AE4"/>
    <w:rsid w:val="00934EC6"/>
    <w:rsid w:val="00934F27"/>
    <w:rsid w:val="0093520F"/>
    <w:rsid w:val="00935228"/>
    <w:rsid w:val="00935550"/>
    <w:rsid w:val="009357F5"/>
    <w:rsid w:val="0093581E"/>
    <w:rsid w:val="0093590F"/>
    <w:rsid w:val="00935948"/>
    <w:rsid w:val="009359CB"/>
    <w:rsid w:val="00936309"/>
    <w:rsid w:val="0093640D"/>
    <w:rsid w:val="00936A22"/>
    <w:rsid w:val="009371F2"/>
    <w:rsid w:val="0093739E"/>
    <w:rsid w:val="009376F6"/>
    <w:rsid w:val="009377E9"/>
    <w:rsid w:val="00937822"/>
    <w:rsid w:val="009378BE"/>
    <w:rsid w:val="00937DBB"/>
    <w:rsid w:val="00937E36"/>
    <w:rsid w:val="00937EB5"/>
    <w:rsid w:val="0094039A"/>
    <w:rsid w:val="00940679"/>
    <w:rsid w:val="0094078D"/>
    <w:rsid w:val="00940812"/>
    <w:rsid w:val="0094099D"/>
    <w:rsid w:val="00940BA5"/>
    <w:rsid w:val="00940C0C"/>
    <w:rsid w:val="00940D19"/>
    <w:rsid w:val="00941174"/>
    <w:rsid w:val="00941435"/>
    <w:rsid w:val="00941635"/>
    <w:rsid w:val="00941683"/>
    <w:rsid w:val="00941C86"/>
    <w:rsid w:val="00942255"/>
    <w:rsid w:val="00942C89"/>
    <w:rsid w:val="00942CAD"/>
    <w:rsid w:val="00942CDF"/>
    <w:rsid w:val="00942D46"/>
    <w:rsid w:val="00942DBE"/>
    <w:rsid w:val="009430B5"/>
    <w:rsid w:val="0094312E"/>
    <w:rsid w:val="00943857"/>
    <w:rsid w:val="009439A9"/>
    <w:rsid w:val="00943DFB"/>
    <w:rsid w:val="00943FF9"/>
    <w:rsid w:val="00944025"/>
    <w:rsid w:val="009444B1"/>
    <w:rsid w:val="00944667"/>
    <w:rsid w:val="00944C8B"/>
    <w:rsid w:val="00944D10"/>
    <w:rsid w:val="00944EB9"/>
    <w:rsid w:val="009450BB"/>
    <w:rsid w:val="00945511"/>
    <w:rsid w:val="009457F6"/>
    <w:rsid w:val="009459CB"/>
    <w:rsid w:val="009463C1"/>
    <w:rsid w:val="00946DFD"/>
    <w:rsid w:val="00946F92"/>
    <w:rsid w:val="0094734B"/>
    <w:rsid w:val="00947464"/>
    <w:rsid w:val="00947557"/>
    <w:rsid w:val="00947A7B"/>
    <w:rsid w:val="009504C6"/>
    <w:rsid w:val="00950565"/>
    <w:rsid w:val="00950680"/>
    <w:rsid w:val="009506F2"/>
    <w:rsid w:val="00950EE8"/>
    <w:rsid w:val="00951241"/>
    <w:rsid w:val="00951361"/>
    <w:rsid w:val="0095139E"/>
    <w:rsid w:val="009514EA"/>
    <w:rsid w:val="0095156A"/>
    <w:rsid w:val="00951720"/>
    <w:rsid w:val="00951BE9"/>
    <w:rsid w:val="00951FDD"/>
    <w:rsid w:val="00952192"/>
    <w:rsid w:val="009521A9"/>
    <w:rsid w:val="0095226D"/>
    <w:rsid w:val="0095229D"/>
    <w:rsid w:val="00952394"/>
    <w:rsid w:val="0095309A"/>
    <w:rsid w:val="00953446"/>
    <w:rsid w:val="0095361E"/>
    <w:rsid w:val="00953905"/>
    <w:rsid w:val="00953B25"/>
    <w:rsid w:val="00953F8E"/>
    <w:rsid w:val="0095405D"/>
    <w:rsid w:val="009540A1"/>
    <w:rsid w:val="009541D6"/>
    <w:rsid w:val="00954480"/>
    <w:rsid w:val="00954740"/>
    <w:rsid w:val="009548C6"/>
    <w:rsid w:val="00954B44"/>
    <w:rsid w:val="00954F46"/>
    <w:rsid w:val="00954F50"/>
    <w:rsid w:val="00955AEE"/>
    <w:rsid w:val="00956140"/>
    <w:rsid w:val="00956349"/>
    <w:rsid w:val="00956ADD"/>
    <w:rsid w:val="0095756A"/>
    <w:rsid w:val="00957ADC"/>
    <w:rsid w:val="00957B3A"/>
    <w:rsid w:val="00957DBF"/>
    <w:rsid w:val="00957E03"/>
    <w:rsid w:val="00957E29"/>
    <w:rsid w:val="00957F0A"/>
    <w:rsid w:val="00957F2A"/>
    <w:rsid w:val="00960301"/>
    <w:rsid w:val="0096050E"/>
    <w:rsid w:val="00960644"/>
    <w:rsid w:val="009608ED"/>
    <w:rsid w:val="00960BF9"/>
    <w:rsid w:val="00960F8E"/>
    <w:rsid w:val="0096112D"/>
    <w:rsid w:val="009612E5"/>
    <w:rsid w:val="00961362"/>
    <w:rsid w:val="00961409"/>
    <w:rsid w:val="0096146F"/>
    <w:rsid w:val="009614F4"/>
    <w:rsid w:val="00961814"/>
    <w:rsid w:val="00961C9D"/>
    <w:rsid w:val="00961CC0"/>
    <w:rsid w:val="00961F8C"/>
    <w:rsid w:val="0096204B"/>
    <w:rsid w:val="00962950"/>
    <w:rsid w:val="00962B2E"/>
    <w:rsid w:val="00962BC7"/>
    <w:rsid w:val="00962CF6"/>
    <w:rsid w:val="009636F1"/>
    <w:rsid w:val="0096388E"/>
    <w:rsid w:val="009639B2"/>
    <w:rsid w:val="00963BBA"/>
    <w:rsid w:val="0096422D"/>
    <w:rsid w:val="0096431D"/>
    <w:rsid w:val="009644A4"/>
    <w:rsid w:val="009644B9"/>
    <w:rsid w:val="009644D3"/>
    <w:rsid w:val="009644E6"/>
    <w:rsid w:val="009646F9"/>
    <w:rsid w:val="0096480E"/>
    <w:rsid w:val="00965570"/>
    <w:rsid w:val="00965711"/>
    <w:rsid w:val="009657CE"/>
    <w:rsid w:val="0096588C"/>
    <w:rsid w:val="00965EDE"/>
    <w:rsid w:val="00966135"/>
    <w:rsid w:val="00966AE7"/>
    <w:rsid w:val="00966B7E"/>
    <w:rsid w:val="00966DDD"/>
    <w:rsid w:val="009670D8"/>
    <w:rsid w:val="00967279"/>
    <w:rsid w:val="00967282"/>
    <w:rsid w:val="009674DD"/>
    <w:rsid w:val="00967539"/>
    <w:rsid w:val="00967640"/>
    <w:rsid w:val="009679A5"/>
    <w:rsid w:val="00967A41"/>
    <w:rsid w:val="00967A75"/>
    <w:rsid w:val="00967CBA"/>
    <w:rsid w:val="00970167"/>
    <w:rsid w:val="009701D1"/>
    <w:rsid w:val="00970523"/>
    <w:rsid w:val="00970875"/>
    <w:rsid w:val="00970C34"/>
    <w:rsid w:val="00970DA0"/>
    <w:rsid w:val="00971193"/>
    <w:rsid w:val="0097123E"/>
    <w:rsid w:val="009715AC"/>
    <w:rsid w:val="00971A79"/>
    <w:rsid w:val="00971B25"/>
    <w:rsid w:val="00971BA6"/>
    <w:rsid w:val="00971BB1"/>
    <w:rsid w:val="00972335"/>
    <w:rsid w:val="00972351"/>
    <w:rsid w:val="009723B4"/>
    <w:rsid w:val="0097241A"/>
    <w:rsid w:val="009725A3"/>
    <w:rsid w:val="00972786"/>
    <w:rsid w:val="00972C27"/>
    <w:rsid w:val="00973469"/>
    <w:rsid w:val="009738B0"/>
    <w:rsid w:val="0097392F"/>
    <w:rsid w:val="00973B04"/>
    <w:rsid w:val="00973BEC"/>
    <w:rsid w:val="00973E4E"/>
    <w:rsid w:val="009748AB"/>
    <w:rsid w:val="00974967"/>
    <w:rsid w:val="00974BF8"/>
    <w:rsid w:val="00974D1B"/>
    <w:rsid w:val="00974DB9"/>
    <w:rsid w:val="00974DF6"/>
    <w:rsid w:val="00975153"/>
    <w:rsid w:val="00975426"/>
    <w:rsid w:val="00975854"/>
    <w:rsid w:val="00975977"/>
    <w:rsid w:val="00975C85"/>
    <w:rsid w:val="00975C9B"/>
    <w:rsid w:val="00975D17"/>
    <w:rsid w:val="00976638"/>
    <w:rsid w:val="009771DF"/>
    <w:rsid w:val="0097755D"/>
    <w:rsid w:val="009778CD"/>
    <w:rsid w:val="00977C00"/>
    <w:rsid w:val="009801CD"/>
    <w:rsid w:val="00980313"/>
    <w:rsid w:val="009807FD"/>
    <w:rsid w:val="00980814"/>
    <w:rsid w:val="009808F8"/>
    <w:rsid w:val="00980B13"/>
    <w:rsid w:val="00980D62"/>
    <w:rsid w:val="00981011"/>
    <w:rsid w:val="00981110"/>
    <w:rsid w:val="00981A1F"/>
    <w:rsid w:val="00981A77"/>
    <w:rsid w:val="00981AA3"/>
    <w:rsid w:val="00981AB1"/>
    <w:rsid w:val="00981BE3"/>
    <w:rsid w:val="00982157"/>
    <w:rsid w:val="009825B9"/>
    <w:rsid w:val="009827AD"/>
    <w:rsid w:val="009829E5"/>
    <w:rsid w:val="00982B85"/>
    <w:rsid w:val="009830DC"/>
    <w:rsid w:val="0098328D"/>
    <w:rsid w:val="0098396D"/>
    <w:rsid w:val="009839DB"/>
    <w:rsid w:val="00983A08"/>
    <w:rsid w:val="00983BB8"/>
    <w:rsid w:val="00983E27"/>
    <w:rsid w:val="00983E91"/>
    <w:rsid w:val="00984143"/>
    <w:rsid w:val="00984244"/>
    <w:rsid w:val="0098442C"/>
    <w:rsid w:val="0098479D"/>
    <w:rsid w:val="00984B66"/>
    <w:rsid w:val="00984CE1"/>
    <w:rsid w:val="0098684F"/>
    <w:rsid w:val="00986863"/>
    <w:rsid w:val="00986924"/>
    <w:rsid w:val="00986A12"/>
    <w:rsid w:val="00987306"/>
    <w:rsid w:val="00987A21"/>
    <w:rsid w:val="00987A57"/>
    <w:rsid w:val="00987DE5"/>
    <w:rsid w:val="009900B1"/>
    <w:rsid w:val="00990139"/>
    <w:rsid w:val="0099017B"/>
    <w:rsid w:val="00990B5B"/>
    <w:rsid w:val="00991285"/>
    <w:rsid w:val="009913FE"/>
    <w:rsid w:val="00991534"/>
    <w:rsid w:val="0099153F"/>
    <w:rsid w:val="009915A2"/>
    <w:rsid w:val="0099195F"/>
    <w:rsid w:val="00991977"/>
    <w:rsid w:val="00991AAE"/>
    <w:rsid w:val="00991E8B"/>
    <w:rsid w:val="00991FE0"/>
    <w:rsid w:val="0099234D"/>
    <w:rsid w:val="00992416"/>
    <w:rsid w:val="00992804"/>
    <w:rsid w:val="009929A2"/>
    <w:rsid w:val="00992F63"/>
    <w:rsid w:val="00993405"/>
    <w:rsid w:val="0099347F"/>
    <w:rsid w:val="00993689"/>
    <w:rsid w:val="00993CEE"/>
    <w:rsid w:val="00993E0E"/>
    <w:rsid w:val="0099413E"/>
    <w:rsid w:val="0099445E"/>
    <w:rsid w:val="00994478"/>
    <w:rsid w:val="00994528"/>
    <w:rsid w:val="00994E58"/>
    <w:rsid w:val="009951C9"/>
    <w:rsid w:val="00995809"/>
    <w:rsid w:val="009959C5"/>
    <w:rsid w:val="00995F89"/>
    <w:rsid w:val="009964A9"/>
    <w:rsid w:val="0099669E"/>
    <w:rsid w:val="009967E3"/>
    <w:rsid w:val="009969B1"/>
    <w:rsid w:val="00996CB3"/>
    <w:rsid w:val="00996D8B"/>
    <w:rsid w:val="0099718C"/>
    <w:rsid w:val="00997510"/>
    <w:rsid w:val="00997809"/>
    <w:rsid w:val="0099799F"/>
    <w:rsid w:val="009979EA"/>
    <w:rsid w:val="00997BA3"/>
    <w:rsid w:val="00997D91"/>
    <w:rsid w:val="00997EB8"/>
    <w:rsid w:val="009A13BF"/>
    <w:rsid w:val="009A13DE"/>
    <w:rsid w:val="009A181B"/>
    <w:rsid w:val="009A1827"/>
    <w:rsid w:val="009A18B4"/>
    <w:rsid w:val="009A1D52"/>
    <w:rsid w:val="009A201E"/>
    <w:rsid w:val="009A210A"/>
    <w:rsid w:val="009A21A7"/>
    <w:rsid w:val="009A25CC"/>
    <w:rsid w:val="009A28FA"/>
    <w:rsid w:val="009A296C"/>
    <w:rsid w:val="009A2C69"/>
    <w:rsid w:val="009A2E35"/>
    <w:rsid w:val="009A2E5B"/>
    <w:rsid w:val="009A2E5D"/>
    <w:rsid w:val="009A2E97"/>
    <w:rsid w:val="009A3723"/>
    <w:rsid w:val="009A3993"/>
    <w:rsid w:val="009A3B38"/>
    <w:rsid w:val="009A3C9A"/>
    <w:rsid w:val="009A3E0D"/>
    <w:rsid w:val="009A3E3F"/>
    <w:rsid w:val="009A4048"/>
    <w:rsid w:val="009A4637"/>
    <w:rsid w:val="009A4703"/>
    <w:rsid w:val="009A48C0"/>
    <w:rsid w:val="009A4939"/>
    <w:rsid w:val="009A4A9B"/>
    <w:rsid w:val="009A4CBB"/>
    <w:rsid w:val="009A4ED7"/>
    <w:rsid w:val="009A5126"/>
    <w:rsid w:val="009A5368"/>
    <w:rsid w:val="009A5ABE"/>
    <w:rsid w:val="009A60C5"/>
    <w:rsid w:val="009A68C0"/>
    <w:rsid w:val="009A69FD"/>
    <w:rsid w:val="009A6A02"/>
    <w:rsid w:val="009A6EA2"/>
    <w:rsid w:val="009A7069"/>
    <w:rsid w:val="009A7236"/>
    <w:rsid w:val="009A7560"/>
    <w:rsid w:val="009A76A4"/>
    <w:rsid w:val="009A7978"/>
    <w:rsid w:val="009A7CF4"/>
    <w:rsid w:val="009A7E4D"/>
    <w:rsid w:val="009B038F"/>
    <w:rsid w:val="009B0F4E"/>
    <w:rsid w:val="009B1119"/>
    <w:rsid w:val="009B15A0"/>
    <w:rsid w:val="009B1AB8"/>
    <w:rsid w:val="009B1C93"/>
    <w:rsid w:val="009B1E99"/>
    <w:rsid w:val="009B244E"/>
    <w:rsid w:val="009B2DAB"/>
    <w:rsid w:val="009B3187"/>
    <w:rsid w:val="009B34AD"/>
    <w:rsid w:val="009B350A"/>
    <w:rsid w:val="009B3559"/>
    <w:rsid w:val="009B3AE8"/>
    <w:rsid w:val="009B3DF5"/>
    <w:rsid w:val="009B409A"/>
    <w:rsid w:val="009B427F"/>
    <w:rsid w:val="009B4289"/>
    <w:rsid w:val="009B4369"/>
    <w:rsid w:val="009B43D6"/>
    <w:rsid w:val="009B48D0"/>
    <w:rsid w:val="009B4BFA"/>
    <w:rsid w:val="009B50B4"/>
    <w:rsid w:val="009B51BF"/>
    <w:rsid w:val="009B64A5"/>
    <w:rsid w:val="009B650F"/>
    <w:rsid w:val="009B6D39"/>
    <w:rsid w:val="009B745C"/>
    <w:rsid w:val="009B7797"/>
    <w:rsid w:val="009B781E"/>
    <w:rsid w:val="009B7C5C"/>
    <w:rsid w:val="009B7CCF"/>
    <w:rsid w:val="009C0014"/>
    <w:rsid w:val="009C05BC"/>
    <w:rsid w:val="009C0C02"/>
    <w:rsid w:val="009C0CBB"/>
    <w:rsid w:val="009C0E32"/>
    <w:rsid w:val="009C0E81"/>
    <w:rsid w:val="009C1621"/>
    <w:rsid w:val="009C197F"/>
    <w:rsid w:val="009C1A65"/>
    <w:rsid w:val="009C1AA9"/>
    <w:rsid w:val="009C214D"/>
    <w:rsid w:val="009C223D"/>
    <w:rsid w:val="009C22F0"/>
    <w:rsid w:val="009C2326"/>
    <w:rsid w:val="009C2588"/>
    <w:rsid w:val="009C2813"/>
    <w:rsid w:val="009C2C1D"/>
    <w:rsid w:val="009C2C32"/>
    <w:rsid w:val="009C3113"/>
    <w:rsid w:val="009C3282"/>
    <w:rsid w:val="009C337E"/>
    <w:rsid w:val="009C347C"/>
    <w:rsid w:val="009C3D4C"/>
    <w:rsid w:val="009C42C5"/>
    <w:rsid w:val="009C4451"/>
    <w:rsid w:val="009C450E"/>
    <w:rsid w:val="009C4B45"/>
    <w:rsid w:val="009C4D93"/>
    <w:rsid w:val="009C4E81"/>
    <w:rsid w:val="009C4FE0"/>
    <w:rsid w:val="009C533B"/>
    <w:rsid w:val="009C588F"/>
    <w:rsid w:val="009C5B8B"/>
    <w:rsid w:val="009C64F4"/>
    <w:rsid w:val="009C6819"/>
    <w:rsid w:val="009C6C6B"/>
    <w:rsid w:val="009C7349"/>
    <w:rsid w:val="009C75E0"/>
    <w:rsid w:val="009C798D"/>
    <w:rsid w:val="009C7E46"/>
    <w:rsid w:val="009C7F36"/>
    <w:rsid w:val="009D03E9"/>
    <w:rsid w:val="009D0A11"/>
    <w:rsid w:val="009D0B78"/>
    <w:rsid w:val="009D0E7D"/>
    <w:rsid w:val="009D10AC"/>
    <w:rsid w:val="009D111B"/>
    <w:rsid w:val="009D1299"/>
    <w:rsid w:val="009D1871"/>
    <w:rsid w:val="009D19D5"/>
    <w:rsid w:val="009D21D2"/>
    <w:rsid w:val="009D2652"/>
    <w:rsid w:val="009D28D9"/>
    <w:rsid w:val="009D2C33"/>
    <w:rsid w:val="009D35AD"/>
    <w:rsid w:val="009D3EBE"/>
    <w:rsid w:val="009D4174"/>
    <w:rsid w:val="009D4B5E"/>
    <w:rsid w:val="009D505C"/>
    <w:rsid w:val="009D5103"/>
    <w:rsid w:val="009D511D"/>
    <w:rsid w:val="009D53FD"/>
    <w:rsid w:val="009D5A67"/>
    <w:rsid w:val="009D5BC8"/>
    <w:rsid w:val="009D5F22"/>
    <w:rsid w:val="009D6324"/>
    <w:rsid w:val="009D7268"/>
    <w:rsid w:val="009D7387"/>
    <w:rsid w:val="009D76B8"/>
    <w:rsid w:val="009D7BAD"/>
    <w:rsid w:val="009D7F3E"/>
    <w:rsid w:val="009E00B7"/>
    <w:rsid w:val="009E04D5"/>
    <w:rsid w:val="009E04E9"/>
    <w:rsid w:val="009E0983"/>
    <w:rsid w:val="009E1EE8"/>
    <w:rsid w:val="009E208F"/>
    <w:rsid w:val="009E212D"/>
    <w:rsid w:val="009E2236"/>
    <w:rsid w:val="009E23AB"/>
    <w:rsid w:val="009E2A05"/>
    <w:rsid w:val="009E3EF1"/>
    <w:rsid w:val="009E3EFC"/>
    <w:rsid w:val="009E3F15"/>
    <w:rsid w:val="009E4A48"/>
    <w:rsid w:val="009E4CEE"/>
    <w:rsid w:val="009E4D6B"/>
    <w:rsid w:val="009E4E32"/>
    <w:rsid w:val="009E5119"/>
    <w:rsid w:val="009E52B1"/>
    <w:rsid w:val="009E5531"/>
    <w:rsid w:val="009E55C1"/>
    <w:rsid w:val="009E5A92"/>
    <w:rsid w:val="009E5AF1"/>
    <w:rsid w:val="009E6065"/>
    <w:rsid w:val="009E6109"/>
    <w:rsid w:val="009E6478"/>
    <w:rsid w:val="009E65C9"/>
    <w:rsid w:val="009E694D"/>
    <w:rsid w:val="009E6A8B"/>
    <w:rsid w:val="009E78DC"/>
    <w:rsid w:val="009F000A"/>
    <w:rsid w:val="009F03CE"/>
    <w:rsid w:val="009F0522"/>
    <w:rsid w:val="009F0582"/>
    <w:rsid w:val="009F0695"/>
    <w:rsid w:val="009F088B"/>
    <w:rsid w:val="009F0A7C"/>
    <w:rsid w:val="009F0DA7"/>
    <w:rsid w:val="009F104D"/>
    <w:rsid w:val="009F10B1"/>
    <w:rsid w:val="009F1244"/>
    <w:rsid w:val="009F15B7"/>
    <w:rsid w:val="009F1B58"/>
    <w:rsid w:val="009F206E"/>
    <w:rsid w:val="009F2307"/>
    <w:rsid w:val="009F2B8E"/>
    <w:rsid w:val="009F2CF4"/>
    <w:rsid w:val="009F3096"/>
    <w:rsid w:val="009F3740"/>
    <w:rsid w:val="009F3905"/>
    <w:rsid w:val="009F39CF"/>
    <w:rsid w:val="009F3CA5"/>
    <w:rsid w:val="009F3DA5"/>
    <w:rsid w:val="009F3E14"/>
    <w:rsid w:val="009F3EED"/>
    <w:rsid w:val="009F4328"/>
    <w:rsid w:val="009F4E86"/>
    <w:rsid w:val="009F4EDC"/>
    <w:rsid w:val="009F553C"/>
    <w:rsid w:val="009F561E"/>
    <w:rsid w:val="009F564B"/>
    <w:rsid w:val="009F5668"/>
    <w:rsid w:val="009F5823"/>
    <w:rsid w:val="009F6134"/>
    <w:rsid w:val="009F613C"/>
    <w:rsid w:val="009F6743"/>
    <w:rsid w:val="009F6FA5"/>
    <w:rsid w:val="009F706A"/>
    <w:rsid w:val="009F71AF"/>
    <w:rsid w:val="009F7582"/>
    <w:rsid w:val="009F79D2"/>
    <w:rsid w:val="009F7ACA"/>
    <w:rsid w:val="009F7AFB"/>
    <w:rsid w:val="009F7D44"/>
    <w:rsid w:val="009F7DAF"/>
    <w:rsid w:val="00A00061"/>
    <w:rsid w:val="00A00226"/>
    <w:rsid w:val="00A003B6"/>
    <w:rsid w:val="00A00470"/>
    <w:rsid w:val="00A006CC"/>
    <w:rsid w:val="00A006DA"/>
    <w:rsid w:val="00A00B72"/>
    <w:rsid w:val="00A00D7E"/>
    <w:rsid w:val="00A00DFE"/>
    <w:rsid w:val="00A00E6D"/>
    <w:rsid w:val="00A00F65"/>
    <w:rsid w:val="00A0107D"/>
    <w:rsid w:val="00A01167"/>
    <w:rsid w:val="00A017E2"/>
    <w:rsid w:val="00A01989"/>
    <w:rsid w:val="00A01B3D"/>
    <w:rsid w:val="00A01F64"/>
    <w:rsid w:val="00A02403"/>
    <w:rsid w:val="00A02909"/>
    <w:rsid w:val="00A02CA2"/>
    <w:rsid w:val="00A02CBC"/>
    <w:rsid w:val="00A02E6A"/>
    <w:rsid w:val="00A02F99"/>
    <w:rsid w:val="00A03125"/>
    <w:rsid w:val="00A03479"/>
    <w:rsid w:val="00A03A2C"/>
    <w:rsid w:val="00A03A9E"/>
    <w:rsid w:val="00A0403A"/>
    <w:rsid w:val="00A0407F"/>
    <w:rsid w:val="00A04261"/>
    <w:rsid w:val="00A04378"/>
    <w:rsid w:val="00A04425"/>
    <w:rsid w:val="00A048B6"/>
    <w:rsid w:val="00A052C8"/>
    <w:rsid w:val="00A05680"/>
    <w:rsid w:val="00A05960"/>
    <w:rsid w:val="00A05D26"/>
    <w:rsid w:val="00A05D4C"/>
    <w:rsid w:val="00A05F91"/>
    <w:rsid w:val="00A06768"/>
    <w:rsid w:val="00A06AE7"/>
    <w:rsid w:val="00A06C17"/>
    <w:rsid w:val="00A070F3"/>
    <w:rsid w:val="00A071D5"/>
    <w:rsid w:val="00A0743A"/>
    <w:rsid w:val="00A0752F"/>
    <w:rsid w:val="00A07953"/>
    <w:rsid w:val="00A07CF9"/>
    <w:rsid w:val="00A07D36"/>
    <w:rsid w:val="00A07D5F"/>
    <w:rsid w:val="00A10083"/>
    <w:rsid w:val="00A10127"/>
    <w:rsid w:val="00A10553"/>
    <w:rsid w:val="00A10627"/>
    <w:rsid w:val="00A11067"/>
    <w:rsid w:val="00A11140"/>
    <w:rsid w:val="00A111DF"/>
    <w:rsid w:val="00A11676"/>
    <w:rsid w:val="00A11CCB"/>
    <w:rsid w:val="00A12DF8"/>
    <w:rsid w:val="00A13CBD"/>
    <w:rsid w:val="00A13EFD"/>
    <w:rsid w:val="00A1445D"/>
    <w:rsid w:val="00A14582"/>
    <w:rsid w:val="00A14AA8"/>
    <w:rsid w:val="00A14D2E"/>
    <w:rsid w:val="00A14DA1"/>
    <w:rsid w:val="00A14FB6"/>
    <w:rsid w:val="00A151F5"/>
    <w:rsid w:val="00A15529"/>
    <w:rsid w:val="00A155B6"/>
    <w:rsid w:val="00A156BE"/>
    <w:rsid w:val="00A157B3"/>
    <w:rsid w:val="00A15860"/>
    <w:rsid w:val="00A15FA9"/>
    <w:rsid w:val="00A15FBF"/>
    <w:rsid w:val="00A16106"/>
    <w:rsid w:val="00A161B9"/>
    <w:rsid w:val="00A16213"/>
    <w:rsid w:val="00A16A51"/>
    <w:rsid w:val="00A1725B"/>
    <w:rsid w:val="00A172ED"/>
    <w:rsid w:val="00A17772"/>
    <w:rsid w:val="00A179AE"/>
    <w:rsid w:val="00A17AD1"/>
    <w:rsid w:val="00A20212"/>
    <w:rsid w:val="00A202A7"/>
    <w:rsid w:val="00A20321"/>
    <w:rsid w:val="00A204DC"/>
    <w:rsid w:val="00A20750"/>
    <w:rsid w:val="00A2089A"/>
    <w:rsid w:val="00A20A64"/>
    <w:rsid w:val="00A20F92"/>
    <w:rsid w:val="00A2159F"/>
    <w:rsid w:val="00A218B8"/>
    <w:rsid w:val="00A219E9"/>
    <w:rsid w:val="00A21A11"/>
    <w:rsid w:val="00A21BB7"/>
    <w:rsid w:val="00A21BBC"/>
    <w:rsid w:val="00A2202D"/>
    <w:rsid w:val="00A226DD"/>
    <w:rsid w:val="00A22B18"/>
    <w:rsid w:val="00A22F44"/>
    <w:rsid w:val="00A23314"/>
    <w:rsid w:val="00A234E9"/>
    <w:rsid w:val="00A248B2"/>
    <w:rsid w:val="00A249BC"/>
    <w:rsid w:val="00A24A6C"/>
    <w:rsid w:val="00A24F9A"/>
    <w:rsid w:val="00A25037"/>
    <w:rsid w:val="00A2597D"/>
    <w:rsid w:val="00A25CA1"/>
    <w:rsid w:val="00A25F09"/>
    <w:rsid w:val="00A26004"/>
    <w:rsid w:val="00A26081"/>
    <w:rsid w:val="00A261F8"/>
    <w:rsid w:val="00A2668B"/>
    <w:rsid w:val="00A267BC"/>
    <w:rsid w:val="00A26821"/>
    <w:rsid w:val="00A2689D"/>
    <w:rsid w:val="00A271D1"/>
    <w:rsid w:val="00A27248"/>
    <w:rsid w:val="00A272F9"/>
    <w:rsid w:val="00A27341"/>
    <w:rsid w:val="00A27489"/>
    <w:rsid w:val="00A2756F"/>
    <w:rsid w:val="00A277E8"/>
    <w:rsid w:val="00A27AB3"/>
    <w:rsid w:val="00A27B85"/>
    <w:rsid w:val="00A27E62"/>
    <w:rsid w:val="00A30148"/>
    <w:rsid w:val="00A30153"/>
    <w:rsid w:val="00A304B4"/>
    <w:rsid w:val="00A308E1"/>
    <w:rsid w:val="00A30E52"/>
    <w:rsid w:val="00A30E5E"/>
    <w:rsid w:val="00A31434"/>
    <w:rsid w:val="00A317C9"/>
    <w:rsid w:val="00A31807"/>
    <w:rsid w:val="00A31A38"/>
    <w:rsid w:val="00A31FA5"/>
    <w:rsid w:val="00A320C0"/>
    <w:rsid w:val="00A320E5"/>
    <w:rsid w:val="00A325EC"/>
    <w:rsid w:val="00A327D7"/>
    <w:rsid w:val="00A3280C"/>
    <w:rsid w:val="00A32B86"/>
    <w:rsid w:val="00A32F2B"/>
    <w:rsid w:val="00A33603"/>
    <w:rsid w:val="00A336F2"/>
    <w:rsid w:val="00A33FFC"/>
    <w:rsid w:val="00A35282"/>
    <w:rsid w:val="00A353B1"/>
    <w:rsid w:val="00A354AB"/>
    <w:rsid w:val="00A356B1"/>
    <w:rsid w:val="00A357AF"/>
    <w:rsid w:val="00A35827"/>
    <w:rsid w:val="00A3590C"/>
    <w:rsid w:val="00A35969"/>
    <w:rsid w:val="00A361A7"/>
    <w:rsid w:val="00A361C5"/>
    <w:rsid w:val="00A362C1"/>
    <w:rsid w:val="00A3697D"/>
    <w:rsid w:val="00A36980"/>
    <w:rsid w:val="00A36B5C"/>
    <w:rsid w:val="00A36CCC"/>
    <w:rsid w:val="00A36CED"/>
    <w:rsid w:val="00A36D2F"/>
    <w:rsid w:val="00A36E55"/>
    <w:rsid w:val="00A373B3"/>
    <w:rsid w:val="00A40363"/>
    <w:rsid w:val="00A40EE5"/>
    <w:rsid w:val="00A41063"/>
    <w:rsid w:val="00A4137E"/>
    <w:rsid w:val="00A41678"/>
    <w:rsid w:val="00A416B6"/>
    <w:rsid w:val="00A41945"/>
    <w:rsid w:val="00A41BF2"/>
    <w:rsid w:val="00A41F4B"/>
    <w:rsid w:val="00A42035"/>
    <w:rsid w:val="00A422F3"/>
    <w:rsid w:val="00A4266D"/>
    <w:rsid w:val="00A428CF"/>
    <w:rsid w:val="00A429C1"/>
    <w:rsid w:val="00A42A63"/>
    <w:rsid w:val="00A42CC7"/>
    <w:rsid w:val="00A4331D"/>
    <w:rsid w:val="00A43443"/>
    <w:rsid w:val="00A43445"/>
    <w:rsid w:val="00A43887"/>
    <w:rsid w:val="00A4412C"/>
    <w:rsid w:val="00A441FC"/>
    <w:rsid w:val="00A444A6"/>
    <w:rsid w:val="00A44678"/>
    <w:rsid w:val="00A4476D"/>
    <w:rsid w:val="00A448D9"/>
    <w:rsid w:val="00A44A89"/>
    <w:rsid w:val="00A44AED"/>
    <w:rsid w:val="00A44D23"/>
    <w:rsid w:val="00A45027"/>
    <w:rsid w:val="00A45220"/>
    <w:rsid w:val="00A454A4"/>
    <w:rsid w:val="00A457FF"/>
    <w:rsid w:val="00A45AA0"/>
    <w:rsid w:val="00A45EDE"/>
    <w:rsid w:val="00A46149"/>
    <w:rsid w:val="00A46570"/>
    <w:rsid w:val="00A468FF"/>
    <w:rsid w:val="00A46CBC"/>
    <w:rsid w:val="00A46F75"/>
    <w:rsid w:val="00A46FD1"/>
    <w:rsid w:val="00A4744C"/>
    <w:rsid w:val="00A47607"/>
    <w:rsid w:val="00A47A91"/>
    <w:rsid w:val="00A47E57"/>
    <w:rsid w:val="00A47F6A"/>
    <w:rsid w:val="00A5019F"/>
    <w:rsid w:val="00A502DF"/>
    <w:rsid w:val="00A503A8"/>
    <w:rsid w:val="00A50856"/>
    <w:rsid w:val="00A508AA"/>
    <w:rsid w:val="00A50B61"/>
    <w:rsid w:val="00A50F5C"/>
    <w:rsid w:val="00A5189F"/>
    <w:rsid w:val="00A51E4A"/>
    <w:rsid w:val="00A527EA"/>
    <w:rsid w:val="00A52C95"/>
    <w:rsid w:val="00A52E72"/>
    <w:rsid w:val="00A53133"/>
    <w:rsid w:val="00A533E9"/>
    <w:rsid w:val="00A53636"/>
    <w:rsid w:val="00A53A76"/>
    <w:rsid w:val="00A54038"/>
    <w:rsid w:val="00A5406E"/>
    <w:rsid w:val="00A542A0"/>
    <w:rsid w:val="00A5454B"/>
    <w:rsid w:val="00A54573"/>
    <w:rsid w:val="00A54A46"/>
    <w:rsid w:val="00A54C5D"/>
    <w:rsid w:val="00A551BD"/>
    <w:rsid w:val="00A554E3"/>
    <w:rsid w:val="00A5593B"/>
    <w:rsid w:val="00A55ABB"/>
    <w:rsid w:val="00A55B11"/>
    <w:rsid w:val="00A55C5C"/>
    <w:rsid w:val="00A55E78"/>
    <w:rsid w:val="00A55FD2"/>
    <w:rsid w:val="00A56093"/>
    <w:rsid w:val="00A56182"/>
    <w:rsid w:val="00A56927"/>
    <w:rsid w:val="00A56AAF"/>
    <w:rsid w:val="00A57077"/>
    <w:rsid w:val="00A57212"/>
    <w:rsid w:val="00A572AD"/>
    <w:rsid w:val="00A5739B"/>
    <w:rsid w:val="00A5778D"/>
    <w:rsid w:val="00A577D9"/>
    <w:rsid w:val="00A577EA"/>
    <w:rsid w:val="00A57D07"/>
    <w:rsid w:val="00A60822"/>
    <w:rsid w:val="00A60B38"/>
    <w:rsid w:val="00A60C85"/>
    <w:rsid w:val="00A610D0"/>
    <w:rsid w:val="00A612FA"/>
    <w:rsid w:val="00A61C47"/>
    <w:rsid w:val="00A61D44"/>
    <w:rsid w:val="00A62000"/>
    <w:rsid w:val="00A6277B"/>
    <w:rsid w:val="00A629C1"/>
    <w:rsid w:val="00A629F4"/>
    <w:rsid w:val="00A62A9E"/>
    <w:rsid w:val="00A62E73"/>
    <w:rsid w:val="00A62EA0"/>
    <w:rsid w:val="00A62F6B"/>
    <w:rsid w:val="00A632ED"/>
    <w:rsid w:val="00A63B29"/>
    <w:rsid w:val="00A63CD5"/>
    <w:rsid w:val="00A64223"/>
    <w:rsid w:val="00A645B6"/>
    <w:rsid w:val="00A64733"/>
    <w:rsid w:val="00A648F6"/>
    <w:rsid w:val="00A64D8F"/>
    <w:rsid w:val="00A64E47"/>
    <w:rsid w:val="00A6503B"/>
    <w:rsid w:val="00A65719"/>
    <w:rsid w:val="00A65CF9"/>
    <w:rsid w:val="00A65DEB"/>
    <w:rsid w:val="00A66339"/>
    <w:rsid w:val="00A668E1"/>
    <w:rsid w:val="00A66E3C"/>
    <w:rsid w:val="00A671A1"/>
    <w:rsid w:val="00A673FB"/>
    <w:rsid w:val="00A705E7"/>
    <w:rsid w:val="00A70B09"/>
    <w:rsid w:val="00A70DA4"/>
    <w:rsid w:val="00A70FE5"/>
    <w:rsid w:val="00A71362"/>
    <w:rsid w:val="00A7153C"/>
    <w:rsid w:val="00A71560"/>
    <w:rsid w:val="00A71574"/>
    <w:rsid w:val="00A715AB"/>
    <w:rsid w:val="00A7170A"/>
    <w:rsid w:val="00A7171D"/>
    <w:rsid w:val="00A71A9A"/>
    <w:rsid w:val="00A71E6E"/>
    <w:rsid w:val="00A72014"/>
    <w:rsid w:val="00A72E1C"/>
    <w:rsid w:val="00A731EA"/>
    <w:rsid w:val="00A73AA0"/>
    <w:rsid w:val="00A73AF1"/>
    <w:rsid w:val="00A73E67"/>
    <w:rsid w:val="00A73E8A"/>
    <w:rsid w:val="00A73F6E"/>
    <w:rsid w:val="00A74023"/>
    <w:rsid w:val="00A743AC"/>
    <w:rsid w:val="00A74629"/>
    <w:rsid w:val="00A7476B"/>
    <w:rsid w:val="00A74906"/>
    <w:rsid w:val="00A74A5C"/>
    <w:rsid w:val="00A75098"/>
    <w:rsid w:val="00A756D5"/>
    <w:rsid w:val="00A75A85"/>
    <w:rsid w:val="00A75EC9"/>
    <w:rsid w:val="00A765C4"/>
    <w:rsid w:val="00A7705F"/>
    <w:rsid w:val="00A772C4"/>
    <w:rsid w:val="00A77902"/>
    <w:rsid w:val="00A803F1"/>
    <w:rsid w:val="00A805D4"/>
    <w:rsid w:val="00A80684"/>
    <w:rsid w:val="00A8090B"/>
    <w:rsid w:val="00A80F39"/>
    <w:rsid w:val="00A811CC"/>
    <w:rsid w:val="00A814FC"/>
    <w:rsid w:val="00A81783"/>
    <w:rsid w:val="00A818EF"/>
    <w:rsid w:val="00A81B38"/>
    <w:rsid w:val="00A81CCA"/>
    <w:rsid w:val="00A820D2"/>
    <w:rsid w:val="00A82B61"/>
    <w:rsid w:val="00A82CB6"/>
    <w:rsid w:val="00A82EC5"/>
    <w:rsid w:val="00A8325E"/>
    <w:rsid w:val="00A833EE"/>
    <w:rsid w:val="00A83F1D"/>
    <w:rsid w:val="00A841F6"/>
    <w:rsid w:val="00A84C73"/>
    <w:rsid w:val="00A85A5E"/>
    <w:rsid w:val="00A85C6C"/>
    <w:rsid w:val="00A85DCE"/>
    <w:rsid w:val="00A861C4"/>
    <w:rsid w:val="00A861E5"/>
    <w:rsid w:val="00A8634E"/>
    <w:rsid w:val="00A863DC"/>
    <w:rsid w:val="00A86733"/>
    <w:rsid w:val="00A868AF"/>
    <w:rsid w:val="00A86B04"/>
    <w:rsid w:val="00A86B4E"/>
    <w:rsid w:val="00A8791D"/>
    <w:rsid w:val="00A87A04"/>
    <w:rsid w:val="00A87B56"/>
    <w:rsid w:val="00A87BA9"/>
    <w:rsid w:val="00A9031E"/>
    <w:rsid w:val="00A90366"/>
    <w:rsid w:val="00A903DD"/>
    <w:rsid w:val="00A90B93"/>
    <w:rsid w:val="00A90FE4"/>
    <w:rsid w:val="00A911ED"/>
    <w:rsid w:val="00A912DA"/>
    <w:rsid w:val="00A91300"/>
    <w:rsid w:val="00A91436"/>
    <w:rsid w:val="00A91774"/>
    <w:rsid w:val="00A91785"/>
    <w:rsid w:val="00A9181F"/>
    <w:rsid w:val="00A9186E"/>
    <w:rsid w:val="00A918D7"/>
    <w:rsid w:val="00A91A90"/>
    <w:rsid w:val="00A91AA7"/>
    <w:rsid w:val="00A92706"/>
    <w:rsid w:val="00A929E4"/>
    <w:rsid w:val="00A92CC9"/>
    <w:rsid w:val="00A92D8D"/>
    <w:rsid w:val="00A92E96"/>
    <w:rsid w:val="00A931A7"/>
    <w:rsid w:val="00A93535"/>
    <w:rsid w:val="00A93556"/>
    <w:rsid w:val="00A94B05"/>
    <w:rsid w:val="00A94C59"/>
    <w:rsid w:val="00A94E9B"/>
    <w:rsid w:val="00A953DC"/>
    <w:rsid w:val="00A9578A"/>
    <w:rsid w:val="00A957F3"/>
    <w:rsid w:val="00A959FB"/>
    <w:rsid w:val="00A960AB"/>
    <w:rsid w:val="00A96644"/>
    <w:rsid w:val="00A96924"/>
    <w:rsid w:val="00A97085"/>
    <w:rsid w:val="00A970D2"/>
    <w:rsid w:val="00A973C4"/>
    <w:rsid w:val="00A976C5"/>
    <w:rsid w:val="00A97854"/>
    <w:rsid w:val="00A978CF"/>
    <w:rsid w:val="00A9792A"/>
    <w:rsid w:val="00A97B81"/>
    <w:rsid w:val="00A97B9B"/>
    <w:rsid w:val="00AA04F9"/>
    <w:rsid w:val="00AA0772"/>
    <w:rsid w:val="00AA08FD"/>
    <w:rsid w:val="00AA09AE"/>
    <w:rsid w:val="00AA0A3A"/>
    <w:rsid w:val="00AA0B78"/>
    <w:rsid w:val="00AA0C23"/>
    <w:rsid w:val="00AA0C31"/>
    <w:rsid w:val="00AA0C68"/>
    <w:rsid w:val="00AA0D0B"/>
    <w:rsid w:val="00AA0D85"/>
    <w:rsid w:val="00AA0EBE"/>
    <w:rsid w:val="00AA1192"/>
    <w:rsid w:val="00AA1231"/>
    <w:rsid w:val="00AA1807"/>
    <w:rsid w:val="00AA19F3"/>
    <w:rsid w:val="00AA1D9D"/>
    <w:rsid w:val="00AA21E1"/>
    <w:rsid w:val="00AA2222"/>
    <w:rsid w:val="00AA2C3F"/>
    <w:rsid w:val="00AA2D48"/>
    <w:rsid w:val="00AA347E"/>
    <w:rsid w:val="00AA3859"/>
    <w:rsid w:val="00AA3C20"/>
    <w:rsid w:val="00AA3FF0"/>
    <w:rsid w:val="00AA4194"/>
    <w:rsid w:val="00AA4741"/>
    <w:rsid w:val="00AA4CF5"/>
    <w:rsid w:val="00AA4E81"/>
    <w:rsid w:val="00AA51A2"/>
    <w:rsid w:val="00AA51FF"/>
    <w:rsid w:val="00AA521E"/>
    <w:rsid w:val="00AA54E8"/>
    <w:rsid w:val="00AA55A3"/>
    <w:rsid w:val="00AA59FB"/>
    <w:rsid w:val="00AA5A74"/>
    <w:rsid w:val="00AA5BF3"/>
    <w:rsid w:val="00AA5C14"/>
    <w:rsid w:val="00AA5C78"/>
    <w:rsid w:val="00AA5CCE"/>
    <w:rsid w:val="00AA5FD2"/>
    <w:rsid w:val="00AA618A"/>
    <w:rsid w:val="00AA66D5"/>
    <w:rsid w:val="00AA6724"/>
    <w:rsid w:val="00AA67EA"/>
    <w:rsid w:val="00AA6C70"/>
    <w:rsid w:val="00AA6D3F"/>
    <w:rsid w:val="00AA7A10"/>
    <w:rsid w:val="00AA7A87"/>
    <w:rsid w:val="00AA7AD8"/>
    <w:rsid w:val="00AA7EC0"/>
    <w:rsid w:val="00AB0080"/>
    <w:rsid w:val="00AB0110"/>
    <w:rsid w:val="00AB096C"/>
    <w:rsid w:val="00AB0CA0"/>
    <w:rsid w:val="00AB0F19"/>
    <w:rsid w:val="00AB136C"/>
    <w:rsid w:val="00AB196F"/>
    <w:rsid w:val="00AB199F"/>
    <w:rsid w:val="00AB1F73"/>
    <w:rsid w:val="00AB2A01"/>
    <w:rsid w:val="00AB2D55"/>
    <w:rsid w:val="00AB2DA8"/>
    <w:rsid w:val="00AB3110"/>
    <w:rsid w:val="00AB31B2"/>
    <w:rsid w:val="00AB31F8"/>
    <w:rsid w:val="00AB325B"/>
    <w:rsid w:val="00AB3720"/>
    <w:rsid w:val="00AB3947"/>
    <w:rsid w:val="00AB395A"/>
    <w:rsid w:val="00AB39A2"/>
    <w:rsid w:val="00AB3AF1"/>
    <w:rsid w:val="00AB3D92"/>
    <w:rsid w:val="00AB402F"/>
    <w:rsid w:val="00AB456C"/>
    <w:rsid w:val="00AB4693"/>
    <w:rsid w:val="00AB472B"/>
    <w:rsid w:val="00AB4788"/>
    <w:rsid w:val="00AB4A97"/>
    <w:rsid w:val="00AB4BFF"/>
    <w:rsid w:val="00AB507E"/>
    <w:rsid w:val="00AB5691"/>
    <w:rsid w:val="00AB5804"/>
    <w:rsid w:val="00AB5B9B"/>
    <w:rsid w:val="00AB5BB0"/>
    <w:rsid w:val="00AB5F82"/>
    <w:rsid w:val="00AB5FAF"/>
    <w:rsid w:val="00AB612F"/>
    <w:rsid w:val="00AB6B39"/>
    <w:rsid w:val="00AB7009"/>
    <w:rsid w:val="00AB7485"/>
    <w:rsid w:val="00AB7D2E"/>
    <w:rsid w:val="00AC0123"/>
    <w:rsid w:val="00AC07AE"/>
    <w:rsid w:val="00AC0AA0"/>
    <w:rsid w:val="00AC0C05"/>
    <w:rsid w:val="00AC0DC3"/>
    <w:rsid w:val="00AC1422"/>
    <w:rsid w:val="00AC168C"/>
    <w:rsid w:val="00AC18F6"/>
    <w:rsid w:val="00AC1AEC"/>
    <w:rsid w:val="00AC1F44"/>
    <w:rsid w:val="00AC2907"/>
    <w:rsid w:val="00AC2BAC"/>
    <w:rsid w:val="00AC39EA"/>
    <w:rsid w:val="00AC3CEB"/>
    <w:rsid w:val="00AC40A8"/>
    <w:rsid w:val="00AC40F7"/>
    <w:rsid w:val="00AC45AC"/>
    <w:rsid w:val="00AC48BE"/>
    <w:rsid w:val="00AC4B10"/>
    <w:rsid w:val="00AC4B30"/>
    <w:rsid w:val="00AC4F46"/>
    <w:rsid w:val="00AC5283"/>
    <w:rsid w:val="00AC56A4"/>
    <w:rsid w:val="00AC5725"/>
    <w:rsid w:val="00AC5AE1"/>
    <w:rsid w:val="00AC6635"/>
    <w:rsid w:val="00AC6793"/>
    <w:rsid w:val="00AC75B1"/>
    <w:rsid w:val="00AC77B2"/>
    <w:rsid w:val="00AC7A1D"/>
    <w:rsid w:val="00AC7E88"/>
    <w:rsid w:val="00AD01AC"/>
    <w:rsid w:val="00AD03A8"/>
    <w:rsid w:val="00AD049A"/>
    <w:rsid w:val="00AD05E3"/>
    <w:rsid w:val="00AD069C"/>
    <w:rsid w:val="00AD13AE"/>
    <w:rsid w:val="00AD162F"/>
    <w:rsid w:val="00AD1947"/>
    <w:rsid w:val="00AD1BB3"/>
    <w:rsid w:val="00AD1BCC"/>
    <w:rsid w:val="00AD1EB5"/>
    <w:rsid w:val="00AD1EC2"/>
    <w:rsid w:val="00AD2AB0"/>
    <w:rsid w:val="00AD2F72"/>
    <w:rsid w:val="00AD3215"/>
    <w:rsid w:val="00AD35DA"/>
    <w:rsid w:val="00AD37DE"/>
    <w:rsid w:val="00AD3AF5"/>
    <w:rsid w:val="00AD3F82"/>
    <w:rsid w:val="00AD4043"/>
    <w:rsid w:val="00AD4490"/>
    <w:rsid w:val="00AD45C6"/>
    <w:rsid w:val="00AD46F8"/>
    <w:rsid w:val="00AD4ACB"/>
    <w:rsid w:val="00AD4D56"/>
    <w:rsid w:val="00AD52CA"/>
    <w:rsid w:val="00AD58B9"/>
    <w:rsid w:val="00AD5F6D"/>
    <w:rsid w:val="00AD5F77"/>
    <w:rsid w:val="00AD6017"/>
    <w:rsid w:val="00AD61E9"/>
    <w:rsid w:val="00AD631A"/>
    <w:rsid w:val="00AD638E"/>
    <w:rsid w:val="00AD6849"/>
    <w:rsid w:val="00AD6F35"/>
    <w:rsid w:val="00AD73A3"/>
    <w:rsid w:val="00AD794A"/>
    <w:rsid w:val="00AD7F39"/>
    <w:rsid w:val="00AE0049"/>
    <w:rsid w:val="00AE03AD"/>
    <w:rsid w:val="00AE0A0E"/>
    <w:rsid w:val="00AE0E0A"/>
    <w:rsid w:val="00AE0F34"/>
    <w:rsid w:val="00AE0F6D"/>
    <w:rsid w:val="00AE106B"/>
    <w:rsid w:val="00AE1205"/>
    <w:rsid w:val="00AE13EE"/>
    <w:rsid w:val="00AE15B1"/>
    <w:rsid w:val="00AE1775"/>
    <w:rsid w:val="00AE17C7"/>
    <w:rsid w:val="00AE1990"/>
    <w:rsid w:val="00AE1BCD"/>
    <w:rsid w:val="00AE2022"/>
    <w:rsid w:val="00AE2089"/>
    <w:rsid w:val="00AE23AC"/>
    <w:rsid w:val="00AE291C"/>
    <w:rsid w:val="00AE2B81"/>
    <w:rsid w:val="00AE2C5D"/>
    <w:rsid w:val="00AE2E7C"/>
    <w:rsid w:val="00AE3049"/>
    <w:rsid w:val="00AE3C11"/>
    <w:rsid w:val="00AE3DB0"/>
    <w:rsid w:val="00AE4057"/>
    <w:rsid w:val="00AE46BE"/>
    <w:rsid w:val="00AE4753"/>
    <w:rsid w:val="00AE4F0C"/>
    <w:rsid w:val="00AE4FC7"/>
    <w:rsid w:val="00AE527F"/>
    <w:rsid w:val="00AE529A"/>
    <w:rsid w:val="00AE538A"/>
    <w:rsid w:val="00AE5B41"/>
    <w:rsid w:val="00AE5DF9"/>
    <w:rsid w:val="00AE5F81"/>
    <w:rsid w:val="00AE614F"/>
    <w:rsid w:val="00AE680E"/>
    <w:rsid w:val="00AE6B58"/>
    <w:rsid w:val="00AE6E3D"/>
    <w:rsid w:val="00AE70F3"/>
    <w:rsid w:val="00AE7430"/>
    <w:rsid w:val="00AE76B9"/>
    <w:rsid w:val="00AE77D5"/>
    <w:rsid w:val="00AE7F65"/>
    <w:rsid w:val="00AF0ECD"/>
    <w:rsid w:val="00AF111B"/>
    <w:rsid w:val="00AF15BF"/>
    <w:rsid w:val="00AF1668"/>
    <w:rsid w:val="00AF1878"/>
    <w:rsid w:val="00AF225E"/>
    <w:rsid w:val="00AF2410"/>
    <w:rsid w:val="00AF2433"/>
    <w:rsid w:val="00AF26AF"/>
    <w:rsid w:val="00AF26E6"/>
    <w:rsid w:val="00AF27D9"/>
    <w:rsid w:val="00AF2AA5"/>
    <w:rsid w:val="00AF2F82"/>
    <w:rsid w:val="00AF31E0"/>
    <w:rsid w:val="00AF32A2"/>
    <w:rsid w:val="00AF3510"/>
    <w:rsid w:val="00AF3E7D"/>
    <w:rsid w:val="00AF4163"/>
    <w:rsid w:val="00AF41C8"/>
    <w:rsid w:val="00AF4897"/>
    <w:rsid w:val="00AF4C15"/>
    <w:rsid w:val="00AF4EC0"/>
    <w:rsid w:val="00AF4F19"/>
    <w:rsid w:val="00AF50F8"/>
    <w:rsid w:val="00AF53DD"/>
    <w:rsid w:val="00AF5BAD"/>
    <w:rsid w:val="00AF5F0C"/>
    <w:rsid w:val="00AF626B"/>
    <w:rsid w:val="00AF653B"/>
    <w:rsid w:val="00AF6734"/>
    <w:rsid w:val="00AF6745"/>
    <w:rsid w:val="00AF6A7D"/>
    <w:rsid w:val="00AF6BDD"/>
    <w:rsid w:val="00AF761F"/>
    <w:rsid w:val="00AF7C2D"/>
    <w:rsid w:val="00AF7ED3"/>
    <w:rsid w:val="00B0031F"/>
    <w:rsid w:val="00B006D6"/>
    <w:rsid w:val="00B008F3"/>
    <w:rsid w:val="00B00BDB"/>
    <w:rsid w:val="00B00D06"/>
    <w:rsid w:val="00B013C9"/>
    <w:rsid w:val="00B0147A"/>
    <w:rsid w:val="00B014AF"/>
    <w:rsid w:val="00B014CC"/>
    <w:rsid w:val="00B01526"/>
    <w:rsid w:val="00B01761"/>
    <w:rsid w:val="00B01B93"/>
    <w:rsid w:val="00B01E4A"/>
    <w:rsid w:val="00B01F95"/>
    <w:rsid w:val="00B02147"/>
    <w:rsid w:val="00B02197"/>
    <w:rsid w:val="00B022B1"/>
    <w:rsid w:val="00B029AF"/>
    <w:rsid w:val="00B02BAA"/>
    <w:rsid w:val="00B02FB9"/>
    <w:rsid w:val="00B037FC"/>
    <w:rsid w:val="00B03834"/>
    <w:rsid w:val="00B04342"/>
    <w:rsid w:val="00B044B8"/>
    <w:rsid w:val="00B044F0"/>
    <w:rsid w:val="00B0456A"/>
    <w:rsid w:val="00B0463C"/>
    <w:rsid w:val="00B049D5"/>
    <w:rsid w:val="00B04D6D"/>
    <w:rsid w:val="00B0540B"/>
    <w:rsid w:val="00B0553D"/>
    <w:rsid w:val="00B0555C"/>
    <w:rsid w:val="00B05643"/>
    <w:rsid w:val="00B05939"/>
    <w:rsid w:val="00B05EC1"/>
    <w:rsid w:val="00B06037"/>
    <w:rsid w:val="00B06219"/>
    <w:rsid w:val="00B0647C"/>
    <w:rsid w:val="00B0648E"/>
    <w:rsid w:val="00B064AC"/>
    <w:rsid w:val="00B06AE3"/>
    <w:rsid w:val="00B06DBB"/>
    <w:rsid w:val="00B06DDE"/>
    <w:rsid w:val="00B073DB"/>
    <w:rsid w:val="00B0746C"/>
    <w:rsid w:val="00B07521"/>
    <w:rsid w:val="00B079A1"/>
    <w:rsid w:val="00B1008E"/>
    <w:rsid w:val="00B1013A"/>
    <w:rsid w:val="00B103DB"/>
    <w:rsid w:val="00B10697"/>
    <w:rsid w:val="00B1079E"/>
    <w:rsid w:val="00B10AC2"/>
    <w:rsid w:val="00B10B59"/>
    <w:rsid w:val="00B11258"/>
    <w:rsid w:val="00B11343"/>
    <w:rsid w:val="00B115E5"/>
    <w:rsid w:val="00B11D2C"/>
    <w:rsid w:val="00B125C2"/>
    <w:rsid w:val="00B129B0"/>
    <w:rsid w:val="00B12B03"/>
    <w:rsid w:val="00B12FCD"/>
    <w:rsid w:val="00B13369"/>
    <w:rsid w:val="00B13404"/>
    <w:rsid w:val="00B13A7A"/>
    <w:rsid w:val="00B14140"/>
    <w:rsid w:val="00B14872"/>
    <w:rsid w:val="00B15440"/>
    <w:rsid w:val="00B1559E"/>
    <w:rsid w:val="00B15603"/>
    <w:rsid w:val="00B159F6"/>
    <w:rsid w:val="00B15ADD"/>
    <w:rsid w:val="00B163F3"/>
    <w:rsid w:val="00B17041"/>
    <w:rsid w:val="00B17656"/>
    <w:rsid w:val="00B17CC8"/>
    <w:rsid w:val="00B20399"/>
    <w:rsid w:val="00B203BD"/>
    <w:rsid w:val="00B20497"/>
    <w:rsid w:val="00B2066E"/>
    <w:rsid w:val="00B209A4"/>
    <w:rsid w:val="00B20C51"/>
    <w:rsid w:val="00B20D63"/>
    <w:rsid w:val="00B20DDE"/>
    <w:rsid w:val="00B2113B"/>
    <w:rsid w:val="00B2155E"/>
    <w:rsid w:val="00B2161C"/>
    <w:rsid w:val="00B219E9"/>
    <w:rsid w:val="00B21AD9"/>
    <w:rsid w:val="00B21D78"/>
    <w:rsid w:val="00B21F23"/>
    <w:rsid w:val="00B22127"/>
    <w:rsid w:val="00B2232A"/>
    <w:rsid w:val="00B223FB"/>
    <w:rsid w:val="00B224B1"/>
    <w:rsid w:val="00B22EB9"/>
    <w:rsid w:val="00B23681"/>
    <w:rsid w:val="00B2372A"/>
    <w:rsid w:val="00B2393A"/>
    <w:rsid w:val="00B23CAD"/>
    <w:rsid w:val="00B23CF3"/>
    <w:rsid w:val="00B23D36"/>
    <w:rsid w:val="00B23F6F"/>
    <w:rsid w:val="00B241E9"/>
    <w:rsid w:val="00B2434E"/>
    <w:rsid w:val="00B246DF"/>
    <w:rsid w:val="00B2484B"/>
    <w:rsid w:val="00B24EC3"/>
    <w:rsid w:val="00B25159"/>
    <w:rsid w:val="00B258F0"/>
    <w:rsid w:val="00B259EF"/>
    <w:rsid w:val="00B25A99"/>
    <w:rsid w:val="00B26519"/>
    <w:rsid w:val="00B26778"/>
    <w:rsid w:val="00B269CF"/>
    <w:rsid w:val="00B26A5C"/>
    <w:rsid w:val="00B26AAF"/>
    <w:rsid w:val="00B26FC9"/>
    <w:rsid w:val="00B27043"/>
    <w:rsid w:val="00B27163"/>
    <w:rsid w:val="00B2720C"/>
    <w:rsid w:val="00B27A21"/>
    <w:rsid w:val="00B27C14"/>
    <w:rsid w:val="00B27FC6"/>
    <w:rsid w:val="00B304E3"/>
    <w:rsid w:val="00B305AA"/>
    <w:rsid w:val="00B30BF0"/>
    <w:rsid w:val="00B30E6D"/>
    <w:rsid w:val="00B311EB"/>
    <w:rsid w:val="00B3179B"/>
    <w:rsid w:val="00B31B4F"/>
    <w:rsid w:val="00B31D62"/>
    <w:rsid w:val="00B31DDF"/>
    <w:rsid w:val="00B31EE7"/>
    <w:rsid w:val="00B32245"/>
    <w:rsid w:val="00B324B5"/>
    <w:rsid w:val="00B32977"/>
    <w:rsid w:val="00B3299F"/>
    <w:rsid w:val="00B32A7E"/>
    <w:rsid w:val="00B32B57"/>
    <w:rsid w:val="00B32C91"/>
    <w:rsid w:val="00B340C9"/>
    <w:rsid w:val="00B34129"/>
    <w:rsid w:val="00B343BE"/>
    <w:rsid w:val="00B34E6E"/>
    <w:rsid w:val="00B357E4"/>
    <w:rsid w:val="00B3593F"/>
    <w:rsid w:val="00B35AA9"/>
    <w:rsid w:val="00B35B7F"/>
    <w:rsid w:val="00B35C94"/>
    <w:rsid w:val="00B361B8"/>
    <w:rsid w:val="00B364E3"/>
    <w:rsid w:val="00B365E9"/>
    <w:rsid w:val="00B368E2"/>
    <w:rsid w:val="00B370A9"/>
    <w:rsid w:val="00B3735A"/>
    <w:rsid w:val="00B3776B"/>
    <w:rsid w:val="00B379A4"/>
    <w:rsid w:val="00B37B41"/>
    <w:rsid w:val="00B37CFA"/>
    <w:rsid w:val="00B37E41"/>
    <w:rsid w:val="00B37F35"/>
    <w:rsid w:val="00B40158"/>
    <w:rsid w:val="00B40189"/>
    <w:rsid w:val="00B408CB"/>
    <w:rsid w:val="00B40B7A"/>
    <w:rsid w:val="00B40DA8"/>
    <w:rsid w:val="00B40F02"/>
    <w:rsid w:val="00B415D2"/>
    <w:rsid w:val="00B417E6"/>
    <w:rsid w:val="00B41B85"/>
    <w:rsid w:val="00B41FB3"/>
    <w:rsid w:val="00B426EB"/>
    <w:rsid w:val="00B42F06"/>
    <w:rsid w:val="00B431DE"/>
    <w:rsid w:val="00B434F9"/>
    <w:rsid w:val="00B43521"/>
    <w:rsid w:val="00B4361F"/>
    <w:rsid w:val="00B439C1"/>
    <w:rsid w:val="00B43BB1"/>
    <w:rsid w:val="00B43C7F"/>
    <w:rsid w:val="00B43FC1"/>
    <w:rsid w:val="00B441E3"/>
    <w:rsid w:val="00B443FB"/>
    <w:rsid w:val="00B44404"/>
    <w:rsid w:val="00B44AE8"/>
    <w:rsid w:val="00B44E11"/>
    <w:rsid w:val="00B44FC7"/>
    <w:rsid w:val="00B45041"/>
    <w:rsid w:val="00B45346"/>
    <w:rsid w:val="00B453B0"/>
    <w:rsid w:val="00B45759"/>
    <w:rsid w:val="00B457BE"/>
    <w:rsid w:val="00B45AE0"/>
    <w:rsid w:val="00B45C8A"/>
    <w:rsid w:val="00B45DF7"/>
    <w:rsid w:val="00B45F02"/>
    <w:rsid w:val="00B45F3F"/>
    <w:rsid w:val="00B46242"/>
    <w:rsid w:val="00B4686D"/>
    <w:rsid w:val="00B47412"/>
    <w:rsid w:val="00B47A58"/>
    <w:rsid w:val="00B47AA0"/>
    <w:rsid w:val="00B47AEF"/>
    <w:rsid w:val="00B47E04"/>
    <w:rsid w:val="00B47E4B"/>
    <w:rsid w:val="00B500AB"/>
    <w:rsid w:val="00B50505"/>
    <w:rsid w:val="00B50582"/>
    <w:rsid w:val="00B5069E"/>
    <w:rsid w:val="00B5091A"/>
    <w:rsid w:val="00B509AC"/>
    <w:rsid w:val="00B51924"/>
    <w:rsid w:val="00B51B6B"/>
    <w:rsid w:val="00B51E6E"/>
    <w:rsid w:val="00B51FBA"/>
    <w:rsid w:val="00B5211E"/>
    <w:rsid w:val="00B52521"/>
    <w:rsid w:val="00B528B4"/>
    <w:rsid w:val="00B5309C"/>
    <w:rsid w:val="00B53234"/>
    <w:rsid w:val="00B53DEA"/>
    <w:rsid w:val="00B5460B"/>
    <w:rsid w:val="00B547C4"/>
    <w:rsid w:val="00B54AB6"/>
    <w:rsid w:val="00B54B8E"/>
    <w:rsid w:val="00B54E34"/>
    <w:rsid w:val="00B54EA3"/>
    <w:rsid w:val="00B54F0D"/>
    <w:rsid w:val="00B55036"/>
    <w:rsid w:val="00B551D9"/>
    <w:rsid w:val="00B5529C"/>
    <w:rsid w:val="00B552A2"/>
    <w:rsid w:val="00B554C8"/>
    <w:rsid w:val="00B5564C"/>
    <w:rsid w:val="00B559A0"/>
    <w:rsid w:val="00B55A1A"/>
    <w:rsid w:val="00B562DC"/>
    <w:rsid w:val="00B56776"/>
    <w:rsid w:val="00B56A95"/>
    <w:rsid w:val="00B56D91"/>
    <w:rsid w:val="00B5706B"/>
    <w:rsid w:val="00B577DC"/>
    <w:rsid w:val="00B57A15"/>
    <w:rsid w:val="00B57A79"/>
    <w:rsid w:val="00B57B24"/>
    <w:rsid w:val="00B600F5"/>
    <w:rsid w:val="00B60258"/>
    <w:rsid w:val="00B603B9"/>
    <w:rsid w:val="00B60447"/>
    <w:rsid w:val="00B60B3D"/>
    <w:rsid w:val="00B60CC5"/>
    <w:rsid w:val="00B60DFA"/>
    <w:rsid w:val="00B6104A"/>
    <w:rsid w:val="00B61369"/>
    <w:rsid w:val="00B61477"/>
    <w:rsid w:val="00B614CC"/>
    <w:rsid w:val="00B61569"/>
    <w:rsid w:val="00B6165E"/>
    <w:rsid w:val="00B617B3"/>
    <w:rsid w:val="00B61C52"/>
    <w:rsid w:val="00B61E3B"/>
    <w:rsid w:val="00B6208B"/>
    <w:rsid w:val="00B62703"/>
    <w:rsid w:val="00B628B8"/>
    <w:rsid w:val="00B62ABF"/>
    <w:rsid w:val="00B62D50"/>
    <w:rsid w:val="00B62EE8"/>
    <w:rsid w:val="00B63480"/>
    <w:rsid w:val="00B63664"/>
    <w:rsid w:val="00B640AA"/>
    <w:rsid w:val="00B64196"/>
    <w:rsid w:val="00B64265"/>
    <w:rsid w:val="00B6463D"/>
    <w:rsid w:val="00B6464A"/>
    <w:rsid w:val="00B646E8"/>
    <w:rsid w:val="00B6480F"/>
    <w:rsid w:val="00B648D8"/>
    <w:rsid w:val="00B64C82"/>
    <w:rsid w:val="00B6534F"/>
    <w:rsid w:val="00B65553"/>
    <w:rsid w:val="00B6556E"/>
    <w:rsid w:val="00B6566C"/>
    <w:rsid w:val="00B65BB0"/>
    <w:rsid w:val="00B65D58"/>
    <w:rsid w:val="00B66368"/>
    <w:rsid w:val="00B6636D"/>
    <w:rsid w:val="00B663F6"/>
    <w:rsid w:val="00B666B5"/>
    <w:rsid w:val="00B66D91"/>
    <w:rsid w:val="00B67C1C"/>
    <w:rsid w:val="00B67EB6"/>
    <w:rsid w:val="00B7028B"/>
    <w:rsid w:val="00B70407"/>
    <w:rsid w:val="00B70690"/>
    <w:rsid w:val="00B70959"/>
    <w:rsid w:val="00B70B92"/>
    <w:rsid w:val="00B70ECE"/>
    <w:rsid w:val="00B7117B"/>
    <w:rsid w:val="00B71AAF"/>
    <w:rsid w:val="00B71B41"/>
    <w:rsid w:val="00B71DA5"/>
    <w:rsid w:val="00B722B1"/>
    <w:rsid w:val="00B72324"/>
    <w:rsid w:val="00B72A52"/>
    <w:rsid w:val="00B72D96"/>
    <w:rsid w:val="00B72EB2"/>
    <w:rsid w:val="00B730E3"/>
    <w:rsid w:val="00B73105"/>
    <w:rsid w:val="00B7350B"/>
    <w:rsid w:val="00B736DD"/>
    <w:rsid w:val="00B7397F"/>
    <w:rsid w:val="00B73C53"/>
    <w:rsid w:val="00B74106"/>
    <w:rsid w:val="00B7424E"/>
    <w:rsid w:val="00B742D7"/>
    <w:rsid w:val="00B745D4"/>
    <w:rsid w:val="00B7478F"/>
    <w:rsid w:val="00B74860"/>
    <w:rsid w:val="00B74A21"/>
    <w:rsid w:val="00B74A89"/>
    <w:rsid w:val="00B74FC9"/>
    <w:rsid w:val="00B75202"/>
    <w:rsid w:val="00B7591A"/>
    <w:rsid w:val="00B75CD3"/>
    <w:rsid w:val="00B75F98"/>
    <w:rsid w:val="00B769E3"/>
    <w:rsid w:val="00B76F93"/>
    <w:rsid w:val="00B772AF"/>
    <w:rsid w:val="00B77618"/>
    <w:rsid w:val="00B77AA8"/>
    <w:rsid w:val="00B80435"/>
    <w:rsid w:val="00B80A29"/>
    <w:rsid w:val="00B80DF2"/>
    <w:rsid w:val="00B80E51"/>
    <w:rsid w:val="00B8102D"/>
    <w:rsid w:val="00B81233"/>
    <w:rsid w:val="00B815C8"/>
    <w:rsid w:val="00B8169D"/>
    <w:rsid w:val="00B81750"/>
    <w:rsid w:val="00B818F5"/>
    <w:rsid w:val="00B81960"/>
    <w:rsid w:val="00B81D48"/>
    <w:rsid w:val="00B81E67"/>
    <w:rsid w:val="00B81F10"/>
    <w:rsid w:val="00B823C6"/>
    <w:rsid w:val="00B823D2"/>
    <w:rsid w:val="00B82941"/>
    <w:rsid w:val="00B829A1"/>
    <w:rsid w:val="00B82D8D"/>
    <w:rsid w:val="00B82F2D"/>
    <w:rsid w:val="00B82F38"/>
    <w:rsid w:val="00B83072"/>
    <w:rsid w:val="00B833B7"/>
    <w:rsid w:val="00B834A7"/>
    <w:rsid w:val="00B835CE"/>
    <w:rsid w:val="00B836C6"/>
    <w:rsid w:val="00B8372B"/>
    <w:rsid w:val="00B837BC"/>
    <w:rsid w:val="00B83861"/>
    <w:rsid w:val="00B83F9C"/>
    <w:rsid w:val="00B83FFF"/>
    <w:rsid w:val="00B849B3"/>
    <w:rsid w:val="00B849DA"/>
    <w:rsid w:val="00B84D25"/>
    <w:rsid w:val="00B84DA1"/>
    <w:rsid w:val="00B84E11"/>
    <w:rsid w:val="00B84F80"/>
    <w:rsid w:val="00B853C9"/>
    <w:rsid w:val="00B854DC"/>
    <w:rsid w:val="00B8553E"/>
    <w:rsid w:val="00B85712"/>
    <w:rsid w:val="00B8583D"/>
    <w:rsid w:val="00B86615"/>
    <w:rsid w:val="00B86ABC"/>
    <w:rsid w:val="00B86C95"/>
    <w:rsid w:val="00B86E65"/>
    <w:rsid w:val="00B87023"/>
    <w:rsid w:val="00B871A4"/>
    <w:rsid w:val="00B871DC"/>
    <w:rsid w:val="00B87385"/>
    <w:rsid w:val="00B87C37"/>
    <w:rsid w:val="00B87CC1"/>
    <w:rsid w:val="00B9048E"/>
    <w:rsid w:val="00B904A3"/>
    <w:rsid w:val="00B90B09"/>
    <w:rsid w:val="00B90B4A"/>
    <w:rsid w:val="00B90C15"/>
    <w:rsid w:val="00B90D03"/>
    <w:rsid w:val="00B90D6C"/>
    <w:rsid w:val="00B90DA5"/>
    <w:rsid w:val="00B91AE6"/>
    <w:rsid w:val="00B92523"/>
    <w:rsid w:val="00B9268A"/>
    <w:rsid w:val="00B926FD"/>
    <w:rsid w:val="00B92757"/>
    <w:rsid w:val="00B92A52"/>
    <w:rsid w:val="00B92E0D"/>
    <w:rsid w:val="00B93162"/>
    <w:rsid w:val="00B9341C"/>
    <w:rsid w:val="00B938F3"/>
    <w:rsid w:val="00B93CEE"/>
    <w:rsid w:val="00B93DB4"/>
    <w:rsid w:val="00B94346"/>
    <w:rsid w:val="00B94950"/>
    <w:rsid w:val="00B94A4F"/>
    <w:rsid w:val="00B94A7C"/>
    <w:rsid w:val="00B94C50"/>
    <w:rsid w:val="00B95188"/>
    <w:rsid w:val="00B951ED"/>
    <w:rsid w:val="00B9524D"/>
    <w:rsid w:val="00B95483"/>
    <w:rsid w:val="00B962D3"/>
    <w:rsid w:val="00B964CB"/>
    <w:rsid w:val="00B96915"/>
    <w:rsid w:val="00B969BD"/>
    <w:rsid w:val="00B96CFA"/>
    <w:rsid w:val="00B96F74"/>
    <w:rsid w:val="00B970B7"/>
    <w:rsid w:val="00B972B3"/>
    <w:rsid w:val="00B9759A"/>
    <w:rsid w:val="00B9781F"/>
    <w:rsid w:val="00B979C7"/>
    <w:rsid w:val="00B97B85"/>
    <w:rsid w:val="00B97E53"/>
    <w:rsid w:val="00BA00C0"/>
    <w:rsid w:val="00BA0317"/>
    <w:rsid w:val="00BA0883"/>
    <w:rsid w:val="00BA095F"/>
    <w:rsid w:val="00BA0C20"/>
    <w:rsid w:val="00BA0F97"/>
    <w:rsid w:val="00BA10EF"/>
    <w:rsid w:val="00BA11E0"/>
    <w:rsid w:val="00BA1513"/>
    <w:rsid w:val="00BA1813"/>
    <w:rsid w:val="00BA1BD5"/>
    <w:rsid w:val="00BA1C24"/>
    <w:rsid w:val="00BA1F42"/>
    <w:rsid w:val="00BA22E2"/>
    <w:rsid w:val="00BA25EA"/>
    <w:rsid w:val="00BA290D"/>
    <w:rsid w:val="00BA29EB"/>
    <w:rsid w:val="00BA2DDF"/>
    <w:rsid w:val="00BA2F2D"/>
    <w:rsid w:val="00BA307C"/>
    <w:rsid w:val="00BA3520"/>
    <w:rsid w:val="00BA3BA8"/>
    <w:rsid w:val="00BA3FCF"/>
    <w:rsid w:val="00BA423E"/>
    <w:rsid w:val="00BA4711"/>
    <w:rsid w:val="00BA4A7F"/>
    <w:rsid w:val="00BA4B58"/>
    <w:rsid w:val="00BA4EC0"/>
    <w:rsid w:val="00BA5103"/>
    <w:rsid w:val="00BA511F"/>
    <w:rsid w:val="00BA58F6"/>
    <w:rsid w:val="00BA5A93"/>
    <w:rsid w:val="00BA6070"/>
    <w:rsid w:val="00BA62A9"/>
    <w:rsid w:val="00BA69C6"/>
    <w:rsid w:val="00BA6B71"/>
    <w:rsid w:val="00BA6D6B"/>
    <w:rsid w:val="00BA756D"/>
    <w:rsid w:val="00BA7E1E"/>
    <w:rsid w:val="00BB02D2"/>
    <w:rsid w:val="00BB0496"/>
    <w:rsid w:val="00BB04B1"/>
    <w:rsid w:val="00BB04EC"/>
    <w:rsid w:val="00BB0A8A"/>
    <w:rsid w:val="00BB0AF9"/>
    <w:rsid w:val="00BB0C31"/>
    <w:rsid w:val="00BB0CB2"/>
    <w:rsid w:val="00BB0F3B"/>
    <w:rsid w:val="00BB2567"/>
    <w:rsid w:val="00BB29E3"/>
    <w:rsid w:val="00BB2D83"/>
    <w:rsid w:val="00BB31F5"/>
    <w:rsid w:val="00BB32D9"/>
    <w:rsid w:val="00BB3652"/>
    <w:rsid w:val="00BB3668"/>
    <w:rsid w:val="00BB369E"/>
    <w:rsid w:val="00BB375C"/>
    <w:rsid w:val="00BB3AF8"/>
    <w:rsid w:val="00BB3B1B"/>
    <w:rsid w:val="00BB3CA8"/>
    <w:rsid w:val="00BB436C"/>
    <w:rsid w:val="00BB438B"/>
    <w:rsid w:val="00BB47B9"/>
    <w:rsid w:val="00BB487E"/>
    <w:rsid w:val="00BB4931"/>
    <w:rsid w:val="00BB4B0E"/>
    <w:rsid w:val="00BB4F4A"/>
    <w:rsid w:val="00BB5913"/>
    <w:rsid w:val="00BB6108"/>
    <w:rsid w:val="00BB6301"/>
    <w:rsid w:val="00BB669D"/>
    <w:rsid w:val="00BB66B5"/>
    <w:rsid w:val="00BB6F3B"/>
    <w:rsid w:val="00BB7215"/>
    <w:rsid w:val="00BB7263"/>
    <w:rsid w:val="00BB72E3"/>
    <w:rsid w:val="00BB766A"/>
    <w:rsid w:val="00BB7751"/>
    <w:rsid w:val="00BB7A75"/>
    <w:rsid w:val="00BB7ADB"/>
    <w:rsid w:val="00BB7CCE"/>
    <w:rsid w:val="00BB7D8C"/>
    <w:rsid w:val="00BC00E5"/>
    <w:rsid w:val="00BC039C"/>
    <w:rsid w:val="00BC0B2A"/>
    <w:rsid w:val="00BC0C92"/>
    <w:rsid w:val="00BC0E95"/>
    <w:rsid w:val="00BC0FD3"/>
    <w:rsid w:val="00BC1114"/>
    <w:rsid w:val="00BC1218"/>
    <w:rsid w:val="00BC1319"/>
    <w:rsid w:val="00BC1895"/>
    <w:rsid w:val="00BC1A48"/>
    <w:rsid w:val="00BC2615"/>
    <w:rsid w:val="00BC2B90"/>
    <w:rsid w:val="00BC2E57"/>
    <w:rsid w:val="00BC2FCC"/>
    <w:rsid w:val="00BC3057"/>
    <w:rsid w:val="00BC3214"/>
    <w:rsid w:val="00BC3245"/>
    <w:rsid w:val="00BC347A"/>
    <w:rsid w:val="00BC3B3C"/>
    <w:rsid w:val="00BC4044"/>
    <w:rsid w:val="00BC404D"/>
    <w:rsid w:val="00BC460F"/>
    <w:rsid w:val="00BC493A"/>
    <w:rsid w:val="00BC49AB"/>
    <w:rsid w:val="00BC503C"/>
    <w:rsid w:val="00BC518F"/>
    <w:rsid w:val="00BC5279"/>
    <w:rsid w:val="00BC5C36"/>
    <w:rsid w:val="00BC5FC5"/>
    <w:rsid w:val="00BC6319"/>
    <w:rsid w:val="00BC64FD"/>
    <w:rsid w:val="00BC679A"/>
    <w:rsid w:val="00BC6DA1"/>
    <w:rsid w:val="00BC73BB"/>
    <w:rsid w:val="00BC7671"/>
    <w:rsid w:val="00BC7BBB"/>
    <w:rsid w:val="00BC7CB1"/>
    <w:rsid w:val="00BC7F4D"/>
    <w:rsid w:val="00BD00BB"/>
    <w:rsid w:val="00BD0184"/>
    <w:rsid w:val="00BD043B"/>
    <w:rsid w:val="00BD0A7E"/>
    <w:rsid w:val="00BD0BD4"/>
    <w:rsid w:val="00BD0E7D"/>
    <w:rsid w:val="00BD1001"/>
    <w:rsid w:val="00BD1C9A"/>
    <w:rsid w:val="00BD1CDE"/>
    <w:rsid w:val="00BD209A"/>
    <w:rsid w:val="00BD2269"/>
    <w:rsid w:val="00BD2494"/>
    <w:rsid w:val="00BD2B80"/>
    <w:rsid w:val="00BD2E0F"/>
    <w:rsid w:val="00BD2E6C"/>
    <w:rsid w:val="00BD2E92"/>
    <w:rsid w:val="00BD3012"/>
    <w:rsid w:val="00BD3046"/>
    <w:rsid w:val="00BD335C"/>
    <w:rsid w:val="00BD3B36"/>
    <w:rsid w:val="00BD3B39"/>
    <w:rsid w:val="00BD3D8A"/>
    <w:rsid w:val="00BD4341"/>
    <w:rsid w:val="00BD4972"/>
    <w:rsid w:val="00BD49DD"/>
    <w:rsid w:val="00BD4B84"/>
    <w:rsid w:val="00BD4CB5"/>
    <w:rsid w:val="00BD4E32"/>
    <w:rsid w:val="00BD4F07"/>
    <w:rsid w:val="00BD527D"/>
    <w:rsid w:val="00BD52BB"/>
    <w:rsid w:val="00BD572B"/>
    <w:rsid w:val="00BD609F"/>
    <w:rsid w:val="00BD66DB"/>
    <w:rsid w:val="00BD6B0F"/>
    <w:rsid w:val="00BD6CB1"/>
    <w:rsid w:val="00BD70AC"/>
    <w:rsid w:val="00BD70F9"/>
    <w:rsid w:val="00BD713D"/>
    <w:rsid w:val="00BD73E9"/>
    <w:rsid w:val="00BD7485"/>
    <w:rsid w:val="00BD7AD1"/>
    <w:rsid w:val="00BD7BCE"/>
    <w:rsid w:val="00BD7E59"/>
    <w:rsid w:val="00BD7F20"/>
    <w:rsid w:val="00BE00A6"/>
    <w:rsid w:val="00BE01B0"/>
    <w:rsid w:val="00BE0333"/>
    <w:rsid w:val="00BE05E8"/>
    <w:rsid w:val="00BE07CE"/>
    <w:rsid w:val="00BE0CF9"/>
    <w:rsid w:val="00BE0E97"/>
    <w:rsid w:val="00BE10B4"/>
    <w:rsid w:val="00BE1689"/>
    <w:rsid w:val="00BE176E"/>
    <w:rsid w:val="00BE1A4F"/>
    <w:rsid w:val="00BE1C16"/>
    <w:rsid w:val="00BE20A4"/>
    <w:rsid w:val="00BE2339"/>
    <w:rsid w:val="00BE25FD"/>
    <w:rsid w:val="00BE2957"/>
    <w:rsid w:val="00BE29B3"/>
    <w:rsid w:val="00BE2D17"/>
    <w:rsid w:val="00BE313C"/>
    <w:rsid w:val="00BE33C1"/>
    <w:rsid w:val="00BE3A27"/>
    <w:rsid w:val="00BE3B86"/>
    <w:rsid w:val="00BE3CE2"/>
    <w:rsid w:val="00BE3E5D"/>
    <w:rsid w:val="00BE3EC6"/>
    <w:rsid w:val="00BE459B"/>
    <w:rsid w:val="00BE47DA"/>
    <w:rsid w:val="00BE4929"/>
    <w:rsid w:val="00BE4FB9"/>
    <w:rsid w:val="00BE500E"/>
    <w:rsid w:val="00BE5061"/>
    <w:rsid w:val="00BE52BB"/>
    <w:rsid w:val="00BE5587"/>
    <w:rsid w:val="00BE5724"/>
    <w:rsid w:val="00BE5D64"/>
    <w:rsid w:val="00BE5D7D"/>
    <w:rsid w:val="00BE5FE1"/>
    <w:rsid w:val="00BE6ABB"/>
    <w:rsid w:val="00BE6F74"/>
    <w:rsid w:val="00BE6FA2"/>
    <w:rsid w:val="00BE70C9"/>
    <w:rsid w:val="00BE7120"/>
    <w:rsid w:val="00BE724C"/>
    <w:rsid w:val="00BE7758"/>
    <w:rsid w:val="00BE7CCE"/>
    <w:rsid w:val="00BF0429"/>
    <w:rsid w:val="00BF07F4"/>
    <w:rsid w:val="00BF08F2"/>
    <w:rsid w:val="00BF0CB9"/>
    <w:rsid w:val="00BF0DB5"/>
    <w:rsid w:val="00BF10BC"/>
    <w:rsid w:val="00BF1208"/>
    <w:rsid w:val="00BF13B8"/>
    <w:rsid w:val="00BF1AB3"/>
    <w:rsid w:val="00BF1F0F"/>
    <w:rsid w:val="00BF2302"/>
    <w:rsid w:val="00BF23A3"/>
    <w:rsid w:val="00BF29B2"/>
    <w:rsid w:val="00BF2A91"/>
    <w:rsid w:val="00BF2CE7"/>
    <w:rsid w:val="00BF32DF"/>
    <w:rsid w:val="00BF3605"/>
    <w:rsid w:val="00BF371C"/>
    <w:rsid w:val="00BF3A88"/>
    <w:rsid w:val="00BF3B09"/>
    <w:rsid w:val="00BF3BEB"/>
    <w:rsid w:val="00BF3BEE"/>
    <w:rsid w:val="00BF3C6A"/>
    <w:rsid w:val="00BF41FC"/>
    <w:rsid w:val="00BF4308"/>
    <w:rsid w:val="00BF44A5"/>
    <w:rsid w:val="00BF44FE"/>
    <w:rsid w:val="00BF491E"/>
    <w:rsid w:val="00BF4993"/>
    <w:rsid w:val="00BF4B27"/>
    <w:rsid w:val="00BF4ED1"/>
    <w:rsid w:val="00BF54C3"/>
    <w:rsid w:val="00BF5A6D"/>
    <w:rsid w:val="00BF5F37"/>
    <w:rsid w:val="00BF62AA"/>
    <w:rsid w:val="00BF68C8"/>
    <w:rsid w:val="00BF6914"/>
    <w:rsid w:val="00BF6BB0"/>
    <w:rsid w:val="00BF6C62"/>
    <w:rsid w:val="00BF6CB6"/>
    <w:rsid w:val="00BF6DC3"/>
    <w:rsid w:val="00BF7345"/>
    <w:rsid w:val="00BF75A6"/>
    <w:rsid w:val="00BF76B1"/>
    <w:rsid w:val="00BF7BCE"/>
    <w:rsid w:val="00C0055F"/>
    <w:rsid w:val="00C009C4"/>
    <w:rsid w:val="00C00BF0"/>
    <w:rsid w:val="00C00D0B"/>
    <w:rsid w:val="00C01644"/>
    <w:rsid w:val="00C016B6"/>
    <w:rsid w:val="00C019E6"/>
    <w:rsid w:val="00C01C30"/>
    <w:rsid w:val="00C0216E"/>
    <w:rsid w:val="00C025C6"/>
    <w:rsid w:val="00C026E3"/>
    <w:rsid w:val="00C02A81"/>
    <w:rsid w:val="00C02CC5"/>
    <w:rsid w:val="00C03547"/>
    <w:rsid w:val="00C036F6"/>
    <w:rsid w:val="00C037A0"/>
    <w:rsid w:val="00C03E7A"/>
    <w:rsid w:val="00C03EAA"/>
    <w:rsid w:val="00C041BD"/>
    <w:rsid w:val="00C05150"/>
    <w:rsid w:val="00C05FCD"/>
    <w:rsid w:val="00C0601B"/>
    <w:rsid w:val="00C06089"/>
    <w:rsid w:val="00C060DE"/>
    <w:rsid w:val="00C06346"/>
    <w:rsid w:val="00C06430"/>
    <w:rsid w:val="00C0681E"/>
    <w:rsid w:val="00C06DA0"/>
    <w:rsid w:val="00C06FE5"/>
    <w:rsid w:val="00C075B5"/>
    <w:rsid w:val="00C07B73"/>
    <w:rsid w:val="00C07DF3"/>
    <w:rsid w:val="00C07DF4"/>
    <w:rsid w:val="00C1057E"/>
    <w:rsid w:val="00C1087B"/>
    <w:rsid w:val="00C10AE7"/>
    <w:rsid w:val="00C10BE3"/>
    <w:rsid w:val="00C10D7F"/>
    <w:rsid w:val="00C11157"/>
    <w:rsid w:val="00C112F1"/>
    <w:rsid w:val="00C113E6"/>
    <w:rsid w:val="00C115AE"/>
    <w:rsid w:val="00C116C0"/>
    <w:rsid w:val="00C11B6C"/>
    <w:rsid w:val="00C11C79"/>
    <w:rsid w:val="00C11CD8"/>
    <w:rsid w:val="00C11CE8"/>
    <w:rsid w:val="00C129F2"/>
    <w:rsid w:val="00C12CA2"/>
    <w:rsid w:val="00C138A8"/>
    <w:rsid w:val="00C14567"/>
    <w:rsid w:val="00C146E7"/>
    <w:rsid w:val="00C1479B"/>
    <w:rsid w:val="00C147D3"/>
    <w:rsid w:val="00C14844"/>
    <w:rsid w:val="00C14D5A"/>
    <w:rsid w:val="00C14EDE"/>
    <w:rsid w:val="00C153B1"/>
    <w:rsid w:val="00C15C68"/>
    <w:rsid w:val="00C15DCD"/>
    <w:rsid w:val="00C15F27"/>
    <w:rsid w:val="00C15FEE"/>
    <w:rsid w:val="00C162EC"/>
    <w:rsid w:val="00C165A0"/>
    <w:rsid w:val="00C165FD"/>
    <w:rsid w:val="00C16C77"/>
    <w:rsid w:val="00C17195"/>
    <w:rsid w:val="00C1792C"/>
    <w:rsid w:val="00C17A71"/>
    <w:rsid w:val="00C17BBB"/>
    <w:rsid w:val="00C204F6"/>
    <w:rsid w:val="00C2088E"/>
    <w:rsid w:val="00C20B46"/>
    <w:rsid w:val="00C20D6E"/>
    <w:rsid w:val="00C21215"/>
    <w:rsid w:val="00C21565"/>
    <w:rsid w:val="00C216AD"/>
    <w:rsid w:val="00C21747"/>
    <w:rsid w:val="00C218C7"/>
    <w:rsid w:val="00C21D45"/>
    <w:rsid w:val="00C22059"/>
    <w:rsid w:val="00C223F4"/>
    <w:rsid w:val="00C22978"/>
    <w:rsid w:val="00C2297E"/>
    <w:rsid w:val="00C22AEF"/>
    <w:rsid w:val="00C22BE5"/>
    <w:rsid w:val="00C23337"/>
    <w:rsid w:val="00C235DB"/>
    <w:rsid w:val="00C23B4C"/>
    <w:rsid w:val="00C240E5"/>
    <w:rsid w:val="00C24593"/>
    <w:rsid w:val="00C246BB"/>
    <w:rsid w:val="00C252BE"/>
    <w:rsid w:val="00C2543F"/>
    <w:rsid w:val="00C255EC"/>
    <w:rsid w:val="00C257F6"/>
    <w:rsid w:val="00C25A33"/>
    <w:rsid w:val="00C25DFA"/>
    <w:rsid w:val="00C25F96"/>
    <w:rsid w:val="00C25FC0"/>
    <w:rsid w:val="00C2610F"/>
    <w:rsid w:val="00C26561"/>
    <w:rsid w:val="00C2694D"/>
    <w:rsid w:val="00C2698F"/>
    <w:rsid w:val="00C26A59"/>
    <w:rsid w:val="00C27001"/>
    <w:rsid w:val="00C27D34"/>
    <w:rsid w:val="00C27E30"/>
    <w:rsid w:val="00C30244"/>
    <w:rsid w:val="00C30296"/>
    <w:rsid w:val="00C3035A"/>
    <w:rsid w:val="00C305C8"/>
    <w:rsid w:val="00C3064F"/>
    <w:rsid w:val="00C308CF"/>
    <w:rsid w:val="00C30AC8"/>
    <w:rsid w:val="00C30AFD"/>
    <w:rsid w:val="00C30B29"/>
    <w:rsid w:val="00C31106"/>
    <w:rsid w:val="00C3140B"/>
    <w:rsid w:val="00C316E6"/>
    <w:rsid w:val="00C317EF"/>
    <w:rsid w:val="00C31C1E"/>
    <w:rsid w:val="00C31D8F"/>
    <w:rsid w:val="00C31F52"/>
    <w:rsid w:val="00C3284E"/>
    <w:rsid w:val="00C32A56"/>
    <w:rsid w:val="00C32A9C"/>
    <w:rsid w:val="00C32E63"/>
    <w:rsid w:val="00C33F2F"/>
    <w:rsid w:val="00C34573"/>
    <w:rsid w:val="00C34616"/>
    <w:rsid w:val="00C347FA"/>
    <w:rsid w:val="00C348F4"/>
    <w:rsid w:val="00C355AF"/>
    <w:rsid w:val="00C35695"/>
    <w:rsid w:val="00C35A1C"/>
    <w:rsid w:val="00C35E2C"/>
    <w:rsid w:val="00C35E6D"/>
    <w:rsid w:val="00C36371"/>
    <w:rsid w:val="00C3644E"/>
    <w:rsid w:val="00C3677A"/>
    <w:rsid w:val="00C3693D"/>
    <w:rsid w:val="00C36B74"/>
    <w:rsid w:val="00C36D6D"/>
    <w:rsid w:val="00C36DD6"/>
    <w:rsid w:val="00C37019"/>
    <w:rsid w:val="00C3728D"/>
    <w:rsid w:val="00C37752"/>
    <w:rsid w:val="00C37A1A"/>
    <w:rsid w:val="00C37B7C"/>
    <w:rsid w:val="00C400F1"/>
    <w:rsid w:val="00C402C0"/>
    <w:rsid w:val="00C408E5"/>
    <w:rsid w:val="00C40AF4"/>
    <w:rsid w:val="00C41245"/>
    <w:rsid w:val="00C413D0"/>
    <w:rsid w:val="00C4173B"/>
    <w:rsid w:val="00C41846"/>
    <w:rsid w:val="00C41A94"/>
    <w:rsid w:val="00C41C2A"/>
    <w:rsid w:val="00C42B6C"/>
    <w:rsid w:val="00C42DF3"/>
    <w:rsid w:val="00C43271"/>
    <w:rsid w:val="00C432D9"/>
    <w:rsid w:val="00C435DB"/>
    <w:rsid w:val="00C435ED"/>
    <w:rsid w:val="00C43B98"/>
    <w:rsid w:val="00C43F34"/>
    <w:rsid w:val="00C440A3"/>
    <w:rsid w:val="00C44322"/>
    <w:rsid w:val="00C4489C"/>
    <w:rsid w:val="00C44DE8"/>
    <w:rsid w:val="00C44E04"/>
    <w:rsid w:val="00C458BC"/>
    <w:rsid w:val="00C4624F"/>
    <w:rsid w:val="00C464B4"/>
    <w:rsid w:val="00C468CA"/>
    <w:rsid w:val="00C46DB8"/>
    <w:rsid w:val="00C471FE"/>
    <w:rsid w:val="00C47475"/>
    <w:rsid w:val="00C47A3F"/>
    <w:rsid w:val="00C47B4D"/>
    <w:rsid w:val="00C47E49"/>
    <w:rsid w:val="00C5042F"/>
    <w:rsid w:val="00C50528"/>
    <w:rsid w:val="00C507D6"/>
    <w:rsid w:val="00C509B2"/>
    <w:rsid w:val="00C51082"/>
    <w:rsid w:val="00C510B1"/>
    <w:rsid w:val="00C51159"/>
    <w:rsid w:val="00C512F4"/>
    <w:rsid w:val="00C5137E"/>
    <w:rsid w:val="00C5174D"/>
    <w:rsid w:val="00C51803"/>
    <w:rsid w:val="00C51D4D"/>
    <w:rsid w:val="00C520C1"/>
    <w:rsid w:val="00C521BA"/>
    <w:rsid w:val="00C526D5"/>
    <w:rsid w:val="00C5289B"/>
    <w:rsid w:val="00C534BA"/>
    <w:rsid w:val="00C537D0"/>
    <w:rsid w:val="00C53C20"/>
    <w:rsid w:val="00C53E91"/>
    <w:rsid w:val="00C5433C"/>
    <w:rsid w:val="00C5482C"/>
    <w:rsid w:val="00C54886"/>
    <w:rsid w:val="00C55A66"/>
    <w:rsid w:val="00C55B3C"/>
    <w:rsid w:val="00C55DDD"/>
    <w:rsid w:val="00C5659F"/>
    <w:rsid w:val="00C565F4"/>
    <w:rsid w:val="00C5688E"/>
    <w:rsid w:val="00C57484"/>
    <w:rsid w:val="00C579AF"/>
    <w:rsid w:val="00C60486"/>
    <w:rsid w:val="00C608EE"/>
    <w:rsid w:val="00C60E6F"/>
    <w:rsid w:val="00C61515"/>
    <w:rsid w:val="00C61551"/>
    <w:rsid w:val="00C63654"/>
    <w:rsid w:val="00C63F26"/>
    <w:rsid w:val="00C63F7B"/>
    <w:rsid w:val="00C642C4"/>
    <w:rsid w:val="00C6454C"/>
    <w:rsid w:val="00C648A3"/>
    <w:rsid w:val="00C64DE4"/>
    <w:rsid w:val="00C64EDF"/>
    <w:rsid w:val="00C652B2"/>
    <w:rsid w:val="00C653A4"/>
    <w:rsid w:val="00C653B9"/>
    <w:rsid w:val="00C656B1"/>
    <w:rsid w:val="00C65CFA"/>
    <w:rsid w:val="00C65F11"/>
    <w:rsid w:val="00C6619D"/>
    <w:rsid w:val="00C6649E"/>
    <w:rsid w:val="00C665D9"/>
    <w:rsid w:val="00C669A4"/>
    <w:rsid w:val="00C66D8A"/>
    <w:rsid w:val="00C66DA0"/>
    <w:rsid w:val="00C670F7"/>
    <w:rsid w:val="00C673EA"/>
    <w:rsid w:val="00C674DD"/>
    <w:rsid w:val="00C677E6"/>
    <w:rsid w:val="00C67933"/>
    <w:rsid w:val="00C67A57"/>
    <w:rsid w:val="00C67A74"/>
    <w:rsid w:val="00C70119"/>
    <w:rsid w:val="00C70592"/>
    <w:rsid w:val="00C706A6"/>
    <w:rsid w:val="00C707E3"/>
    <w:rsid w:val="00C70BDD"/>
    <w:rsid w:val="00C70FBE"/>
    <w:rsid w:val="00C7106B"/>
    <w:rsid w:val="00C711E9"/>
    <w:rsid w:val="00C71407"/>
    <w:rsid w:val="00C716E6"/>
    <w:rsid w:val="00C7177E"/>
    <w:rsid w:val="00C71786"/>
    <w:rsid w:val="00C71AE0"/>
    <w:rsid w:val="00C71E13"/>
    <w:rsid w:val="00C71F0F"/>
    <w:rsid w:val="00C72120"/>
    <w:rsid w:val="00C721AF"/>
    <w:rsid w:val="00C726FC"/>
    <w:rsid w:val="00C7270C"/>
    <w:rsid w:val="00C72AB9"/>
    <w:rsid w:val="00C72D80"/>
    <w:rsid w:val="00C72FFD"/>
    <w:rsid w:val="00C73041"/>
    <w:rsid w:val="00C730DF"/>
    <w:rsid w:val="00C73641"/>
    <w:rsid w:val="00C73779"/>
    <w:rsid w:val="00C738AE"/>
    <w:rsid w:val="00C73AC1"/>
    <w:rsid w:val="00C74561"/>
    <w:rsid w:val="00C7519E"/>
    <w:rsid w:val="00C75385"/>
    <w:rsid w:val="00C75410"/>
    <w:rsid w:val="00C7595E"/>
    <w:rsid w:val="00C75BE8"/>
    <w:rsid w:val="00C7615B"/>
    <w:rsid w:val="00C765BD"/>
    <w:rsid w:val="00C76879"/>
    <w:rsid w:val="00C76B6E"/>
    <w:rsid w:val="00C76D60"/>
    <w:rsid w:val="00C76D6C"/>
    <w:rsid w:val="00C778DA"/>
    <w:rsid w:val="00C77A51"/>
    <w:rsid w:val="00C77D5C"/>
    <w:rsid w:val="00C77DD3"/>
    <w:rsid w:val="00C77DDE"/>
    <w:rsid w:val="00C77E8C"/>
    <w:rsid w:val="00C800E6"/>
    <w:rsid w:val="00C8012E"/>
    <w:rsid w:val="00C801F5"/>
    <w:rsid w:val="00C8053F"/>
    <w:rsid w:val="00C8057B"/>
    <w:rsid w:val="00C80D92"/>
    <w:rsid w:val="00C80E9E"/>
    <w:rsid w:val="00C80EA6"/>
    <w:rsid w:val="00C8111F"/>
    <w:rsid w:val="00C814E6"/>
    <w:rsid w:val="00C81739"/>
    <w:rsid w:val="00C817B1"/>
    <w:rsid w:val="00C81878"/>
    <w:rsid w:val="00C818B9"/>
    <w:rsid w:val="00C81C15"/>
    <w:rsid w:val="00C820D7"/>
    <w:rsid w:val="00C82571"/>
    <w:rsid w:val="00C827CD"/>
    <w:rsid w:val="00C829E9"/>
    <w:rsid w:val="00C82C2E"/>
    <w:rsid w:val="00C82DE9"/>
    <w:rsid w:val="00C83263"/>
    <w:rsid w:val="00C8363F"/>
    <w:rsid w:val="00C836A3"/>
    <w:rsid w:val="00C83A75"/>
    <w:rsid w:val="00C83BCD"/>
    <w:rsid w:val="00C83DDE"/>
    <w:rsid w:val="00C8509A"/>
    <w:rsid w:val="00C850E5"/>
    <w:rsid w:val="00C8512B"/>
    <w:rsid w:val="00C853A8"/>
    <w:rsid w:val="00C855DA"/>
    <w:rsid w:val="00C85A24"/>
    <w:rsid w:val="00C85AB7"/>
    <w:rsid w:val="00C85BA5"/>
    <w:rsid w:val="00C85BA7"/>
    <w:rsid w:val="00C85E21"/>
    <w:rsid w:val="00C85FB8"/>
    <w:rsid w:val="00C85FF3"/>
    <w:rsid w:val="00C867E6"/>
    <w:rsid w:val="00C86883"/>
    <w:rsid w:val="00C869F0"/>
    <w:rsid w:val="00C86CA4"/>
    <w:rsid w:val="00C86CA5"/>
    <w:rsid w:val="00C86CA6"/>
    <w:rsid w:val="00C86D95"/>
    <w:rsid w:val="00C87203"/>
    <w:rsid w:val="00C87226"/>
    <w:rsid w:val="00C875B4"/>
    <w:rsid w:val="00C87AF0"/>
    <w:rsid w:val="00C87DC1"/>
    <w:rsid w:val="00C87EFC"/>
    <w:rsid w:val="00C900E7"/>
    <w:rsid w:val="00C90415"/>
    <w:rsid w:val="00C9067B"/>
    <w:rsid w:val="00C90D56"/>
    <w:rsid w:val="00C91716"/>
    <w:rsid w:val="00C917EC"/>
    <w:rsid w:val="00C919B8"/>
    <w:rsid w:val="00C91A16"/>
    <w:rsid w:val="00C924D8"/>
    <w:rsid w:val="00C930A1"/>
    <w:rsid w:val="00C935B9"/>
    <w:rsid w:val="00C93A06"/>
    <w:rsid w:val="00C93E01"/>
    <w:rsid w:val="00C93E7B"/>
    <w:rsid w:val="00C93FE0"/>
    <w:rsid w:val="00C94041"/>
    <w:rsid w:val="00C94225"/>
    <w:rsid w:val="00C94481"/>
    <w:rsid w:val="00C945B5"/>
    <w:rsid w:val="00C949AC"/>
    <w:rsid w:val="00C94BF0"/>
    <w:rsid w:val="00C95290"/>
    <w:rsid w:val="00C957F8"/>
    <w:rsid w:val="00C95BEF"/>
    <w:rsid w:val="00C95FD8"/>
    <w:rsid w:val="00C964D8"/>
    <w:rsid w:val="00C967E6"/>
    <w:rsid w:val="00C969FE"/>
    <w:rsid w:val="00C96B65"/>
    <w:rsid w:val="00C96D78"/>
    <w:rsid w:val="00C974F5"/>
    <w:rsid w:val="00C9758B"/>
    <w:rsid w:val="00C977FD"/>
    <w:rsid w:val="00C97878"/>
    <w:rsid w:val="00CA0518"/>
    <w:rsid w:val="00CA06D7"/>
    <w:rsid w:val="00CA0A09"/>
    <w:rsid w:val="00CA0D7C"/>
    <w:rsid w:val="00CA0E12"/>
    <w:rsid w:val="00CA10D5"/>
    <w:rsid w:val="00CA111F"/>
    <w:rsid w:val="00CA1839"/>
    <w:rsid w:val="00CA1AFC"/>
    <w:rsid w:val="00CA1B9D"/>
    <w:rsid w:val="00CA1E5E"/>
    <w:rsid w:val="00CA2166"/>
    <w:rsid w:val="00CA24F9"/>
    <w:rsid w:val="00CA2A9C"/>
    <w:rsid w:val="00CA3380"/>
    <w:rsid w:val="00CA3872"/>
    <w:rsid w:val="00CA38AF"/>
    <w:rsid w:val="00CA392C"/>
    <w:rsid w:val="00CA3A9A"/>
    <w:rsid w:val="00CA3D40"/>
    <w:rsid w:val="00CA3FE3"/>
    <w:rsid w:val="00CA495A"/>
    <w:rsid w:val="00CA5F52"/>
    <w:rsid w:val="00CA648A"/>
    <w:rsid w:val="00CA6D9F"/>
    <w:rsid w:val="00CA6E89"/>
    <w:rsid w:val="00CB00A7"/>
    <w:rsid w:val="00CB0155"/>
    <w:rsid w:val="00CB0348"/>
    <w:rsid w:val="00CB07B7"/>
    <w:rsid w:val="00CB089F"/>
    <w:rsid w:val="00CB0C4E"/>
    <w:rsid w:val="00CB0E9F"/>
    <w:rsid w:val="00CB0F43"/>
    <w:rsid w:val="00CB0F58"/>
    <w:rsid w:val="00CB1403"/>
    <w:rsid w:val="00CB1564"/>
    <w:rsid w:val="00CB1739"/>
    <w:rsid w:val="00CB186D"/>
    <w:rsid w:val="00CB1949"/>
    <w:rsid w:val="00CB1A22"/>
    <w:rsid w:val="00CB1C78"/>
    <w:rsid w:val="00CB1E46"/>
    <w:rsid w:val="00CB1FBF"/>
    <w:rsid w:val="00CB2000"/>
    <w:rsid w:val="00CB20F6"/>
    <w:rsid w:val="00CB21E2"/>
    <w:rsid w:val="00CB224A"/>
    <w:rsid w:val="00CB2323"/>
    <w:rsid w:val="00CB23B9"/>
    <w:rsid w:val="00CB2417"/>
    <w:rsid w:val="00CB2520"/>
    <w:rsid w:val="00CB2886"/>
    <w:rsid w:val="00CB2D72"/>
    <w:rsid w:val="00CB3525"/>
    <w:rsid w:val="00CB36A5"/>
    <w:rsid w:val="00CB3A55"/>
    <w:rsid w:val="00CB3B56"/>
    <w:rsid w:val="00CB3DC2"/>
    <w:rsid w:val="00CB3F6B"/>
    <w:rsid w:val="00CB468E"/>
    <w:rsid w:val="00CB473C"/>
    <w:rsid w:val="00CB4918"/>
    <w:rsid w:val="00CB4ADB"/>
    <w:rsid w:val="00CB52A3"/>
    <w:rsid w:val="00CB5600"/>
    <w:rsid w:val="00CB56AA"/>
    <w:rsid w:val="00CB5F2C"/>
    <w:rsid w:val="00CB5F6B"/>
    <w:rsid w:val="00CB64C7"/>
    <w:rsid w:val="00CB6867"/>
    <w:rsid w:val="00CB68CE"/>
    <w:rsid w:val="00CB6903"/>
    <w:rsid w:val="00CB6B0B"/>
    <w:rsid w:val="00CB6E89"/>
    <w:rsid w:val="00CB719A"/>
    <w:rsid w:val="00CB721F"/>
    <w:rsid w:val="00CB76A8"/>
    <w:rsid w:val="00CB7D5A"/>
    <w:rsid w:val="00CB7E8E"/>
    <w:rsid w:val="00CB7F73"/>
    <w:rsid w:val="00CC0013"/>
    <w:rsid w:val="00CC0B4B"/>
    <w:rsid w:val="00CC0E3A"/>
    <w:rsid w:val="00CC1179"/>
    <w:rsid w:val="00CC132A"/>
    <w:rsid w:val="00CC15B4"/>
    <w:rsid w:val="00CC2067"/>
    <w:rsid w:val="00CC2708"/>
    <w:rsid w:val="00CC2841"/>
    <w:rsid w:val="00CC2948"/>
    <w:rsid w:val="00CC3190"/>
    <w:rsid w:val="00CC33BF"/>
    <w:rsid w:val="00CC3740"/>
    <w:rsid w:val="00CC3778"/>
    <w:rsid w:val="00CC4371"/>
    <w:rsid w:val="00CC4B51"/>
    <w:rsid w:val="00CC51E5"/>
    <w:rsid w:val="00CC5709"/>
    <w:rsid w:val="00CC64AF"/>
    <w:rsid w:val="00CC65D9"/>
    <w:rsid w:val="00CC65F4"/>
    <w:rsid w:val="00CC6731"/>
    <w:rsid w:val="00CC6833"/>
    <w:rsid w:val="00CC6BC3"/>
    <w:rsid w:val="00CC6BF8"/>
    <w:rsid w:val="00CC72DB"/>
    <w:rsid w:val="00CC78E7"/>
    <w:rsid w:val="00CC7F8F"/>
    <w:rsid w:val="00CD016A"/>
    <w:rsid w:val="00CD018C"/>
    <w:rsid w:val="00CD0619"/>
    <w:rsid w:val="00CD0ADE"/>
    <w:rsid w:val="00CD0D77"/>
    <w:rsid w:val="00CD0FD4"/>
    <w:rsid w:val="00CD1286"/>
    <w:rsid w:val="00CD154C"/>
    <w:rsid w:val="00CD16FB"/>
    <w:rsid w:val="00CD1AB4"/>
    <w:rsid w:val="00CD1C6E"/>
    <w:rsid w:val="00CD2172"/>
    <w:rsid w:val="00CD23A9"/>
    <w:rsid w:val="00CD23AA"/>
    <w:rsid w:val="00CD2523"/>
    <w:rsid w:val="00CD25FD"/>
    <w:rsid w:val="00CD262D"/>
    <w:rsid w:val="00CD2844"/>
    <w:rsid w:val="00CD2A57"/>
    <w:rsid w:val="00CD2BE6"/>
    <w:rsid w:val="00CD32DA"/>
    <w:rsid w:val="00CD374F"/>
    <w:rsid w:val="00CD3C72"/>
    <w:rsid w:val="00CD3CCD"/>
    <w:rsid w:val="00CD3F6A"/>
    <w:rsid w:val="00CD4C8E"/>
    <w:rsid w:val="00CD4E03"/>
    <w:rsid w:val="00CD5608"/>
    <w:rsid w:val="00CD5B61"/>
    <w:rsid w:val="00CD5C7A"/>
    <w:rsid w:val="00CD62FB"/>
    <w:rsid w:val="00CD65F3"/>
    <w:rsid w:val="00CD6603"/>
    <w:rsid w:val="00CD6E92"/>
    <w:rsid w:val="00CD6EC0"/>
    <w:rsid w:val="00CD7B3F"/>
    <w:rsid w:val="00CD7CB7"/>
    <w:rsid w:val="00CD7FDA"/>
    <w:rsid w:val="00CE08C9"/>
    <w:rsid w:val="00CE0A4D"/>
    <w:rsid w:val="00CE0C6C"/>
    <w:rsid w:val="00CE0C9F"/>
    <w:rsid w:val="00CE0ED9"/>
    <w:rsid w:val="00CE0F06"/>
    <w:rsid w:val="00CE12C7"/>
    <w:rsid w:val="00CE12CD"/>
    <w:rsid w:val="00CE1460"/>
    <w:rsid w:val="00CE1BAA"/>
    <w:rsid w:val="00CE1E46"/>
    <w:rsid w:val="00CE24F1"/>
    <w:rsid w:val="00CE27D7"/>
    <w:rsid w:val="00CE3130"/>
    <w:rsid w:val="00CE314E"/>
    <w:rsid w:val="00CE320C"/>
    <w:rsid w:val="00CE380A"/>
    <w:rsid w:val="00CE3AA6"/>
    <w:rsid w:val="00CE50F4"/>
    <w:rsid w:val="00CE5741"/>
    <w:rsid w:val="00CE58B4"/>
    <w:rsid w:val="00CE5B2C"/>
    <w:rsid w:val="00CE5D14"/>
    <w:rsid w:val="00CE5F6C"/>
    <w:rsid w:val="00CE61D2"/>
    <w:rsid w:val="00CE6721"/>
    <w:rsid w:val="00CE67BB"/>
    <w:rsid w:val="00CE6821"/>
    <w:rsid w:val="00CE69AD"/>
    <w:rsid w:val="00CE6C66"/>
    <w:rsid w:val="00CE6D9A"/>
    <w:rsid w:val="00CE74B6"/>
    <w:rsid w:val="00CE77DD"/>
    <w:rsid w:val="00CE7958"/>
    <w:rsid w:val="00CE7A89"/>
    <w:rsid w:val="00CE7BE9"/>
    <w:rsid w:val="00CE7C14"/>
    <w:rsid w:val="00CF00F6"/>
    <w:rsid w:val="00CF06FE"/>
    <w:rsid w:val="00CF0CEA"/>
    <w:rsid w:val="00CF0FEA"/>
    <w:rsid w:val="00CF10E9"/>
    <w:rsid w:val="00CF1212"/>
    <w:rsid w:val="00CF2272"/>
    <w:rsid w:val="00CF276D"/>
    <w:rsid w:val="00CF28D8"/>
    <w:rsid w:val="00CF2DCD"/>
    <w:rsid w:val="00CF39A6"/>
    <w:rsid w:val="00CF41C4"/>
    <w:rsid w:val="00CF4C8A"/>
    <w:rsid w:val="00CF4C97"/>
    <w:rsid w:val="00CF4EB7"/>
    <w:rsid w:val="00CF5233"/>
    <w:rsid w:val="00CF531F"/>
    <w:rsid w:val="00CF5488"/>
    <w:rsid w:val="00CF576E"/>
    <w:rsid w:val="00CF6006"/>
    <w:rsid w:val="00CF6036"/>
    <w:rsid w:val="00CF605E"/>
    <w:rsid w:val="00CF6195"/>
    <w:rsid w:val="00CF6A3A"/>
    <w:rsid w:val="00CF6DF2"/>
    <w:rsid w:val="00CF6EC9"/>
    <w:rsid w:val="00CF71DC"/>
    <w:rsid w:val="00CF7235"/>
    <w:rsid w:val="00CF77E3"/>
    <w:rsid w:val="00CF786E"/>
    <w:rsid w:val="00CF7B2B"/>
    <w:rsid w:val="00D003E5"/>
    <w:rsid w:val="00D006F4"/>
    <w:rsid w:val="00D00B9E"/>
    <w:rsid w:val="00D00BEA"/>
    <w:rsid w:val="00D00F18"/>
    <w:rsid w:val="00D016BE"/>
    <w:rsid w:val="00D01859"/>
    <w:rsid w:val="00D019A1"/>
    <w:rsid w:val="00D01A4A"/>
    <w:rsid w:val="00D01A63"/>
    <w:rsid w:val="00D01B04"/>
    <w:rsid w:val="00D01B51"/>
    <w:rsid w:val="00D01B55"/>
    <w:rsid w:val="00D01C48"/>
    <w:rsid w:val="00D01DF3"/>
    <w:rsid w:val="00D02070"/>
    <w:rsid w:val="00D02219"/>
    <w:rsid w:val="00D02294"/>
    <w:rsid w:val="00D02412"/>
    <w:rsid w:val="00D0242E"/>
    <w:rsid w:val="00D029F2"/>
    <w:rsid w:val="00D02A78"/>
    <w:rsid w:val="00D02BD0"/>
    <w:rsid w:val="00D02D68"/>
    <w:rsid w:val="00D03581"/>
    <w:rsid w:val="00D03884"/>
    <w:rsid w:val="00D0397F"/>
    <w:rsid w:val="00D03A7C"/>
    <w:rsid w:val="00D03E85"/>
    <w:rsid w:val="00D0414C"/>
    <w:rsid w:val="00D04314"/>
    <w:rsid w:val="00D043F2"/>
    <w:rsid w:val="00D04684"/>
    <w:rsid w:val="00D04853"/>
    <w:rsid w:val="00D048E3"/>
    <w:rsid w:val="00D049CB"/>
    <w:rsid w:val="00D04F46"/>
    <w:rsid w:val="00D058E0"/>
    <w:rsid w:val="00D05BB2"/>
    <w:rsid w:val="00D05E58"/>
    <w:rsid w:val="00D062A8"/>
    <w:rsid w:val="00D067C0"/>
    <w:rsid w:val="00D06D91"/>
    <w:rsid w:val="00D06EEA"/>
    <w:rsid w:val="00D07122"/>
    <w:rsid w:val="00D0721D"/>
    <w:rsid w:val="00D07656"/>
    <w:rsid w:val="00D07891"/>
    <w:rsid w:val="00D078E5"/>
    <w:rsid w:val="00D0793F"/>
    <w:rsid w:val="00D079E8"/>
    <w:rsid w:val="00D07AE1"/>
    <w:rsid w:val="00D100C9"/>
    <w:rsid w:val="00D101A8"/>
    <w:rsid w:val="00D1089A"/>
    <w:rsid w:val="00D10B9A"/>
    <w:rsid w:val="00D1108F"/>
    <w:rsid w:val="00D111B5"/>
    <w:rsid w:val="00D11408"/>
    <w:rsid w:val="00D11769"/>
    <w:rsid w:val="00D117A1"/>
    <w:rsid w:val="00D11D6B"/>
    <w:rsid w:val="00D11E68"/>
    <w:rsid w:val="00D11E7A"/>
    <w:rsid w:val="00D11EB5"/>
    <w:rsid w:val="00D12EE9"/>
    <w:rsid w:val="00D1309E"/>
    <w:rsid w:val="00D13186"/>
    <w:rsid w:val="00D133E4"/>
    <w:rsid w:val="00D1342A"/>
    <w:rsid w:val="00D137B0"/>
    <w:rsid w:val="00D13F33"/>
    <w:rsid w:val="00D142E6"/>
    <w:rsid w:val="00D142EE"/>
    <w:rsid w:val="00D1449A"/>
    <w:rsid w:val="00D14504"/>
    <w:rsid w:val="00D1494C"/>
    <w:rsid w:val="00D14AA3"/>
    <w:rsid w:val="00D14AB9"/>
    <w:rsid w:val="00D14D96"/>
    <w:rsid w:val="00D14E46"/>
    <w:rsid w:val="00D150A9"/>
    <w:rsid w:val="00D1523B"/>
    <w:rsid w:val="00D1526B"/>
    <w:rsid w:val="00D1532B"/>
    <w:rsid w:val="00D15567"/>
    <w:rsid w:val="00D1589E"/>
    <w:rsid w:val="00D160AC"/>
    <w:rsid w:val="00D161DA"/>
    <w:rsid w:val="00D16274"/>
    <w:rsid w:val="00D163D9"/>
    <w:rsid w:val="00D165A1"/>
    <w:rsid w:val="00D16640"/>
    <w:rsid w:val="00D16854"/>
    <w:rsid w:val="00D169D6"/>
    <w:rsid w:val="00D169DF"/>
    <w:rsid w:val="00D176C3"/>
    <w:rsid w:val="00D17A05"/>
    <w:rsid w:val="00D17A3D"/>
    <w:rsid w:val="00D17F15"/>
    <w:rsid w:val="00D20048"/>
    <w:rsid w:val="00D20302"/>
    <w:rsid w:val="00D20314"/>
    <w:rsid w:val="00D2068B"/>
    <w:rsid w:val="00D20F4A"/>
    <w:rsid w:val="00D21331"/>
    <w:rsid w:val="00D2155D"/>
    <w:rsid w:val="00D21882"/>
    <w:rsid w:val="00D21BCA"/>
    <w:rsid w:val="00D21FCF"/>
    <w:rsid w:val="00D2228E"/>
    <w:rsid w:val="00D22A96"/>
    <w:rsid w:val="00D23167"/>
    <w:rsid w:val="00D23292"/>
    <w:rsid w:val="00D232D3"/>
    <w:rsid w:val="00D2341B"/>
    <w:rsid w:val="00D236AA"/>
    <w:rsid w:val="00D23762"/>
    <w:rsid w:val="00D24164"/>
    <w:rsid w:val="00D241A9"/>
    <w:rsid w:val="00D24545"/>
    <w:rsid w:val="00D246C2"/>
    <w:rsid w:val="00D2477C"/>
    <w:rsid w:val="00D24C12"/>
    <w:rsid w:val="00D24DC0"/>
    <w:rsid w:val="00D2549E"/>
    <w:rsid w:val="00D25562"/>
    <w:rsid w:val="00D255E6"/>
    <w:rsid w:val="00D25FB4"/>
    <w:rsid w:val="00D26125"/>
    <w:rsid w:val="00D26378"/>
    <w:rsid w:val="00D26473"/>
    <w:rsid w:val="00D265F9"/>
    <w:rsid w:val="00D26627"/>
    <w:rsid w:val="00D268CF"/>
    <w:rsid w:val="00D26B1A"/>
    <w:rsid w:val="00D26E01"/>
    <w:rsid w:val="00D26EC7"/>
    <w:rsid w:val="00D27061"/>
    <w:rsid w:val="00D27954"/>
    <w:rsid w:val="00D27AA8"/>
    <w:rsid w:val="00D27D38"/>
    <w:rsid w:val="00D27F5E"/>
    <w:rsid w:val="00D3017F"/>
    <w:rsid w:val="00D3036D"/>
    <w:rsid w:val="00D3052F"/>
    <w:rsid w:val="00D3058E"/>
    <w:rsid w:val="00D3080F"/>
    <w:rsid w:val="00D30A10"/>
    <w:rsid w:val="00D30BAC"/>
    <w:rsid w:val="00D30BCF"/>
    <w:rsid w:val="00D30D2E"/>
    <w:rsid w:val="00D30D6C"/>
    <w:rsid w:val="00D30E69"/>
    <w:rsid w:val="00D31632"/>
    <w:rsid w:val="00D324E9"/>
    <w:rsid w:val="00D324EF"/>
    <w:rsid w:val="00D327A6"/>
    <w:rsid w:val="00D32C87"/>
    <w:rsid w:val="00D32EC7"/>
    <w:rsid w:val="00D330D4"/>
    <w:rsid w:val="00D333D7"/>
    <w:rsid w:val="00D33DCE"/>
    <w:rsid w:val="00D34926"/>
    <w:rsid w:val="00D349B2"/>
    <w:rsid w:val="00D35442"/>
    <w:rsid w:val="00D354E2"/>
    <w:rsid w:val="00D3560C"/>
    <w:rsid w:val="00D35FC2"/>
    <w:rsid w:val="00D3602B"/>
    <w:rsid w:val="00D36094"/>
    <w:rsid w:val="00D365BE"/>
    <w:rsid w:val="00D365EE"/>
    <w:rsid w:val="00D37453"/>
    <w:rsid w:val="00D37845"/>
    <w:rsid w:val="00D3790E"/>
    <w:rsid w:val="00D37A8D"/>
    <w:rsid w:val="00D37AF7"/>
    <w:rsid w:val="00D37E1C"/>
    <w:rsid w:val="00D400EE"/>
    <w:rsid w:val="00D40222"/>
    <w:rsid w:val="00D40BBB"/>
    <w:rsid w:val="00D40D94"/>
    <w:rsid w:val="00D40F3C"/>
    <w:rsid w:val="00D411D1"/>
    <w:rsid w:val="00D417D2"/>
    <w:rsid w:val="00D41BD2"/>
    <w:rsid w:val="00D41DD2"/>
    <w:rsid w:val="00D41E67"/>
    <w:rsid w:val="00D42177"/>
    <w:rsid w:val="00D4264F"/>
    <w:rsid w:val="00D4289F"/>
    <w:rsid w:val="00D42D1C"/>
    <w:rsid w:val="00D42E66"/>
    <w:rsid w:val="00D42FF6"/>
    <w:rsid w:val="00D43061"/>
    <w:rsid w:val="00D43086"/>
    <w:rsid w:val="00D432B5"/>
    <w:rsid w:val="00D4342C"/>
    <w:rsid w:val="00D43481"/>
    <w:rsid w:val="00D43531"/>
    <w:rsid w:val="00D435F4"/>
    <w:rsid w:val="00D43AFB"/>
    <w:rsid w:val="00D43B82"/>
    <w:rsid w:val="00D43C94"/>
    <w:rsid w:val="00D43CB9"/>
    <w:rsid w:val="00D43D46"/>
    <w:rsid w:val="00D43F87"/>
    <w:rsid w:val="00D4466F"/>
    <w:rsid w:val="00D44918"/>
    <w:rsid w:val="00D44B87"/>
    <w:rsid w:val="00D44CD2"/>
    <w:rsid w:val="00D45145"/>
    <w:rsid w:val="00D45352"/>
    <w:rsid w:val="00D4547A"/>
    <w:rsid w:val="00D45534"/>
    <w:rsid w:val="00D458E9"/>
    <w:rsid w:val="00D45976"/>
    <w:rsid w:val="00D45A1C"/>
    <w:rsid w:val="00D45C7D"/>
    <w:rsid w:val="00D45E37"/>
    <w:rsid w:val="00D45EA8"/>
    <w:rsid w:val="00D45F8B"/>
    <w:rsid w:val="00D462A9"/>
    <w:rsid w:val="00D4642A"/>
    <w:rsid w:val="00D4694A"/>
    <w:rsid w:val="00D46B47"/>
    <w:rsid w:val="00D46C28"/>
    <w:rsid w:val="00D46C61"/>
    <w:rsid w:val="00D46EB1"/>
    <w:rsid w:val="00D47696"/>
    <w:rsid w:val="00D47FBD"/>
    <w:rsid w:val="00D50367"/>
    <w:rsid w:val="00D50475"/>
    <w:rsid w:val="00D505D4"/>
    <w:rsid w:val="00D50618"/>
    <w:rsid w:val="00D506A1"/>
    <w:rsid w:val="00D506A9"/>
    <w:rsid w:val="00D50907"/>
    <w:rsid w:val="00D50EB5"/>
    <w:rsid w:val="00D510AF"/>
    <w:rsid w:val="00D513AF"/>
    <w:rsid w:val="00D51B39"/>
    <w:rsid w:val="00D51D85"/>
    <w:rsid w:val="00D52079"/>
    <w:rsid w:val="00D52100"/>
    <w:rsid w:val="00D5280A"/>
    <w:rsid w:val="00D53542"/>
    <w:rsid w:val="00D53A44"/>
    <w:rsid w:val="00D53B8E"/>
    <w:rsid w:val="00D53ED6"/>
    <w:rsid w:val="00D540D9"/>
    <w:rsid w:val="00D5417E"/>
    <w:rsid w:val="00D54854"/>
    <w:rsid w:val="00D54B23"/>
    <w:rsid w:val="00D54DE1"/>
    <w:rsid w:val="00D55591"/>
    <w:rsid w:val="00D56284"/>
    <w:rsid w:val="00D563E6"/>
    <w:rsid w:val="00D56449"/>
    <w:rsid w:val="00D565EF"/>
    <w:rsid w:val="00D56914"/>
    <w:rsid w:val="00D5692C"/>
    <w:rsid w:val="00D56C79"/>
    <w:rsid w:val="00D56F94"/>
    <w:rsid w:val="00D56FA7"/>
    <w:rsid w:val="00D5706E"/>
    <w:rsid w:val="00D570DE"/>
    <w:rsid w:val="00D570E5"/>
    <w:rsid w:val="00D5716F"/>
    <w:rsid w:val="00D57676"/>
    <w:rsid w:val="00D57902"/>
    <w:rsid w:val="00D605E3"/>
    <w:rsid w:val="00D60AB4"/>
    <w:rsid w:val="00D615D7"/>
    <w:rsid w:val="00D6171D"/>
    <w:rsid w:val="00D621C3"/>
    <w:rsid w:val="00D623E2"/>
    <w:rsid w:val="00D62692"/>
    <w:rsid w:val="00D62B6D"/>
    <w:rsid w:val="00D62BC3"/>
    <w:rsid w:val="00D63504"/>
    <w:rsid w:val="00D63725"/>
    <w:rsid w:val="00D63C6D"/>
    <w:rsid w:val="00D6403F"/>
    <w:rsid w:val="00D64A67"/>
    <w:rsid w:val="00D64FC1"/>
    <w:rsid w:val="00D6509A"/>
    <w:rsid w:val="00D65189"/>
    <w:rsid w:val="00D65244"/>
    <w:rsid w:val="00D658CD"/>
    <w:rsid w:val="00D66333"/>
    <w:rsid w:val="00D668E0"/>
    <w:rsid w:val="00D66BF9"/>
    <w:rsid w:val="00D67556"/>
    <w:rsid w:val="00D6780D"/>
    <w:rsid w:val="00D67ECD"/>
    <w:rsid w:val="00D70223"/>
    <w:rsid w:val="00D7082B"/>
    <w:rsid w:val="00D7091D"/>
    <w:rsid w:val="00D70CE3"/>
    <w:rsid w:val="00D71040"/>
    <w:rsid w:val="00D71313"/>
    <w:rsid w:val="00D715AC"/>
    <w:rsid w:val="00D71C89"/>
    <w:rsid w:val="00D720A2"/>
    <w:rsid w:val="00D724D1"/>
    <w:rsid w:val="00D7275F"/>
    <w:rsid w:val="00D72A5A"/>
    <w:rsid w:val="00D72DF9"/>
    <w:rsid w:val="00D72FE9"/>
    <w:rsid w:val="00D7388C"/>
    <w:rsid w:val="00D73B3C"/>
    <w:rsid w:val="00D74025"/>
    <w:rsid w:val="00D74058"/>
    <w:rsid w:val="00D7410D"/>
    <w:rsid w:val="00D7411C"/>
    <w:rsid w:val="00D7465A"/>
    <w:rsid w:val="00D747AF"/>
    <w:rsid w:val="00D7499A"/>
    <w:rsid w:val="00D749E9"/>
    <w:rsid w:val="00D74AA3"/>
    <w:rsid w:val="00D74AC9"/>
    <w:rsid w:val="00D74CD9"/>
    <w:rsid w:val="00D74F2D"/>
    <w:rsid w:val="00D750D0"/>
    <w:rsid w:val="00D75441"/>
    <w:rsid w:val="00D755AA"/>
    <w:rsid w:val="00D75C2E"/>
    <w:rsid w:val="00D75F5A"/>
    <w:rsid w:val="00D75F92"/>
    <w:rsid w:val="00D76003"/>
    <w:rsid w:val="00D760EB"/>
    <w:rsid w:val="00D76790"/>
    <w:rsid w:val="00D76C11"/>
    <w:rsid w:val="00D76FF2"/>
    <w:rsid w:val="00D77589"/>
    <w:rsid w:val="00D7765E"/>
    <w:rsid w:val="00D777C3"/>
    <w:rsid w:val="00D77BAF"/>
    <w:rsid w:val="00D77D3A"/>
    <w:rsid w:val="00D77FC9"/>
    <w:rsid w:val="00D8026E"/>
    <w:rsid w:val="00D803D0"/>
    <w:rsid w:val="00D805DA"/>
    <w:rsid w:val="00D805E3"/>
    <w:rsid w:val="00D806E2"/>
    <w:rsid w:val="00D808C3"/>
    <w:rsid w:val="00D80DAC"/>
    <w:rsid w:val="00D8136C"/>
    <w:rsid w:val="00D8139E"/>
    <w:rsid w:val="00D81581"/>
    <w:rsid w:val="00D815F3"/>
    <w:rsid w:val="00D81C7D"/>
    <w:rsid w:val="00D820C5"/>
    <w:rsid w:val="00D8214F"/>
    <w:rsid w:val="00D82889"/>
    <w:rsid w:val="00D82AF1"/>
    <w:rsid w:val="00D82E60"/>
    <w:rsid w:val="00D82EB6"/>
    <w:rsid w:val="00D83207"/>
    <w:rsid w:val="00D835E4"/>
    <w:rsid w:val="00D837BA"/>
    <w:rsid w:val="00D83D22"/>
    <w:rsid w:val="00D83EDC"/>
    <w:rsid w:val="00D83F22"/>
    <w:rsid w:val="00D84125"/>
    <w:rsid w:val="00D851FC"/>
    <w:rsid w:val="00D85311"/>
    <w:rsid w:val="00D853E9"/>
    <w:rsid w:val="00D85610"/>
    <w:rsid w:val="00D858B9"/>
    <w:rsid w:val="00D85F1A"/>
    <w:rsid w:val="00D86532"/>
    <w:rsid w:val="00D8680D"/>
    <w:rsid w:val="00D86864"/>
    <w:rsid w:val="00D86907"/>
    <w:rsid w:val="00D86972"/>
    <w:rsid w:val="00D86981"/>
    <w:rsid w:val="00D8732D"/>
    <w:rsid w:val="00D87568"/>
    <w:rsid w:val="00D876BD"/>
    <w:rsid w:val="00D87C73"/>
    <w:rsid w:val="00D87E7C"/>
    <w:rsid w:val="00D907D8"/>
    <w:rsid w:val="00D90843"/>
    <w:rsid w:val="00D9089D"/>
    <w:rsid w:val="00D908D5"/>
    <w:rsid w:val="00D90C85"/>
    <w:rsid w:val="00D91A39"/>
    <w:rsid w:val="00D921D4"/>
    <w:rsid w:val="00D922FE"/>
    <w:rsid w:val="00D9243C"/>
    <w:rsid w:val="00D926A4"/>
    <w:rsid w:val="00D92725"/>
    <w:rsid w:val="00D929D4"/>
    <w:rsid w:val="00D92AA2"/>
    <w:rsid w:val="00D92AC7"/>
    <w:rsid w:val="00D92E0C"/>
    <w:rsid w:val="00D930DE"/>
    <w:rsid w:val="00D935DA"/>
    <w:rsid w:val="00D9362C"/>
    <w:rsid w:val="00D93647"/>
    <w:rsid w:val="00D93AA8"/>
    <w:rsid w:val="00D93B49"/>
    <w:rsid w:val="00D93D21"/>
    <w:rsid w:val="00D93F74"/>
    <w:rsid w:val="00D9409F"/>
    <w:rsid w:val="00D94117"/>
    <w:rsid w:val="00D9483D"/>
    <w:rsid w:val="00D94B26"/>
    <w:rsid w:val="00D950B6"/>
    <w:rsid w:val="00D95200"/>
    <w:rsid w:val="00D95366"/>
    <w:rsid w:val="00D9536A"/>
    <w:rsid w:val="00D9547F"/>
    <w:rsid w:val="00D958A8"/>
    <w:rsid w:val="00D959B3"/>
    <w:rsid w:val="00D95B92"/>
    <w:rsid w:val="00D960E7"/>
    <w:rsid w:val="00D9613F"/>
    <w:rsid w:val="00D964F6"/>
    <w:rsid w:val="00D966B0"/>
    <w:rsid w:val="00D966F3"/>
    <w:rsid w:val="00D96711"/>
    <w:rsid w:val="00D96A81"/>
    <w:rsid w:val="00D96EF0"/>
    <w:rsid w:val="00D97027"/>
    <w:rsid w:val="00D9703E"/>
    <w:rsid w:val="00D973B5"/>
    <w:rsid w:val="00D974DC"/>
    <w:rsid w:val="00D977E0"/>
    <w:rsid w:val="00D979A8"/>
    <w:rsid w:val="00DA02A9"/>
    <w:rsid w:val="00DA0517"/>
    <w:rsid w:val="00DA0ACD"/>
    <w:rsid w:val="00DA0B68"/>
    <w:rsid w:val="00DA0EDB"/>
    <w:rsid w:val="00DA20E8"/>
    <w:rsid w:val="00DA2C17"/>
    <w:rsid w:val="00DA2F99"/>
    <w:rsid w:val="00DA3159"/>
    <w:rsid w:val="00DA3928"/>
    <w:rsid w:val="00DA3D0B"/>
    <w:rsid w:val="00DA3E4C"/>
    <w:rsid w:val="00DA456C"/>
    <w:rsid w:val="00DA4771"/>
    <w:rsid w:val="00DA49FA"/>
    <w:rsid w:val="00DA4BB8"/>
    <w:rsid w:val="00DA5445"/>
    <w:rsid w:val="00DA5968"/>
    <w:rsid w:val="00DA5AB8"/>
    <w:rsid w:val="00DA634F"/>
    <w:rsid w:val="00DA63FF"/>
    <w:rsid w:val="00DA67CF"/>
    <w:rsid w:val="00DA6BF4"/>
    <w:rsid w:val="00DA6C42"/>
    <w:rsid w:val="00DA6EB2"/>
    <w:rsid w:val="00DA6F66"/>
    <w:rsid w:val="00DA7589"/>
    <w:rsid w:val="00DB07B5"/>
    <w:rsid w:val="00DB07FE"/>
    <w:rsid w:val="00DB0DBA"/>
    <w:rsid w:val="00DB0E83"/>
    <w:rsid w:val="00DB1268"/>
    <w:rsid w:val="00DB12C4"/>
    <w:rsid w:val="00DB14BC"/>
    <w:rsid w:val="00DB1A20"/>
    <w:rsid w:val="00DB1BF2"/>
    <w:rsid w:val="00DB1D71"/>
    <w:rsid w:val="00DB21E8"/>
    <w:rsid w:val="00DB264E"/>
    <w:rsid w:val="00DB293A"/>
    <w:rsid w:val="00DB2A8C"/>
    <w:rsid w:val="00DB2EDF"/>
    <w:rsid w:val="00DB30BA"/>
    <w:rsid w:val="00DB31B0"/>
    <w:rsid w:val="00DB31FB"/>
    <w:rsid w:val="00DB39E5"/>
    <w:rsid w:val="00DB3ACC"/>
    <w:rsid w:val="00DB3E16"/>
    <w:rsid w:val="00DB413D"/>
    <w:rsid w:val="00DB44E7"/>
    <w:rsid w:val="00DB4726"/>
    <w:rsid w:val="00DB4A7B"/>
    <w:rsid w:val="00DB4C25"/>
    <w:rsid w:val="00DB4D35"/>
    <w:rsid w:val="00DB4E4E"/>
    <w:rsid w:val="00DB525B"/>
    <w:rsid w:val="00DB602B"/>
    <w:rsid w:val="00DB6571"/>
    <w:rsid w:val="00DB6A53"/>
    <w:rsid w:val="00DB6BFE"/>
    <w:rsid w:val="00DB6D67"/>
    <w:rsid w:val="00DB6F7D"/>
    <w:rsid w:val="00DB6FAE"/>
    <w:rsid w:val="00DB7109"/>
    <w:rsid w:val="00DB7307"/>
    <w:rsid w:val="00DB78E1"/>
    <w:rsid w:val="00DB794D"/>
    <w:rsid w:val="00DB79C9"/>
    <w:rsid w:val="00DB7A67"/>
    <w:rsid w:val="00DB7EE9"/>
    <w:rsid w:val="00DC0039"/>
    <w:rsid w:val="00DC02B3"/>
    <w:rsid w:val="00DC02ED"/>
    <w:rsid w:val="00DC0808"/>
    <w:rsid w:val="00DC0AFE"/>
    <w:rsid w:val="00DC0BBF"/>
    <w:rsid w:val="00DC0E55"/>
    <w:rsid w:val="00DC110D"/>
    <w:rsid w:val="00DC13C6"/>
    <w:rsid w:val="00DC16F2"/>
    <w:rsid w:val="00DC17CE"/>
    <w:rsid w:val="00DC1A32"/>
    <w:rsid w:val="00DC1AA2"/>
    <w:rsid w:val="00DC208F"/>
    <w:rsid w:val="00DC2174"/>
    <w:rsid w:val="00DC220D"/>
    <w:rsid w:val="00DC228A"/>
    <w:rsid w:val="00DC22C2"/>
    <w:rsid w:val="00DC22C4"/>
    <w:rsid w:val="00DC264A"/>
    <w:rsid w:val="00DC2968"/>
    <w:rsid w:val="00DC2970"/>
    <w:rsid w:val="00DC2AEA"/>
    <w:rsid w:val="00DC3009"/>
    <w:rsid w:val="00DC308E"/>
    <w:rsid w:val="00DC3486"/>
    <w:rsid w:val="00DC3C09"/>
    <w:rsid w:val="00DC410D"/>
    <w:rsid w:val="00DC41BC"/>
    <w:rsid w:val="00DC4557"/>
    <w:rsid w:val="00DC46BB"/>
    <w:rsid w:val="00DC4BA3"/>
    <w:rsid w:val="00DC4F4F"/>
    <w:rsid w:val="00DC50AB"/>
    <w:rsid w:val="00DC564F"/>
    <w:rsid w:val="00DC594D"/>
    <w:rsid w:val="00DC59F9"/>
    <w:rsid w:val="00DC5A35"/>
    <w:rsid w:val="00DC5C9A"/>
    <w:rsid w:val="00DC5DAD"/>
    <w:rsid w:val="00DC60A3"/>
    <w:rsid w:val="00DC6DC5"/>
    <w:rsid w:val="00DC6F31"/>
    <w:rsid w:val="00DC73A8"/>
    <w:rsid w:val="00DC7414"/>
    <w:rsid w:val="00DC786D"/>
    <w:rsid w:val="00DC7D73"/>
    <w:rsid w:val="00DD012D"/>
    <w:rsid w:val="00DD029E"/>
    <w:rsid w:val="00DD0455"/>
    <w:rsid w:val="00DD0768"/>
    <w:rsid w:val="00DD09C0"/>
    <w:rsid w:val="00DD0AE1"/>
    <w:rsid w:val="00DD0B8B"/>
    <w:rsid w:val="00DD0ED5"/>
    <w:rsid w:val="00DD13D4"/>
    <w:rsid w:val="00DD1595"/>
    <w:rsid w:val="00DD175A"/>
    <w:rsid w:val="00DD1D58"/>
    <w:rsid w:val="00DD1F61"/>
    <w:rsid w:val="00DD22CC"/>
    <w:rsid w:val="00DD23B4"/>
    <w:rsid w:val="00DD2457"/>
    <w:rsid w:val="00DD2759"/>
    <w:rsid w:val="00DD28D2"/>
    <w:rsid w:val="00DD28FE"/>
    <w:rsid w:val="00DD2BA4"/>
    <w:rsid w:val="00DD3251"/>
    <w:rsid w:val="00DD376F"/>
    <w:rsid w:val="00DD3825"/>
    <w:rsid w:val="00DD3879"/>
    <w:rsid w:val="00DD390E"/>
    <w:rsid w:val="00DD395E"/>
    <w:rsid w:val="00DD3C7B"/>
    <w:rsid w:val="00DD3CEB"/>
    <w:rsid w:val="00DD3DDA"/>
    <w:rsid w:val="00DD3F88"/>
    <w:rsid w:val="00DD43D9"/>
    <w:rsid w:val="00DD44A3"/>
    <w:rsid w:val="00DD4BEC"/>
    <w:rsid w:val="00DD4D4C"/>
    <w:rsid w:val="00DD532C"/>
    <w:rsid w:val="00DD5334"/>
    <w:rsid w:val="00DD54F1"/>
    <w:rsid w:val="00DD5D55"/>
    <w:rsid w:val="00DD6814"/>
    <w:rsid w:val="00DD6CCE"/>
    <w:rsid w:val="00DD7202"/>
    <w:rsid w:val="00DD7595"/>
    <w:rsid w:val="00DD7665"/>
    <w:rsid w:val="00DD770E"/>
    <w:rsid w:val="00DD7AAE"/>
    <w:rsid w:val="00DE002B"/>
    <w:rsid w:val="00DE003B"/>
    <w:rsid w:val="00DE007C"/>
    <w:rsid w:val="00DE016E"/>
    <w:rsid w:val="00DE01D3"/>
    <w:rsid w:val="00DE0205"/>
    <w:rsid w:val="00DE0206"/>
    <w:rsid w:val="00DE021C"/>
    <w:rsid w:val="00DE0225"/>
    <w:rsid w:val="00DE0405"/>
    <w:rsid w:val="00DE0469"/>
    <w:rsid w:val="00DE076D"/>
    <w:rsid w:val="00DE0A95"/>
    <w:rsid w:val="00DE0A9F"/>
    <w:rsid w:val="00DE0CEB"/>
    <w:rsid w:val="00DE0DD8"/>
    <w:rsid w:val="00DE0E21"/>
    <w:rsid w:val="00DE0F27"/>
    <w:rsid w:val="00DE1150"/>
    <w:rsid w:val="00DE1189"/>
    <w:rsid w:val="00DE1366"/>
    <w:rsid w:val="00DE1567"/>
    <w:rsid w:val="00DE1655"/>
    <w:rsid w:val="00DE1792"/>
    <w:rsid w:val="00DE1824"/>
    <w:rsid w:val="00DE18F3"/>
    <w:rsid w:val="00DE1C69"/>
    <w:rsid w:val="00DE1CB0"/>
    <w:rsid w:val="00DE1E69"/>
    <w:rsid w:val="00DE20B5"/>
    <w:rsid w:val="00DE247B"/>
    <w:rsid w:val="00DE27C1"/>
    <w:rsid w:val="00DE2828"/>
    <w:rsid w:val="00DE29D7"/>
    <w:rsid w:val="00DE33F7"/>
    <w:rsid w:val="00DE37B3"/>
    <w:rsid w:val="00DE3D1F"/>
    <w:rsid w:val="00DE4669"/>
    <w:rsid w:val="00DE477B"/>
    <w:rsid w:val="00DE5328"/>
    <w:rsid w:val="00DE59D8"/>
    <w:rsid w:val="00DE5B97"/>
    <w:rsid w:val="00DE60F0"/>
    <w:rsid w:val="00DE6143"/>
    <w:rsid w:val="00DE73C2"/>
    <w:rsid w:val="00DE73C4"/>
    <w:rsid w:val="00DE75B7"/>
    <w:rsid w:val="00DE772F"/>
    <w:rsid w:val="00DE77D8"/>
    <w:rsid w:val="00DE7C45"/>
    <w:rsid w:val="00DE7E8C"/>
    <w:rsid w:val="00DF012C"/>
    <w:rsid w:val="00DF09E2"/>
    <w:rsid w:val="00DF0E5A"/>
    <w:rsid w:val="00DF1009"/>
    <w:rsid w:val="00DF10F1"/>
    <w:rsid w:val="00DF1257"/>
    <w:rsid w:val="00DF140A"/>
    <w:rsid w:val="00DF1741"/>
    <w:rsid w:val="00DF179F"/>
    <w:rsid w:val="00DF1965"/>
    <w:rsid w:val="00DF19EA"/>
    <w:rsid w:val="00DF1F7D"/>
    <w:rsid w:val="00DF21E6"/>
    <w:rsid w:val="00DF231B"/>
    <w:rsid w:val="00DF23CA"/>
    <w:rsid w:val="00DF23F7"/>
    <w:rsid w:val="00DF2887"/>
    <w:rsid w:val="00DF2BEA"/>
    <w:rsid w:val="00DF2CFB"/>
    <w:rsid w:val="00DF3217"/>
    <w:rsid w:val="00DF35F7"/>
    <w:rsid w:val="00DF3684"/>
    <w:rsid w:val="00DF3DA6"/>
    <w:rsid w:val="00DF44A4"/>
    <w:rsid w:val="00DF4DC7"/>
    <w:rsid w:val="00DF4F2E"/>
    <w:rsid w:val="00DF5225"/>
    <w:rsid w:val="00DF57E8"/>
    <w:rsid w:val="00DF6046"/>
    <w:rsid w:val="00DF62E1"/>
    <w:rsid w:val="00DF67CD"/>
    <w:rsid w:val="00DF67DD"/>
    <w:rsid w:val="00DF68FE"/>
    <w:rsid w:val="00DF6CCE"/>
    <w:rsid w:val="00DF6DCB"/>
    <w:rsid w:val="00DF6E09"/>
    <w:rsid w:val="00DF6E6A"/>
    <w:rsid w:val="00DF703E"/>
    <w:rsid w:val="00DF708D"/>
    <w:rsid w:val="00DF726C"/>
    <w:rsid w:val="00DF76B1"/>
    <w:rsid w:val="00DF7702"/>
    <w:rsid w:val="00DF79DC"/>
    <w:rsid w:val="00DF7BD3"/>
    <w:rsid w:val="00DF7E7F"/>
    <w:rsid w:val="00E00049"/>
    <w:rsid w:val="00E002FA"/>
    <w:rsid w:val="00E002FD"/>
    <w:rsid w:val="00E00337"/>
    <w:rsid w:val="00E004A0"/>
    <w:rsid w:val="00E00596"/>
    <w:rsid w:val="00E009BE"/>
    <w:rsid w:val="00E009F1"/>
    <w:rsid w:val="00E01753"/>
    <w:rsid w:val="00E019EB"/>
    <w:rsid w:val="00E01E6B"/>
    <w:rsid w:val="00E020D5"/>
    <w:rsid w:val="00E0230F"/>
    <w:rsid w:val="00E024CC"/>
    <w:rsid w:val="00E0253E"/>
    <w:rsid w:val="00E02623"/>
    <w:rsid w:val="00E029A1"/>
    <w:rsid w:val="00E02C32"/>
    <w:rsid w:val="00E03211"/>
    <w:rsid w:val="00E0321E"/>
    <w:rsid w:val="00E03607"/>
    <w:rsid w:val="00E038F1"/>
    <w:rsid w:val="00E03A3B"/>
    <w:rsid w:val="00E03B23"/>
    <w:rsid w:val="00E03C3E"/>
    <w:rsid w:val="00E03C6C"/>
    <w:rsid w:val="00E03E03"/>
    <w:rsid w:val="00E04790"/>
    <w:rsid w:val="00E04943"/>
    <w:rsid w:val="00E04FEA"/>
    <w:rsid w:val="00E050F1"/>
    <w:rsid w:val="00E0520F"/>
    <w:rsid w:val="00E0556C"/>
    <w:rsid w:val="00E055D9"/>
    <w:rsid w:val="00E057B9"/>
    <w:rsid w:val="00E05A91"/>
    <w:rsid w:val="00E05C2A"/>
    <w:rsid w:val="00E06067"/>
    <w:rsid w:val="00E06200"/>
    <w:rsid w:val="00E062DF"/>
    <w:rsid w:val="00E06449"/>
    <w:rsid w:val="00E06B91"/>
    <w:rsid w:val="00E06C10"/>
    <w:rsid w:val="00E071FC"/>
    <w:rsid w:val="00E0725F"/>
    <w:rsid w:val="00E07651"/>
    <w:rsid w:val="00E07814"/>
    <w:rsid w:val="00E07B7D"/>
    <w:rsid w:val="00E100B9"/>
    <w:rsid w:val="00E10111"/>
    <w:rsid w:val="00E10ACE"/>
    <w:rsid w:val="00E11235"/>
    <w:rsid w:val="00E115A5"/>
    <w:rsid w:val="00E11AE5"/>
    <w:rsid w:val="00E11DC2"/>
    <w:rsid w:val="00E11F99"/>
    <w:rsid w:val="00E12132"/>
    <w:rsid w:val="00E1223E"/>
    <w:rsid w:val="00E122F1"/>
    <w:rsid w:val="00E12376"/>
    <w:rsid w:val="00E12708"/>
    <w:rsid w:val="00E12831"/>
    <w:rsid w:val="00E12E5E"/>
    <w:rsid w:val="00E1309A"/>
    <w:rsid w:val="00E130DD"/>
    <w:rsid w:val="00E13333"/>
    <w:rsid w:val="00E134F2"/>
    <w:rsid w:val="00E13504"/>
    <w:rsid w:val="00E138C3"/>
    <w:rsid w:val="00E138FE"/>
    <w:rsid w:val="00E13AEB"/>
    <w:rsid w:val="00E13EDD"/>
    <w:rsid w:val="00E13F71"/>
    <w:rsid w:val="00E141B7"/>
    <w:rsid w:val="00E141B9"/>
    <w:rsid w:val="00E141E9"/>
    <w:rsid w:val="00E1447C"/>
    <w:rsid w:val="00E1483B"/>
    <w:rsid w:val="00E14D66"/>
    <w:rsid w:val="00E15105"/>
    <w:rsid w:val="00E15503"/>
    <w:rsid w:val="00E15567"/>
    <w:rsid w:val="00E15B68"/>
    <w:rsid w:val="00E16303"/>
    <w:rsid w:val="00E1682D"/>
    <w:rsid w:val="00E1695F"/>
    <w:rsid w:val="00E16E62"/>
    <w:rsid w:val="00E16F93"/>
    <w:rsid w:val="00E17443"/>
    <w:rsid w:val="00E1747D"/>
    <w:rsid w:val="00E175EA"/>
    <w:rsid w:val="00E1768F"/>
    <w:rsid w:val="00E17B92"/>
    <w:rsid w:val="00E17BB9"/>
    <w:rsid w:val="00E17C74"/>
    <w:rsid w:val="00E2020D"/>
    <w:rsid w:val="00E2023B"/>
    <w:rsid w:val="00E20E8D"/>
    <w:rsid w:val="00E20F03"/>
    <w:rsid w:val="00E20FBE"/>
    <w:rsid w:val="00E2116B"/>
    <w:rsid w:val="00E2116F"/>
    <w:rsid w:val="00E21790"/>
    <w:rsid w:val="00E217CB"/>
    <w:rsid w:val="00E21E3D"/>
    <w:rsid w:val="00E21ED4"/>
    <w:rsid w:val="00E220BD"/>
    <w:rsid w:val="00E2222D"/>
    <w:rsid w:val="00E22304"/>
    <w:rsid w:val="00E22310"/>
    <w:rsid w:val="00E225B3"/>
    <w:rsid w:val="00E225E7"/>
    <w:rsid w:val="00E228C6"/>
    <w:rsid w:val="00E22F50"/>
    <w:rsid w:val="00E231BC"/>
    <w:rsid w:val="00E23254"/>
    <w:rsid w:val="00E2343E"/>
    <w:rsid w:val="00E23462"/>
    <w:rsid w:val="00E234F0"/>
    <w:rsid w:val="00E235C6"/>
    <w:rsid w:val="00E235DC"/>
    <w:rsid w:val="00E237D3"/>
    <w:rsid w:val="00E23C1A"/>
    <w:rsid w:val="00E24008"/>
    <w:rsid w:val="00E24533"/>
    <w:rsid w:val="00E247B1"/>
    <w:rsid w:val="00E24866"/>
    <w:rsid w:val="00E248B9"/>
    <w:rsid w:val="00E24AB2"/>
    <w:rsid w:val="00E24B8E"/>
    <w:rsid w:val="00E25BBA"/>
    <w:rsid w:val="00E26467"/>
    <w:rsid w:val="00E2659B"/>
    <w:rsid w:val="00E26AB8"/>
    <w:rsid w:val="00E27605"/>
    <w:rsid w:val="00E276A4"/>
    <w:rsid w:val="00E27DCF"/>
    <w:rsid w:val="00E27FA7"/>
    <w:rsid w:val="00E308F1"/>
    <w:rsid w:val="00E30ABD"/>
    <w:rsid w:val="00E312BB"/>
    <w:rsid w:val="00E3161B"/>
    <w:rsid w:val="00E31861"/>
    <w:rsid w:val="00E31925"/>
    <w:rsid w:val="00E31B03"/>
    <w:rsid w:val="00E31BA9"/>
    <w:rsid w:val="00E320D7"/>
    <w:rsid w:val="00E32427"/>
    <w:rsid w:val="00E32BD2"/>
    <w:rsid w:val="00E32DA8"/>
    <w:rsid w:val="00E3330F"/>
    <w:rsid w:val="00E334D8"/>
    <w:rsid w:val="00E3355F"/>
    <w:rsid w:val="00E33633"/>
    <w:rsid w:val="00E33B7E"/>
    <w:rsid w:val="00E33B85"/>
    <w:rsid w:val="00E33BF9"/>
    <w:rsid w:val="00E33C23"/>
    <w:rsid w:val="00E3464B"/>
    <w:rsid w:val="00E346B2"/>
    <w:rsid w:val="00E3487D"/>
    <w:rsid w:val="00E3498E"/>
    <w:rsid w:val="00E34E54"/>
    <w:rsid w:val="00E34E9B"/>
    <w:rsid w:val="00E350C5"/>
    <w:rsid w:val="00E35214"/>
    <w:rsid w:val="00E35408"/>
    <w:rsid w:val="00E354A6"/>
    <w:rsid w:val="00E35585"/>
    <w:rsid w:val="00E359FD"/>
    <w:rsid w:val="00E35A78"/>
    <w:rsid w:val="00E35AD8"/>
    <w:rsid w:val="00E35C61"/>
    <w:rsid w:val="00E35E25"/>
    <w:rsid w:val="00E36223"/>
    <w:rsid w:val="00E363A6"/>
    <w:rsid w:val="00E36547"/>
    <w:rsid w:val="00E365F6"/>
    <w:rsid w:val="00E3665D"/>
    <w:rsid w:val="00E36719"/>
    <w:rsid w:val="00E36745"/>
    <w:rsid w:val="00E36779"/>
    <w:rsid w:val="00E3696B"/>
    <w:rsid w:val="00E36C70"/>
    <w:rsid w:val="00E36C8F"/>
    <w:rsid w:val="00E36C9A"/>
    <w:rsid w:val="00E36FBE"/>
    <w:rsid w:val="00E37423"/>
    <w:rsid w:val="00E37942"/>
    <w:rsid w:val="00E37B2A"/>
    <w:rsid w:val="00E40250"/>
    <w:rsid w:val="00E4031E"/>
    <w:rsid w:val="00E405DE"/>
    <w:rsid w:val="00E406E8"/>
    <w:rsid w:val="00E4088E"/>
    <w:rsid w:val="00E40FD8"/>
    <w:rsid w:val="00E410F1"/>
    <w:rsid w:val="00E41449"/>
    <w:rsid w:val="00E414F9"/>
    <w:rsid w:val="00E4250C"/>
    <w:rsid w:val="00E42953"/>
    <w:rsid w:val="00E42C66"/>
    <w:rsid w:val="00E42E19"/>
    <w:rsid w:val="00E43241"/>
    <w:rsid w:val="00E43244"/>
    <w:rsid w:val="00E4336D"/>
    <w:rsid w:val="00E43408"/>
    <w:rsid w:val="00E4391C"/>
    <w:rsid w:val="00E43BF2"/>
    <w:rsid w:val="00E43C13"/>
    <w:rsid w:val="00E43D84"/>
    <w:rsid w:val="00E4459A"/>
    <w:rsid w:val="00E44D39"/>
    <w:rsid w:val="00E45257"/>
    <w:rsid w:val="00E45889"/>
    <w:rsid w:val="00E45F5C"/>
    <w:rsid w:val="00E460B0"/>
    <w:rsid w:val="00E461E4"/>
    <w:rsid w:val="00E462F0"/>
    <w:rsid w:val="00E462FD"/>
    <w:rsid w:val="00E4658A"/>
    <w:rsid w:val="00E465DD"/>
    <w:rsid w:val="00E46AF9"/>
    <w:rsid w:val="00E46CD2"/>
    <w:rsid w:val="00E46D89"/>
    <w:rsid w:val="00E47025"/>
    <w:rsid w:val="00E47B6D"/>
    <w:rsid w:val="00E47DA6"/>
    <w:rsid w:val="00E50019"/>
    <w:rsid w:val="00E5037D"/>
    <w:rsid w:val="00E50836"/>
    <w:rsid w:val="00E509CD"/>
    <w:rsid w:val="00E50A9D"/>
    <w:rsid w:val="00E50B9E"/>
    <w:rsid w:val="00E50D46"/>
    <w:rsid w:val="00E50DF9"/>
    <w:rsid w:val="00E5100C"/>
    <w:rsid w:val="00E512B1"/>
    <w:rsid w:val="00E51830"/>
    <w:rsid w:val="00E51B0E"/>
    <w:rsid w:val="00E51FE6"/>
    <w:rsid w:val="00E5240A"/>
    <w:rsid w:val="00E528C3"/>
    <w:rsid w:val="00E529FF"/>
    <w:rsid w:val="00E52A58"/>
    <w:rsid w:val="00E52C57"/>
    <w:rsid w:val="00E52D4B"/>
    <w:rsid w:val="00E531A8"/>
    <w:rsid w:val="00E53213"/>
    <w:rsid w:val="00E533A4"/>
    <w:rsid w:val="00E53790"/>
    <w:rsid w:val="00E53A4E"/>
    <w:rsid w:val="00E53BCF"/>
    <w:rsid w:val="00E5405D"/>
    <w:rsid w:val="00E5417F"/>
    <w:rsid w:val="00E544E3"/>
    <w:rsid w:val="00E545A2"/>
    <w:rsid w:val="00E55260"/>
    <w:rsid w:val="00E55A46"/>
    <w:rsid w:val="00E56261"/>
    <w:rsid w:val="00E56744"/>
    <w:rsid w:val="00E56941"/>
    <w:rsid w:val="00E56D2B"/>
    <w:rsid w:val="00E579B2"/>
    <w:rsid w:val="00E601C8"/>
    <w:rsid w:val="00E60594"/>
    <w:rsid w:val="00E60598"/>
    <w:rsid w:val="00E60C97"/>
    <w:rsid w:val="00E60EC5"/>
    <w:rsid w:val="00E61594"/>
    <w:rsid w:val="00E6192C"/>
    <w:rsid w:val="00E61D55"/>
    <w:rsid w:val="00E62249"/>
    <w:rsid w:val="00E622BA"/>
    <w:rsid w:val="00E623B6"/>
    <w:rsid w:val="00E62454"/>
    <w:rsid w:val="00E626B6"/>
    <w:rsid w:val="00E62E81"/>
    <w:rsid w:val="00E62EA4"/>
    <w:rsid w:val="00E631F5"/>
    <w:rsid w:val="00E634F1"/>
    <w:rsid w:val="00E6387C"/>
    <w:rsid w:val="00E63D2E"/>
    <w:rsid w:val="00E63DB3"/>
    <w:rsid w:val="00E64022"/>
    <w:rsid w:val="00E644AE"/>
    <w:rsid w:val="00E64645"/>
    <w:rsid w:val="00E64A9E"/>
    <w:rsid w:val="00E64B12"/>
    <w:rsid w:val="00E64E09"/>
    <w:rsid w:val="00E64E4A"/>
    <w:rsid w:val="00E64F2E"/>
    <w:rsid w:val="00E64F89"/>
    <w:rsid w:val="00E650BB"/>
    <w:rsid w:val="00E65199"/>
    <w:rsid w:val="00E65430"/>
    <w:rsid w:val="00E65CB8"/>
    <w:rsid w:val="00E663F0"/>
    <w:rsid w:val="00E6663C"/>
    <w:rsid w:val="00E66711"/>
    <w:rsid w:val="00E66714"/>
    <w:rsid w:val="00E66C6E"/>
    <w:rsid w:val="00E66D0A"/>
    <w:rsid w:val="00E66ED4"/>
    <w:rsid w:val="00E676E6"/>
    <w:rsid w:val="00E67B11"/>
    <w:rsid w:val="00E67C2F"/>
    <w:rsid w:val="00E67FE9"/>
    <w:rsid w:val="00E70058"/>
    <w:rsid w:val="00E702AC"/>
    <w:rsid w:val="00E70420"/>
    <w:rsid w:val="00E705AB"/>
    <w:rsid w:val="00E705B0"/>
    <w:rsid w:val="00E709A3"/>
    <w:rsid w:val="00E70A72"/>
    <w:rsid w:val="00E70DDE"/>
    <w:rsid w:val="00E7107A"/>
    <w:rsid w:val="00E71186"/>
    <w:rsid w:val="00E71AAE"/>
    <w:rsid w:val="00E71AF3"/>
    <w:rsid w:val="00E71BBE"/>
    <w:rsid w:val="00E71D4B"/>
    <w:rsid w:val="00E71FFC"/>
    <w:rsid w:val="00E721DF"/>
    <w:rsid w:val="00E7227A"/>
    <w:rsid w:val="00E72701"/>
    <w:rsid w:val="00E72764"/>
    <w:rsid w:val="00E72EA0"/>
    <w:rsid w:val="00E72F94"/>
    <w:rsid w:val="00E7311A"/>
    <w:rsid w:val="00E73136"/>
    <w:rsid w:val="00E738CF"/>
    <w:rsid w:val="00E73A67"/>
    <w:rsid w:val="00E73A85"/>
    <w:rsid w:val="00E73C99"/>
    <w:rsid w:val="00E73CBC"/>
    <w:rsid w:val="00E73D2C"/>
    <w:rsid w:val="00E73FD2"/>
    <w:rsid w:val="00E7402B"/>
    <w:rsid w:val="00E74376"/>
    <w:rsid w:val="00E745A6"/>
    <w:rsid w:val="00E74876"/>
    <w:rsid w:val="00E74A88"/>
    <w:rsid w:val="00E74E24"/>
    <w:rsid w:val="00E74E83"/>
    <w:rsid w:val="00E752DA"/>
    <w:rsid w:val="00E7530F"/>
    <w:rsid w:val="00E75361"/>
    <w:rsid w:val="00E75A1A"/>
    <w:rsid w:val="00E75A24"/>
    <w:rsid w:val="00E75BB8"/>
    <w:rsid w:val="00E75EC7"/>
    <w:rsid w:val="00E76E07"/>
    <w:rsid w:val="00E76EB5"/>
    <w:rsid w:val="00E76EDB"/>
    <w:rsid w:val="00E773FD"/>
    <w:rsid w:val="00E7757D"/>
    <w:rsid w:val="00E77632"/>
    <w:rsid w:val="00E779E5"/>
    <w:rsid w:val="00E77A20"/>
    <w:rsid w:val="00E77D76"/>
    <w:rsid w:val="00E77E02"/>
    <w:rsid w:val="00E77FDB"/>
    <w:rsid w:val="00E80124"/>
    <w:rsid w:val="00E8018E"/>
    <w:rsid w:val="00E8049A"/>
    <w:rsid w:val="00E804E8"/>
    <w:rsid w:val="00E805BE"/>
    <w:rsid w:val="00E80FFE"/>
    <w:rsid w:val="00E8128A"/>
    <w:rsid w:val="00E8128E"/>
    <w:rsid w:val="00E812DA"/>
    <w:rsid w:val="00E81E3B"/>
    <w:rsid w:val="00E82177"/>
    <w:rsid w:val="00E821E2"/>
    <w:rsid w:val="00E823A8"/>
    <w:rsid w:val="00E8296B"/>
    <w:rsid w:val="00E829CC"/>
    <w:rsid w:val="00E833DD"/>
    <w:rsid w:val="00E83739"/>
    <w:rsid w:val="00E83D56"/>
    <w:rsid w:val="00E83F46"/>
    <w:rsid w:val="00E84148"/>
    <w:rsid w:val="00E84197"/>
    <w:rsid w:val="00E84467"/>
    <w:rsid w:val="00E84487"/>
    <w:rsid w:val="00E846CA"/>
    <w:rsid w:val="00E846E1"/>
    <w:rsid w:val="00E84841"/>
    <w:rsid w:val="00E8518C"/>
    <w:rsid w:val="00E85217"/>
    <w:rsid w:val="00E8539C"/>
    <w:rsid w:val="00E85682"/>
    <w:rsid w:val="00E85A0B"/>
    <w:rsid w:val="00E85AD0"/>
    <w:rsid w:val="00E85B0D"/>
    <w:rsid w:val="00E85BF6"/>
    <w:rsid w:val="00E85E0C"/>
    <w:rsid w:val="00E85E89"/>
    <w:rsid w:val="00E86173"/>
    <w:rsid w:val="00E86416"/>
    <w:rsid w:val="00E86565"/>
    <w:rsid w:val="00E8657D"/>
    <w:rsid w:val="00E86A59"/>
    <w:rsid w:val="00E86B45"/>
    <w:rsid w:val="00E86FAA"/>
    <w:rsid w:val="00E8703E"/>
    <w:rsid w:val="00E871BD"/>
    <w:rsid w:val="00E871D0"/>
    <w:rsid w:val="00E8732E"/>
    <w:rsid w:val="00E873D0"/>
    <w:rsid w:val="00E874C5"/>
    <w:rsid w:val="00E878A0"/>
    <w:rsid w:val="00E87D1C"/>
    <w:rsid w:val="00E900B5"/>
    <w:rsid w:val="00E904D1"/>
    <w:rsid w:val="00E90702"/>
    <w:rsid w:val="00E90E78"/>
    <w:rsid w:val="00E91303"/>
    <w:rsid w:val="00E913CE"/>
    <w:rsid w:val="00E9165D"/>
    <w:rsid w:val="00E9167A"/>
    <w:rsid w:val="00E91D2C"/>
    <w:rsid w:val="00E92051"/>
    <w:rsid w:val="00E922E6"/>
    <w:rsid w:val="00E92908"/>
    <w:rsid w:val="00E92A3C"/>
    <w:rsid w:val="00E92B65"/>
    <w:rsid w:val="00E933EF"/>
    <w:rsid w:val="00E934EE"/>
    <w:rsid w:val="00E93A86"/>
    <w:rsid w:val="00E93C72"/>
    <w:rsid w:val="00E93D6C"/>
    <w:rsid w:val="00E94319"/>
    <w:rsid w:val="00E94E91"/>
    <w:rsid w:val="00E952B7"/>
    <w:rsid w:val="00E95401"/>
    <w:rsid w:val="00E954A0"/>
    <w:rsid w:val="00E95632"/>
    <w:rsid w:val="00E95895"/>
    <w:rsid w:val="00E95898"/>
    <w:rsid w:val="00E959CF"/>
    <w:rsid w:val="00E95AAB"/>
    <w:rsid w:val="00E95D6B"/>
    <w:rsid w:val="00E9605A"/>
    <w:rsid w:val="00E96ADE"/>
    <w:rsid w:val="00E96B09"/>
    <w:rsid w:val="00E96D00"/>
    <w:rsid w:val="00E96DFC"/>
    <w:rsid w:val="00E9704E"/>
    <w:rsid w:val="00E97975"/>
    <w:rsid w:val="00E97A0A"/>
    <w:rsid w:val="00E97BBC"/>
    <w:rsid w:val="00E97BED"/>
    <w:rsid w:val="00EA024A"/>
    <w:rsid w:val="00EA0259"/>
    <w:rsid w:val="00EA02A9"/>
    <w:rsid w:val="00EA06D4"/>
    <w:rsid w:val="00EA074A"/>
    <w:rsid w:val="00EA0B98"/>
    <w:rsid w:val="00EA0CE1"/>
    <w:rsid w:val="00EA11E8"/>
    <w:rsid w:val="00EA121D"/>
    <w:rsid w:val="00EA1617"/>
    <w:rsid w:val="00EA1BD2"/>
    <w:rsid w:val="00EA202F"/>
    <w:rsid w:val="00EA22E0"/>
    <w:rsid w:val="00EA2335"/>
    <w:rsid w:val="00EA266E"/>
    <w:rsid w:val="00EA2D04"/>
    <w:rsid w:val="00EA2DC4"/>
    <w:rsid w:val="00EA2DEA"/>
    <w:rsid w:val="00EA33C2"/>
    <w:rsid w:val="00EA399A"/>
    <w:rsid w:val="00EA4057"/>
    <w:rsid w:val="00EA4496"/>
    <w:rsid w:val="00EA4636"/>
    <w:rsid w:val="00EA467A"/>
    <w:rsid w:val="00EA4EC6"/>
    <w:rsid w:val="00EA5222"/>
    <w:rsid w:val="00EA534C"/>
    <w:rsid w:val="00EA5C53"/>
    <w:rsid w:val="00EA5D6E"/>
    <w:rsid w:val="00EA5E23"/>
    <w:rsid w:val="00EA5EF6"/>
    <w:rsid w:val="00EA621C"/>
    <w:rsid w:val="00EA647A"/>
    <w:rsid w:val="00EA68B4"/>
    <w:rsid w:val="00EA69CC"/>
    <w:rsid w:val="00EA6D9B"/>
    <w:rsid w:val="00EA7153"/>
    <w:rsid w:val="00EA72BC"/>
    <w:rsid w:val="00EA7607"/>
    <w:rsid w:val="00EA791C"/>
    <w:rsid w:val="00EA7D0D"/>
    <w:rsid w:val="00EA7F2F"/>
    <w:rsid w:val="00EA7F72"/>
    <w:rsid w:val="00EB006A"/>
    <w:rsid w:val="00EB0203"/>
    <w:rsid w:val="00EB05A7"/>
    <w:rsid w:val="00EB06A8"/>
    <w:rsid w:val="00EB145B"/>
    <w:rsid w:val="00EB14A9"/>
    <w:rsid w:val="00EB14F5"/>
    <w:rsid w:val="00EB161D"/>
    <w:rsid w:val="00EB17F4"/>
    <w:rsid w:val="00EB1A54"/>
    <w:rsid w:val="00EB1B27"/>
    <w:rsid w:val="00EB1EB5"/>
    <w:rsid w:val="00EB1F53"/>
    <w:rsid w:val="00EB22F5"/>
    <w:rsid w:val="00EB2803"/>
    <w:rsid w:val="00EB2E54"/>
    <w:rsid w:val="00EB3663"/>
    <w:rsid w:val="00EB3C2A"/>
    <w:rsid w:val="00EB4537"/>
    <w:rsid w:val="00EB45FA"/>
    <w:rsid w:val="00EB4763"/>
    <w:rsid w:val="00EB483F"/>
    <w:rsid w:val="00EB4AFB"/>
    <w:rsid w:val="00EB50D8"/>
    <w:rsid w:val="00EB59F3"/>
    <w:rsid w:val="00EB5C30"/>
    <w:rsid w:val="00EB61E6"/>
    <w:rsid w:val="00EB639F"/>
    <w:rsid w:val="00EB6501"/>
    <w:rsid w:val="00EB6DD1"/>
    <w:rsid w:val="00EB6E51"/>
    <w:rsid w:val="00EB6ED0"/>
    <w:rsid w:val="00EB7173"/>
    <w:rsid w:val="00EB7335"/>
    <w:rsid w:val="00EB785A"/>
    <w:rsid w:val="00EB7A0C"/>
    <w:rsid w:val="00EB7BE9"/>
    <w:rsid w:val="00EC00B7"/>
    <w:rsid w:val="00EC00CC"/>
    <w:rsid w:val="00EC0478"/>
    <w:rsid w:val="00EC0804"/>
    <w:rsid w:val="00EC0818"/>
    <w:rsid w:val="00EC0CE8"/>
    <w:rsid w:val="00EC0E9D"/>
    <w:rsid w:val="00EC0FFF"/>
    <w:rsid w:val="00EC10AA"/>
    <w:rsid w:val="00EC13AD"/>
    <w:rsid w:val="00EC18AE"/>
    <w:rsid w:val="00EC2D8C"/>
    <w:rsid w:val="00EC3AD6"/>
    <w:rsid w:val="00EC3BCE"/>
    <w:rsid w:val="00EC3DA9"/>
    <w:rsid w:val="00EC3DCF"/>
    <w:rsid w:val="00EC3FFC"/>
    <w:rsid w:val="00EC4064"/>
    <w:rsid w:val="00EC414E"/>
    <w:rsid w:val="00EC4453"/>
    <w:rsid w:val="00EC477D"/>
    <w:rsid w:val="00EC4E7E"/>
    <w:rsid w:val="00EC4FE6"/>
    <w:rsid w:val="00EC5223"/>
    <w:rsid w:val="00EC541B"/>
    <w:rsid w:val="00EC5B5C"/>
    <w:rsid w:val="00EC62F5"/>
    <w:rsid w:val="00EC6326"/>
    <w:rsid w:val="00EC6B4B"/>
    <w:rsid w:val="00EC6D01"/>
    <w:rsid w:val="00EC6F4F"/>
    <w:rsid w:val="00EC6F99"/>
    <w:rsid w:val="00EC7059"/>
    <w:rsid w:val="00EC785C"/>
    <w:rsid w:val="00EC7BAF"/>
    <w:rsid w:val="00EC7CAC"/>
    <w:rsid w:val="00ED0077"/>
    <w:rsid w:val="00ED0466"/>
    <w:rsid w:val="00ED06C2"/>
    <w:rsid w:val="00ED0864"/>
    <w:rsid w:val="00ED091A"/>
    <w:rsid w:val="00ED0A32"/>
    <w:rsid w:val="00ED0B2E"/>
    <w:rsid w:val="00ED16AC"/>
    <w:rsid w:val="00ED1CC2"/>
    <w:rsid w:val="00ED2204"/>
    <w:rsid w:val="00ED2669"/>
    <w:rsid w:val="00ED283A"/>
    <w:rsid w:val="00ED2B22"/>
    <w:rsid w:val="00ED34C3"/>
    <w:rsid w:val="00ED364C"/>
    <w:rsid w:val="00ED3A39"/>
    <w:rsid w:val="00ED3BB9"/>
    <w:rsid w:val="00ED41A7"/>
    <w:rsid w:val="00ED4A24"/>
    <w:rsid w:val="00ED4A59"/>
    <w:rsid w:val="00ED4E8A"/>
    <w:rsid w:val="00ED517C"/>
    <w:rsid w:val="00ED55D5"/>
    <w:rsid w:val="00ED5648"/>
    <w:rsid w:val="00ED5B3A"/>
    <w:rsid w:val="00ED5D46"/>
    <w:rsid w:val="00ED5FD4"/>
    <w:rsid w:val="00ED63A6"/>
    <w:rsid w:val="00ED6582"/>
    <w:rsid w:val="00ED664B"/>
    <w:rsid w:val="00ED69CD"/>
    <w:rsid w:val="00ED6A74"/>
    <w:rsid w:val="00ED6C40"/>
    <w:rsid w:val="00ED6D09"/>
    <w:rsid w:val="00ED6EF5"/>
    <w:rsid w:val="00ED710F"/>
    <w:rsid w:val="00ED7153"/>
    <w:rsid w:val="00ED7458"/>
    <w:rsid w:val="00ED764F"/>
    <w:rsid w:val="00ED77FD"/>
    <w:rsid w:val="00ED79A4"/>
    <w:rsid w:val="00ED7B28"/>
    <w:rsid w:val="00EE024C"/>
    <w:rsid w:val="00EE0510"/>
    <w:rsid w:val="00EE0A8F"/>
    <w:rsid w:val="00EE119F"/>
    <w:rsid w:val="00EE11C6"/>
    <w:rsid w:val="00EE15BB"/>
    <w:rsid w:val="00EE1932"/>
    <w:rsid w:val="00EE1BC0"/>
    <w:rsid w:val="00EE20AC"/>
    <w:rsid w:val="00EE2B6B"/>
    <w:rsid w:val="00EE2F50"/>
    <w:rsid w:val="00EE3386"/>
    <w:rsid w:val="00EE355B"/>
    <w:rsid w:val="00EE3649"/>
    <w:rsid w:val="00EE36CB"/>
    <w:rsid w:val="00EE3F42"/>
    <w:rsid w:val="00EE421F"/>
    <w:rsid w:val="00EE4567"/>
    <w:rsid w:val="00EE46C6"/>
    <w:rsid w:val="00EE497B"/>
    <w:rsid w:val="00EE4B24"/>
    <w:rsid w:val="00EE4BFF"/>
    <w:rsid w:val="00EE5212"/>
    <w:rsid w:val="00EE55A3"/>
    <w:rsid w:val="00EE5C00"/>
    <w:rsid w:val="00EE5D11"/>
    <w:rsid w:val="00EE6275"/>
    <w:rsid w:val="00EE64B9"/>
    <w:rsid w:val="00EE6732"/>
    <w:rsid w:val="00EE6E3A"/>
    <w:rsid w:val="00EE71C9"/>
    <w:rsid w:val="00EE76CA"/>
    <w:rsid w:val="00EE777D"/>
    <w:rsid w:val="00EE77BF"/>
    <w:rsid w:val="00EE78B9"/>
    <w:rsid w:val="00EF01BC"/>
    <w:rsid w:val="00EF0E8C"/>
    <w:rsid w:val="00EF1440"/>
    <w:rsid w:val="00EF17A6"/>
    <w:rsid w:val="00EF20BC"/>
    <w:rsid w:val="00EF226D"/>
    <w:rsid w:val="00EF2867"/>
    <w:rsid w:val="00EF2EE9"/>
    <w:rsid w:val="00EF3513"/>
    <w:rsid w:val="00EF35C4"/>
    <w:rsid w:val="00EF3630"/>
    <w:rsid w:val="00EF3F2A"/>
    <w:rsid w:val="00EF413A"/>
    <w:rsid w:val="00EF4226"/>
    <w:rsid w:val="00EF4260"/>
    <w:rsid w:val="00EF4384"/>
    <w:rsid w:val="00EF45C7"/>
    <w:rsid w:val="00EF480B"/>
    <w:rsid w:val="00EF49AB"/>
    <w:rsid w:val="00EF4DAF"/>
    <w:rsid w:val="00EF4E6F"/>
    <w:rsid w:val="00EF50FC"/>
    <w:rsid w:val="00EF517E"/>
    <w:rsid w:val="00EF51D9"/>
    <w:rsid w:val="00EF53C5"/>
    <w:rsid w:val="00EF5728"/>
    <w:rsid w:val="00EF5900"/>
    <w:rsid w:val="00EF59FF"/>
    <w:rsid w:val="00EF63C1"/>
    <w:rsid w:val="00EF65D3"/>
    <w:rsid w:val="00EF662A"/>
    <w:rsid w:val="00EF6758"/>
    <w:rsid w:val="00EF6B45"/>
    <w:rsid w:val="00EF6BFB"/>
    <w:rsid w:val="00EF6F86"/>
    <w:rsid w:val="00EF705F"/>
    <w:rsid w:val="00EF712F"/>
    <w:rsid w:val="00EF72EA"/>
    <w:rsid w:val="00EF73B8"/>
    <w:rsid w:val="00F00138"/>
    <w:rsid w:val="00F00574"/>
    <w:rsid w:val="00F00A1C"/>
    <w:rsid w:val="00F00BBA"/>
    <w:rsid w:val="00F00EDA"/>
    <w:rsid w:val="00F00FC2"/>
    <w:rsid w:val="00F0104E"/>
    <w:rsid w:val="00F01098"/>
    <w:rsid w:val="00F014D8"/>
    <w:rsid w:val="00F0154B"/>
    <w:rsid w:val="00F01AE7"/>
    <w:rsid w:val="00F01BB3"/>
    <w:rsid w:val="00F01DC0"/>
    <w:rsid w:val="00F01F1E"/>
    <w:rsid w:val="00F01FB3"/>
    <w:rsid w:val="00F026B0"/>
    <w:rsid w:val="00F02AB6"/>
    <w:rsid w:val="00F0387A"/>
    <w:rsid w:val="00F03CB6"/>
    <w:rsid w:val="00F04343"/>
    <w:rsid w:val="00F04372"/>
    <w:rsid w:val="00F049A8"/>
    <w:rsid w:val="00F04C50"/>
    <w:rsid w:val="00F04C59"/>
    <w:rsid w:val="00F04F27"/>
    <w:rsid w:val="00F058B0"/>
    <w:rsid w:val="00F05AF8"/>
    <w:rsid w:val="00F05B26"/>
    <w:rsid w:val="00F05EE5"/>
    <w:rsid w:val="00F05FC1"/>
    <w:rsid w:val="00F0642C"/>
    <w:rsid w:val="00F064B2"/>
    <w:rsid w:val="00F0652F"/>
    <w:rsid w:val="00F06712"/>
    <w:rsid w:val="00F068AD"/>
    <w:rsid w:val="00F07462"/>
    <w:rsid w:val="00F074FE"/>
    <w:rsid w:val="00F07695"/>
    <w:rsid w:val="00F105AF"/>
    <w:rsid w:val="00F10736"/>
    <w:rsid w:val="00F10C6A"/>
    <w:rsid w:val="00F10ECD"/>
    <w:rsid w:val="00F10F09"/>
    <w:rsid w:val="00F10F74"/>
    <w:rsid w:val="00F11030"/>
    <w:rsid w:val="00F110C7"/>
    <w:rsid w:val="00F110CD"/>
    <w:rsid w:val="00F117C1"/>
    <w:rsid w:val="00F11C7F"/>
    <w:rsid w:val="00F12549"/>
    <w:rsid w:val="00F12764"/>
    <w:rsid w:val="00F12ACB"/>
    <w:rsid w:val="00F12CCF"/>
    <w:rsid w:val="00F13284"/>
    <w:rsid w:val="00F14553"/>
    <w:rsid w:val="00F1494D"/>
    <w:rsid w:val="00F14A97"/>
    <w:rsid w:val="00F14AAE"/>
    <w:rsid w:val="00F14BF9"/>
    <w:rsid w:val="00F14D3A"/>
    <w:rsid w:val="00F14EC5"/>
    <w:rsid w:val="00F1513E"/>
    <w:rsid w:val="00F151AE"/>
    <w:rsid w:val="00F15482"/>
    <w:rsid w:val="00F15553"/>
    <w:rsid w:val="00F157B9"/>
    <w:rsid w:val="00F158BC"/>
    <w:rsid w:val="00F15AB7"/>
    <w:rsid w:val="00F15E62"/>
    <w:rsid w:val="00F15F39"/>
    <w:rsid w:val="00F160EB"/>
    <w:rsid w:val="00F162F7"/>
    <w:rsid w:val="00F165BF"/>
    <w:rsid w:val="00F165C7"/>
    <w:rsid w:val="00F166C8"/>
    <w:rsid w:val="00F168A0"/>
    <w:rsid w:val="00F16C2C"/>
    <w:rsid w:val="00F16C2D"/>
    <w:rsid w:val="00F16DE2"/>
    <w:rsid w:val="00F174FF"/>
    <w:rsid w:val="00F1753F"/>
    <w:rsid w:val="00F2055E"/>
    <w:rsid w:val="00F20C78"/>
    <w:rsid w:val="00F20D3F"/>
    <w:rsid w:val="00F2110E"/>
    <w:rsid w:val="00F211EE"/>
    <w:rsid w:val="00F21378"/>
    <w:rsid w:val="00F214BD"/>
    <w:rsid w:val="00F21712"/>
    <w:rsid w:val="00F21F34"/>
    <w:rsid w:val="00F22358"/>
    <w:rsid w:val="00F229D8"/>
    <w:rsid w:val="00F22AD6"/>
    <w:rsid w:val="00F22EEE"/>
    <w:rsid w:val="00F23638"/>
    <w:rsid w:val="00F23F72"/>
    <w:rsid w:val="00F243C0"/>
    <w:rsid w:val="00F2482C"/>
    <w:rsid w:val="00F248AD"/>
    <w:rsid w:val="00F24914"/>
    <w:rsid w:val="00F249FD"/>
    <w:rsid w:val="00F24A0D"/>
    <w:rsid w:val="00F24F5A"/>
    <w:rsid w:val="00F24FB3"/>
    <w:rsid w:val="00F250B8"/>
    <w:rsid w:val="00F255D1"/>
    <w:rsid w:val="00F25A26"/>
    <w:rsid w:val="00F25B17"/>
    <w:rsid w:val="00F26001"/>
    <w:rsid w:val="00F26355"/>
    <w:rsid w:val="00F266A5"/>
    <w:rsid w:val="00F266E4"/>
    <w:rsid w:val="00F26984"/>
    <w:rsid w:val="00F26E89"/>
    <w:rsid w:val="00F271AA"/>
    <w:rsid w:val="00F2736E"/>
    <w:rsid w:val="00F27F03"/>
    <w:rsid w:val="00F27FBA"/>
    <w:rsid w:val="00F30518"/>
    <w:rsid w:val="00F305A5"/>
    <w:rsid w:val="00F30663"/>
    <w:rsid w:val="00F3070C"/>
    <w:rsid w:val="00F3083D"/>
    <w:rsid w:val="00F30DDD"/>
    <w:rsid w:val="00F30E78"/>
    <w:rsid w:val="00F3113B"/>
    <w:rsid w:val="00F3125A"/>
    <w:rsid w:val="00F313EE"/>
    <w:rsid w:val="00F31538"/>
    <w:rsid w:val="00F31716"/>
    <w:rsid w:val="00F317A8"/>
    <w:rsid w:val="00F31DEC"/>
    <w:rsid w:val="00F31FB5"/>
    <w:rsid w:val="00F3213E"/>
    <w:rsid w:val="00F32161"/>
    <w:rsid w:val="00F327AE"/>
    <w:rsid w:val="00F32A74"/>
    <w:rsid w:val="00F33064"/>
    <w:rsid w:val="00F3352F"/>
    <w:rsid w:val="00F33A22"/>
    <w:rsid w:val="00F33B53"/>
    <w:rsid w:val="00F33CE4"/>
    <w:rsid w:val="00F3425C"/>
    <w:rsid w:val="00F343FB"/>
    <w:rsid w:val="00F34671"/>
    <w:rsid w:val="00F34A62"/>
    <w:rsid w:val="00F34CD9"/>
    <w:rsid w:val="00F35476"/>
    <w:rsid w:val="00F35523"/>
    <w:rsid w:val="00F35C91"/>
    <w:rsid w:val="00F362ED"/>
    <w:rsid w:val="00F363CB"/>
    <w:rsid w:val="00F36466"/>
    <w:rsid w:val="00F37325"/>
    <w:rsid w:val="00F37930"/>
    <w:rsid w:val="00F37AD2"/>
    <w:rsid w:val="00F37DC5"/>
    <w:rsid w:val="00F37DF8"/>
    <w:rsid w:val="00F40093"/>
    <w:rsid w:val="00F40230"/>
    <w:rsid w:val="00F4029A"/>
    <w:rsid w:val="00F403B1"/>
    <w:rsid w:val="00F403F6"/>
    <w:rsid w:val="00F40890"/>
    <w:rsid w:val="00F40E4E"/>
    <w:rsid w:val="00F41079"/>
    <w:rsid w:val="00F41F90"/>
    <w:rsid w:val="00F41FCC"/>
    <w:rsid w:val="00F42196"/>
    <w:rsid w:val="00F4244F"/>
    <w:rsid w:val="00F42CC0"/>
    <w:rsid w:val="00F432DC"/>
    <w:rsid w:val="00F435D4"/>
    <w:rsid w:val="00F437C9"/>
    <w:rsid w:val="00F43944"/>
    <w:rsid w:val="00F43C1B"/>
    <w:rsid w:val="00F44225"/>
    <w:rsid w:val="00F4428D"/>
    <w:rsid w:val="00F442C5"/>
    <w:rsid w:val="00F442E7"/>
    <w:rsid w:val="00F44467"/>
    <w:rsid w:val="00F44ED8"/>
    <w:rsid w:val="00F45610"/>
    <w:rsid w:val="00F456DD"/>
    <w:rsid w:val="00F45730"/>
    <w:rsid w:val="00F4597A"/>
    <w:rsid w:val="00F464B5"/>
    <w:rsid w:val="00F4665D"/>
    <w:rsid w:val="00F469B5"/>
    <w:rsid w:val="00F46CF6"/>
    <w:rsid w:val="00F46F66"/>
    <w:rsid w:val="00F47170"/>
    <w:rsid w:val="00F47380"/>
    <w:rsid w:val="00F477BA"/>
    <w:rsid w:val="00F47B53"/>
    <w:rsid w:val="00F50276"/>
    <w:rsid w:val="00F502E9"/>
    <w:rsid w:val="00F5074D"/>
    <w:rsid w:val="00F50759"/>
    <w:rsid w:val="00F508C4"/>
    <w:rsid w:val="00F50EA8"/>
    <w:rsid w:val="00F5116B"/>
    <w:rsid w:val="00F511DC"/>
    <w:rsid w:val="00F5125F"/>
    <w:rsid w:val="00F516F7"/>
    <w:rsid w:val="00F51780"/>
    <w:rsid w:val="00F5190E"/>
    <w:rsid w:val="00F519F6"/>
    <w:rsid w:val="00F52177"/>
    <w:rsid w:val="00F52217"/>
    <w:rsid w:val="00F52226"/>
    <w:rsid w:val="00F52A69"/>
    <w:rsid w:val="00F52F76"/>
    <w:rsid w:val="00F5347D"/>
    <w:rsid w:val="00F53635"/>
    <w:rsid w:val="00F53690"/>
    <w:rsid w:val="00F53E9F"/>
    <w:rsid w:val="00F543C4"/>
    <w:rsid w:val="00F54494"/>
    <w:rsid w:val="00F546DB"/>
    <w:rsid w:val="00F5483D"/>
    <w:rsid w:val="00F54885"/>
    <w:rsid w:val="00F54A30"/>
    <w:rsid w:val="00F54C8E"/>
    <w:rsid w:val="00F54FD3"/>
    <w:rsid w:val="00F55929"/>
    <w:rsid w:val="00F55D97"/>
    <w:rsid w:val="00F55DB3"/>
    <w:rsid w:val="00F5660B"/>
    <w:rsid w:val="00F56A90"/>
    <w:rsid w:val="00F56AF4"/>
    <w:rsid w:val="00F56C98"/>
    <w:rsid w:val="00F56DBA"/>
    <w:rsid w:val="00F5724E"/>
    <w:rsid w:val="00F5750F"/>
    <w:rsid w:val="00F579EE"/>
    <w:rsid w:val="00F57B6A"/>
    <w:rsid w:val="00F57CA7"/>
    <w:rsid w:val="00F57DA4"/>
    <w:rsid w:val="00F60506"/>
    <w:rsid w:val="00F60A95"/>
    <w:rsid w:val="00F60BDF"/>
    <w:rsid w:val="00F60F26"/>
    <w:rsid w:val="00F61348"/>
    <w:rsid w:val="00F61588"/>
    <w:rsid w:val="00F61718"/>
    <w:rsid w:val="00F61B46"/>
    <w:rsid w:val="00F61CFA"/>
    <w:rsid w:val="00F61F0E"/>
    <w:rsid w:val="00F6251C"/>
    <w:rsid w:val="00F62B5C"/>
    <w:rsid w:val="00F62D14"/>
    <w:rsid w:val="00F62F56"/>
    <w:rsid w:val="00F63484"/>
    <w:rsid w:val="00F6374A"/>
    <w:rsid w:val="00F63758"/>
    <w:rsid w:val="00F638DF"/>
    <w:rsid w:val="00F6514D"/>
    <w:rsid w:val="00F65A1B"/>
    <w:rsid w:val="00F65A34"/>
    <w:rsid w:val="00F663B9"/>
    <w:rsid w:val="00F666E1"/>
    <w:rsid w:val="00F668C1"/>
    <w:rsid w:val="00F668FB"/>
    <w:rsid w:val="00F66A7E"/>
    <w:rsid w:val="00F66CE6"/>
    <w:rsid w:val="00F66FBF"/>
    <w:rsid w:val="00F6753D"/>
    <w:rsid w:val="00F67C36"/>
    <w:rsid w:val="00F67C66"/>
    <w:rsid w:val="00F67F35"/>
    <w:rsid w:val="00F70DCB"/>
    <w:rsid w:val="00F70EFB"/>
    <w:rsid w:val="00F7143D"/>
    <w:rsid w:val="00F71471"/>
    <w:rsid w:val="00F71A55"/>
    <w:rsid w:val="00F71E3D"/>
    <w:rsid w:val="00F71FE9"/>
    <w:rsid w:val="00F72125"/>
    <w:rsid w:val="00F7246D"/>
    <w:rsid w:val="00F727EF"/>
    <w:rsid w:val="00F72903"/>
    <w:rsid w:val="00F72B56"/>
    <w:rsid w:val="00F72E00"/>
    <w:rsid w:val="00F737F2"/>
    <w:rsid w:val="00F73B5C"/>
    <w:rsid w:val="00F73B66"/>
    <w:rsid w:val="00F73C23"/>
    <w:rsid w:val="00F73C77"/>
    <w:rsid w:val="00F73ED8"/>
    <w:rsid w:val="00F73FF6"/>
    <w:rsid w:val="00F74022"/>
    <w:rsid w:val="00F74119"/>
    <w:rsid w:val="00F741FE"/>
    <w:rsid w:val="00F744FF"/>
    <w:rsid w:val="00F74A37"/>
    <w:rsid w:val="00F75401"/>
    <w:rsid w:val="00F75663"/>
    <w:rsid w:val="00F76205"/>
    <w:rsid w:val="00F76FE8"/>
    <w:rsid w:val="00F77204"/>
    <w:rsid w:val="00F778A7"/>
    <w:rsid w:val="00F77A37"/>
    <w:rsid w:val="00F77A40"/>
    <w:rsid w:val="00F77A63"/>
    <w:rsid w:val="00F77CDF"/>
    <w:rsid w:val="00F77E61"/>
    <w:rsid w:val="00F80203"/>
    <w:rsid w:val="00F805C3"/>
    <w:rsid w:val="00F80A1C"/>
    <w:rsid w:val="00F812C4"/>
    <w:rsid w:val="00F8179A"/>
    <w:rsid w:val="00F81D96"/>
    <w:rsid w:val="00F81F89"/>
    <w:rsid w:val="00F81FAA"/>
    <w:rsid w:val="00F82BA5"/>
    <w:rsid w:val="00F83B38"/>
    <w:rsid w:val="00F841BB"/>
    <w:rsid w:val="00F84322"/>
    <w:rsid w:val="00F84773"/>
    <w:rsid w:val="00F84C37"/>
    <w:rsid w:val="00F84C4E"/>
    <w:rsid w:val="00F85212"/>
    <w:rsid w:val="00F8590B"/>
    <w:rsid w:val="00F85C20"/>
    <w:rsid w:val="00F85C7B"/>
    <w:rsid w:val="00F860D5"/>
    <w:rsid w:val="00F862AB"/>
    <w:rsid w:val="00F86423"/>
    <w:rsid w:val="00F873B1"/>
    <w:rsid w:val="00F8765A"/>
    <w:rsid w:val="00F87899"/>
    <w:rsid w:val="00F87944"/>
    <w:rsid w:val="00F8799A"/>
    <w:rsid w:val="00F879C8"/>
    <w:rsid w:val="00F87CD3"/>
    <w:rsid w:val="00F87FD4"/>
    <w:rsid w:val="00F900ED"/>
    <w:rsid w:val="00F90248"/>
    <w:rsid w:val="00F902B1"/>
    <w:rsid w:val="00F90733"/>
    <w:rsid w:val="00F90CC8"/>
    <w:rsid w:val="00F90D06"/>
    <w:rsid w:val="00F914FF"/>
    <w:rsid w:val="00F91CE3"/>
    <w:rsid w:val="00F92407"/>
    <w:rsid w:val="00F926B7"/>
    <w:rsid w:val="00F92890"/>
    <w:rsid w:val="00F928B7"/>
    <w:rsid w:val="00F92D98"/>
    <w:rsid w:val="00F92DFC"/>
    <w:rsid w:val="00F92E28"/>
    <w:rsid w:val="00F92E96"/>
    <w:rsid w:val="00F930D6"/>
    <w:rsid w:val="00F93496"/>
    <w:rsid w:val="00F93697"/>
    <w:rsid w:val="00F93749"/>
    <w:rsid w:val="00F9374C"/>
    <w:rsid w:val="00F9382C"/>
    <w:rsid w:val="00F93835"/>
    <w:rsid w:val="00F93D61"/>
    <w:rsid w:val="00F93DA4"/>
    <w:rsid w:val="00F9401A"/>
    <w:rsid w:val="00F9447B"/>
    <w:rsid w:val="00F9492E"/>
    <w:rsid w:val="00F949EF"/>
    <w:rsid w:val="00F94B4B"/>
    <w:rsid w:val="00F94CB9"/>
    <w:rsid w:val="00F94EED"/>
    <w:rsid w:val="00F95910"/>
    <w:rsid w:val="00F95B4B"/>
    <w:rsid w:val="00F95C08"/>
    <w:rsid w:val="00F9683C"/>
    <w:rsid w:val="00F96CCC"/>
    <w:rsid w:val="00F97126"/>
    <w:rsid w:val="00F97182"/>
    <w:rsid w:val="00F9783F"/>
    <w:rsid w:val="00F9787C"/>
    <w:rsid w:val="00F97919"/>
    <w:rsid w:val="00F979EF"/>
    <w:rsid w:val="00F97A08"/>
    <w:rsid w:val="00F97C0C"/>
    <w:rsid w:val="00FA01D9"/>
    <w:rsid w:val="00FA04C0"/>
    <w:rsid w:val="00FA0526"/>
    <w:rsid w:val="00FA06B2"/>
    <w:rsid w:val="00FA06E2"/>
    <w:rsid w:val="00FA07D3"/>
    <w:rsid w:val="00FA0813"/>
    <w:rsid w:val="00FA0C91"/>
    <w:rsid w:val="00FA0DBB"/>
    <w:rsid w:val="00FA0E9D"/>
    <w:rsid w:val="00FA0EF0"/>
    <w:rsid w:val="00FA1078"/>
    <w:rsid w:val="00FA13A1"/>
    <w:rsid w:val="00FA15E2"/>
    <w:rsid w:val="00FA1738"/>
    <w:rsid w:val="00FA188C"/>
    <w:rsid w:val="00FA1FFE"/>
    <w:rsid w:val="00FA2233"/>
    <w:rsid w:val="00FA2334"/>
    <w:rsid w:val="00FA23EA"/>
    <w:rsid w:val="00FA249E"/>
    <w:rsid w:val="00FA25A5"/>
    <w:rsid w:val="00FA293F"/>
    <w:rsid w:val="00FA294E"/>
    <w:rsid w:val="00FA2BA3"/>
    <w:rsid w:val="00FA2E6F"/>
    <w:rsid w:val="00FA2E7B"/>
    <w:rsid w:val="00FA2EAF"/>
    <w:rsid w:val="00FA328D"/>
    <w:rsid w:val="00FA331C"/>
    <w:rsid w:val="00FA3496"/>
    <w:rsid w:val="00FA34B6"/>
    <w:rsid w:val="00FA3717"/>
    <w:rsid w:val="00FA3784"/>
    <w:rsid w:val="00FA3BEF"/>
    <w:rsid w:val="00FA3E43"/>
    <w:rsid w:val="00FA4113"/>
    <w:rsid w:val="00FA4545"/>
    <w:rsid w:val="00FA4555"/>
    <w:rsid w:val="00FA4CCD"/>
    <w:rsid w:val="00FA5522"/>
    <w:rsid w:val="00FA56C8"/>
    <w:rsid w:val="00FA598A"/>
    <w:rsid w:val="00FA60FF"/>
    <w:rsid w:val="00FA6775"/>
    <w:rsid w:val="00FA69F7"/>
    <w:rsid w:val="00FA6BCB"/>
    <w:rsid w:val="00FA6BF6"/>
    <w:rsid w:val="00FA6D9A"/>
    <w:rsid w:val="00FA6E18"/>
    <w:rsid w:val="00FA6E8A"/>
    <w:rsid w:val="00FA6E93"/>
    <w:rsid w:val="00FA6FC0"/>
    <w:rsid w:val="00FA73B6"/>
    <w:rsid w:val="00FA7798"/>
    <w:rsid w:val="00FA78B7"/>
    <w:rsid w:val="00FA7EAB"/>
    <w:rsid w:val="00FA7F3D"/>
    <w:rsid w:val="00FB031E"/>
    <w:rsid w:val="00FB0739"/>
    <w:rsid w:val="00FB09BD"/>
    <w:rsid w:val="00FB0F79"/>
    <w:rsid w:val="00FB10AE"/>
    <w:rsid w:val="00FB1523"/>
    <w:rsid w:val="00FB166D"/>
    <w:rsid w:val="00FB17A3"/>
    <w:rsid w:val="00FB181B"/>
    <w:rsid w:val="00FB187F"/>
    <w:rsid w:val="00FB1A80"/>
    <w:rsid w:val="00FB1C99"/>
    <w:rsid w:val="00FB22C5"/>
    <w:rsid w:val="00FB2455"/>
    <w:rsid w:val="00FB2618"/>
    <w:rsid w:val="00FB2759"/>
    <w:rsid w:val="00FB2B3A"/>
    <w:rsid w:val="00FB2C37"/>
    <w:rsid w:val="00FB3120"/>
    <w:rsid w:val="00FB34BD"/>
    <w:rsid w:val="00FB352D"/>
    <w:rsid w:val="00FB3665"/>
    <w:rsid w:val="00FB3945"/>
    <w:rsid w:val="00FB3A1C"/>
    <w:rsid w:val="00FB3EA0"/>
    <w:rsid w:val="00FB4149"/>
    <w:rsid w:val="00FB43BB"/>
    <w:rsid w:val="00FB456A"/>
    <w:rsid w:val="00FB4763"/>
    <w:rsid w:val="00FB4B9D"/>
    <w:rsid w:val="00FB4EC6"/>
    <w:rsid w:val="00FB4FC9"/>
    <w:rsid w:val="00FB5202"/>
    <w:rsid w:val="00FB520D"/>
    <w:rsid w:val="00FB5293"/>
    <w:rsid w:val="00FB532C"/>
    <w:rsid w:val="00FB5411"/>
    <w:rsid w:val="00FB564D"/>
    <w:rsid w:val="00FB56CA"/>
    <w:rsid w:val="00FB58D6"/>
    <w:rsid w:val="00FB59BE"/>
    <w:rsid w:val="00FB5B6A"/>
    <w:rsid w:val="00FB5F47"/>
    <w:rsid w:val="00FB67CA"/>
    <w:rsid w:val="00FB70FE"/>
    <w:rsid w:val="00FB76FA"/>
    <w:rsid w:val="00FB7B52"/>
    <w:rsid w:val="00FB7D6C"/>
    <w:rsid w:val="00FB7EA4"/>
    <w:rsid w:val="00FC0278"/>
    <w:rsid w:val="00FC0C30"/>
    <w:rsid w:val="00FC0E65"/>
    <w:rsid w:val="00FC108F"/>
    <w:rsid w:val="00FC109F"/>
    <w:rsid w:val="00FC1108"/>
    <w:rsid w:val="00FC1422"/>
    <w:rsid w:val="00FC15AB"/>
    <w:rsid w:val="00FC18EB"/>
    <w:rsid w:val="00FC18F0"/>
    <w:rsid w:val="00FC1938"/>
    <w:rsid w:val="00FC196B"/>
    <w:rsid w:val="00FC1E7C"/>
    <w:rsid w:val="00FC2168"/>
    <w:rsid w:val="00FC25E0"/>
    <w:rsid w:val="00FC25FC"/>
    <w:rsid w:val="00FC2638"/>
    <w:rsid w:val="00FC2A17"/>
    <w:rsid w:val="00FC2A81"/>
    <w:rsid w:val="00FC2AED"/>
    <w:rsid w:val="00FC2C59"/>
    <w:rsid w:val="00FC3173"/>
    <w:rsid w:val="00FC33EF"/>
    <w:rsid w:val="00FC3596"/>
    <w:rsid w:val="00FC3C51"/>
    <w:rsid w:val="00FC3CA1"/>
    <w:rsid w:val="00FC420F"/>
    <w:rsid w:val="00FC465F"/>
    <w:rsid w:val="00FC48A4"/>
    <w:rsid w:val="00FC4906"/>
    <w:rsid w:val="00FC4F25"/>
    <w:rsid w:val="00FC5587"/>
    <w:rsid w:val="00FC594E"/>
    <w:rsid w:val="00FC596C"/>
    <w:rsid w:val="00FC5CAB"/>
    <w:rsid w:val="00FC6046"/>
    <w:rsid w:val="00FC6646"/>
    <w:rsid w:val="00FC682D"/>
    <w:rsid w:val="00FC6BC0"/>
    <w:rsid w:val="00FC6CEB"/>
    <w:rsid w:val="00FC73D3"/>
    <w:rsid w:val="00FC794C"/>
    <w:rsid w:val="00FC7DAC"/>
    <w:rsid w:val="00FD024A"/>
    <w:rsid w:val="00FD02C7"/>
    <w:rsid w:val="00FD0439"/>
    <w:rsid w:val="00FD05ED"/>
    <w:rsid w:val="00FD0629"/>
    <w:rsid w:val="00FD09B4"/>
    <w:rsid w:val="00FD0FD2"/>
    <w:rsid w:val="00FD155B"/>
    <w:rsid w:val="00FD178E"/>
    <w:rsid w:val="00FD1A4C"/>
    <w:rsid w:val="00FD1E9A"/>
    <w:rsid w:val="00FD1F8D"/>
    <w:rsid w:val="00FD24F6"/>
    <w:rsid w:val="00FD27AA"/>
    <w:rsid w:val="00FD287A"/>
    <w:rsid w:val="00FD2D30"/>
    <w:rsid w:val="00FD2E26"/>
    <w:rsid w:val="00FD2E27"/>
    <w:rsid w:val="00FD315B"/>
    <w:rsid w:val="00FD3326"/>
    <w:rsid w:val="00FD3350"/>
    <w:rsid w:val="00FD3710"/>
    <w:rsid w:val="00FD3AB1"/>
    <w:rsid w:val="00FD4226"/>
    <w:rsid w:val="00FD4306"/>
    <w:rsid w:val="00FD4671"/>
    <w:rsid w:val="00FD4809"/>
    <w:rsid w:val="00FD49DC"/>
    <w:rsid w:val="00FD4FD4"/>
    <w:rsid w:val="00FD5308"/>
    <w:rsid w:val="00FD6134"/>
    <w:rsid w:val="00FD6203"/>
    <w:rsid w:val="00FD6320"/>
    <w:rsid w:val="00FD6747"/>
    <w:rsid w:val="00FD6914"/>
    <w:rsid w:val="00FD6CE8"/>
    <w:rsid w:val="00FD772E"/>
    <w:rsid w:val="00FD776F"/>
    <w:rsid w:val="00FD78AD"/>
    <w:rsid w:val="00FD7997"/>
    <w:rsid w:val="00FD7A3F"/>
    <w:rsid w:val="00FD7C64"/>
    <w:rsid w:val="00FE001D"/>
    <w:rsid w:val="00FE0402"/>
    <w:rsid w:val="00FE0744"/>
    <w:rsid w:val="00FE0800"/>
    <w:rsid w:val="00FE081F"/>
    <w:rsid w:val="00FE09AA"/>
    <w:rsid w:val="00FE0CA9"/>
    <w:rsid w:val="00FE0DD9"/>
    <w:rsid w:val="00FE1A98"/>
    <w:rsid w:val="00FE1F83"/>
    <w:rsid w:val="00FE20FE"/>
    <w:rsid w:val="00FE2149"/>
    <w:rsid w:val="00FE217E"/>
    <w:rsid w:val="00FE218B"/>
    <w:rsid w:val="00FE26F6"/>
    <w:rsid w:val="00FE287D"/>
    <w:rsid w:val="00FE2D53"/>
    <w:rsid w:val="00FE3672"/>
    <w:rsid w:val="00FE4056"/>
    <w:rsid w:val="00FE4140"/>
    <w:rsid w:val="00FE4259"/>
    <w:rsid w:val="00FE43BC"/>
    <w:rsid w:val="00FE4FA2"/>
    <w:rsid w:val="00FE53BB"/>
    <w:rsid w:val="00FE53C1"/>
    <w:rsid w:val="00FE53FB"/>
    <w:rsid w:val="00FE54A4"/>
    <w:rsid w:val="00FE554E"/>
    <w:rsid w:val="00FE5552"/>
    <w:rsid w:val="00FE61D8"/>
    <w:rsid w:val="00FE6560"/>
    <w:rsid w:val="00FE65B6"/>
    <w:rsid w:val="00FE670B"/>
    <w:rsid w:val="00FE6896"/>
    <w:rsid w:val="00FE69CD"/>
    <w:rsid w:val="00FE7321"/>
    <w:rsid w:val="00FE7BC3"/>
    <w:rsid w:val="00FE7D0F"/>
    <w:rsid w:val="00FF0298"/>
    <w:rsid w:val="00FF034D"/>
    <w:rsid w:val="00FF042D"/>
    <w:rsid w:val="00FF0901"/>
    <w:rsid w:val="00FF0C9E"/>
    <w:rsid w:val="00FF0CEB"/>
    <w:rsid w:val="00FF0D31"/>
    <w:rsid w:val="00FF1131"/>
    <w:rsid w:val="00FF1312"/>
    <w:rsid w:val="00FF1873"/>
    <w:rsid w:val="00FF1893"/>
    <w:rsid w:val="00FF1C1B"/>
    <w:rsid w:val="00FF1C72"/>
    <w:rsid w:val="00FF1EA0"/>
    <w:rsid w:val="00FF252B"/>
    <w:rsid w:val="00FF2728"/>
    <w:rsid w:val="00FF2E52"/>
    <w:rsid w:val="00FF3001"/>
    <w:rsid w:val="00FF30A6"/>
    <w:rsid w:val="00FF30AF"/>
    <w:rsid w:val="00FF33AA"/>
    <w:rsid w:val="00FF425E"/>
    <w:rsid w:val="00FF4326"/>
    <w:rsid w:val="00FF4DAE"/>
    <w:rsid w:val="00FF56A4"/>
    <w:rsid w:val="00FF5C3F"/>
    <w:rsid w:val="00FF5D14"/>
    <w:rsid w:val="00FF62A2"/>
    <w:rsid w:val="00FF63EB"/>
    <w:rsid w:val="00FF6895"/>
    <w:rsid w:val="00FF6E3C"/>
    <w:rsid w:val="00FF740F"/>
    <w:rsid w:val="00FF7505"/>
    <w:rsid w:val="00FF7817"/>
    <w:rsid w:val="00FF7E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A5DCC"/>
  <w15:docId w15:val="{D94D5E69-D899-47C0-9972-DAA5E290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B1A"/>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676829"/>
    <w:pPr>
      <w:keepNext/>
      <w:keepLines/>
      <w:spacing w:before="48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5">
    <w:name w:val="heading 5"/>
    <w:basedOn w:val="Normal"/>
    <w:next w:val="Normal"/>
    <w:link w:val="Ttulo5Car"/>
    <w:unhideWhenUsed/>
    <w:qFormat/>
    <w:rsid w:val="00676829"/>
    <w:pPr>
      <w:spacing w:before="240" w:after="60"/>
      <w:outlineLvl w:val="4"/>
    </w:pPr>
    <w:rPr>
      <w:rFonts w:ascii="Calibri" w:hAnsi="Calibri"/>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17772"/>
    <w:pPr>
      <w:tabs>
        <w:tab w:val="center" w:pos="4419"/>
        <w:tab w:val="right" w:pos="8838"/>
      </w:tabs>
      <w:jc w:val="both"/>
    </w:pPr>
    <w:rPr>
      <w:rFonts w:ascii="Arial Narrow" w:eastAsiaTheme="minorHAnsi" w:hAnsi="Arial Narrow" w:cstheme="minorBidi"/>
      <w:lang w:eastAsia="en-US"/>
    </w:rPr>
  </w:style>
  <w:style w:type="character" w:customStyle="1" w:styleId="EncabezadoCar">
    <w:name w:val="Encabezado Car"/>
    <w:basedOn w:val="Fuentedeprrafopredeter"/>
    <w:link w:val="Encabezado"/>
    <w:rsid w:val="00A17772"/>
    <w:rPr>
      <w:rFonts w:ascii="Arial Narrow" w:hAnsi="Arial Narrow"/>
      <w:sz w:val="24"/>
      <w:szCs w:val="24"/>
    </w:rPr>
  </w:style>
  <w:style w:type="paragraph" w:styleId="Piedepgina">
    <w:name w:val="footer"/>
    <w:basedOn w:val="Normal"/>
    <w:link w:val="PiedepginaCar"/>
    <w:unhideWhenUsed/>
    <w:rsid w:val="00A17772"/>
    <w:pPr>
      <w:tabs>
        <w:tab w:val="center" w:pos="4419"/>
        <w:tab w:val="right" w:pos="8838"/>
      </w:tabs>
      <w:jc w:val="both"/>
    </w:pPr>
    <w:rPr>
      <w:rFonts w:ascii="Arial Narrow" w:eastAsiaTheme="minorHAnsi" w:hAnsi="Arial Narrow" w:cstheme="minorBidi"/>
      <w:lang w:eastAsia="en-US"/>
    </w:rPr>
  </w:style>
  <w:style w:type="character" w:customStyle="1" w:styleId="PiedepginaCar">
    <w:name w:val="Pie de página Car"/>
    <w:basedOn w:val="Fuentedeprrafopredeter"/>
    <w:link w:val="Piedepgina"/>
    <w:rsid w:val="00A17772"/>
    <w:rPr>
      <w:rFonts w:ascii="Arial Narrow" w:hAnsi="Arial Narrow"/>
      <w:sz w:val="24"/>
      <w:szCs w:val="24"/>
    </w:rPr>
  </w:style>
  <w:style w:type="paragraph" w:customStyle="1" w:styleId="Default">
    <w:name w:val="Default"/>
    <w:rsid w:val="00A1777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17772"/>
    <w:pPr>
      <w:ind w:left="720"/>
      <w:contextualSpacing/>
      <w:jc w:val="both"/>
    </w:pPr>
    <w:rPr>
      <w:rFonts w:ascii="Arial Narrow" w:eastAsiaTheme="minorHAnsi" w:hAnsi="Arial Narrow" w:cstheme="minorBidi"/>
      <w:lang w:eastAsia="en-US"/>
    </w:rPr>
  </w:style>
  <w:style w:type="table" w:styleId="Tablaconcuadrcula">
    <w:name w:val="Table Grid"/>
    <w:basedOn w:val="Tablanormal"/>
    <w:uiPriority w:val="59"/>
    <w:rsid w:val="00A1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17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772"/>
    <w:rPr>
      <w:rFonts w:ascii="Tahoma" w:hAnsi="Tahoma" w:cs="Tahoma"/>
      <w:sz w:val="16"/>
      <w:szCs w:val="16"/>
    </w:rPr>
  </w:style>
  <w:style w:type="character" w:styleId="Refdecomentario">
    <w:name w:val="annotation reference"/>
    <w:basedOn w:val="Fuentedeprrafopredeter"/>
    <w:uiPriority w:val="99"/>
    <w:semiHidden/>
    <w:unhideWhenUsed/>
    <w:rsid w:val="00F00138"/>
    <w:rPr>
      <w:sz w:val="16"/>
      <w:szCs w:val="16"/>
    </w:rPr>
  </w:style>
  <w:style w:type="paragraph" w:styleId="Textocomentario">
    <w:name w:val="annotation text"/>
    <w:basedOn w:val="Normal"/>
    <w:link w:val="TextocomentarioCar"/>
    <w:unhideWhenUsed/>
    <w:rsid w:val="00F00138"/>
    <w:pPr>
      <w:jc w:val="both"/>
    </w:pPr>
    <w:rPr>
      <w:rFonts w:ascii="Arial Narrow" w:eastAsiaTheme="minorHAnsi" w:hAnsi="Arial Narrow" w:cstheme="minorBidi"/>
      <w:sz w:val="20"/>
      <w:szCs w:val="20"/>
      <w:lang w:eastAsia="en-US"/>
    </w:rPr>
  </w:style>
  <w:style w:type="character" w:customStyle="1" w:styleId="TextocomentarioCar">
    <w:name w:val="Texto comentario Car"/>
    <w:basedOn w:val="Fuentedeprrafopredeter"/>
    <w:link w:val="Textocomentario"/>
    <w:rsid w:val="00F00138"/>
    <w:rPr>
      <w:rFonts w:ascii="Arial Narrow" w:hAnsi="Arial Narrow"/>
      <w:sz w:val="20"/>
      <w:szCs w:val="20"/>
    </w:rPr>
  </w:style>
  <w:style w:type="paragraph" w:styleId="Asuntodelcomentario">
    <w:name w:val="annotation subject"/>
    <w:basedOn w:val="Textocomentario"/>
    <w:next w:val="Textocomentario"/>
    <w:link w:val="AsuntodelcomentarioCar"/>
    <w:uiPriority w:val="99"/>
    <w:semiHidden/>
    <w:unhideWhenUsed/>
    <w:rsid w:val="00F00138"/>
    <w:rPr>
      <w:b/>
      <w:bCs/>
    </w:rPr>
  </w:style>
  <w:style w:type="character" w:customStyle="1" w:styleId="AsuntodelcomentarioCar">
    <w:name w:val="Asunto del comentario Car"/>
    <w:basedOn w:val="TextocomentarioCar"/>
    <w:link w:val="Asuntodelcomentario"/>
    <w:uiPriority w:val="99"/>
    <w:semiHidden/>
    <w:rsid w:val="00F00138"/>
    <w:rPr>
      <w:rFonts w:ascii="Arial Narrow" w:hAnsi="Arial Narrow"/>
      <w:b/>
      <w:bCs/>
      <w:sz w:val="20"/>
      <w:szCs w:val="20"/>
    </w:rPr>
  </w:style>
  <w:style w:type="paragraph" w:styleId="Textonotapie">
    <w:name w:val="footnote text"/>
    <w:basedOn w:val="Normal"/>
    <w:link w:val="TextonotapieCar"/>
    <w:uiPriority w:val="99"/>
    <w:semiHidden/>
    <w:unhideWhenUsed/>
    <w:rsid w:val="00464D11"/>
    <w:pPr>
      <w:jc w:val="both"/>
    </w:pPr>
    <w:rPr>
      <w:rFonts w:ascii="Arial Narrow" w:eastAsiaTheme="minorHAnsi" w:hAnsi="Arial Narrow" w:cstheme="minorBidi"/>
      <w:sz w:val="20"/>
      <w:szCs w:val="20"/>
      <w:lang w:eastAsia="en-US"/>
    </w:rPr>
  </w:style>
  <w:style w:type="character" w:customStyle="1" w:styleId="TextonotapieCar">
    <w:name w:val="Texto nota pie Car"/>
    <w:basedOn w:val="Fuentedeprrafopredeter"/>
    <w:link w:val="Textonotapie"/>
    <w:uiPriority w:val="99"/>
    <w:semiHidden/>
    <w:rsid w:val="00464D11"/>
    <w:rPr>
      <w:rFonts w:ascii="Arial Narrow" w:hAnsi="Arial Narrow"/>
      <w:sz w:val="20"/>
      <w:szCs w:val="20"/>
    </w:rPr>
  </w:style>
  <w:style w:type="character" w:styleId="Refdenotaalpie">
    <w:name w:val="footnote reference"/>
    <w:basedOn w:val="Fuentedeprrafopredeter"/>
    <w:uiPriority w:val="99"/>
    <w:semiHidden/>
    <w:unhideWhenUsed/>
    <w:rsid w:val="00464D11"/>
    <w:rPr>
      <w:vertAlign w:val="superscript"/>
    </w:rPr>
  </w:style>
  <w:style w:type="character" w:styleId="Hipervnculo">
    <w:name w:val="Hyperlink"/>
    <w:basedOn w:val="Fuentedeprrafopredeter"/>
    <w:uiPriority w:val="99"/>
    <w:unhideWhenUsed/>
    <w:rsid w:val="008D29EB"/>
    <w:rPr>
      <w:color w:val="0000FF" w:themeColor="hyperlink"/>
      <w:u w:val="single"/>
    </w:rPr>
  </w:style>
  <w:style w:type="table" w:customStyle="1" w:styleId="Tablaconcuadrcula1">
    <w:name w:val="Tabla con cuadrícula1"/>
    <w:basedOn w:val="Tablanormal"/>
    <w:next w:val="Tablaconcuadrcula"/>
    <w:uiPriority w:val="59"/>
    <w:rsid w:val="00BE3CE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70B0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76829"/>
    <w:rPr>
      <w:rFonts w:asciiTheme="majorHAnsi" w:eastAsiaTheme="majorEastAsia" w:hAnsiTheme="majorHAnsi" w:cstheme="majorBidi"/>
      <w:b/>
      <w:bCs/>
      <w:color w:val="365F91" w:themeColor="accent1" w:themeShade="BF"/>
      <w:sz w:val="28"/>
      <w:szCs w:val="28"/>
      <w:lang w:val="es-ES" w:eastAsia="es-ES"/>
    </w:rPr>
  </w:style>
  <w:style w:type="character" w:customStyle="1" w:styleId="Ttulo5Car">
    <w:name w:val="Título 5 Car"/>
    <w:basedOn w:val="Fuentedeprrafopredeter"/>
    <w:link w:val="Ttulo5"/>
    <w:rsid w:val="00676829"/>
    <w:rPr>
      <w:rFonts w:ascii="Calibri" w:eastAsia="Times New Roman" w:hAnsi="Calibri" w:cs="Times New Roman"/>
      <w:b/>
      <w:bCs/>
      <w:i/>
      <w:iCs/>
      <w:sz w:val="26"/>
      <w:szCs w:val="26"/>
      <w:lang w:val="es-ES" w:eastAsia="es-ES"/>
    </w:rPr>
  </w:style>
  <w:style w:type="character" w:styleId="Nmerodepgina">
    <w:name w:val="page number"/>
    <w:basedOn w:val="Fuentedeprrafopredeter"/>
    <w:rsid w:val="00676829"/>
  </w:style>
  <w:style w:type="table" w:styleId="Sombreadoclaro-nfasis2">
    <w:name w:val="Light Shading Accent 2"/>
    <w:basedOn w:val="Tablanormal"/>
    <w:uiPriority w:val="60"/>
    <w:rsid w:val="0067682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676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medio2-nfasis2">
    <w:name w:val="Medium Shading 2 Accent 2"/>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nfasis2">
    <w:name w:val="Medium Grid 3 Accent 2"/>
    <w:basedOn w:val="Tablanormal"/>
    <w:uiPriority w:val="69"/>
    <w:rsid w:val="00676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shd w:val="clear" w:color="auto" w:fill="D99594" w:themeFill="accent2" w:themeFillTint="99"/>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aclara-nfasis2">
    <w:name w:val="Light List Accent 2"/>
    <w:basedOn w:val="Tablanormal"/>
    <w:uiPriority w:val="61"/>
    <w:rsid w:val="00676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1-nfasis2">
    <w:name w:val="Medium Shading 1 Accent 2"/>
    <w:basedOn w:val="Tablanormal"/>
    <w:uiPriority w:val="63"/>
    <w:rsid w:val="00676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Sinespaciado">
    <w:name w:val="No Spacing"/>
    <w:uiPriority w:val="1"/>
    <w:qFormat/>
    <w:rsid w:val="00676829"/>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aliases w:val="body text,bt"/>
    <w:basedOn w:val="Normal"/>
    <w:link w:val="TextoindependienteCar"/>
    <w:rsid w:val="00676829"/>
    <w:pPr>
      <w:jc w:val="both"/>
    </w:pPr>
    <w:rPr>
      <w:rFonts w:ascii="Arial" w:hAnsi="Arial"/>
      <w:szCs w:val="20"/>
      <w:lang w:val="es-ES" w:eastAsia="es-ES"/>
    </w:rPr>
  </w:style>
  <w:style w:type="character" w:customStyle="1" w:styleId="TextoindependienteCar">
    <w:name w:val="Texto independiente Car"/>
    <w:aliases w:val="body text Car,bt Car"/>
    <w:basedOn w:val="Fuentedeprrafopredeter"/>
    <w:link w:val="Textoindependiente"/>
    <w:rsid w:val="00676829"/>
    <w:rPr>
      <w:rFonts w:ascii="Arial" w:eastAsia="Times New Roman" w:hAnsi="Arial" w:cs="Times New Roman"/>
      <w:sz w:val="24"/>
      <w:szCs w:val="20"/>
      <w:lang w:val="es-ES" w:eastAsia="es-ES"/>
    </w:rPr>
  </w:style>
  <w:style w:type="paragraph" w:styleId="NormalWeb">
    <w:name w:val="Normal (Web)"/>
    <w:basedOn w:val="Normal"/>
    <w:uiPriority w:val="99"/>
    <w:unhideWhenUsed/>
    <w:rsid w:val="00676829"/>
    <w:pPr>
      <w:spacing w:before="100" w:beforeAutospacing="1" w:after="100" w:afterAutospacing="1"/>
    </w:pPr>
    <w:rPr>
      <w:rFonts w:eastAsiaTheme="minorEastAsia"/>
    </w:rPr>
  </w:style>
  <w:style w:type="paragraph" w:styleId="Textoindependiente3">
    <w:name w:val="Body Text 3"/>
    <w:basedOn w:val="Normal"/>
    <w:link w:val="Textoindependiente3Car"/>
    <w:unhideWhenUsed/>
    <w:rsid w:val="00676829"/>
    <w:pPr>
      <w:spacing w:after="120"/>
    </w:pPr>
    <w:rPr>
      <w:rFonts w:eastAsia="MS Mincho"/>
      <w:sz w:val="16"/>
      <w:szCs w:val="16"/>
      <w:lang w:val="es-ES" w:eastAsia="es-ES"/>
    </w:rPr>
  </w:style>
  <w:style w:type="character" w:customStyle="1" w:styleId="Textoindependiente3Car">
    <w:name w:val="Texto independiente 3 Car"/>
    <w:basedOn w:val="Fuentedeprrafopredeter"/>
    <w:link w:val="Textoindependiente3"/>
    <w:rsid w:val="00676829"/>
    <w:rPr>
      <w:rFonts w:ascii="Times New Roman" w:eastAsia="MS Mincho" w:hAnsi="Times New Roman" w:cs="Times New Roman"/>
      <w:sz w:val="16"/>
      <w:szCs w:val="16"/>
      <w:lang w:val="es-ES" w:eastAsia="es-ES"/>
    </w:rPr>
  </w:style>
  <w:style w:type="table" w:styleId="Cuadrculavistosa-nfasis2">
    <w:name w:val="Colorful Grid Accent 2"/>
    <w:basedOn w:val="Tablanormal"/>
    <w:uiPriority w:val="73"/>
    <w:rsid w:val="00676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ombreadovistoso-nfasis2">
    <w:name w:val="Colorful Shading Accent 2"/>
    <w:basedOn w:val="Tablanormal"/>
    <w:uiPriority w:val="71"/>
    <w:rsid w:val="0067682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uadrculamedia3-nfasis1">
    <w:name w:val="Medium Grid 3 Accent 1"/>
    <w:basedOn w:val="Tablanormal"/>
    <w:uiPriority w:val="69"/>
    <w:rsid w:val="00676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ms-rtethemeforecolor-5-01">
    <w:name w:val="ms-rtethemeforecolor-5-01"/>
    <w:basedOn w:val="Fuentedeprrafopredeter"/>
    <w:rsid w:val="00676829"/>
    <w:rPr>
      <w:color w:val="0072BC"/>
    </w:rPr>
  </w:style>
  <w:style w:type="paragraph" w:styleId="Lista2">
    <w:name w:val="List 2"/>
    <w:basedOn w:val="Normal"/>
    <w:uiPriority w:val="99"/>
    <w:unhideWhenUsed/>
    <w:rsid w:val="00676829"/>
    <w:pPr>
      <w:ind w:left="566" w:hanging="283"/>
      <w:contextualSpacing/>
    </w:pPr>
    <w:rPr>
      <w:lang w:val="es-ES" w:eastAsia="es-ES"/>
    </w:rPr>
  </w:style>
  <w:style w:type="paragraph" w:styleId="Continuarlista2">
    <w:name w:val="List Continue 2"/>
    <w:basedOn w:val="Normal"/>
    <w:uiPriority w:val="99"/>
    <w:unhideWhenUsed/>
    <w:rsid w:val="00676829"/>
    <w:pPr>
      <w:spacing w:after="120"/>
      <w:ind w:left="566"/>
      <w:contextualSpacing/>
    </w:pPr>
    <w:rPr>
      <w:lang w:val="es-ES" w:eastAsia="es-ES"/>
    </w:rPr>
  </w:style>
  <w:style w:type="paragraph" w:styleId="Descripcin">
    <w:name w:val="caption"/>
    <w:basedOn w:val="Normal"/>
    <w:next w:val="Normal"/>
    <w:uiPriority w:val="35"/>
    <w:unhideWhenUsed/>
    <w:qFormat/>
    <w:rsid w:val="00676829"/>
    <w:pPr>
      <w:spacing w:after="200"/>
    </w:pPr>
    <w:rPr>
      <w:b/>
      <w:bCs/>
      <w:color w:val="4F81BD" w:themeColor="accent1"/>
      <w:sz w:val="18"/>
      <w:szCs w:val="18"/>
      <w:lang w:val="es-ES" w:eastAsia="es-ES"/>
    </w:rPr>
  </w:style>
  <w:style w:type="paragraph" w:styleId="Puesto">
    <w:name w:val="Title"/>
    <w:basedOn w:val="Normal"/>
    <w:next w:val="Normal"/>
    <w:link w:val="PuestoCar"/>
    <w:uiPriority w:val="10"/>
    <w:qFormat/>
    <w:rsid w:val="006768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PuestoCar">
    <w:name w:val="Puesto Car"/>
    <w:basedOn w:val="Fuentedeprrafopredeter"/>
    <w:link w:val="Puesto"/>
    <w:uiPriority w:val="10"/>
    <w:rsid w:val="00676829"/>
    <w:rPr>
      <w:rFonts w:asciiTheme="majorHAnsi" w:eastAsiaTheme="majorEastAsia" w:hAnsiTheme="majorHAnsi" w:cstheme="majorBidi"/>
      <w:color w:val="17365D" w:themeColor="text2" w:themeShade="BF"/>
      <w:spacing w:val="5"/>
      <w:kern w:val="28"/>
      <w:sz w:val="52"/>
      <w:szCs w:val="52"/>
      <w:lang w:val="es-ES" w:eastAsia="es-ES"/>
    </w:rPr>
  </w:style>
  <w:style w:type="paragraph" w:styleId="Textonotaalfinal">
    <w:name w:val="endnote text"/>
    <w:basedOn w:val="Normal"/>
    <w:link w:val="TextonotaalfinalCar"/>
    <w:uiPriority w:val="99"/>
    <w:semiHidden/>
    <w:unhideWhenUsed/>
    <w:rsid w:val="00676829"/>
    <w:rPr>
      <w:sz w:val="20"/>
      <w:szCs w:val="20"/>
      <w:lang w:val="es-ES" w:eastAsia="es-ES"/>
    </w:rPr>
  </w:style>
  <w:style w:type="character" w:customStyle="1" w:styleId="TextonotaalfinalCar">
    <w:name w:val="Texto nota al final Car"/>
    <w:basedOn w:val="Fuentedeprrafopredeter"/>
    <w:link w:val="Textonotaalfinal"/>
    <w:uiPriority w:val="99"/>
    <w:semiHidden/>
    <w:rsid w:val="00676829"/>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76829"/>
    <w:rPr>
      <w:vertAlign w:val="superscript"/>
    </w:rPr>
  </w:style>
  <w:style w:type="table" w:styleId="Listavistosa-nfasis2">
    <w:name w:val="Colorful List Accent 2"/>
    <w:basedOn w:val="Tablanormal"/>
    <w:uiPriority w:val="72"/>
    <w:rsid w:val="0067682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ombreadoclaro">
    <w:name w:val="Light Shading"/>
    <w:basedOn w:val="Tablanormal"/>
    <w:uiPriority w:val="60"/>
    <w:rsid w:val="006768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676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clara">
    <w:name w:val="Light Grid"/>
    <w:basedOn w:val="Tablanormal"/>
    <w:uiPriority w:val="62"/>
    <w:rsid w:val="00676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ontinuarlista3">
    <w:name w:val="List Continue 3"/>
    <w:basedOn w:val="Normal"/>
    <w:uiPriority w:val="99"/>
    <w:unhideWhenUsed/>
    <w:rsid w:val="00676829"/>
    <w:pPr>
      <w:spacing w:after="120"/>
      <w:ind w:left="849"/>
      <w:contextualSpacing/>
    </w:pPr>
    <w:rPr>
      <w:lang w:val="es-ES" w:eastAsia="es-ES"/>
    </w:rPr>
  </w:style>
  <w:style w:type="table" w:styleId="Listavistosa-nfasis4">
    <w:name w:val="Colorful List Accent 4"/>
    <w:basedOn w:val="Tablanormal"/>
    <w:uiPriority w:val="72"/>
    <w:rsid w:val="0067682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3">
    <w:name w:val="Colorful List Accent 3"/>
    <w:basedOn w:val="Tablanormal"/>
    <w:uiPriority w:val="72"/>
    <w:rsid w:val="0067682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ombreadovistoso-nfasis6">
    <w:name w:val="Colorful Shading Accent 6"/>
    <w:basedOn w:val="Tablanormal"/>
    <w:uiPriority w:val="71"/>
    <w:rsid w:val="0067682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67682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2-nfasis5">
    <w:name w:val="Medium Grid 2 Accent 5"/>
    <w:basedOn w:val="Tablanormal"/>
    <w:uiPriority w:val="68"/>
    <w:rsid w:val="00676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ombreadomedio2-nfasis6">
    <w:name w:val="Medium Shading 2 Accent 6"/>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1-nfasis2">
    <w:name w:val="Medium Grid 1 Accent 2"/>
    <w:basedOn w:val="Tablanormal"/>
    <w:uiPriority w:val="67"/>
    <w:rsid w:val="00676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Estilo1">
    <w:name w:val="Estilo1"/>
    <w:basedOn w:val="Tablanormal"/>
    <w:uiPriority w:val="99"/>
    <w:rsid w:val="00676829"/>
    <w:pPr>
      <w:spacing w:after="0" w:line="240" w:lineRule="auto"/>
    </w:pPr>
    <w:tblPr/>
    <w:tcPr>
      <w:shd w:val="clear" w:color="auto" w:fill="E5B8B7" w:themeFill="accent2" w:themeFillTint="66"/>
    </w:tcPr>
  </w:style>
  <w:style w:type="table" w:customStyle="1" w:styleId="SENCILLO1">
    <w:name w:val="SENCILLO 1"/>
    <w:basedOn w:val="Tablamoderna"/>
    <w:uiPriority w:val="99"/>
    <w:rsid w:val="00676829"/>
    <w:rPr>
      <w:rFonts w:ascii="Arial" w:hAnsi="Arial"/>
      <w:sz w:val="20"/>
      <w:szCs w:val="20"/>
      <w:lang w:val="es-ES" w:eastAsia="es-CO"/>
    </w:rPr>
    <w:tblPr>
      <w:tblBorders>
        <w:insideH w:val="single" w:sz="4" w:space="0" w:color="4F81BD" w:themeColor="accent1"/>
        <w:insideV w:val="single" w:sz="4" w:space="0" w:color="4F81BD" w:themeColor="accent1"/>
      </w:tblBorders>
    </w:tblPr>
    <w:tcPr>
      <w:shd w:val="clear" w:color="auto" w:fill="000000" w:themeFill="text1"/>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moderna">
    <w:name w:val="Table Contemporary"/>
    <w:basedOn w:val="Tablanormal"/>
    <w:uiPriority w:val="99"/>
    <w:semiHidden/>
    <w:unhideWhenUsed/>
    <w:rsid w:val="0067682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uadrculaclara-nfasis4">
    <w:name w:val="Light Grid Accent 4"/>
    <w:basedOn w:val="Tablanormal"/>
    <w:uiPriority w:val="62"/>
    <w:rsid w:val="0067682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span">
    <w:name w:val="span"/>
    <w:basedOn w:val="Fuentedeprrafopredeter"/>
    <w:rsid w:val="0075647F"/>
  </w:style>
  <w:style w:type="character" w:styleId="Textodelmarcadordeposicin">
    <w:name w:val="Placeholder Text"/>
    <w:basedOn w:val="Fuentedeprrafopredeter"/>
    <w:uiPriority w:val="99"/>
    <w:semiHidden/>
    <w:rsid w:val="000A3C8C"/>
    <w:rPr>
      <w:color w:val="808080"/>
    </w:rPr>
  </w:style>
  <w:style w:type="character" w:customStyle="1" w:styleId="fontstyle01">
    <w:name w:val="fontstyle01"/>
    <w:basedOn w:val="Fuentedeprrafopredeter"/>
    <w:rsid w:val="002026B1"/>
    <w:rPr>
      <w:rFonts w:ascii="Helvetica" w:hAnsi="Helvetica" w:hint="default"/>
      <w:b w:val="0"/>
      <w:bCs w:val="0"/>
      <w:i w:val="0"/>
      <w:iCs w:val="0"/>
      <w:color w:val="000000"/>
      <w:sz w:val="22"/>
      <w:szCs w:val="22"/>
    </w:rPr>
  </w:style>
  <w:style w:type="table" w:styleId="Tabladelista3-nfasis5">
    <w:name w:val="List Table 3 Accent 5"/>
    <w:basedOn w:val="Tablanormal"/>
    <w:uiPriority w:val="48"/>
    <w:rsid w:val="001613A0"/>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7concolores-nfasis5">
    <w:name w:val="List Table 7 Colorful Accent 5"/>
    <w:basedOn w:val="Tablanormal"/>
    <w:uiPriority w:val="52"/>
    <w:rsid w:val="00991285"/>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1clara-nfasis5">
    <w:name w:val="Grid Table 1 Light Accent 5"/>
    <w:basedOn w:val="Tablanormal"/>
    <w:uiPriority w:val="46"/>
    <w:rsid w:val="00156F7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cuadrcula4-nfasis5">
    <w:name w:val="Grid Table 4 Accent 5"/>
    <w:basedOn w:val="Tablanormal"/>
    <w:uiPriority w:val="49"/>
    <w:rsid w:val="00221D4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5oscura-nfasis5">
    <w:name w:val="Grid Table 5 Dark Accent 5"/>
    <w:basedOn w:val="Tablanormal"/>
    <w:uiPriority w:val="50"/>
    <w:rsid w:val="00221D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7concolores-nfasis5">
    <w:name w:val="Grid Table 7 Colorful Accent 5"/>
    <w:basedOn w:val="Tablanormal"/>
    <w:uiPriority w:val="52"/>
    <w:rsid w:val="00221D4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cuadrcula6concolores-nfasis5">
    <w:name w:val="Grid Table 6 Colorful Accent 5"/>
    <w:basedOn w:val="Tablanormal"/>
    <w:uiPriority w:val="51"/>
    <w:rsid w:val="00782F3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fontstyle21">
    <w:name w:val="fontstyle21"/>
    <w:basedOn w:val="Fuentedeprrafopredeter"/>
    <w:rsid w:val="000F2A04"/>
    <w:rPr>
      <w:rFonts w:ascii="Helvetica" w:hAnsi="Helvetica" w:hint="default"/>
      <w:b w:val="0"/>
      <w:bCs w:val="0"/>
      <w:i w:val="0"/>
      <w:iCs w:val="0"/>
      <w:color w:val="000000"/>
      <w:sz w:val="24"/>
      <w:szCs w:val="24"/>
    </w:rPr>
  </w:style>
  <w:style w:type="table" w:styleId="Tabladecuadrcula2-nfasis5">
    <w:name w:val="Grid Table 2 Accent 5"/>
    <w:basedOn w:val="Tablanormal"/>
    <w:uiPriority w:val="47"/>
    <w:rsid w:val="001E521F"/>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Textoennegrita">
    <w:name w:val="Strong"/>
    <w:basedOn w:val="Fuentedeprrafopredeter"/>
    <w:uiPriority w:val="22"/>
    <w:qFormat/>
    <w:rsid w:val="008652EA"/>
    <w:rPr>
      <w:b/>
      <w:bCs/>
    </w:rPr>
  </w:style>
  <w:style w:type="table" w:styleId="Tabladelista4-nfasis5">
    <w:name w:val="List Table 4 Accent 5"/>
    <w:basedOn w:val="Tablanormal"/>
    <w:uiPriority w:val="49"/>
    <w:rsid w:val="0031783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3-nfasis5">
    <w:name w:val="Grid Table 3 Accent 5"/>
    <w:basedOn w:val="Tablanormal"/>
    <w:uiPriority w:val="48"/>
    <w:rsid w:val="002C44B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lista2-nfasis5">
    <w:name w:val="List Table 2 Accent 5"/>
    <w:basedOn w:val="Tablanormal"/>
    <w:uiPriority w:val="47"/>
    <w:rsid w:val="002C44B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5">
    <w:name w:val="List Table 1 Light Accent 5"/>
    <w:basedOn w:val="Tablanormal"/>
    <w:uiPriority w:val="46"/>
    <w:rsid w:val="00CB5600"/>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1clara-nfasis1">
    <w:name w:val="Grid Table 1 Light Accent 1"/>
    <w:basedOn w:val="Tablanormal"/>
    <w:uiPriority w:val="46"/>
    <w:rsid w:val="003649E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3649E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1">
    <w:name w:val="List Table 4 Accent 1"/>
    <w:basedOn w:val="Tablanormal"/>
    <w:uiPriority w:val="49"/>
    <w:rsid w:val="001A72B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1">
    <w:name w:val="List Table 6 Colorful Accent 1"/>
    <w:basedOn w:val="Tablanormal"/>
    <w:uiPriority w:val="51"/>
    <w:rsid w:val="00FF131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5oscura-nfasis1">
    <w:name w:val="Grid Table 5 Dark Accent 1"/>
    <w:basedOn w:val="Tablanormal"/>
    <w:uiPriority w:val="50"/>
    <w:rsid w:val="004C6B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CM196">
    <w:name w:val="CM196"/>
    <w:basedOn w:val="Default"/>
    <w:next w:val="Default"/>
    <w:uiPriority w:val="99"/>
    <w:rsid w:val="00BA5A93"/>
    <w:rPr>
      <w:color w:val="auto"/>
    </w:rPr>
  </w:style>
  <w:style w:type="table" w:styleId="Tablanormal2">
    <w:name w:val="Plain Table 2"/>
    <w:basedOn w:val="Tablanormal"/>
    <w:uiPriority w:val="42"/>
    <w:rsid w:val="00C17B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22">
    <w:name w:val="CM22"/>
    <w:basedOn w:val="Default"/>
    <w:next w:val="Default"/>
    <w:uiPriority w:val="99"/>
    <w:rsid w:val="0031214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722">
      <w:bodyDiv w:val="1"/>
      <w:marLeft w:val="0"/>
      <w:marRight w:val="0"/>
      <w:marTop w:val="0"/>
      <w:marBottom w:val="0"/>
      <w:divBdr>
        <w:top w:val="none" w:sz="0" w:space="0" w:color="auto"/>
        <w:left w:val="none" w:sz="0" w:space="0" w:color="auto"/>
        <w:bottom w:val="none" w:sz="0" w:space="0" w:color="auto"/>
        <w:right w:val="none" w:sz="0" w:space="0" w:color="auto"/>
      </w:divBdr>
    </w:div>
    <w:div w:id="15542630">
      <w:bodyDiv w:val="1"/>
      <w:marLeft w:val="0"/>
      <w:marRight w:val="0"/>
      <w:marTop w:val="0"/>
      <w:marBottom w:val="0"/>
      <w:divBdr>
        <w:top w:val="none" w:sz="0" w:space="0" w:color="auto"/>
        <w:left w:val="none" w:sz="0" w:space="0" w:color="auto"/>
        <w:bottom w:val="none" w:sz="0" w:space="0" w:color="auto"/>
        <w:right w:val="none" w:sz="0" w:space="0" w:color="auto"/>
      </w:divBdr>
    </w:div>
    <w:div w:id="20208488">
      <w:bodyDiv w:val="1"/>
      <w:marLeft w:val="0"/>
      <w:marRight w:val="0"/>
      <w:marTop w:val="0"/>
      <w:marBottom w:val="0"/>
      <w:divBdr>
        <w:top w:val="none" w:sz="0" w:space="0" w:color="auto"/>
        <w:left w:val="none" w:sz="0" w:space="0" w:color="auto"/>
        <w:bottom w:val="none" w:sz="0" w:space="0" w:color="auto"/>
        <w:right w:val="none" w:sz="0" w:space="0" w:color="auto"/>
      </w:divBdr>
    </w:div>
    <w:div w:id="29376799">
      <w:bodyDiv w:val="1"/>
      <w:marLeft w:val="0"/>
      <w:marRight w:val="0"/>
      <w:marTop w:val="0"/>
      <w:marBottom w:val="0"/>
      <w:divBdr>
        <w:top w:val="none" w:sz="0" w:space="0" w:color="auto"/>
        <w:left w:val="none" w:sz="0" w:space="0" w:color="auto"/>
        <w:bottom w:val="none" w:sz="0" w:space="0" w:color="auto"/>
        <w:right w:val="none" w:sz="0" w:space="0" w:color="auto"/>
      </w:divBdr>
    </w:div>
    <w:div w:id="32968561">
      <w:bodyDiv w:val="1"/>
      <w:marLeft w:val="0"/>
      <w:marRight w:val="0"/>
      <w:marTop w:val="0"/>
      <w:marBottom w:val="0"/>
      <w:divBdr>
        <w:top w:val="none" w:sz="0" w:space="0" w:color="auto"/>
        <w:left w:val="none" w:sz="0" w:space="0" w:color="auto"/>
        <w:bottom w:val="none" w:sz="0" w:space="0" w:color="auto"/>
        <w:right w:val="none" w:sz="0" w:space="0" w:color="auto"/>
      </w:divBdr>
    </w:div>
    <w:div w:id="34887012">
      <w:bodyDiv w:val="1"/>
      <w:marLeft w:val="0"/>
      <w:marRight w:val="0"/>
      <w:marTop w:val="0"/>
      <w:marBottom w:val="0"/>
      <w:divBdr>
        <w:top w:val="none" w:sz="0" w:space="0" w:color="auto"/>
        <w:left w:val="none" w:sz="0" w:space="0" w:color="auto"/>
        <w:bottom w:val="none" w:sz="0" w:space="0" w:color="auto"/>
        <w:right w:val="none" w:sz="0" w:space="0" w:color="auto"/>
      </w:divBdr>
    </w:div>
    <w:div w:id="37243616">
      <w:bodyDiv w:val="1"/>
      <w:marLeft w:val="0"/>
      <w:marRight w:val="0"/>
      <w:marTop w:val="0"/>
      <w:marBottom w:val="0"/>
      <w:divBdr>
        <w:top w:val="none" w:sz="0" w:space="0" w:color="auto"/>
        <w:left w:val="none" w:sz="0" w:space="0" w:color="auto"/>
        <w:bottom w:val="none" w:sz="0" w:space="0" w:color="auto"/>
        <w:right w:val="none" w:sz="0" w:space="0" w:color="auto"/>
      </w:divBdr>
    </w:div>
    <w:div w:id="45377411">
      <w:bodyDiv w:val="1"/>
      <w:marLeft w:val="0"/>
      <w:marRight w:val="0"/>
      <w:marTop w:val="0"/>
      <w:marBottom w:val="0"/>
      <w:divBdr>
        <w:top w:val="none" w:sz="0" w:space="0" w:color="auto"/>
        <w:left w:val="none" w:sz="0" w:space="0" w:color="auto"/>
        <w:bottom w:val="none" w:sz="0" w:space="0" w:color="auto"/>
        <w:right w:val="none" w:sz="0" w:space="0" w:color="auto"/>
      </w:divBdr>
    </w:div>
    <w:div w:id="46028625">
      <w:bodyDiv w:val="1"/>
      <w:marLeft w:val="0"/>
      <w:marRight w:val="0"/>
      <w:marTop w:val="0"/>
      <w:marBottom w:val="0"/>
      <w:divBdr>
        <w:top w:val="none" w:sz="0" w:space="0" w:color="auto"/>
        <w:left w:val="none" w:sz="0" w:space="0" w:color="auto"/>
        <w:bottom w:val="none" w:sz="0" w:space="0" w:color="auto"/>
        <w:right w:val="none" w:sz="0" w:space="0" w:color="auto"/>
      </w:divBdr>
    </w:div>
    <w:div w:id="51125907">
      <w:bodyDiv w:val="1"/>
      <w:marLeft w:val="0"/>
      <w:marRight w:val="0"/>
      <w:marTop w:val="0"/>
      <w:marBottom w:val="0"/>
      <w:divBdr>
        <w:top w:val="none" w:sz="0" w:space="0" w:color="auto"/>
        <w:left w:val="none" w:sz="0" w:space="0" w:color="auto"/>
        <w:bottom w:val="none" w:sz="0" w:space="0" w:color="auto"/>
        <w:right w:val="none" w:sz="0" w:space="0" w:color="auto"/>
      </w:divBdr>
    </w:div>
    <w:div w:id="52196362">
      <w:bodyDiv w:val="1"/>
      <w:marLeft w:val="0"/>
      <w:marRight w:val="0"/>
      <w:marTop w:val="0"/>
      <w:marBottom w:val="0"/>
      <w:divBdr>
        <w:top w:val="none" w:sz="0" w:space="0" w:color="auto"/>
        <w:left w:val="none" w:sz="0" w:space="0" w:color="auto"/>
        <w:bottom w:val="none" w:sz="0" w:space="0" w:color="auto"/>
        <w:right w:val="none" w:sz="0" w:space="0" w:color="auto"/>
      </w:divBdr>
    </w:div>
    <w:div w:id="52437088">
      <w:bodyDiv w:val="1"/>
      <w:marLeft w:val="0"/>
      <w:marRight w:val="0"/>
      <w:marTop w:val="0"/>
      <w:marBottom w:val="0"/>
      <w:divBdr>
        <w:top w:val="none" w:sz="0" w:space="0" w:color="auto"/>
        <w:left w:val="none" w:sz="0" w:space="0" w:color="auto"/>
        <w:bottom w:val="none" w:sz="0" w:space="0" w:color="auto"/>
        <w:right w:val="none" w:sz="0" w:space="0" w:color="auto"/>
      </w:divBdr>
    </w:div>
    <w:div w:id="55402318">
      <w:bodyDiv w:val="1"/>
      <w:marLeft w:val="0"/>
      <w:marRight w:val="0"/>
      <w:marTop w:val="0"/>
      <w:marBottom w:val="0"/>
      <w:divBdr>
        <w:top w:val="none" w:sz="0" w:space="0" w:color="auto"/>
        <w:left w:val="none" w:sz="0" w:space="0" w:color="auto"/>
        <w:bottom w:val="none" w:sz="0" w:space="0" w:color="auto"/>
        <w:right w:val="none" w:sz="0" w:space="0" w:color="auto"/>
      </w:divBdr>
    </w:div>
    <w:div w:id="68770407">
      <w:bodyDiv w:val="1"/>
      <w:marLeft w:val="0"/>
      <w:marRight w:val="0"/>
      <w:marTop w:val="0"/>
      <w:marBottom w:val="0"/>
      <w:divBdr>
        <w:top w:val="none" w:sz="0" w:space="0" w:color="auto"/>
        <w:left w:val="none" w:sz="0" w:space="0" w:color="auto"/>
        <w:bottom w:val="none" w:sz="0" w:space="0" w:color="auto"/>
        <w:right w:val="none" w:sz="0" w:space="0" w:color="auto"/>
      </w:divBdr>
    </w:div>
    <w:div w:id="74597624">
      <w:bodyDiv w:val="1"/>
      <w:marLeft w:val="0"/>
      <w:marRight w:val="0"/>
      <w:marTop w:val="0"/>
      <w:marBottom w:val="0"/>
      <w:divBdr>
        <w:top w:val="none" w:sz="0" w:space="0" w:color="auto"/>
        <w:left w:val="none" w:sz="0" w:space="0" w:color="auto"/>
        <w:bottom w:val="none" w:sz="0" w:space="0" w:color="auto"/>
        <w:right w:val="none" w:sz="0" w:space="0" w:color="auto"/>
      </w:divBdr>
    </w:div>
    <w:div w:id="83500790">
      <w:bodyDiv w:val="1"/>
      <w:marLeft w:val="0"/>
      <w:marRight w:val="0"/>
      <w:marTop w:val="0"/>
      <w:marBottom w:val="0"/>
      <w:divBdr>
        <w:top w:val="none" w:sz="0" w:space="0" w:color="auto"/>
        <w:left w:val="none" w:sz="0" w:space="0" w:color="auto"/>
        <w:bottom w:val="none" w:sz="0" w:space="0" w:color="auto"/>
        <w:right w:val="none" w:sz="0" w:space="0" w:color="auto"/>
      </w:divBdr>
    </w:div>
    <w:div w:id="85735997">
      <w:bodyDiv w:val="1"/>
      <w:marLeft w:val="0"/>
      <w:marRight w:val="0"/>
      <w:marTop w:val="0"/>
      <w:marBottom w:val="0"/>
      <w:divBdr>
        <w:top w:val="none" w:sz="0" w:space="0" w:color="auto"/>
        <w:left w:val="none" w:sz="0" w:space="0" w:color="auto"/>
        <w:bottom w:val="none" w:sz="0" w:space="0" w:color="auto"/>
        <w:right w:val="none" w:sz="0" w:space="0" w:color="auto"/>
      </w:divBdr>
    </w:div>
    <w:div w:id="93786404">
      <w:bodyDiv w:val="1"/>
      <w:marLeft w:val="0"/>
      <w:marRight w:val="0"/>
      <w:marTop w:val="0"/>
      <w:marBottom w:val="0"/>
      <w:divBdr>
        <w:top w:val="none" w:sz="0" w:space="0" w:color="auto"/>
        <w:left w:val="none" w:sz="0" w:space="0" w:color="auto"/>
        <w:bottom w:val="none" w:sz="0" w:space="0" w:color="auto"/>
        <w:right w:val="none" w:sz="0" w:space="0" w:color="auto"/>
      </w:divBdr>
    </w:div>
    <w:div w:id="98449593">
      <w:bodyDiv w:val="1"/>
      <w:marLeft w:val="0"/>
      <w:marRight w:val="0"/>
      <w:marTop w:val="0"/>
      <w:marBottom w:val="0"/>
      <w:divBdr>
        <w:top w:val="none" w:sz="0" w:space="0" w:color="auto"/>
        <w:left w:val="none" w:sz="0" w:space="0" w:color="auto"/>
        <w:bottom w:val="none" w:sz="0" w:space="0" w:color="auto"/>
        <w:right w:val="none" w:sz="0" w:space="0" w:color="auto"/>
      </w:divBdr>
    </w:div>
    <w:div w:id="113721502">
      <w:bodyDiv w:val="1"/>
      <w:marLeft w:val="0"/>
      <w:marRight w:val="0"/>
      <w:marTop w:val="0"/>
      <w:marBottom w:val="0"/>
      <w:divBdr>
        <w:top w:val="none" w:sz="0" w:space="0" w:color="auto"/>
        <w:left w:val="none" w:sz="0" w:space="0" w:color="auto"/>
        <w:bottom w:val="none" w:sz="0" w:space="0" w:color="auto"/>
        <w:right w:val="none" w:sz="0" w:space="0" w:color="auto"/>
      </w:divBdr>
    </w:div>
    <w:div w:id="118230365">
      <w:bodyDiv w:val="1"/>
      <w:marLeft w:val="0"/>
      <w:marRight w:val="0"/>
      <w:marTop w:val="0"/>
      <w:marBottom w:val="0"/>
      <w:divBdr>
        <w:top w:val="none" w:sz="0" w:space="0" w:color="auto"/>
        <w:left w:val="none" w:sz="0" w:space="0" w:color="auto"/>
        <w:bottom w:val="none" w:sz="0" w:space="0" w:color="auto"/>
        <w:right w:val="none" w:sz="0" w:space="0" w:color="auto"/>
      </w:divBdr>
    </w:div>
    <w:div w:id="121045232">
      <w:bodyDiv w:val="1"/>
      <w:marLeft w:val="0"/>
      <w:marRight w:val="0"/>
      <w:marTop w:val="0"/>
      <w:marBottom w:val="0"/>
      <w:divBdr>
        <w:top w:val="none" w:sz="0" w:space="0" w:color="auto"/>
        <w:left w:val="none" w:sz="0" w:space="0" w:color="auto"/>
        <w:bottom w:val="none" w:sz="0" w:space="0" w:color="auto"/>
        <w:right w:val="none" w:sz="0" w:space="0" w:color="auto"/>
      </w:divBdr>
    </w:div>
    <w:div w:id="124932047">
      <w:bodyDiv w:val="1"/>
      <w:marLeft w:val="0"/>
      <w:marRight w:val="0"/>
      <w:marTop w:val="0"/>
      <w:marBottom w:val="0"/>
      <w:divBdr>
        <w:top w:val="none" w:sz="0" w:space="0" w:color="auto"/>
        <w:left w:val="none" w:sz="0" w:space="0" w:color="auto"/>
        <w:bottom w:val="none" w:sz="0" w:space="0" w:color="auto"/>
        <w:right w:val="none" w:sz="0" w:space="0" w:color="auto"/>
      </w:divBdr>
    </w:div>
    <w:div w:id="130366434">
      <w:bodyDiv w:val="1"/>
      <w:marLeft w:val="0"/>
      <w:marRight w:val="0"/>
      <w:marTop w:val="0"/>
      <w:marBottom w:val="0"/>
      <w:divBdr>
        <w:top w:val="none" w:sz="0" w:space="0" w:color="auto"/>
        <w:left w:val="none" w:sz="0" w:space="0" w:color="auto"/>
        <w:bottom w:val="none" w:sz="0" w:space="0" w:color="auto"/>
        <w:right w:val="none" w:sz="0" w:space="0" w:color="auto"/>
      </w:divBdr>
    </w:div>
    <w:div w:id="135225110">
      <w:bodyDiv w:val="1"/>
      <w:marLeft w:val="0"/>
      <w:marRight w:val="0"/>
      <w:marTop w:val="0"/>
      <w:marBottom w:val="0"/>
      <w:divBdr>
        <w:top w:val="none" w:sz="0" w:space="0" w:color="auto"/>
        <w:left w:val="none" w:sz="0" w:space="0" w:color="auto"/>
        <w:bottom w:val="none" w:sz="0" w:space="0" w:color="auto"/>
        <w:right w:val="none" w:sz="0" w:space="0" w:color="auto"/>
      </w:divBdr>
    </w:div>
    <w:div w:id="136999538">
      <w:bodyDiv w:val="1"/>
      <w:marLeft w:val="0"/>
      <w:marRight w:val="0"/>
      <w:marTop w:val="0"/>
      <w:marBottom w:val="0"/>
      <w:divBdr>
        <w:top w:val="none" w:sz="0" w:space="0" w:color="auto"/>
        <w:left w:val="none" w:sz="0" w:space="0" w:color="auto"/>
        <w:bottom w:val="none" w:sz="0" w:space="0" w:color="auto"/>
        <w:right w:val="none" w:sz="0" w:space="0" w:color="auto"/>
      </w:divBdr>
    </w:div>
    <w:div w:id="141235017">
      <w:bodyDiv w:val="1"/>
      <w:marLeft w:val="0"/>
      <w:marRight w:val="0"/>
      <w:marTop w:val="0"/>
      <w:marBottom w:val="0"/>
      <w:divBdr>
        <w:top w:val="none" w:sz="0" w:space="0" w:color="auto"/>
        <w:left w:val="none" w:sz="0" w:space="0" w:color="auto"/>
        <w:bottom w:val="none" w:sz="0" w:space="0" w:color="auto"/>
        <w:right w:val="none" w:sz="0" w:space="0" w:color="auto"/>
      </w:divBdr>
    </w:div>
    <w:div w:id="142552218">
      <w:bodyDiv w:val="1"/>
      <w:marLeft w:val="0"/>
      <w:marRight w:val="0"/>
      <w:marTop w:val="0"/>
      <w:marBottom w:val="0"/>
      <w:divBdr>
        <w:top w:val="none" w:sz="0" w:space="0" w:color="auto"/>
        <w:left w:val="none" w:sz="0" w:space="0" w:color="auto"/>
        <w:bottom w:val="none" w:sz="0" w:space="0" w:color="auto"/>
        <w:right w:val="none" w:sz="0" w:space="0" w:color="auto"/>
      </w:divBdr>
      <w:divsChild>
        <w:div w:id="1237125951">
          <w:marLeft w:val="547"/>
          <w:marRight w:val="0"/>
          <w:marTop w:val="0"/>
          <w:marBottom w:val="0"/>
          <w:divBdr>
            <w:top w:val="none" w:sz="0" w:space="0" w:color="auto"/>
            <w:left w:val="none" w:sz="0" w:space="0" w:color="auto"/>
            <w:bottom w:val="none" w:sz="0" w:space="0" w:color="auto"/>
            <w:right w:val="none" w:sz="0" w:space="0" w:color="auto"/>
          </w:divBdr>
        </w:div>
      </w:divsChild>
    </w:div>
    <w:div w:id="149904456">
      <w:bodyDiv w:val="1"/>
      <w:marLeft w:val="0"/>
      <w:marRight w:val="0"/>
      <w:marTop w:val="0"/>
      <w:marBottom w:val="0"/>
      <w:divBdr>
        <w:top w:val="none" w:sz="0" w:space="0" w:color="auto"/>
        <w:left w:val="none" w:sz="0" w:space="0" w:color="auto"/>
        <w:bottom w:val="none" w:sz="0" w:space="0" w:color="auto"/>
        <w:right w:val="none" w:sz="0" w:space="0" w:color="auto"/>
      </w:divBdr>
    </w:div>
    <w:div w:id="154928236">
      <w:bodyDiv w:val="1"/>
      <w:marLeft w:val="0"/>
      <w:marRight w:val="0"/>
      <w:marTop w:val="0"/>
      <w:marBottom w:val="0"/>
      <w:divBdr>
        <w:top w:val="none" w:sz="0" w:space="0" w:color="auto"/>
        <w:left w:val="none" w:sz="0" w:space="0" w:color="auto"/>
        <w:bottom w:val="none" w:sz="0" w:space="0" w:color="auto"/>
        <w:right w:val="none" w:sz="0" w:space="0" w:color="auto"/>
      </w:divBdr>
    </w:div>
    <w:div w:id="159736369">
      <w:bodyDiv w:val="1"/>
      <w:marLeft w:val="0"/>
      <w:marRight w:val="0"/>
      <w:marTop w:val="0"/>
      <w:marBottom w:val="0"/>
      <w:divBdr>
        <w:top w:val="none" w:sz="0" w:space="0" w:color="auto"/>
        <w:left w:val="none" w:sz="0" w:space="0" w:color="auto"/>
        <w:bottom w:val="none" w:sz="0" w:space="0" w:color="auto"/>
        <w:right w:val="none" w:sz="0" w:space="0" w:color="auto"/>
      </w:divBdr>
    </w:div>
    <w:div w:id="162791953">
      <w:bodyDiv w:val="1"/>
      <w:marLeft w:val="0"/>
      <w:marRight w:val="0"/>
      <w:marTop w:val="0"/>
      <w:marBottom w:val="0"/>
      <w:divBdr>
        <w:top w:val="none" w:sz="0" w:space="0" w:color="auto"/>
        <w:left w:val="none" w:sz="0" w:space="0" w:color="auto"/>
        <w:bottom w:val="none" w:sz="0" w:space="0" w:color="auto"/>
        <w:right w:val="none" w:sz="0" w:space="0" w:color="auto"/>
      </w:divBdr>
    </w:div>
    <w:div w:id="163591555">
      <w:bodyDiv w:val="1"/>
      <w:marLeft w:val="0"/>
      <w:marRight w:val="0"/>
      <w:marTop w:val="0"/>
      <w:marBottom w:val="0"/>
      <w:divBdr>
        <w:top w:val="none" w:sz="0" w:space="0" w:color="auto"/>
        <w:left w:val="none" w:sz="0" w:space="0" w:color="auto"/>
        <w:bottom w:val="none" w:sz="0" w:space="0" w:color="auto"/>
        <w:right w:val="none" w:sz="0" w:space="0" w:color="auto"/>
      </w:divBdr>
    </w:div>
    <w:div w:id="171262611">
      <w:bodyDiv w:val="1"/>
      <w:marLeft w:val="0"/>
      <w:marRight w:val="0"/>
      <w:marTop w:val="0"/>
      <w:marBottom w:val="0"/>
      <w:divBdr>
        <w:top w:val="none" w:sz="0" w:space="0" w:color="auto"/>
        <w:left w:val="none" w:sz="0" w:space="0" w:color="auto"/>
        <w:bottom w:val="none" w:sz="0" w:space="0" w:color="auto"/>
        <w:right w:val="none" w:sz="0" w:space="0" w:color="auto"/>
      </w:divBdr>
    </w:div>
    <w:div w:id="199826956">
      <w:bodyDiv w:val="1"/>
      <w:marLeft w:val="0"/>
      <w:marRight w:val="0"/>
      <w:marTop w:val="0"/>
      <w:marBottom w:val="0"/>
      <w:divBdr>
        <w:top w:val="none" w:sz="0" w:space="0" w:color="auto"/>
        <w:left w:val="none" w:sz="0" w:space="0" w:color="auto"/>
        <w:bottom w:val="none" w:sz="0" w:space="0" w:color="auto"/>
        <w:right w:val="none" w:sz="0" w:space="0" w:color="auto"/>
      </w:divBdr>
    </w:div>
    <w:div w:id="223181146">
      <w:bodyDiv w:val="1"/>
      <w:marLeft w:val="0"/>
      <w:marRight w:val="0"/>
      <w:marTop w:val="0"/>
      <w:marBottom w:val="0"/>
      <w:divBdr>
        <w:top w:val="none" w:sz="0" w:space="0" w:color="auto"/>
        <w:left w:val="none" w:sz="0" w:space="0" w:color="auto"/>
        <w:bottom w:val="none" w:sz="0" w:space="0" w:color="auto"/>
        <w:right w:val="none" w:sz="0" w:space="0" w:color="auto"/>
      </w:divBdr>
    </w:div>
    <w:div w:id="225846202">
      <w:bodyDiv w:val="1"/>
      <w:marLeft w:val="0"/>
      <w:marRight w:val="0"/>
      <w:marTop w:val="0"/>
      <w:marBottom w:val="0"/>
      <w:divBdr>
        <w:top w:val="none" w:sz="0" w:space="0" w:color="auto"/>
        <w:left w:val="none" w:sz="0" w:space="0" w:color="auto"/>
        <w:bottom w:val="none" w:sz="0" w:space="0" w:color="auto"/>
        <w:right w:val="none" w:sz="0" w:space="0" w:color="auto"/>
      </w:divBdr>
    </w:div>
    <w:div w:id="232157470">
      <w:bodyDiv w:val="1"/>
      <w:marLeft w:val="0"/>
      <w:marRight w:val="0"/>
      <w:marTop w:val="0"/>
      <w:marBottom w:val="0"/>
      <w:divBdr>
        <w:top w:val="none" w:sz="0" w:space="0" w:color="auto"/>
        <w:left w:val="none" w:sz="0" w:space="0" w:color="auto"/>
        <w:bottom w:val="none" w:sz="0" w:space="0" w:color="auto"/>
        <w:right w:val="none" w:sz="0" w:space="0" w:color="auto"/>
      </w:divBdr>
    </w:div>
    <w:div w:id="232357602">
      <w:bodyDiv w:val="1"/>
      <w:marLeft w:val="0"/>
      <w:marRight w:val="0"/>
      <w:marTop w:val="0"/>
      <w:marBottom w:val="0"/>
      <w:divBdr>
        <w:top w:val="none" w:sz="0" w:space="0" w:color="auto"/>
        <w:left w:val="none" w:sz="0" w:space="0" w:color="auto"/>
        <w:bottom w:val="none" w:sz="0" w:space="0" w:color="auto"/>
        <w:right w:val="none" w:sz="0" w:space="0" w:color="auto"/>
      </w:divBdr>
    </w:div>
    <w:div w:id="234511860">
      <w:bodyDiv w:val="1"/>
      <w:marLeft w:val="0"/>
      <w:marRight w:val="0"/>
      <w:marTop w:val="0"/>
      <w:marBottom w:val="0"/>
      <w:divBdr>
        <w:top w:val="none" w:sz="0" w:space="0" w:color="auto"/>
        <w:left w:val="none" w:sz="0" w:space="0" w:color="auto"/>
        <w:bottom w:val="none" w:sz="0" w:space="0" w:color="auto"/>
        <w:right w:val="none" w:sz="0" w:space="0" w:color="auto"/>
      </w:divBdr>
    </w:div>
    <w:div w:id="236210284">
      <w:bodyDiv w:val="1"/>
      <w:marLeft w:val="0"/>
      <w:marRight w:val="0"/>
      <w:marTop w:val="0"/>
      <w:marBottom w:val="0"/>
      <w:divBdr>
        <w:top w:val="none" w:sz="0" w:space="0" w:color="auto"/>
        <w:left w:val="none" w:sz="0" w:space="0" w:color="auto"/>
        <w:bottom w:val="none" w:sz="0" w:space="0" w:color="auto"/>
        <w:right w:val="none" w:sz="0" w:space="0" w:color="auto"/>
      </w:divBdr>
    </w:div>
    <w:div w:id="237176759">
      <w:bodyDiv w:val="1"/>
      <w:marLeft w:val="0"/>
      <w:marRight w:val="0"/>
      <w:marTop w:val="0"/>
      <w:marBottom w:val="0"/>
      <w:divBdr>
        <w:top w:val="none" w:sz="0" w:space="0" w:color="auto"/>
        <w:left w:val="none" w:sz="0" w:space="0" w:color="auto"/>
        <w:bottom w:val="none" w:sz="0" w:space="0" w:color="auto"/>
        <w:right w:val="none" w:sz="0" w:space="0" w:color="auto"/>
      </w:divBdr>
    </w:div>
    <w:div w:id="241838545">
      <w:bodyDiv w:val="1"/>
      <w:marLeft w:val="0"/>
      <w:marRight w:val="0"/>
      <w:marTop w:val="0"/>
      <w:marBottom w:val="0"/>
      <w:divBdr>
        <w:top w:val="none" w:sz="0" w:space="0" w:color="auto"/>
        <w:left w:val="none" w:sz="0" w:space="0" w:color="auto"/>
        <w:bottom w:val="none" w:sz="0" w:space="0" w:color="auto"/>
        <w:right w:val="none" w:sz="0" w:space="0" w:color="auto"/>
      </w:divBdr>
    </w:div>
    <w:div w:id="244729558">
      <w:bodyDiv w:val="1"/>
      <w:marLeft w:val="0"/>
      <w:marRight w:val="0"/>
      <w:marTop w:val="0"/>
      <w:marBottom w:val="0"/>
      <w:divBdr>
        <w:top w:val="none" w:sz="0" w:space="0" w:color="auto"/>
        <w:left w:val="none" w:sz="0" w:space="0" w:color="auto"/>
        <w:bottom w:val="none" w:sz="0" w:space="0" w:color="auto"/>
        <w:right w:val="none" w:sz="0" w:space="0" w:color="auto"/>
      </w:divBdr>
    </w:div>
    <w:div w:id="246766570">
      <w:bodyDiv w:val="1"/>
      <w:marLeft w:val="0"/>
      <w:marRight w:val="0"/>
      <w:marTop w:val="0"/>
      <w:marBottom w:val="0"/>
      <w:divBdr>
        <w:top w:val="none" w:sz="0" w:space="0" w:color="auto"/>
        <w:left w:val="none" w:sz="0" w:space="0" w:color="auto"/>
        <w:bottom w:val="none" w:sz="0" w:space="0" w:color="auto"/>
        <w:right w:val="none" w:sz="0" w:space="0" w:color="auto"/>
      </w:divBdr>
      <w:divsChild>
        <w:div w:id="925651300">
          <w:marLeft w:val="547"/>
          <w:marRight w:val="0"/>
          <w:marTop w:val="0"/>
          <w:marBottom w:val="0"/>
          <w:divBdr>
            <w:top w:val="none" w:sz="0" w:space="0" w:color="auto"/>
            <w:left w:val="none" w:sz="0" w:space="0" w:color="auto"/>
            <w:bottom w:val="none" w:sz="0" w:space="0" w:color="auto"/>
            <w:right w:val="none" w:sz="0" w:space="0" w:color="auto"/>
          </w:divBdr>
        </w:div>
      </w:divsChild>
    </w:div>
    <w:div w:id="252782855">
      <w:bodyDiv w:val="1"/>
      <w:marLeft w:val="0"/>
      <w:marRight w:val="0"/>
      <w:marTop w:val="0"/>
      <w:marBottom w:val="0"/>
      <w:divBdr>
        <w:top w:val="none" w:sz="0" w:space="0" w:color="auto"/>
        <w:left w:val="none" w:sz="0" w:space="0" w:color="auto"/>
        <w:bottom w:val="none" w:sz="0" w:space="0" w:color="auto"/>
        <w:right w:val="none" w:sz="0" w:space="0" w:color="auto"/>
      </w:divBdr>
    </w:div>
    <w:div w:id="254440986">
      <w:bodyDiv w:val="1"/>
      <w:marLeft w:val="0"/>
      <w:marRight w:val="0"/>
      <w:marTop w:val="0"/>
      <w:marBottom w:val="0"/>
      <w:divBdr>
        <w:top w:val="none" w:sz="0" w:space="0" w:color="auto"/>
        <w:left w:val="none" w:sz="0" w:space="0" w:color="auto"/>
        <w:bottom w:val="none" w:sz="0" w:space="0" w:color="auto"/>
        <w:right w:val="none" w:sz="0" w:space="0" w:color="auto"/>
      </w:divBdr>
    </w:div>
    <w:div w:id="254676740">
      <w:bodyDiv w:val="1"/>
      <w:marLeft w:val="0"/>
      <w:marRight w:val="0"/>
      <w:marTop w:val="0"/>
      <w:marBottom w:val="0"/>
      <w:divBdr>
        <w:top w:val="none" w:sz="0" w:space="0" w:color="auto"/>
        <w:left w:val="none" w:sz="0" w:space="0" w:color="auto"/>
        <w:bottom w:val="none" w:sz="0" w:space="0" w:color="auto"/>
        <w:right w:val="none" w:sz="0" w:space="0" w:color="auto"/>
      </w:divBdr>
    </w:div>
    <w:div w:id="267546728">
      <w:bodyDiv w:val="1"/>
      <w:marLeft w:val="0"/>
      <w:marRight w:val="0"/>
      <w:marTop w:val="0"/>
      <w:marBottom w:val="0"/>
      <w:divBdr>
        <w:top w:val="none" w:sz="0" w:space="0" w:color="auto"/>
        <w:left w:val="none" w:sz="0" w:space="0" w:color="auto"/>
        <w:bottom w:val="none" w:sz="0" w:space="0" w:color="auto"/>
        <w:right w:val="none" w:sz="0" w:space="0" w:color="auto"/>
      </w:divBdr>
    </w:div>
    <w:div w:id="270012974">
      <w:bodyDiv w:val="1"/>
      <w:marLeft w:val="0"/>
      <w:marRight w:val="0"/>
      <w:marTop w:val="0"/>
      <w:marBottom w:val="0"/>
      <w:divBdr>
        <w:top w:val="none" w:sz="0" w:space="0" w:color="auto"/>
        <w:left w:val="none" w:sz="0" w:space="0" w:color="auto"/>
        <w:bottom w:val="none" w:sz="0" w:space="0" w:color="auto"/>
        <w:right w:val="none" w:sz="0" w:space="0" w:color="auto"/>
      </w:divBdr>
    </w:div>
    <w:div w:id="285619490">
      <w:bodyDiv w:val="1"/>
      <w:marLeft w:val="0"/>
      <w:marRight w:val="0"/>
      <w:marTop w:val="0"/>
      <w:marBottom w:val="0"/>
      <w:divBdr>
        <w:top w:val="none" w:sz="0" w:space="0" w:color="auto"/>
        <w:left w:val="none" w:sz="0" w:space="0" w:color="auto"/>
        <w:bottom w:val="none" w:sz="0" w:space="0" w:color="auto"/>
        <w:right w:val="none" w:sz="0" w:space="0" w:color="auto"/>
      </w:divBdr>
    </w:div>
    <w:div w:id="288171751">
      <w:bodyDiv w:val="1"/>
      <w:marLeft w:val="0"/>
      <w:marRight w:val="0"/>
      <w:marTop w:val="0"/>
      <w:marBottom w:val="0"/>
      <w:divBdr>
        <w:top w:val="none" w:sz="0" w:space="0" w:color="auto"/>
        <w:left w:val="none" w:sz="0" w:space="0" w:color="auto"/>
        <w:bottom w:val="none" w:sz="0" w:space="0" w:color="auto"/>
        <w:right w:val="none" w:sz="0" w:space="0" w:color="auto"/>
      </w:divBdr>
    </w:div>
    <w:div w:id="291519866">
      <w:bodyDiv w:val="1"/>
      <w:marLeft w:val="0"/>
      <w:marRight w:val="0"/>
      <w:marTop w:val="0"/>
      <w:marBottom w:val="0"/>
      <w:divBdr>
        <w:top w:val="none" w:sz="0" w:space="0" w:color="auto"/>
        <w:left w:val="none" w:sz="0" w:space="0" w:color="auto"/>
        <w:bottom w:val="none" w:sz="0" w:space="0" w:color="auto"/>
        <w:right w:val="none" w:sz="0" w:space="0" w:color="auto"/>
      </w:divBdr>
    </w:div>
    <w:div w:id="299458728">
      <w:bodyDiv w:val="1"/>
      <w:marLeft w:val="0"/>
      <w:marRight w:val="0"/>
      <w:marTop w:val="0"/>
      <w:marBottom w:val="0"/>
      <w:divBdr>
        <w:top w:val="none" w:sz="0" w:space="0" w:color="auto"/>
        <w:left w:val="none" w:sz="0" w:space="0" w:color="auto"/>
        <w:bottom w:val="none" w:sz="0" w:space="0" w:color="auto"/>
        <w:right w:val="none" w:sz="0" w:space="0" w:color="auto"/>
      </w:divBdr>
    </w:div>
    <w:div w:id="310213896">
      <w:bodyDiv w:val="1"/>
      <w:marLeft w:val="0"/>
      <w:marRight w:val="0"/>
      <w:marTop w:val="0"/>
      <w:marBottom w:val="0"/>
      <w:divBdr>
        <w:top w:val="none" w:sz="0" w:space="0" w:color="auto"/>
        <w:left w:val="none" w:sz="0" w:space="0" w:color="auto"/>
        <w:bottom w:val="none" w:sz="0" w:space="0" w:color="auto"/>
        <w:right w:val="none" w:sz="0" w:space="0" w:color="auto"/>
      </w:divBdr>
    </w:div>
    <w:div w:id="317613346">
      <w:bodyDiv w:val="1"/>
      <w:marLeft w:val="0"/>
      <w:marRight w:val="0"/>
      <w:marTop w:val="0"/>
      <w:marBottom w:val="0"/>
      <w:divBdr>
        <w:top w:val="none" w:sz="0" w:space="0" w:color="auto"/>
        <w:left w:val="none" w:sz="0" w:space="0" w:color="auto"/>
        <w:bottom w:val="none" w:sz="0" w:space="0" w:color="auto"/>
        <w:right w:val="none" w:sz="0" w:space="0" w:color="auto"/>
      </w:divBdr>
    </w:div>
    <w:div w:id="318467125">
      <w:bodyDiv w:val="1"/>
      <w:marLeft w:val="0"/>
      <w:marRight w:val="0"/>
      <w:marTop w:val="0"/>
      <w:marBottom w:val="0"/>
      <w:divBdr>
        <w:top w:val="none" w:sz="0" w:space="0" w:color="auto"/>
        <w:left w:val="none" w:sz="0" w:space="0" w:color="auto"/>
        <w:bottom w:val="none" w:sz="0" w:space="0" w:color="auto"/>
        <w:right w:val="none" w:sz="0" w:space="0" w:color="auto"/>
      </w:divBdr>
    </w:div>
    <w:div w:id="321854626">
      <w:bodyDiv w:val="1"/>
      <w:marLeft w:val="0"/>
      <w:marRight w:val="0"/>
      <w:marTop w:val="0"/>
      <w:marBottom w:val="0"/>
      <w:divBdr>
        <w:top w:val="none" w:sz="0" w:space="0" w:color="auto"/>
        <w:left w:val="none" w:sz="0" w:space="0" w:color="auto"/>
        <w:bottom w:val="none" w:sz="0" w:space="0" w:color="auto"/>
        <w:right w:val="none" w:sz="0" w:space="0" w:color="auto"/>
      </w:divBdr>
    </w:div>
    <w:div w:id="324940207">
      <w:bodyDiv w:val="1"/>
      <w:marLeft w:val="0"/>
      <w:marRight w:val="0"/>
      <w:marTop w:val="0"/>
      <w:marBottom w:val="0"/>
      <w:divBdr>
        <w:top w:val="none" w:sz="0" w:space="0" w:color="auto"/>
        <w:left w:val="none" w:sz="0" w:space="0" w:color="auto"/>
        <w:bottom w:val="none" w:sz="0" w:space="0" w:color="auto"/>
        <w:right w:val="none" w:sz="0" w:space="0" w:color="auto"/>
      </w:divBdr>
    </w:div>
    <w:div w:id="334261538">
      <w:bodyDiv w:val="1"/>
      <w:marLeft w:val="0"/>
      <w:marRight w:val="0"/>
      <w:marTop w:val="0"/>
      <w:marBottom w:val="0"/>
      <w:divBdr>
        <w:top w:val="none" w:sz="0" w:space="0" w:color="auto"/>
        <w:left w:val="none" w:sz="0" w:space="0" w:color="auto"/>
        <w:bottom w:val="none" w:sz="0" w:space="0" w:color="auto"/>
        <w:right w:val="none" w:sz="0" w:space="0" w:color="auto"/>
      </w:divBdr>
    </w:div>
    <w:div w:id="336737524">
      <w:bodyDiv w:val="1"/>
      <w:marLeft w:val="0"/>
      <w:marRight w:val="0"/>
      <w:marTop w:val="0"/>
      <w:marBottom w:val="0"/>
      <w:divBdr>
        <w:top w:val="none" w:sz="0" w:space="0" w:color="auto"/>
        <w:left w:val="none" w:sz="0" w:space="0" w:color="auto"/>
        <w:bottom w:val="none" w:sz="0" w:space="0" w:color="auto"/>
        <w:right w:val="none" w:sz="0" w:space="0" w:color="auto"/>
      </w:divBdr>
    </w:div>
    <w:div w:id="339699956">
      <w:bodyDiv w:val="1"/>
      <w:marLeft w:val="0"/>
      <w:marRight w:val="0"/>
      <w:marTop w:val="0"/>
      <w:marBottom w:val="0"/>
      <w:divBdr>
        <w:top w:val="none" w:sz="0" w:space="0" w:color="auto"/>
        <w:left w:val="none" w:sz="0" w:space="0" w:color="auto"/>
        <w:bottom w:val="none" w:sz="0" w:space="0" w:color="auto"/>
        <w:right w:val="none" w:sz="0" w:space="0" w:color="auto"/>
      </w:divBdr>
    </w:div>
    <w:div w:id="341706671">
      <w:bodyDiv w:val="1"/>
      <w:marLeft w:val="0"/>
      <w:marRight w:val="0"/>
      <w:marTop w:val="0"/>
      <w:marBottom w:val="0"/>
      <w:divBdr>
        <w:top w:val="none" w:sz="0" w:space="0" w:color="auto"/>
        <w:left w:val="none" w:sz="0" w:space="0" w:color="auto"/>
        <w:bottom w:val="none" w:sz="0" w:space="0" w:color="auto"/>
        <w:right w:val="none" w:sz="0" w:space="0" w:color="auto"/>
      </w:divBdr>
    </w:div>
    <w:div w:id="342439029">
      <w:bodyDiv w:val="1"/>
      <w:marLeft w:val="0"/>
      <w:marRight w:val="0"/>
      <w:marTop w:val="0"/>
      <w:marBottom w:val="0"/>
      <w:divBdr>
        <w:top w:val="none" w:sz="0" w:space="0" w:color="auto"/>
        <w:left w:val="none" w:sz="0" w:space="0" w:color="auto"/>
        <w:bottom w:val="none" w:sz="0" w:space="0" w:color="auto"/>
        <w:right w:val="none" w:sz="0" w:space="0" w:color="auto"/>
      </w:divBdr>
    </w:div>
    <w:div w:id="344671132">
      <w:bodyDiv w:val="1"/>
      <w:marLeft w:val="0"/>
      <w:marRight w:val="0"/>
      <w:marTop w:val="0"/>
      <w:marBottom w:val="0"/>
      <w:divBdr>
        <w:top w:val="none" w:sz="0" w:space="0" w:color="auto"/>
        <w:left w:val="none" w:sz="0" w:space="0" w:color="auto"/>
        <w:bottom w:val="none" w:sz="0" w:space="0" w:color="auto"/>
        <w:right w:val="none" w:sz="0" w:space="0" w:color="auto"/>
      </w:divBdr>
    </w:div>
    <w:div w:id="354423845">
      <w:bodyDiv w:val="1"/>
      <w:marLeft w:val="0"/>
      <w:marRight w:val="0"/>
      <w:marTop w:val="0"/>
      <w:marBottom w:val="0"/>
      <w:divBdr>
        <w:top w:val="none" w:sz="0" w:space="0" w:color="auto"/>
        <w:left w:val="none" w:sz="0" w:space="0" w:color="auto"/>
        <w:bottom w:val="none" w:sz="0" w:space="0" w:color="auto"/>
        <w:right w:val="none" w:sz="0" w:space="0" w:color="auto"/>
      </w:divBdr>
    </w:div>
    <w:div w:id="357390219">
      <w:bodyDiv w:val="1"/>
      <w:marLeft w:val="0"/>
      <w:marRight w:val="0"/>
      <w:marTop w:val="0"/>
      <w:marBottom w:val="0"/>
      <w:divBdr>
        <w:top w:val="none" w:sz="0" w:space="0" w:color="auto"/>
        <w:left w:val="none" w:sz="0" w:space="0" w:color="auto"/>
        <w:bottom w:val="none" w:sz="0" w:space="0" w:color="auto"/>
        <w:right w:val="none" w:sz="0" w:space="0" w:color="auto"/>
      </w:divBdr>
    </w:div>
    <w:div w:id="362023771">
      <w:bodyDiv w:val="1"/>
      <w:marLeft w:val="0"/>
      <w:marRight w:val="0"/>
      <w:marTop w:val="0"/>
      <w:marBottom w:val="0"/>
      <w:divBdr>
        <w:top w:val="none" w:sz="0" w:space="0" w:color="auto"/>
        <w:left w:val="none" w:sz="0" w:space="0" w:color="auto"/>
        <w:bottom w:val="none" w:sz="0" w:space="0" w:color="auto"/>
        <w:right w:val="none" w:sz="0" w:space="0" w:color="auto"/>
      </w:divBdr>
    </w:div>
    <w:div w:id="363136470">
      <w:bodyDiv w:val="1"/>
      <w:marLeft w:val="0"/>
      <w:marRight w:val="0"/>
      <w:marTop w:val="0"/>
      <w:marBottom w:val="0"/>
      <w:divBdr>
        <w:top w:val="none" w:sz="0" w:space="0" w:color="auto"/>
        <w:left w:val="none" w:sz="0" w:space="0" w:color="auto"/>
        <w:bottom w:val="none" w:sz="0" w:space="0" w:color="auto"/>
        <w:right w:val="none" w:sz="0" w:space="0" w:color="auto"/>
      </w:divBdr>
    </w:div>
    <w:div w:id="372191518">
      <w:bodyDiv w:val="1"/>
      <w:marLeft w:val="0"/>
      <w:marRight w:val="0"/>
      <w:marTop w:val="0"/>
      <w:marBottom w:val="0"/>
      <w:divBdr>
        <w:top w:val="none" w:sz="0" w:space="0" w:color="auto"/>
        <w:left w:val="none" w:sz="0" w:space="0" w:color="auto"/>
        <w:bottom w:val="none" w:sz="0" w:space="0" w:color="auto"/>
        <w:right w:val="none" w:sz="0" w:space="0" w:color="auto"/>
      </w:divBdr>
    </w:div>
    <w:div w:id="373966320">
      <w:bodyDiv w:val="1"/>
      <w:marLeft w:val="0"/>
      <w:marRight w:val="0"/>
      <w:marTop w:val="0"/>
      <w:marBottom w:val="0"/>
      <w:divBdr>
        <w:top w:val="none" w:sz="0" w:space="0" w:color="auto"/>
        <w:left w:val="none" w:sz="0" w:space="0" w:color="auto"/>
        <w:bottom w:val="none" w:sz="0" w:space="0" w:color="auto"/>
        <w:right w:val="none" w:sz="0" w:space="0" w:color="auto"/>
      </w:divBdr>
    </w:div>
    <w:div w:id="381708265">
      <w:bodyDiv w:val="1"/>
      <w:marLeft w:val="0"/>
      <w:marRight w:val="0"/>
      <w:marTop w:val="0"/>
      <w:marBottom w:val="0"/>
      <w:divBdr>
        <w:top w:val="none" w:sz="0" w:space="0" w:color="auto"/>
        <w:left w:val="none" w:sz="0" w:space="0" w:color="auto"/>
        <w:bottom w:val="none" w:sz="0" w:space="0" w:color="auto"/>
        <w:right w:val="none" w:sz="0" w:space="0" w:color="auto"/>
      </w:divBdr>
    </w:div>
    <w:div w:id="384838725">
      <w:bodyDiv w:val="1"/>
      <w:marLeft w:val="0"/>
      <w:marRight w:val="0"/>
      <w:marTop w:val="0"/>
      <w:marBottom w:val="0"/>
      <w:divBdr>
        <w:top w:val="none" w:sz="0" w:space="0" w:color="auto"/>
        <w:left w:val="none" w:sz="0" w:space="0" w:color="auto"/>
        <w:bottom w:val="none" w:sz="0" w:space="0" w:color="auto"/>
        <w:right w:val="none" w:sz="0" w:space="0" w:color="auto"/>
      </w:divBdr>
    </w:div>
    <w:div w:id="384913153">
      <w:bodyDiv w:val="1"/>
      <w:marLeft w:val="0"/>
      <w:marRight w:val="0"/>
      <w:marTop w:val="0"/>
      <w:marBottom w:val="0"/>
      <w:divBdr>
        <w:top w:val="none" w:sz="0" w:space="0" w:color="auto"/>
        <w:left w:val="none" w:sz="0" w:space="0" w:color="auto"/>
        <w:bottom w:val="none" w:sz="0" w:space="0" w:color="auto"/>
        <w:right w:val="none" w:sz="0" w:space="0" w:color="auto"/>
      </w:divBdr>
    </w:div>
    <w:div w:id="385493814">
      <w:bodyDiv w:val="1"/>
      <w:marLeft w:val="0"/>
      <w:marRight w:val="0"/>
      <w:marTop w:val="0"/>
      <w:marBottom w:val="0"/>
      <w:divBdr>
        <w:top w:val="none" w:sz="0" w:space="0" w:color="auto"/>
        <w:left w:val="none" w:sz="0" w:space="0" w:color="auto"/>
        <w:bottom w:val="none" w:sz="0" w:space="0" w:color="auto"/>
        <w:right w:val="none" w:sz="0" w:space="0" w:color="auto"/>
      </w:divBdr>
    </w:div>
    <w:div w:id="385882915">
      <w:bodyDiv w:val="1"/>
      <w:marLeft w:val="0"/>
      <w:marRight w:val="0"/>
      <w:marTop w:val="0"/>
      <w:marBottom w:val="0"/>
      <w:divBdr>
        <w:top w:val="none" w:sz="0" w:space="0" w:color="auto"/>
        <w:left w:val="none" w:sz="0" w:space="0" w:color="auto"/>
        <w:bottom w:val="none" w:sz="0" w:space="0" w:color="auto"/>
        <w:right w:val="none" w:sz="0" w:space="0" w:color="auto"/>
      </w:divBdr>
    </w:div>
    <w:div w:id="393503179">
      <w:bodyDiv w:val="1"/>
      <w:marLeft w:val="0"/>
      <w:marRight w:val="0"/>
      <w:marTop w:val="0"/>
      <w:marBottom w:val="0"/>
      <w:divBdr>
        <w:top w:val="none" w:sz="0" w:space="0" w:color="auto"/>
        <w:left w:val="none" w:sz="0" w:space="0" w:color="auto"/>
        <w:bottom w:val="none" w:sz="0" w:space="0" w:color="auto"/>
        <w:right w:val="none" w:sz="0" w:space="0" w:color="auto"/>
      </w:divBdr>
    </w:div>
    <w:div w:id="400715157">
      <w:bodyDiv w:val="1"/>
      <w:marLeft w:val="0"/>
      <w:marRight w:val="0"/>
      <w:marTop w:val="0"/>
      <w:marBottom w:val="0"/>
      <w:divBdr>
        <w:top w:val="none" w:sz="0" w:space="0" w:color="auto"/>
        <w:left w:val="none" w:sz="0" w:space="0" w:color="auto"/>
        <w:bottom w:val="none" w:sz="0" w:space="0" w:color="auto"/>
        <w:right w:val="none" w:sz="0" w:space="0" w:color="auto"/>
      </w:divBdr>
    </w:div>
    <w:div w:id="406154739">
      <w:bodyDiv w:val="1"/>
      <w:marLeft w:val="0"/>
      <w:marRight w:val="0"/>
      <w:marTop w:val="0"/>
      <w:marBottom w:val="0"/>
      <w:divBdr>
        <w:top w:val="none" w:sz="0" w:space="0" w:color="auto"/>
        <w:left w:val="none" w:sz="0" w:space="0" w:color="auto"/>
        <w:bottom w:val="none" w:sz="0" w:space="0" w:color="auto"/>
        <w:right w:val="none" w:sz="0" w:space="0" w:color="auto"/>
      </w:divBdr>
    </w:div>
    <w:div w:id="419646484">
      <w:bodyDiv w:val="1"/>
      <w:marLeft w:val="0"/>
      <w:marRight w:val="0"/>
      <w:marTop w:val="0"/>
      <w:marBottom w:val="0"/>
      <w:divBdr>
        <w:top w:val="none" w:sz="0" w:space="0" w:color="auto"/>
        <w:left w:val="none" w:sz="0" w:space="0" w:color="auto"/>
        <w:bottom w:val="none" w:sz="0" w:space="0" w:color="auto"/>
        <w:right w:val="none" w:sz="0" w:space="0" w:color="auto"/>
      </w:divBdr>
    </w:div>
    <w:div w:id="429859731">
      <w:bodyDiv w:val="1"/>
      <w:marLeft w:val="0"/>
      <w:marRight w:val="0"/>
      <w:marTop w:val="0"/>
      <w:marBottom w:val="0"/>
      <w:divBdr>
        <w:top w:val="none" w:sz="0" w:space="0" w:color="auto"/>
        <w:left w:val="none" w:sz="0" w:space="0" w:color="auto"/>
        <w:bottom w:val="none" w:sz="0" w:space="0" w:color="auto"/>
        <w:right w:val="none" w:sz="0" w:space="0" w:color="auto"/>
      </w:divBdr>
    </w:div>
    <w:div w:id="430664058">
      <w:bodyDiv w:val="1"/>
      <w:marLeft w:val="0"/>
      <w:marRight w:val="0"/>
      <w:marTop w:val="0"/>
      <w:marBottom w:val="0"/>
      <w:divBdr>
        <w:top w:val="none" w:sz="0" w:space="0" w:color="auto"/>
        <w:left w:val="none" w:sz="0" w:space="0" w:color="auto"/>
        <w:bottom w:val="none" w:sz="0" w:space="0" w:color="auto"/>
        <w:right w:val="none" w:sz="0" w:space="0" w:color="auto"/>
      </w:divBdr>
    </w:div>
    <w:div w:id="433938361">
      <w:bodyDiv w:val="1"/>
      <w:marLeft w:val="0"/>
      <w:marRight w:val="0"/>
      <w:marTop w:val="0"/>
      <w:marBottom w:val="0"/>
      <w:divBdr>
        <w:top w:val="none" w:sz="0" w:space="0" w:color="auto"/>
        <w:left w:val="none" w:sz="0" w:space="0" w:color="auto"/>
        <w:bottom w:val="none" w:sz="0" w:space="0" w:color="auto"/>
        <w:right w:val="none" w:sz="0" w:space="0" w:color="auto"/>
      </w:divBdr>
    </w:div>
    <w:div w:id="452210429">
      <w:bodyDiv w:val="1"/>
      <w:marLeft w:val="0"/>
      <w:marRight w:val="0"/>
      <w:marTop w:val="0"/>
      <w:marBottom w:val="0"/>
      <w:divBdr>
        <w:top w:val="none" w:sz="0" w:space="0" w:color="auto"/>
        <w:left w:val="none" w:sz="0" w:space="0" w:color="auto"/>
        <w:bottom w:val="none" w:sz="0" w:space="0" w:color="auto"/>
        <w:right w:val="none" w:sz="0" w:space="0" w:color="auto"/>
      </w:divBdr>
    </w:div>
    <w:div w:id="452599740">
      <w:bodyDiv w:val="1"/>
      <w:marLeft w:val="0"/>
      <w:marRight w:val="0"/>
      <w:marTop w:val="0"/>
      <w:marBottom w:val="0"/>
      <w:divBdr>
        <w:top w:val="none" w:sz="0" w:space="0" w:color="auto"/>
        <w:left w:val="none" w:sz="0" w:space="0" w:color="auto"/>
        <w:bottom w:val="none" w:sz="0" w:space="0" w:color="auto"/>
        <w:right w:val="none" w:sz="0" w:space="0" w:color="auto"/>
      </w:divBdr>
    </w:div>
    <w:div w:id="453793315">
      <w:bodyDiv w:val="1"/>
      <w:marLeft w:val="0"/>
      <w:marRight w:val="0"/>
      <w:marTop w:val="0"/>
      <w:marBottom w:val="0"/>
      <w:divBdr>
        <w:top w:val="none" w:sz="0" w:space="0" w:color="auto"/>
        <w:left w:val="none" w:sz="0" w:space="0" w:color="auto"/>
        <w:bottom w:val="none" w:sz="0" w:space="0" w:color="auto"/>
        <w:right w:val="none" w:sz="0" w:space="0" w:color="auto"/>
      </w:divBdr>
    </w:div>
    <w:div w:id="454568846">
      <w:bodyDiv w:val="1"/>
      <w:marLeft w:val="0"/>
      <w:marRight w:val="0"/>
      <w:marTop w:val="0"/>
      <w:marBottom w:val="0"/>
      <w:divBdr>
        <w:top w:val="none" w:sz="0" w:space="0" w:color="auto"/>
        <w:left w:val="none" w:sz="0" w:space="0" w:color="auto"/>
        <w:bottom w:val="none" w:sz="0" w:space="0" w:color="auto"/>
        <w:right w:val="none" w:sz="0" w:space="0" w:color="auto"/>
      </w:divBdr>
    </w:div>
    <w:div w:id="461650539">
      <w:bodyDiv w:val="1"/>
      <w:marLeft w:val="0"/>
      <w:marRight w:val="0"/>
      <w:marTop w:val="0"/>
      <w:marBottom w:val="0"/>
      <w:divBdr>
        <w:top w:val="none" w:sz="0" w:space="0" w:color="auto"/>
        <w:left w:val="none" w:sz="0" w:space="0" w:color="auto"/>
        <w:bottom w:val="none" w:sz="0" w:space="0" w:color="auto"/>
        <w:right w:val="none" w:sz="0" w:space="0" w:color="auto"/>
      </w:divBdr>
    </w:div>
    <w:div w:id="463277979">
      <w:bodyDiv w:val="1"/>
      <w:marLeft w:val="0"/>
      <w:marRight w:val="0"/>
      <w:marTop w:val="0"/>
      <w:marBottom w:val="0"/>
      <w:divBdr>
        <w:top w:val="none" w:sz="0" w:space="0" w:color="auto"/>
        <w:left w:val="none" w:sz="0" w:space="0" w:color="auto"/>
        <w:bottom w:val="none" w:sz="0" w:space="0" w:color="auto"/>
        <w:right w:val="none" w:sz="0" w:space="0" w:color="auto"/>
      </w:divBdr>
    </w:div>
    <w:div w:id="474219655">
      <w:bodyDiv w:val="1"/>
      <w:marLeft w:val="0"/>
      <w:marRight w:val="0"/>
      <w:marTop w:val="0"/>
      <w:marBottom w:val="0"/>
      <w:divBdr>
        <w:top w:val="none" w:sz="0" w:space="0" w:color="auto"/>
        <w:left w:val="none" w:sz="0" w:space="0" w:color="auto"/>
        <w:bottom w:val="none" w:sz="0" w:space="0" w:color="auto"/>
        <w:right w:val="none" w:sz="0" w:space="0" w:color="auto"/>
      </w:divBdr>
    </w:div>
    <w:div w:id="476606063">
      <w:bodyDiv w:val="1"/>
      <w:marLeft w:val="0"/>
      <w:marRight w:val="0"/>
      <w:marTop w:val="0"/>
      <w:marBottom w:val="0"/>
      <w:divBdr>
        <w:top w:val="none" w:sz="0" w:space="0" w:color="auto"/>
        <w:left w:val="none" w:sz="0" w:space="0" w:color="auto"/>
        <w:bottom w:val="none" w:sz="0" w:space="0" w:color="auto"/>
        <w:right w:val="none" w:sz="0" w:space="0" w:color="auto"/>
      </w:divBdr>
    </w:div>
    <w:div w:id="476996212">
      <w:bodyDiv w:val="1"/>
      <w:marLeft w:val="0"/>
      <w:marRight w:val="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sChild>
    </w:div>
    <w:div w:id="477189515">
      <w:bodyDiv w:val="1"/>
      <w:marLeft w:val="0"/>
      <w:marRight w:val="0"/>
      <w:marTop w:val="0"/>
      <w:marBottom w:val="0"/>
      <w:divBdr>
        <w:top w:val="none" w:sz="0" w:space="0" w:color="auto"/>
        <w:left w:val="none" w:sz="0" w:space="0" w:color="auto"/>
        <w:bottom w:val="none" w:sz="0" w:space="0" w:color="auto"/>
        <w:right w:val="none" w:sz="0" w:space="0" w:color="auto"/>
      </w:divBdr>
    </w:div>
    <w:div w:id="480585793">
      <w:bodyDiv w:val="1"/>
      <w:marLeft w:val="0"/>
      <w:marRight w:val="0"/>
      <w:marTop w:val="0"/>
      <w:marBottom w:val="0"/>
      <w:divBdr>
        <w:top w:val="none" w:sz="0" w:space="0" w:color="auto"/>
        <w:left w:val="none" w:sz="0" w:space="0" w:color="auto"/>
        <w:bottom w:val="none" w:sz="0" w:space="0" w:color="auto"/>
        <w:right w:val="none" w:sz="0" w:space="0" w:color="auto"/>
      </w:divBdr>
    </w:div>
    <w:div w:id="480931752">
      <w:bodyDiv w:val="1"/>
      <w:marLeft w:val="0"/>
      <w:marRight w:val="0"/>
      <w:marTop w:val="0"/>
      <w:marBottom w:val="0"/>
      <w:divBdr>
        <w:top w:val="none" w:sz="0" w:space="0" w:color="auto"/>
        <w:left w:val="none" w:sz="0" w:space="0" w:color="auto"/>
        <w:bottom w:val="none" w:sz="0" w:space="0" w:color="auto"/>
        <w:right w:val="none" w:sz="0" w:space="0" w:color="auto"/>
      </w:divBdr>
    </w:div>
    <w:div w:id="494687319">
      <w:bodyDiv w:val="1"/>
      <w:marLeft w:val="0"/>
      <w:marRight w:val="0"/>
      <w:marTop w:val="0"/>
      <w:marBottom w:val="0"/>
      <w:divBdr>
        <w:top w:val="none" w:sz="0" w:space="0" w:color="auto"/>
        <w:left w:val="none" w:sz="0" w:space="0" w:color="auto"/>
        <w:bottom w:val="none" w:sz="0" w:space="0" w:color="auto"/>
        <w:right w:val="none" w:sz="0" w:space="0" w:color="auto"/>
      </w:divBdr>
    </w:div>
    <w:div w:id="494881922">
      <w:bodyDiv w:val="1"/>
      <w:marLeft w:val="0"/>
      <w:marRight w:val="0"/>
      <w:marTop w:val="0"/>
      <w:marBottom w:val="0"/>
      <w:divBdr>
        <w:top w:val="none" w:sz="0" w:space="0" w:color="auto"/>
        <w:left w:val="none" w:sz="0" w:space="0" w:color="auto"/>
        <w:bottom w:val="none" w:sz="0" w:space="0" w:color="auto"/>
        <w:right w:val="none" w:sz="0" w:space="0" w:color="auto"/>
      </w:divBdr>
      <w:divsChild>
        <w:div w:id="169492232">
          <w:marLeft w:val="547"/>
          <w:marRight w:val="0"/>
          <w:marTop w:val="0"/>
          <w:marBottom w:val="0"/>
          <w:divBdr>
            <w:top w:val="none" w:sz="0" w:space="0" w:color="auto"/>
            <w:left w:val="none" w:sz="0" w:space="0" w:color="auto"/>
            <w:bottom w:val="none" w:sz="0" w:space="0" w:color="auto"/>
            <w:right w:val="none" w:sz="0" w:space="0" w:color="auto"/>
          </w:divBdr>
        </w:div>
      </w:divsChild>
    </w:div>
    <w:div w:id="506794417">
      <w:bodyDiv w:val="1"/>
      <w:marLeft w:val="0"/>
      <w:marRight w:val="0"/>
      <w:marTop w:val="0"/>
      <w:marBottom w:val="0"/>
      <w:divBdr>
        <w:top w:val="none" w:sz="0" w:space="0" w:color="auto"/>
        <w:left w:val="none" w:sz="0" w:space="0" w:color="auto"/>
        <w:bottom w:val="none" w:sz="0" w:space="0" w:color="auto"/>
        <w:right w:val="none" w:sz="0" w:space="0" w:color="auto"/>
      </w:divBdr>
    </w:div>
    <w:div w:id="507792386">
      <w:bodyDiv w:val="1"/>
      <w:marLeft w:val="0"/>
      <w:marRight w:val="0"/>
      <w:marTop w:val="0"/>
      <w:marBottom w:val="0"/>
      <w:divBdr>
        <w:top w:val="none" w:sz="0" w:space="0" w:color="auto"/>
        <w:left w:val="none" w:sz="0" w:space="0" w:color="auto"/>
        <w:bottom w:val="none" w:sz="0" w:space="0" w:color="auto"/>
        <w:right w:val="none" w:sz="0" w:space="0" w:color="auto"/>
      </w:divBdr>
    </w:div>
    <w:div w:id="513229440">
      <w:bodyDiv w:val="1"/>
      <w:marLeft w:val="0"/>
      <w:marRight w:val="0"/>
      <w:marTop w:val="0"/>
      <w:marBottom w:val="0"/>
      <w:divBdr>
        <w:top w:val="none" w:sz="0" w:space="0" w:color="auto"/>
        <w:left w:val="none" w:sz="0" w:space="0" w:color="auto"/>
        <w:bottom w:val="none" w:sz="0" w:space="0" w:color="auto"/>
        <w:right w:val="none" w:sz="0" w:space="0" w:color="auto"/>
      </w:divBdr>
    </w:div>
    <w:div w:id="518201432">
      <w:bodyDiv w:val="1"/>
      <w:marLeft w:val="0"/>
      <w:marRight w:val="0"/>
      <w:marTop w:val="0"/>
      <w:marBottom w:val="0"/>
      <w:divBdr>
        <w:top w:val="none" w:sz="0" w:space="0" w:color="auto"/>
        <w:left w:val="none" w:sz="0" w:space="0" w:color="auto"/>
        <w:bottom w:val="none" w:sz="0" w:space="0" w:color="auto"/>
        <w:right w:val="none" w:sz="0" w:space="0" w:color="auto"/>
      </w:divBdr>
    </w:div>
    <w:div w:id="521482341">
      <w:bodyDiv w:val="1"/>
      <w:marLeft w:val="0"/>
      <w:marRight w:val="0"/>
      <w:marTop w:val="0"/>
      <w:marBottom w:val="0"/>
      <w:divBdr>
        <w:top w:val="none" w:sz="0" w:space="0" w:color="auto"/>
        <w:left w:val="none" w:sz="0" w:space="0" w:color="auto"/>
        <w:bottom w:val="none" w:sz="0" w:space="0" w:color="auto"/>
        <w:right w:val="none" w:sz="0" w:space="0" w:color="auto"/>
      </w:divBdr>
    </w:div>
    <w:div w:id="526219482">
      <w:bodyDiv w:val="1"/>
      <w:marLeft w:val="0"/>
      <w:marRight w:val="0"/>
      <w:marTop w:val="0"/>
      <w:marBottom w:val="0"/>
      <w:divBdr>
        <w:top w:val="none" w:sz="0" w:space="0" w:color="auto"/>
        <w:left w:val="none" w:sz="0" w:space="0" w:color="auto"/>
        <w:bottom w:val="none" w:sz="0" w:space="0" w:color="auto"/>
        <w:right w:val="none" w:sz="0" w:space="0" w:color="auto"/>
      </w:divBdr>
    </w:div>
    <w:div w:id="528180774">
      <w:bodyDiv w:val="1"/>
      <w:marLeft w:val="0"/>
      <w:marRight w:val="0"/>
      <w:marTop w:val="0"/>
      <w:marBottom w:val="0"/>
      <w:divBdr>
        <w:top w:val="none" w:sz="0" w:space="0" w:color="auto"/>
        <w:left w:val="none" w:sz="0" w:space="0" w:color="auto"/>
        <w:bottom w:val="none" w:sz="0" w:space="0" w:color="auto"/>
        <w:right w:val="none" w:sz="0" w:space="0" w:color="auto"/>
      </w:divBdr>
    </w:div>
    <w:div w:id="532302574">
      <w:bodyDiv w:val="1"/>
      <w:marLeft w:val="0"/>
      <w:marRight w:val="0"/>
      <w:marTop w:val="0"/>
      <w:marBottom w:val="0"/>
      <w:divBdr>
        <w:top w:val="none" w:sz="0" w:space="0" w:color="auto"/>
        <w:left w:val="none" w:sz="0" w:space="0" w:color="auto"/>
        <w:bottom w:val="none" w:sz="0" w:space="0" w:color="auto"/>
        <w:right w:val="none" w:sz="0" w:space="0" w:color="auto"/>
      </w:divBdr>
    </w:div>
    <w:div w:id="532769809">
      <w:bodyDiv w:val="1"/>
      <w:marLeft w:val="0"/>
      <w:marRight w:val="0"/>
      <w:marTop w:val="0"/>
      <w:marBottom w:val="0"/>
      <w:divBdr>
        <w:top w:val="none" w:sz="0" w:space="0" w:color="auto"/>
        <w:left w:val="none" w:sz="0" w:space="0" w:color="auto"/>
        <w:bottom w:val="none" w:sz="0" w:space="0" w:color="auto"/>
        <w:right w:val="none" w:sz="0" w:space="0" w:color="auto"/>
      </w:divBdr>
      <w:divsChild>
        <w:div w:id="252444900">
          <w:marLeft w:val="0"/>
          <w:marRight w:val="0"/>
          <w:marTop w:val="0"/>
          <w:marBottom w:val="0"/>
          <w:divBdr>
            <w:top w:val="none" w:sz="0" w:space="0" w:color="auto"/>
            <w:left w:val="none" w:sz="0" w:space="0" w:color="auto"/>
            <w:bottom w:val="none" w:sz="0" w:space="0" w:color="auto"/>
            <w:right w:val="none" w:sz="0" w:space="0" w:color="auto"/>
          </w:divBdr>
        </w:div>
      </w:divsChild>
    </w:div>
    <w:div w:id="535194344">
      <w:bodyDiv w:val="1"/>
      <w:marLeft w:val="0"/>
      <w:marRight w:val="0"/>
      <w:marTop w:val="0"/>
      <w:marBottom w:val="0"/>
      <w:divBdr>
        <w:top w:val="none" w:sz="0" w:space="0" w:color="auto"/>
        <w:left w:val="none" w:sz="0" w:space="0" w:color="auto"/>
        <w:bottom w:val="none" w:sz="0" w:space="0" w:color="auto"/>
        <w:right w:val="none" w:sz="0" w:space="0" w:color="auto"/>
      </w:divBdr>
    </w:div>
    <w:div w:id="536435247">
      <w:bodyDiv w:val="1"/>
      <w:marLeft w:val="0"/>
      <w:marRight w:val="0"/>
      <w:marTop w:val="0"/>
      <w:marBottom w:val="0"/>
      <w:divBdr>
        <w:top w:val="none" w:sz="0" w:space="0" w:color="auto"/>
        <w:left w:val="none" w:sz="0" w:space="0" w:color="auto"/>
        <w:bottom w:val="none" w:sz="0" w:space="0" w:color="auto"/>
        <w:right w:val="none" w:sz="0" w:space="0" w:color="auto"/>
      </w:divBdr>
      <w:divsChild>
        <w:div w:id="2085564615">
          <w:marLeft w:val="0"/>
          <w:marRight w:val="0"/>
          <w:marTop w:val="0"/>
          <w:marBottom w:val="0"/>
          <w:divBdr>
            <w:top w:val="none" w:sz="0" w:space="0" w:color="auto"/>
            <w:left w:val="none" w:sz="0" w:space="0" w:color="auto"/>
            <w:bottom w:val="none" w:sz="0" w:space="0" w:color="auto"/>
            <w:right w:val="none" w:sz="0" w:space="0" w:color="auto"/>
          </w:divBdr>
        </w:div>
      </w:divsChild>
    </w:div>
    <w:div w:id="539709808">
      <w:bodyDiv w:val="1"/>
      <w:marLeft w:val="0"/>
      <w:marRight w:val="0"/>
      <w:marTop w:val="0"/>
      <w:marBottom w:val="0"/>
      <w:divBdr>
        <w:top w:val="none" w:sz="0" w:space="0" w:color="auto"/>
        <w:left w:val="none" w:sz="0" w:space="0" w:color="auto"/>
        <w:bottom w:val="none" w:sz="0" w:space="0" w:color="auto"/>
        <w:right w:val="none" w:sz="0" w:space="0" w:color="auto"/>
      </w:divBdr>
    </w:div>
    <w:div w:id="541789263">
      <w:bodyDiv w:val="1"/>
      <w:marLeft w:val="0"/>
      <w:marRight w:val="0"/>
      <w:marTop w:val="0"/>
      <w:marBottom w:val="0"/>
      <w:divBdr>
        <w:top w:val="none" w:sz="0" w:space="0" w:color="auto"/>
        <w:left w:val="none" w:sz="0" w:space="0" w:color="auto"/>
        <w:bottom w:val="none" w:sz="0" w:space="0" w:color="auto"/>
        <w:right w:val="none" w:sz="0" w:space="0" w:color="auto"/>
      </w:divBdr>
    </w:div>
    <w:div w:id="547255053">
      <w:bodyDiv w:val="1"/>
      <w:marLeft w:val="0"/>
      <w:marRight w:val="0"/>
      <w:marTop w:val="0"/>
      <w:marBottom w:val="0"/>
      <w:divBdr>
        <w:top w:val="none" w:sz="0" w:space="0" w:color="auto"/>
        <w:left w:val="none" w:sz="0" w:space="0" w:color="auto"/>
        <w:bottom w:val="none" w:sz="0" w:space="0" w:color="auto"/>
        <w:right w:val="none" w:sz="0" w:space="0" w:color="auto"/>
      </w:divBdr>
    </w:div>
    <w:div w:id="548996744">
      <w:bodyDiv w:val="1"/>
      <w:marLeft w:val="0"/>
      <w:marRight w:val="0"/>
      <w:marTop w:val="0"/>
      <w:marBottom w:val="0"/>
      <w:divBdr>
        <w:top w:val="none" w:sz="0" w:space="0" w:color="auto"/>
        <w:left w:val="none" w:sz="0" w:space="0" w:color="auto"/>
        <w:bottom w:val="none" w:sz="0" w:space="0" w:color="auto"/>
        <w:right w:val="none" w:sz="0" w:space="0" w:color="auto"/>
      </w:divBdr>
    </w:div>
    <w:div w:id="557130776">
      <w:bodyDiv w:val="1"/>
      <w:marLeft w:val="0"/>
      <w:marRight w:val="0"/>
      <w:marTop w:val="0"/>
      <w:marBottom w:val="0"/>
      <w:divBdr>
        <w:top w:val="none" w:sz="0" w:space="0" w:color="auto"/>
        <w:left w:val="none" w:sz="0" w:space="0" w:color="auto"/>
        <w:bottom w:val="none" w:sz="0" w:space="0" w:color="auto"/>
        <w:right w:val="none" w:sz="0" w:space="0" w:color="auto"/>
      </w:divBdr>
    </w:div>
    <w:div w:id="561645589">
      <w:bodyDiv w:val="1"/>
      <w:marLeft w:val="0"/>
      <w:marRight w:val="0"/>
      <w:marTop w:val="0"/>
      <w:marBottom w:val="0"/>
      <w:divBdr>
        <w:top w:val="none" w:sz="0" w:space="0" w:color="auto"/>
        <w:left w:val="none" w:sz="0" w:space="0" w:color="auto"/>
        <w:bottom w:val="none" w:sz="0" w:space="0" w:color="auto"/>
        <w:right w:val="none" w:sz="0" w:space="0" w:color="auto"/>
      </w:divBdr>
    </w:div>
    <w:div w:id="563219894">
      <w:bodyDiv w:val="1"/>
      <w:marLeft w:val="0"/>
      <w:marRight w:val="0"/>
      <w:marTop w:val="0"/>
      <w:marBottom w:val="0"/>
      <w:divBdr>
        <w:top w:val="none" w:sz="0" w:space="0" w:color="auto"/>
        <w:left w:val="none" w:sz="0" w:space="0" w:color="auto"/>
        <w:bottom w:val="none" w:sz="0" w:space="0" w:color="auto"/>
        <w:right w:val="none" w:sz="0" w:space="0" w:color="auto"/>
      </w:divBdr>
    </w:div>
    <w:div w:id="564218151">
      <w:bodyDiv w:val="1"/>
      <w:marLeft w:val="0"/>
      <w:marRight w:val="0"/>
      <w:marTop w:val="0"/>
      <w:marBottom w:val="0"/>
      <w:divBdr>
        <w:top w:val="none" w:sz="0" w:space="0" w:color="auto"/>
        <w:left w:val="none" w:sz="0" w:space="0" w:color="auto"/>
        <w:bottom w:val="none" w:sz="0" w:space="0" w:color="auto"/>
        <w:right w:val="none" w:sz="0" w:space="0" w:color="auto"/>
      </w:divBdr>
    </w:div>
    <w:div w:id="567032345">
      <w:bodyDiv w:val="1"/>
      <w:marLeft w:val="0"/>
      <w:marRight w:val="0"/>
      <w:marTop w:val="0"/>
      <w:marBottom w:val="0"/>
      <w:divBdr>
        <w:top w:val="none" w:sz="0" w:space="0" w:color="auto"/>
        <w:left w:val="none" w:sz="0" w:space="0" w:color="auto"/>
        <w:bottom w:val="none" w:sz="0" w:space="0" w:color="auto"/>
        <w:right w:val="none" w:sz="0" w:space="0" w:color="auto"/>
      </w:divBdr>
    </w:div>
    <w:div w:id="581990420">
      <w:bodyDiv w:val="1"/>
      <w:marLeft w:val="0"/>
      <w:marRight w:val="0"/>
      <w:marTop w:val="0"/>
      <w:marBottom w:val="0"/>
      <w:divBdr>
        <w:top w:val="none" w:sz="0" w:space="0" w:color="auto"/>
        <w:left w:val="none" w:sz="0" w:space="0" w:color="auto"/>
        <w:bottom w:val="none" w:sz="0" w:space="0" w:color="auto"/>
        <w:right w:val="none" w:sz="0" w:space="0" w:color="auto"/>
      </w:divBdr>
    </w:div>
    <w:div w:id="583420808">
      <w:bodyDiv w:val="1"/>
      <w:marLeft w:val="0"/>
      <w:marRight w:val="0"/>
      <w:marTop w:val="0"/>
      <w:marBottom w:val="0"/>
      <w:divBdr>
        <w:top w:val="none" w:sz="0" w:space="0" w:color="auto"/>
        <w:left w:val="none" w:sz="0" w:space="0" w:color="auto"/>
        <w:bottom w:val="none" w:sz="0" w:space="0" w:color="auto"/>
        <w:right w:val="none" w:sz="0" w:space="0" w:color="auto"/>
      </w:divBdr>
    </w:div>
    <w:div w:id="585924288">
      <w:bodyDiv w:val="1"/>
      <w:marLeft w:val="0"/>
      <w:marRight w:val="0"/>
      <w:marTop w:val="0"/>
      <w:marBottom w:val="0"/>
      <w:divBdr>
        <w:top w:val="none" w:sz="0" w:space="0" w:color="auto"/>
        <w:left w:val="none" w:sz="0" w:space="0" w:color="auto"/>
        <w:bottom w:val="none" w:sz="0" w:space="0" w:color="auto"/>
        <w:right w:val="none" w:sz="0" w:space="0" w:color="auto"/>
      </w:divBdr>
    </w:div>
    <w:div w:id="590744029">
      <w:bodyDiv w:val="1"/>
      <w:marLeft w:val="0"/>
      <w:marRight w:val="0"/>
      <w:marTop w:val="0"/>
      <w:marBottom w:val="0"/>
      <w:divBdr>
        <w:top w:val="none" w:sz="0" w:space="0" w:color="auto"/>
        <w:left w:val="none" w:sz="0" w:space="0" w:color="auto"/>
        <w:bottom w:val="none" w:sz="0" w:space="0" w:color="auto"/>
        <w:right w:val="none" w:sz="0" w:space="0" w:color="auto"/>
      </w:divBdr>
    </w:div>
    <w:div w:id="593786478">
      <w:bodyDiv w:val="1"/>
      <w:marLeft w:val="0"/>
      <w:marRight w:val="0"/>
      <w:marTop w:val="0"/>
      <w:marBottom w:val="0"/>
      <w:divBdr>
        <w:top w:val="none" w:sz="0" w:space="0" w:color="auto"/>
        <w:left w:val="none" w:sz="0" w:space="0" w:color="auto"/>
        <w:bottom w:val="none" w:sz="0" w:space="0" w:color="auto"/>
        <w:right w:val="none" w:sz="0" w:space="0" w:color="auto"/>
      </w:divBdr>
    </w:div>
    <w:div w:id="598220680">
      <w:bodyDiv w:val="1"/>
      <w:marLeft w:val="0"/>
      <w:marRight w:val="0"/>
      <w:marTop w:val="0"/>
      <w:marBottom w:val="0"/>
      <w:divBdr>
        <w:top w:val="none" w:sz="0" w:space="0" w:color="auto"/>
        <w:left w:val="none" w:sz="0" w:space="0" w:color="auto"/>
        <w:bottom w:val="none" w:sz="0" w:space="0" w:color="auto"/>
        <w:right w:val="none" w:sz="0" w:space="0" w:color="auto"/>
      </w:divBdr>
    </w:div>
    <w:div w:id="600720365">
      <w:bodyDiv w:val="1"/>
      <w:marLeft w:val="0"/>
      <w:marRight w:val="0"/>
      <w:marTop w:val="0"/>
      <w:marBottom w:val="0"/>
      <w:divBdr>
        <w:top w:val="none" w:sz="0" w:space="0" w:color="auto"/>
        <w:left w:val="none" w:sz="0" w:space="0" w:color="auto"/>
        <w:bottom w:val="none" w:sz="0" w:space="0" w:color="auto"/>
        <w:right w:val="none" w:sz="0" w:space="0" w:color="auto"/>
      </w:divBdr>
    </w:div>
    <w:div w:id="611667942">
      <w:bodyDiv w:val="1"/>
      <w:marLeft w:val="0"/>
      <w:marRight w:val="0"/>
      <w:marTop w:val="0"/>
      <w:marBottom w:val="0"/>
      <w:divBdr>
        <w:top w:val="none" w:sz="0" w:space="0" w:color="auto"/>
        <w:left w:val="none" w:sz="0" w:space="0" w:color="auto"/>
        <w:bottom w:val="none" w:sz="0" w:space="0" w:color="auto"/>
        <w:right w:val="none" w:sz="0" w:space="0" w:color="auto"/>
      </w:divBdr>
    </w:div>
    <w:div w:id="612565060">
      <w:bodyDiv w:val="1"/>
      <w:marLeft w:val="0"/>
      <w:marRight w:val="0"/>
      <w:marTop w:val="0"/>
      <w:marBottom w:val="0"/>
      <w:divBdr>
        <w:top w:val="none" w:sz="0" w:space="0" w:color="auto"/>
        <w:left w:val="none" w:sz="0" w:space="0" w:color="auto"/>
        <w:bottom w:val="none" w:sz="0" w:space="0" w:color="auto"/>
        <w:right w:val="none" w:sz="0" w:space="0" w:color="auto"/>
      </w:divBdr>
    </w:div>
    <w:div w:id="615256875">
      <w:bodyDiv w:val="1"/>
      <w:marLeft w:val="0"/>
      <w:marRight w:val="0"/>
      <w:marTop w:val="0"/>
      <w:marBottom w:val="0"/>
      <w:divBdr>
        <w:top w:val="none" w:sz="0" w:space="0" w:color="auto"/>
        <w:left w:val="none" w:sz="0" w:space="0" w:color="auto"/>
        <w:bottom w:val="none" w:sz="0" w:space="0" w:color="auto"/>
        <w:right w:val="none" w:sz="0" w:space="0" w:color="auto"/>
      </w:divBdr>
    </w:div>
    <w:div w:id="619923570">
      <w:bodyDiv w:val="1"/>
      <w:marLeft w:val="0"/>
      <w:marRight w:val="0"/>
      <w:marTop w:val="0"/>
      <w:marBottom w:val="0"/>
      <w:divBdr>
        <w:top w:val="none" w:sz="0" w:space="0" w:color="auto"/>
        <w:left w:val="none" w:sz="0" w:space="0" w:color="auto"/>
        <w:bottom w:val="none" w:sz="0" w:space="0" w:color="auto"/>
        <w:right w:val="none" w:sz="0" w:space="0" w:color="auto"/>
      </w:divBdr>
    </w:div>
    <w:div w:id="622614582">
      <w:bodyDiv w:val="1"/>
      <w:marLeft w:val="0"/>
      <w:marRight w:val="0"/>
      <w:marTop w:val="0"/>
      <w:marBottom w:val="0"/>
      <w:divBdr>
        <w:top w:val="none" w:sz="0" w:space="0" w:color="auto"/>
        <w:left w:val="none" w:sz="0" w:space="0" w:color="auto"/>
        <w:bottom w:val="none" w:sz="0" w:space="0" w:color="auto"/>
        <w:right w:val="none" w:sz="0" w:space="0" w:color="auto"/>
      </w:divBdr>
    </w:div>
    <w:div w:id="626663680">
      <w:bodyDiv w:val="1"/>
      <w:marLeft w:val="0"/>
      <w:marRight w:val="0"/>
      <w:marTop w:val="0"/>
      <w:marBottom w:val="0"/>
      <w:divBdr>
        <w:top w:val="none" w:sz="0" w:space="0" w:color="auto"/>
        <w:left w:val="none" w:sz="0" w:space="0" w:color="auto"/>
        <w:bottom w:val="none" w:sz="0" w:space="0" w:color="auto"/>
        <w:right w:val="none" w:sz="0" w:space="0" w:color="auto"/>
      </w:divBdr>
    </w:div>
    <w:div w:id="647247361">
      <w:bodyDiv w:val="1"/>
      <w:marLeft w:val="0"/>
      <w:marRight w:val="0"/>
      <w:marTop w:val="0"/>
      <w:marBottom w:val="0"/>
      <w:divBdr>
        <w:top w:val="none" w:sz="0" w:space="0" w:color="auto"/>
        <w:left w:val="none" w:sz="0" w:space="0" w:color="auto"/>
        <w:bottom w:val="none" w:sz="0" w:space="0" w:color="auto"/>
        <w:right w:val="none" w:sz="0" w:space="0" w:color="auto"/>
      </w:divBdr>
    </w:div>
    <w:div w:id="653949181">
      <w:bodyDiv w:val="1"/>
      <w:marLeft w:val="0"/>
      <w:marRight w:val="0"/>
      <w:marTop w:val="0"/>
      <w:marBottom w:val="0"/>
      <w:divBdr>
        <w:top w:val="none" w:sz="0" w:space="0" w:color="auto"/>
        <w:left w:val="none" w:sz="0" w:space="0" w:color="auto"/>
        <w:bottom w:val="none" w:sz="0" w:space="0" w:color="auto"/>
        <w:right w:val="none" w:sz="0" w:space="0" w:color="auto"/>
      </w:divBdr>
    </w:div>
    <w:div w:id="657271307">
      <w:bodyDiv w:val="1"/>
      <w:marLeft w:val="0"/>
      <w:marRight w:val="0"/>
      <w:marTop w:val="0"/>
      <w:marBottom w:val="0"/>
      <w:divBdr>
        <w:top w:val="none" w:sz="0" w:space="0" w:color="auto"/>
        <w:left w:val="none" w:sz="0" w:space="0" w:color="auto"/>
        <w:bottom w:val="none" w:sz="0" w:space="0" w:color="auto"/>
        <w:right w:val="none" w:sz="0" w:space="0" w:color="auto"/>
      </w:divBdr>
    </w:div>
    <w:div w:id="675959356">
      <w:bodyDiv w:val="1"/>
      <w:marLeft w:val="0"/>
      <w:marRight w:val="0"/>
      <w:marTop w:val="0"/>
      <w:marBottom w:val="0"/>
      <w:divBdr>
        <w:top w:val="none" w:sz="0" w:space="0" w:color="auto"/>
        <w:left w:val="none" w:sz="0" w:space="0" w:color="auto"/>
        <w:bottom w:val="none" w:sz="0" w:space="0" w:color="auto"/>
        <w:right w:val="none" w:sz="0" w:space="0" w:color="auto"/>
      </w:divBdr>
    </w:div>
    <w:div w:id="682441921">
      <w:bodyDiv w:val="1"/>
      <w:marLeft w:val="0"/>
      <w:marRight w:val="0"/>
      <w:marTop w:val="0"/>
      <w:marBottom w:val="0"/>
      <w:divBdr>
        <w:top w:val="none" w:sz="0" w:space="0" w:color="auto"/>
        <w:left w:val="none" w:sz="0" w:space="0" w:color="auto"/>
        <w:bottom w:val="none" w:sz="0" w:space="0" w:color="auto"/>
        <w:right w:val="none" w:sz="0" w:space="0" w:color="auto"/>
      </w:divBdr>
    </w:div>
    <w:div w:id="684593876">
      <w:bodyDiv w:val="1"/>
      <w:marLeft w:val="0"/>
      <w:marRight w:val="0"/>
      <w:marTop w:val="0"/>
      <w:marBottom w:val="0"/>
      <w:divBdr>
        <w:top w:val="none" w:sz="0" w:space="0" w:color="auto"/>
        <w:left w:val="none" w:sz="0" w:space="0" w:color="auto"/>
        <w:bottom w:val="none" w:sz="0" w:space="0" w:color="auto"/>
        <w:right w:val="none" w:sz="0" w:space="0" w:color="auto"/>
      </w:divBdr>
    </w:div>
    <w:div w:id="703141641">
      <w:bodyDiv w:val="1"/>
      <w:marLeft w:val="0"/>
      <w:marRight w:val="0"/>
      <w:marTop w:val="0"/>
      <w:marBottom w:val="0"/>
      <w:divBdr>
        <w:top w:val="none" w:sz="0" w:space="0" w:color="auto"/>
        <w:left w:val="none" w:sz="0" w:space="0" w:color="auto"/>
        <w:bottom w:val="none" w:sz="0" w:space="0" w:color="auto"/>
        <w:right w:val="none" w:sz="0" w:space="0" w:color="auto"/>
      </w:divBdr>
    </w:div>
    <w:div w:id="709647050">
      <w:bodyDiv w:val="1"/>
      <w:marLeft w:val="0"/>
      <w:marRight w:val="0"/>
      <w:marTop w:val="0"/>
      <w:marBottom w:val="0"/>
      <w:divBdr>
        <w:top w:val="none" w:sz="0" w:space="0" w:color="auto"/>
        <w:left w:val="none" w:sz="0" w:space="0" w:color="auto"/>
        <w:bottom w:val="none" w:sz="0" w:space="0" w:color="auto"/>
        <w:right w:val="none" w:sz="0" w:space="0" w:color="auto"/>
      </w:divBdr>
    </w:div>
    <w:div w:id="722410515">
      <w:bodyDiv w:val="1"/>
      <w:marLeft w:val="0"/>
      <w:marRight w:val="0"/>
      <w:marTop w:val="0"/>
      <w:marBottom w:val="0"/>
      <w:divBdr>
        <w:top w:val="none" w:sz="0" w:space="0" w:color="auto"/>
        <w:left w:val="none" w:sz="0" w:space="0" w:color="auto"/>
        <w:bottom w:val="none" w:sz="0" w:space="0" w:color="auto"/>
        <w:right w:val="none" w:sz="0" w:space="0" w:color="auto"/>
      </w:divBdr>
    </w:div>
    <w:div w:id="723065990">
      <w:bodyDiv w:val="1"/>
      <w:marLeft w:val="0"/>
      <w:marRight w:val="0"/>
      <w:marTop w:val="0"/>
      <w:marBottom w:val="0"/>
      <w:divBdr>
        <w:top w:val="none" w:sz="0" w:space="0" w:color="auto"/>
        <w:left w:val="none" w:sz="0" w:space="0" w:color="auto"/>
        <w:bottom w:val="none" w:sz="0" w:space="0" w:color="auto"/>
        <w:right w:val="none" w:sz="0" w:space="0" w:color="auto"/>
      </w:divBdr>
    </w:div>
    <w:div w:id="732968071">
      <w:bodyDiv w:val="1"/>
      <w:marLeft w:val="0"/>
      <w:marRight w:val="0"/>
      <w:marTop w:val="0"/>
      <w:marBottom w:val="0"/>
      <w:divBdr>
        <w:top w:val="none" w:sz="0" w:space="0" w:color="auto"/>
        <w:left w:val="none" w:sz="0" w:space="0" w:color="auto"/>
        <w:bottom w:val="none" w:sz="0" w:space="0" w:color="auto"/>
        <w:right w:val="none" w:sz="0" w:space="0" w:color="auto"/>
      </w:divBdr>
    </w:div>
    <w:div w:id="735475390">
      <w:bodyDiv w:val="1"/>
      <w:marLeft w:val="0"/>
      <w:marRight w:val="0"/>
      <w:marTop w:val="0"/>
      <w:marBottom w:val="0"/>
      <w:divBdr>
        <w:top w:val="none" w:sz="0" w:space="0" w:color="auto"/>
        <w:left w:val="none" w:sz="0" w:space="0" w:color="auto"/>
        <w:bottom w:val="none" w:sz="0" w:space="0" w:color="auto"/>
        <w:right w:val="none" w:sz="0" w:space="0" w:color="auto"/>
      </w:divBdr>
      <w:divsChild>
        <w:div w:id="609703564">
          <w:marLeft w:val="0"/>
          <w:marRight w:val="0"/>
          <w:marTop w:val="0"/>
          <w:marBottom w:val="0"/>
          <w:divBdr>
            <w:top w:val="none" w:sz="0" w:space="0" w:color="auto"/>
            <w:left w:val="none" w:sz="0" w:space="0" w:color="auto"/>
            <w:bottom w:val="none" w:sz="0" w:space="0" w:color="auto"/>
            <w:right w:val="none" w:sz="0" w:space="0" w:color="auto"/>
          </w:divBdr>
        </w:div>
      </w:divsChild>
    </w:div>
    <w:div w:id="735519277">
      <w:bodyDiv w:val="1"/>
      <w:marLeft w:val="0"/>
      <w:marRight w:val="0"/>
      <w:marTop w:val="0"/>
      <w:marBottom w:val="0"/>
      <w:divBdr>
        <w:top w:val="none" w:sz="0" w:space="0" w:color="auto"/>
        <w:left w:val="none" w:sz="0" w:space="0" w:color="auto"/>
        <w:bottom w:val="none" w:sz="0" w:space="0" w:color="auto"/>
        <w:right w:val="none" w:sz="0" w:space="0" w:color="auto"/>
      </w:divBdr>
    </w:div>
    <w:div w:id="765657879">
      <w:bodyDiv w:val="1"/>
      <w:marLeft w:val="0"/>
      <w:marRight w:val="0"/>
      <w:marTop w:val="0"/>
      <w:marBottom w:val="0"/>
      <w:divBdr>
        <w:top w:val="none" w:sz="0" w:space="0" w:color="auto"/>
        <w:left w:val="none" w:sz="0" w:space="0" w:color="auto"/>
        <w:bottom w:val="none" w:sz="0" w:space="0" w:color="auto"/>
        <w:right w:val="none" w:sz="0" w:space="0" w:color="auto"/>
      </w:divBdr>
    </w:div>
    <w:div w:id="775713925">
      <w:bodyDiv w:val="1"/>
      <w:marLeft w:val="0"/>
      <w:marRight w:val="0"/>
      <w:marTop w:val="0"/>
      <w:marBottom w:val="0"/>
      <w:divBdr>
        <w:top w:val="none" w:sz="0" w:space="0" w:color="auto"/>
        <w:left w:val="none" w:sz="0" w:space="0" w:color="auto"/>
        <w:bottom w:val="none" w:sz="0" w:space="0" w:color="auto"/>
        <w:right w:val="none" w:sz="0" w:space="0" w:color="auto"/>
      </w:divBdr>
    </w:div>
    <w:div w:id="782311084">
      <w:bodyDiv w:val="1"/>
      <w:marLeft w:val="0"/>
      <w:marRight w:val="0"/>
      <w:marTop w:val="0"/>
      <w:marBottom w:val="0"/>
      <w:divBdr>
        <w:top w:val="none" w:sz="0" w:space="0" w:color="auto"/>
        <w:left w:val="none" w:sz="0" w:space="0" w:color="auto"/>
        <w:bottom w:val="none" w:sz="0" w:space="0" w:color="auto"/>
        <w:right w:val="none" w:sz="0" w:space="0" w:color="auto"/>
      </w:divBdr>
    </w:div>
    <w:div w:id="787510775">
      <w:bodyDiv w:val="1"/>
      <w:marLeft w:val="0"/>
      <w:marRight w:val="0"/>
      <w:marTop w:val="0"/>
      <w:marBottom w:val="0"/>
      <w:divBdr>
        <w:top w:val="none" w:sz="0" w:space="0" w:color="auto"/>
        <w:left w:val="none" w:sz="0" w:space="0" w:color="auto"/>
        <w:bottom w:val="none" w:sz="0" w:space="0" w:color="auto"/>
        <w:right w:val="none" w:sz="0" w:space="0" w:color="auto"/>
      </w:divBdr>
    </w:div>
    <w:div w:id="795565182">
      <w:bodyDiv w:val="1"/>
      <w:marLeft w:val="0"/>
      <w:marRight w:val="0"/>
      <w:marTop w:val="0"/>
      <w:marBottom w:val="0"/>
      <w:divBdr>
        <w:top w:val="none" w:sz="0" w:space="0" w:color="auto"/>
        <w:left w:val="none" w:sz="0" w:space="0" w:color="auto"/>
        <w:bottom w:val="none" w:sz="0" w:space="0" w:color="auto"/>
        <w:right w:val="none" w:sz="0" w:space="0" w:color="auto"/>
      </w:divBdr>
    </w:div>
    <w:div w:id="802115393">
      <w:bodyDiv w:val="1"/>
      <w:marLeft w:val="0"/>
      <w:marRight w:val="0"/>
      <w:marTop w:val="0"/>
      <w:marBottom w:val="0"/>
      <w:divBdr>
        <w:top w:val="none" w:sz="0" w:space="0" w:color="auto"/>
        <w:left w:val="none" w:sz="0" w:space="0" w:color="auto"/>
        <w:bottom w:val="none" w:sz="0" w:space="0" w:color="auto"/>
        <w:right w:val="none" w:sz="0" w:space="0" w:color="auto"/>
      </w:divBdr>
    </w:div>
    <w:div w:id="815099450">
      <w:bodyDiv w:val="1"/>
      <w:marLeft w:val="0"/>
      <w:marRight w:val="0"/>
      <w:marTop w:val="0"/>
      <w:marBottom w:val="0"/>
      <w:divBdr>
        <w:top w:val="none" w:sz="0" w:space="0" w:color="auto"/>
        <w:left w:val="none" w:sz="0" w:space="0" w:color="auto"/>
        <w:bottom w:val="none" w:sz="0" w:space="0" w:color="auto"/>
        <w:right w:val="none" w:sz="0" w:space="0" w:color="auto"/>
      </w:divBdr>
    </w:div>
    <w:div w:id="824399588">
      <w:bodyDiv w:val="1"/>
      <w:marLeft w:val="0"/>
      <w:marRight w:val="0"/>
      <w:marTop w:val="0"/>
      <w:marBottom w:val="0"/>
      <w:divBdr>
        <w:top w:val="none" w:sz="0" w:space="0" w:color="auto"/>
        <w:left w:val="none" w:sz="0" w:space="0" w:color="auto"/>
        <w:bottom w:val="none" w:sz="0" w:space="0" w:color="auto"/>
        <w:right w:val="none" w:sz="0" w:space="0" w:color="auto"/>
      </w:divBdr>
    </w:div>
    <w:div w:id="830367948">
      <w:bodyDiv w:val="1"/>
      <w:marLeft w:val="0"/>
      <w:marRight w:val="0"/>
      <w:marTop w:val="0"/>
      <w:marBottom w:val="0"/>
      <w:divBdr>
        <w:top w:val="none" w:sz="0" w:space="0" w:color="auto"/>
        <w:left w:val="none" w:sz="0" w:space="0" w:color="auto"/>
        <w:bottom w:val="none" w:sz="0" w:space="0" w:color="auto"/>
        <w:right w:val="none" w:sz="0" w:space="0" w:color="auto"/>
      </w:divBdr>
    </w:div>
    <w:div w:id="838036277">
      <w:bodyDiv w:val="1"/>
      <w:marLeft w:val="0"/>
      <w:marRight w:val="0"/>
      <w:marTop w:val="0"/>
      <w:marBottom w:val="0"/>
      <w:divBdr>
        <w:top w:val="none" w:sz="0" w:space="0" w:color="auto"/>
        <w:left w:val="none" w:sz="0" w:space="0" w:color="auto"/>
        <w:bottom w:val="none" w:sz="0" w:space="0" w:color="auto"/>
        <w:right w:val="none" w:sz="0" w:space="0" w:color="auto"/>
      </w:divBdr>
    </w:div>
    <w:div w:id="838230844">
      <w:bodyDiv w:val="1"/>
      <w:marLeft w:val="0"/>
      <w:marRight w:val="0"/>
      <w:marTop w:val="0"/>
      <w:marBottom w:val="0"/>
      <w:divBdr>
        <w:top w:val="none" w:sz="0" w:space="0" w:color="auto"/>
        <w:left w:val="none" w:sz="0" w:space="0" w:color="auto"/>
        <w:bottom w:val="none" w:sz="0" w:space="0" w:color="auto"/>
        <w:right w:val="none" w:sz="0" w:space="0" w:color="auto"/>
      </w:divBdr>
    </w:div>
    <w:div w:id="838735584">
      <w:bodyDiv w:val="1"/>
      <w:marLeft w:val="0"/>
      <w:marRight w:val="0"/>
      <w:marTop w:val="0"/>
      <w:marBottom w:val="0"/>
      <w:divBdr>
        <w:top w:val="none" w:sz="0" w:space="0" w:color="auto"/>
        <w:left w:val="none" w:sz="0" w:space="0" w:color="auto"/>
        <w:bottom w:val="none" w:sz="0" w:space="0" w:color="auto"/>
        <w:right w:val="none" w:sz="0" w:space="0" w:color="auto"/>
      </w:divBdr>
    </w:div>
    <w:div w:id="847912333">
      <w:bodyDiv w:val="1"/>
      <w:marLeft w:val="0"/>
      <w:marRight w:val="0"/>
      <w:marTop w:val="0"/>
      <w:marBottom w:val="0"/>
      <w:divBdr>
        <w:top w:val="none" w:sz="0" w:space="0" w:color="auto"/>
        <w:left w:val="none" w:sz="0" w:space="0" w:color="auto"/>
        <w:bottom w:val="none" w:sz="0" w:space="0" w:color="auto"/>
        <w:right w:val="none" w:sz="0" w:space="0" w:color="auto"/>
      </w:divBdr>
    </w:div>
    <w:div w:id="848102746">
      <w:bodyDiv w:val="1"/>
      <w:marLeft w:val="0"/>
      <w:marRight w:val="0"/>
      <w:marTop w:val="0"/>
      <w:marBottom w:val="0"/>
      <w:divBdr>
        <w:top w:val="none" w:sz="0" w:space="0" w:color="auto"/>
        <w:left w:val="none" w:sz="0" w:space="0" w:color="auto"/>
        <w:bottom w:val="none" w:sz="0" w:space="0" w:color="auto"/>
        <w:right w:val="none" w:sz="0" w:space="0" w:color="auto"/>
      </w:divBdr>
    </w:div>
    <w:div w:id="851182795">
      <w:bodyDiv w:val="1"/>
      <w:marLeft w:val="0"/>
      <w:marRight w:val="0"/>
      <w:marTop w:val="0"/>
      <w:marBottom w:val="0"/>
      <w:divBdr>
        <w:top w:val="none" w:sz="0" w:space="0" w:color="auto"/>
        <w:left w:val="none" w:sz="0" w:space="0" w:color="auto"/>
        <w:bottom w:val="none" w:sz="0" w:space="0" w:color="auto"/>
        <w:right w:val="none" w:sz="0" w:space="0" w:color="auto"/>
      </w:divBdr>
    </w:div>
    <w:div w:id="854810805">
      <w:bodyDiv w:val="1"/>
      <w:marLeft w:val="0"/>
      <w:marRight w:val="0"/>
      <w:marTop w:val="0"/>
      <w:marBottom w:val="0"/>
      <w:divBdr>
        <w:top w:val="none" w:sz="0" w:space="0" w:color="auto"/>
        <w:left w:val="none" w:sz="0" w:space="0" w:color="auto"/>
        <w:bottom w:val="none" w:sz="0" w:space="0" w:color="auto"/>
        <w:right w:val="none" w:sz="0" w:space="0" w:color="auto"/>
      </w:divBdr>
    </w:div>
    <w:div w:id="865369161">
      <w:bodyDiv w:val="1"/>
      <w:marLeft w:val="0"/>
      <w:marRight w:val="0"/>
      <w:marTop w:val="0"/>
      <w:marBottom w:val="0"/>
      <w:divBdr>
        <w:top w:val="none" w:sz="0" w:space="0" w:color="auto"/>
        <w:left w:val="none" w:sz="0" w:space="0" w:color="auto"/>
        <w:bottom w:val="none" w:sz="0" w:space="0" w:color="auto"/>
        <w:right w:val="none" w:sz="0" w:space="0" w:color="auto"/>
      </w:divBdr>
    </w:div>
    <w:div w:id="881022437">
      <w:bodyDiv w:val="1"/>
      <w:marLeft w:val="0"/>
      <w:marRight w:val="0"/>
      <w:marTop w:val="0"/>
      <w:marBottom w:val="0"/>
      <w:divBdr>
        <w:top w:val="none" w:sz="0" w:space="0" w:color="auto"/>
        <w:left w:val="none" w:sz="0" w:space="0" w:color="auto"/>
        <w:bottom w:val="none" w:sz="0" w:space="0" w:color="auto"/>
        <w:right w:val="none" w:sz="0" w:space="0" w:color="auto"/>
      </w:divBdr>
    </w:div>
    <w:div w:id="881945699">
      <w:bodyDiv w:val="1"/>
      <w:marLeft w:val="0"/>
      <w:marRight w:val="0"/>
      <w:marTop w:val="0"/>
      <w:marBottom w:val="0"/>
      <w:divBdr>
        <w:top w:val="none" w:sz="0" w:space="0" w:color="auto"/>
        <w:left w:val="none" w:sz="0" w:space="0" w:color="auto"/>
        <w:bottom w:val="none" w:sz="0" w:space="0" w:color="auto"/>
        <w:right w:val="none" w:sz="0" w:space="0" w:color="auto"/>
      </w:divBdr>
    </w:div>
    <w:div w:id="894706498">
      <w:bodyDiv w:val="1"/>
      <w:marLeft w:val="0"/>
      <w:marRight w:val="0"/>
      <w:marTop w:val="0"/>
      <w:marBottom w:val="0"/>
      <w:divBdr>
        <w:top w:val="none" w:sz="0" w:space="0" w:color="auto"/>
        <w:left w:val="none" w:sz="0" w:space="0" w:color="auto"/>
        <w:bottom w:val="none" w:sz="0" w:space="0" w:color="auto"/>
        <w:right w:val="none" w:sz="0" w:space="0" w:color="auto"/>
      </w:divBdr>
    </w:div>
    <w:div w:id="895777490">
      <w:bodyDiv w:val="1"/>
      <w:marLeft w:val="0"/>
      <w:marRight w:val="0"/>
      <w:marTop w:val="0"/>
      <w:marBottom w:val="0"/>
      <w:divBdr>
        <w:top w:val="none" w:sz="0" w:space="0" w:color="auto"/>
        <w:left w:val="none" w:sz="0" w:space="0" w:color="auto"/>
        <w:bottom w:val="none" w:sz="0" w:space="0" w:color="auto"/>
        <w:right w:val="none" w:sz="0" w:space="0" w:color="auto"/>
      </w:divBdr>
    </w:div>
    <w:div w:id="899756452">
      <w:bodyDiv w:val="1"/>
      <w:marLeft w:val="0"/>
      <w:marRight w:val="0"/>
      <w:marTop w:val="0"/>
      <w:marBottom w:val="0"/>
      <w:divBdr>
        <w:top w:val="none" w:sz="0" w:space="0" w:color="auto"/>
        <w:left w:val="none" w:sz="0" w:space="0" w:color="auto"/>
        <w:bottom w:val="none" w:sz="0" w:space="0" w:color="auto"/>
        <w:right w:val="none" w:sz="0" w:space="0" w:color="auto"/>
      </w:divBdr>
    </w:div>
    <w:div w:id="902065472">
      <w:bodyDiv w:val="1"/>
      <w:marLeft w:val="0"/>
      <w:marRight w:val="0"/>
      <w:marTop w:val="0"/>
      <w:marBottom w:val="0"/>
      <w:divBdr>
        <w:top w:val="none" w:sz="0" w:space="0" w:color="auto"/>
        <w:left w:val="none" w:sz="0" w:space="0" w:color="auto"/>
        <w:bottom w:val="none" w:sz="0" w:space="0" w:color="auto"/>
        <w:right w:val="none" w:sz="0" w:space="0" w:color="auto"/>
      </w:divBdr>
    </w:div>
    <w:div w:id="903418561">
      <w:bodyDiv w:val="1"/>
      <w:marLeft w:val="0"/>
      <w:marRight w:val="0"/>
      <w:marTop w:val="0"/>
      <w:marBottom w:val="0"/>
      <w:divBdr>
        <w:top w:val="none" w:sz="0" w:space="0" w:color="auto"/>
        <w:left w:val="none" w:sz="0" w:space="0" w:color="auto"/>
        <w:bottom w:val="none" w:sz="0" w:space="0" w:color="auto"/>
        <w:right w:val="none" w:sz="0" w:space="0" w:color="auto"/>
      </w:divBdr>
    </w:div>
    <w:div w:id="912663761">
      <w:bodyDiv w:val="1"/>
      <w:marLeft w:val="0"/>
      <w:marRight w:val="0"/>
      <w:marTop w:val="0"/>
      <w:marBottom w:val="0"/>
      <w:divBdr>
        <w:top w:val="none" w:sz="0" w:space="0" w:color="auto"/>
        <w:left w:val="none" w:sz="0" w:space="0" w:color="auto"/>
        <w:bottom w:val="none" w:sz="0" w:space="0" w:color="auto"/>
        <w:right w:val="none" w:sz="0" w:space="0" w:color="auto"/>
      </w:divBdr>
    </w:div>
    <w:div w:id="930315300">
      <w:bodyDiv w:val="1"/>
      <w:marLeft w:val="0"/>
      <w:marRight w:val="0"/>
      <w:marTop w:val="0"/>
      <w:marBottom w:val="0"/>
      <w:divBdr>
        <w:top w:val="none" w:sz="0" w:space="0" w:color="auto"/>
        <w:left w:val="none" w:sz="0" w:space="0" w:color="auto"/>
        <w:bottom w:val="none" w:sz="0" w:space="0" w:color="auto"/>
        <w:right w:val="none" w:sz="0" w:space="0" w:color="auto"/>
      </w:divBdr>
    </w:div>
    <w:div w:id="930503363">
      <w:bodyDiv w:val="1"/>
      <w:marLeft w:val="0"/>
      <w:marRight w:val="0"/>
      <w:marTop w:val="0"/>
      <w:marBottom w:val="0"/>
      <w:divBdr>
        <w:top w:val="none" w:sz="0" w:space="0" w:color="auto"/>
        <w:left w:val="none" w:sz="0" w:space="0" w:color="auto"/>
        <w:bottom w:val="none" w:sz="0" w:space="0" w:color="auto"/>
        <w:right w:val="none" w:sz="0" w:space="0" w:color="auto"/>
      </w:divBdr>
    </w:div>
    <w:div w:id="967466420">
      <w:bodyDiv w:val="1"/>
      <w:marLeft w:val="0"/>
      <w:marRight w:val="0"/>
      <w:marTop w:val="0"/>
      <w:marBottom w:val="0"/>
      <w:divBdr>
        <w:top w:val="none" w:sz="0" w:space="0" w:color="auto"/>
        <w:left w:val="none" w:sz="0" w:space="0" w:color="auto"/>
        <w:bottom w:val="none" w:sz="0" w:space="0" w:color="auto"/>
        <w:right w:val="none" w:sz="0" w:space="0" w:color="auto"/>
      </w:divBdr>
    </w:div>
    <w:div w:id="973214734">
      <w:bodyDiv w:val="1"/>
      <w:marLeft w:val="0"/>
      <w:marRight w:val="0"/>
      <w:marTop w:val="0"/>
      <w:marBottom w:val="0"/>
      <w:divBdr>
        <w:top w:val="none" w:sz="0" w:space="0" w:color="auto"/>
        <w:left w:val="none" w:sz="0" w:space="0" w:color="auto"/>
        <w:bottom w:val="none" w:sz="0" w:space="0" w:color="auto"/>
        <w:right w:val="none" w:sz="0" w:space="0" w:color="auto"/>
      </w:divBdr>
    </w:div>
    <w:div w:id="973564286">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6688994">
      <w:bodyDiv w:val="1"/>
      <w:marLeft w:val="0"/>
      <w:marRight w:val="0"/>
      <w:marTop w:val="0"/>
      <w:marBottom w:val="0"/>
      <w:divBdr>
        <w:top w:val="none" w:sz="0" w:space="0" w:color="auto"/>
        <w:left w:val="none" w:sz="0" w:space="0" w:color="auto"/>
        <w:bottom w:val="none" w:sz="0" w:space="0" w:color="auto"/>
        <w:right w:val="none" w:sz="0" w:space="0" w:color="auto"/>
      </w:divBdr>
    </w:div>
    <w:div w:id="981615074">
      <w:bodyDiv w:val="1"/>
      <w:marLeft w:val="0"/>
      <w:marRight w:val="0"/>
      <w:marTop w:val="0"/>
      <w:marBottom w:val="0"/>
      <w:divBdr>
        <w:top w:val="none" w:sz="0" w:space="0" w:color="auto"/>
        <w:left w:val="none" w:sz="0" w:space="0" w:color="auto"/>
        <w:bottom w:val="none" w:sz="0" w:space="0" w:color="auto"/>
        <w:right w:val="none" w:sz="0" w:space="0" w:color="auto"/>
      </w:divBdr>
    </w:div>
    <w:div w:id="1005518902">
      <w:bodyDiv w:val="1"/>
      <w:marLeft w:val="0"/>
      <w:marRight w:val="0"/>
      <w:marTop w:val="0"/>
      <w:marBottom w:val="0"/>
      <w:divBdr>
        <w:top w:val="none" w:sz="0" w:space="0" w:color="auto"/>
        <w:left w:val="none" w:sz="0" w:space="0" w:color="auto"/>
        <w:bottom w:val="none" w:sz="0" w:space="0" w:color="auto"/>
        <w:right w:val="none" w:sz="0" w:space="0" w:color="auto"/>
      </w:divBdr>
    </w:div>
    <w:div w:id="1005783234">
      <w:bodyDiv w:val="1"/>
      <w:marLeft w:val="0"/>
      <w:marRight w:val="0"/>
      <w:marTop w:val="0"/>
      <w:marBottom w:val="0"/>
      <w:divBdr>
        <w:top w:val="none" w:sz="0" w:space="0" w:color="auto"/>
        <w:left w:val="none" w:sz="0" w:space="0" w:color="auto"/>
        <w:bottom w:val="none" w:sz="0" w:space="0" w:color="auto"/>
        <w:right w:val="none" w:sz="0" w:space="0" w:color="auto"/>
      </w:divBdr>
    </w:div>
    <w:div w:id="1017391443">
      <w:bodyDiv w:val="1"/>
      <w:marLeft w:val="0"/>
      <w:marRight w:val="0"/>
      <w:marTop w:val="0"/>
      <w:marBottom w:val="0"/>
      <w:divBdr>
        <w:top w:val="none" w:sz="0" w:space="0" w:color="auto"/>
        <w:left w:val="none" w:sz="0" w:space="0" w:color="auto"/>
        <w:bottom w:val="none" w:sz="0" w:space="0" w:color="auto"/>
        <w:right w:val="none" w:sz="0" w:space="0" w:color="auto"/>
      </w:divBdr>
    </w:div>
    <w:div w:id="1039741028">
      <w:bodyDiv w:val="1"/>
      <w:marLeft w:val="0"/>
      <w:marRight w:val="0"/>
      <w:marTop w:val="0"/>
      <w:marBottom w:val="0"/>
      <w:divBdr>
        <w:top w:val="none" w:sz="0" w:space="0" w:color="auto"/>
        <w:left w:val="none" w:sz="0" w:space="0" w:color="auto"/>
        <w:bottom w:val="none" w:sz="0" w:space="0" w:color="auto"/>
        <w:right w:val="none" w:sz="0" w:space="0" w:color="auto"/>
      </w:divBdr>
    </w:div>
    <w:div w:id="1046567733">
      <w:bodyDiv w:val="1"/>
      <w:marLeft w:val="0"/>
      <w:marRight w:val="0"/>
      <w:marTop w:val="0"/>
      <w:marBottom w:val="0"/>
      <w:divBdr>
        <w:top w:val="none" w:sz="0" w:space="0" w:color="auto"/>
        <w:left w:val="none" w:sz="0" w:space="0" w:color="auto"/>
        <w:bottom w:val="none" w:sz="0" w:space="0" w:color="auto"/>
        <w:right w:val="none" w:sz="0" w:space="0" w:color="auto"/>
      </w:divBdr>
    </w:div>
    <w:div w:id="1054768702">
      <w:bodyDiv w:val="1"/>
      <w:marLeft w:val="0"/>
      <w:marRight w:val="0"/>
      <w:marTop w:val="0"/>
      <w:marBottom w:val="0"/>
      <w:divBdr>
        <w:top w:val="none" w:sz="0" w:space="0" w:color="auto"/>
        <w:left w:val="none" w:sz="0" w:space="0" w:color="auto"/>
        <w:bottom w:val="none" w:sz="0" w:space="0" w:color="auto"/>
        <w:right w:val="none" w:sz="0" w:space="0" w:color="auto"/>
      </w:divBdr>
    </w:div>
    <w:div w:id="1062677677">
      <w:bodyDiv w:val="1"/>
      <w:marLeft w:val="0"/>
      <w:marRight w:val="0"/>
      <w:marTop w:val="0"/>
      <w:marBottom w:val="0"/>
      <w:divBdr>
        <w:top w:val="none" w:sz="0" w:space="0" w:color="auto"/>
        <w:left w:val="none" w:sz="0" w:space="0" w:color="auto"/>
        <w:bottom w:val="none" w:sz="0" w:space="0" w:color="auto"/>
        <w:right w:val="none" w:sz="0" w:space="0" w:color="auto"/>
      </w:divBdr>
    </w:div>
    <w:div w:id="1065223200">
      <w:bodyDiv w:val="1"/>
      <w:marLeft w:val="0"/>
      <w:marRight w:val="0"/>
      <w:marTop w:val="0"/>
      <w:marBottom w:val="0"/>
      <w:divBdr>
        <w:top w:val="none" w:sz="0" w:space="0" w:color="auto"/>
        <w:left w:val="none" w:sz="0" w:space="0" w:color="auto"/>
        <w:bottom w:val="none" w:sz="0" w:space="0" w:color="auto"/>
        <w:right w:val="none" w:sz="0" w:space="0" w:color="auto"/>
      </w:divBdr>
    </w:div>
    <w:div w:id="1067536626">
      <w:bodyDiv w:val="1"/>
      <w:marLeft w:val="0"/>
      <w:marRight w:val="0"/>
      <w:marTop w:val="0"/>
      <w:marBottom w:val="0"/>
      <w:divBdr>
        <w:top w:val="none" w:sz="0" w:space="0" w:color="auto"/>
        <w:left w:val="none" w:sz="0" w:space="0" w:color="auto"/>
        <w:bottom w:val="none" w:sz="0" w:space="0" w:color="auto"/>
        <w:right w:val="none" w:sz="0" w:space="0" w:color="auto"/>
      </w:divBdr>
    </w:div>
    <w:div w:id="1077360400">
      <w:bodyDiv w:val="1"/>
      <w:marLeft w:val="0"/>
      <w:marRight w:val="0"/>
      <w:marTop w:val="0"/>
      <w:marBottom w:val="0"/>
      <w:divBdr>
        <w:top w:val="none" w:sz="0" w:space="0" w:color="auto"/>
        <w:left w:val="none" w:sz="0" w:space="0" w:color="auto"/>
        <w:bottom w:val="none" w:sz="0" w:space="0" w:color="auto"/>
        <w:right w:val="none" w:sz="0" w:space="0" w:color="auto"/>
      </w:divBdr>
    </w:div>
    <w:div w:id="1079865153">
      <w:bodyDiv w:val="1"/>
      <w:marLeft w:val="0"/>
      <w:marRight w:val="0"/>
      <w:marTop w:val="0"/>
      <w:marBottom w:val="0"/>
      <w:divBdr>
        <w:top w:val="none" w:sz="0" w:space="0" w:color="auto"/>
        <w:left w:val="none" w:sz="0" w:space="0" w:color="auto"/>
        <w:bottom w:val="none" w:sz="0" w:space="0" w:color="auto"/>
        <w:right w:val="none" w:sz="0" w:space="0" w:color="auto"/>
      </w:divBdr>
    </w:div>
    <w:div w:id="1080130181">
      <w:bodyDiv w:val="1"/>
      <w:marLeft w:val="0"/>
      <w:marRight w:val="0"/>
      <w:marTop w:val="0"/>
      <w:marBottom w:val="0"/>
      <w:divBdr>
        <w:top w:val="none" w:sz="0" w:space="0" w:color="auto"/>
        <w:left w:val="none" w:sz="0" w:space="0" w:color="auto"/>
        <w:bottom w:val="none" w:sz="0" w:space="0" w:color="auto"/>
        <w:right w:val="none" w:sz="0" w:space="0" w:color="auto"/>
      </w:divBdr>
    </w:div>
    <w:div w:id="1080447296">
      <w:bodyDiv w:val="1"/>
      <w:marLeft w:val="0"/>
      <w:marRight w:val="0"/>
      <w:marTop w:val="0"/>
      <w:marBottom w:val="0"/>
      <w:divBdr>
        <w:top w:val="none" w:sz="0" w:space="0" w:color="auto"/>
        <w:left w:val="none" w:sz="0" w:space="0" w:color="auto"/>
        <w:bottom w:val="none" w:sz="0" w:space="0" w:color="auto"/>
        <w:right w:val="none" w:sz="0" w:space="0" w:color="auto"/>
      </w:divBdr>
    </w:div>
    <w:div w:id="1082872711">
      <w:bodyDiv w:val="1"/>
      <w:marLeft w:val="0"/>
      <w:marRight w:val="0"/>
      <w:marTop w:val="0"/>
      <w:marBottom w:val="0"/>
      <w:divBdr>
        <w:top w:val="none" w:sz="0" w:space="0" w:color="auto"/>
        <w:left w:val="none" w:sz="0" w:space="0" w:color="auto"/>
        <w:bottom w:val="none" w:sz="0" w:space="0" w:color="auto"/>
        <w:right w:val="none" w:sz="0" w:space="0" w:color="auto"/>
      </w:divBdr>
    </w:div>
    <w:div w:id="1086418505">
      <w:bodyDiv w:val="1"/>
      <w:marLeft w:val="0"/>
      <w:marRight w:val="0"/>
      <w:marTop w:val="0"/>
      <w:marBottom w:val="0"/>
      <w:divBdr>
        <w:top w:val="none" w:sz="0" w:space="0" w:color="auto"/>
        <w:left w:val="none" w:sz="0" w:space="0" w:color="auto"/>
        <w:bottom w:val="none" w:sz="0" w:space="0" w:color="auto"/>
        <w:right w:val="none" w:sz="0" w:space="0" w:color="auto"/>
      </w:divBdr>
    </w:div>
    <w:div w:id="1092820249">
      <w:bodyDiv w:val="1"/>
      <w:marLeft w:val="0"/>
      <w:marRight w:val="0"/>
      <w:marTop w:val="0"/>
      <w:marBottom w:val="0"/>
      <w:divBdr>
        <w:top w:val="none" w:sz="0" w:space="0" w:color="auto"/>
        <w:left w:val="none" w:sz="0" w:space="0" w:color="auto"/>
        <w:bottom w:val="none" w:sz="0" w:space="0" w:color="auto"/>
        <w:right w:val="none" w:sz="0" w:space="0" w:color="auto"/>
      </w:divBdr>
    </w:div>
    <w:div w:id="1099792305">
      <w:bodyDiv w:val="1"/>
      <w:marLeft w:val="0"/>
      <w:marRight w:val="0"/>
      <w:marTop w:val="0"/>
      <w:marBottom w:val="0"/>
      <w:divBdr>
        <w:top w:val="none" w:sz="0" w:space="0" w:color="auto"/>
        <w:left w:val="none" w:sz="0" w:space="0" w:color="auto"/>
        <w:bottom w:val="none" w:sz="0" w:space="0" w:color="auto"/>
        <w:right w:val="none" w:sz="0" w:space="0" w:color="auto"/>
      </w:divBdr>
    </w:div>
    <w:div w:id="1105924648">
      <w:bodyDiv w:val="1"/>
      <w:marLeft w:val="0"/>
      <w:marRight w:val="0"/>
      <w:marTop w:val="0"/>
      <w:marBottom w:val="0"/>
      <w:divBdr>
        <w:top w:val="none" w:sz="0" w:space="0" w:color="auto"/>
        <w:left w:val="none" w:sz="0" w:space="0" w:color="auto"/>
        <w:bottom w:val="none" w:sz="0" w:space="0" w:color="auto"/>
        <w:right w:val="none" w:sz="0" w:space="0" w:color="auto"/>
      </w:divBdr>
    </w:div>
    <w:div w:id="1106074308">
      <w:bodyDiv w:val="1"/>
      <w:marLeft w:val="0"/>
      <w:marRight w:val="0"/>
      <w:marTop w:val="0"/>
      <w:marBottom w:val="0"/>
      <w:divBdr>
        <w:top w:val="none" w:sz="0" w:space="0" w:color="auto"/>
        <w:left w:val="none" w:sz="0" w:space="0" w:color="auto"/>
        <w:bottom w:val="none" w:sz="0" w:space="0" w:color="auto"/>
        <w:right w:val="none" w:sz="0" w:space="0" w:color="auto"/>
      </w:divBdr>
    </w:div>
    <w:div w:id="1110778723">
      <w:bodyDiv w:val="1"/>
      <w:marLeft w:val="0"/>
      <w:marRight w:val="0"/>
      <w:marTop w:val="0"/>
      <w:marBottom w:val="0"/>
      <w:divBdr>
        <w:top w:val="none" w:sz="0" w:space="0" w:color="auto"/>
        <w:left w:val="none" w:sz="0" w:space="0" w:color="auto"/>
        <w:bottom w:val="none" w:sz="0" w:space="0" w:color="auto"/>
        <w:right w:val="none" w:sz="0" w:space="0" w:color="auto"/>
      </w:divBdr>
    </w:div>
    <w:div w:id="1113015947">
      <w:bodyDiv w:val="1"/>
      <w:marLeft w:val="0"/>
      <w:marRight w:val="0"/>
      <w:marTop w:val="0"/>
      <w:marBottom w:val="0"/>
      <w:divBdr>
        <w:top w:val="none" w:sz="0" w:space="0" w:color="auto"/>
        <w:left w:val="none" w:sz="0" w:space="0" w:color="auto"/>
        <w:bottom w:val="none" w:sz="0" w:space="0" w:color="auto"/>
        <w:right w:val="none" w:sz="0" w:space="0" w:color="auto"/>
      </w:divBdr>
    </w:div>
    <w:div w:id="1115833546">
      <w:bodyDiv w:val="1"/>
      <w:marLeft w:val="0"/>
      <w:marRight w:val="0"/>
      <w:marTop w:val="0"/>
      <w:marBottom w:val="0"/>
      <w:divBdr>
        <w:top w:val="none" w:sz="0" w:space="0" w:color="auto"/>
        <w:left w:val="none" w:sz="0" w:space="0" w:color="auto"/>
        <w:bottom w:val="none" w:sz="0" w:space="0" w:color="auto"/>
        <w:right w:val="none" w:sz="0" w:space="0" w:color="auto"/>
      </w:divBdr>
    </w:div>
    <w:div w:id="1119488328">
      <w:bodyDiv w:val="1"/>
      <w:marLeft w:val="0"/>
      <w:marRight w:val="0"/>
      <w:marTop w:val="0"/>
      <w:marBottom w:val="0"/>
      <w:divBdr>
        <w:top w:val="none" w:sz="0" w:space="0" w:color="auto"/>
        <w:left w:val="none" w:sz="0" w:space="0" w:color="auto"/>
        <w:bottom w:val="none" w:sz="0" w:space="0" w:color="auto"/>
        <w:right w:val="none" w:sz="0" w:space="0" w:color="auto"/>
      </w:divBdr>
    </w:div>
    <w:div w:id="1123427719">
      <w:bodyDiv w:val="1"/>
      <w:marLeft w:val="0"/>
      <w:marRight w:val="0"/>
      <w:marTop w:val="0"/>
      <w:marBottom w:val="0"/>
      <w:divBdr>
        <w:top w:val="none" w:sz="0" w:space="0" w:color="auto"/>
        <w:left w:val="none" w:sz="0" w:space="0" w:color="auto"/>
        <w:bottom w:val="none" w:sz="0" w:space="0" w:color="auto"/>
        <w:right w:val="none" w:sz="0" w:space="0" w:color="auto"/>
      </w:divBdr>
    </w:div>
    <w:div w:id="1137722744">
      <w:bodyDiv w:val="1"/>
      <w:marLeft w:val="0"/>
      <w:marRight w:val="0"/>
      <w:marTop w:val="0"/>
      <w:marBottom w:val="0"/>
      <w:divBdr>
        <w:top w:val="none" w:sz="0" w:space="0" w:color="auto"/>
        <w:left w:val="none" w:sz="0" w:space="0" w:color="auto"/>
        <w:bottom w:val="none" w:sz="0" w:space="0" w:color="auto"/>
        <w:right w:val="none" w:sz="0" w:space="0" w:color="auto"/>
      </w:divBdr>
    </w:div>
    <w:div w:id="1138917013">
      <w:bodyDiv w:val="1"/>
      <w:marLeft w:val="0"/>
      <w:marRight w:val="0"/>
      <w:marTop w:val="0"/>
      <w:marBottom w:val="0"/>
      <w:divBdr>
        <w:top w:val="none" w:sz="0" w:space="0" w:color="auto"/>
        <w:left w:val="none" w:sz="0" w:space="0" w:color="auto"/>
        <w:bottom w:val="none" w:sz="0" w:space="0" w:color="auto"/>
        <w:right w:val="none" w:sz="0" w:space="0" w:color="auto"/>
      </w:divBdr>
    </w:div>
    <w:div w:id="1141382226">
      <w:bodyDiv w:val="1"/>
      <w:marLeft w:val="0"/>
      <w:marRight w:val="0"/>
      <w:marTop w:val="0"/>
      <w:marBottom w:val="0"/>
      <w:divBdr>
        <w:top w:val="none" w:sz="0" w:space="0" w:color="auto"/>
        <w:left w:val="none" w:sz="0" w:space="0" w:color="auto"/>
        <w:bottom w:val="none" w:sz="0" w:space="0" w:color="auto"/>
        <w:right w:val="none" w:sz="0" w:space="0" w:color="auto"/>
      </w:divBdr>
    </w:div>
    <w:div w:id="1167862897">
      <w:bodyDiv w:val="1"/>
      <w:marLeft w:val="0"/>
      <w:marRight w:val="0"/>
      <w:marTop w:val="0"/>
      <w:marBottom w:val="0"/>
      <w:divBdr>
        <w:top w:val="none" w:sz="0" w:space="0" w:color="auto"/>
        <w:left w:val="none" w:sz="0" w:space="0" w:color="auto"/>
        <w:bottom w:val="none" w:sz="0" w:space="0" w:color="auto"/>
        <w:right w:val="none" w:sz="0" w:space="0" w:color="auto"/>
      </w:divBdr>
    </w:div>
    <w:div w:id="1173302882">
      <w:bodyDiv w:val="1"/>
      <w:marLeft w:val="0"/>
      <w:marRight w:val="0"/>
      <w:marTop w:val="0"/>
      <w:marBottom w:val="0"/>
      <w:divBdr>
        <w:top w:val="none" w:sz="0" w:space="0" w:color="auto"/>
        <w:left w:val="none" w:sz="0" w:space="0" w:color="auto"/>
        <w:bottom w:val="none" w:sz="0" w:space="0" w:color="auto"/>
        <w:right w:val="none" w:sz="0" w:space="0" w:color="auto"/>
      </w:divBdr>
    </w:div>
    <w:div w:id="1177765270">
      <w:bodyDiv w:val="1"/>
      <w:marLeft w:val="0"/>
      <w:marRight w:val="0"/>
      <w:marTop w:val="0"/>
      <w:marBottom w:val="0"/>
      <w:divBdr>
        <w:top w:val="none" w:sz="0" w:space="0" w:color="auto"/>
        <w:left w:val="none" w:sz="0" w:space="0" w:color="auto"/>
        <w:bottom w:val="none" w:sz="0" w:space="0" w:color="auto"/>
        <w:right w:val="none" w:sz="0" w:space="0" w:color="auto"/>
      </w:divBdr>
    </w:div>
    <w:div w:id="1178349561">
      <w:bodyDiv w:val="1"/>
      <w:marLeft w:val="0"/>
      <w:marRight w:val="0"/>
      <w:marTop w:val="0"/>
      <w:marBottom w:val="0"/>
      <w:divBdr>
        <w:top w:val="none" w:sz="0" w:space="0" w:color="auto"/>
        <w:left w:val="none" w:sz="0" w:space="0" w:color="auto"/>
        <w:bottom w:val="none" w:sz="0" w:space="0" w:color="auto"/>
        <w:right w:val="none" w:sz="0" w:space="0" w:color="auto"/>
      </w:divBdr>
    </w:div>
    <w:div w:id="1178615674">
      <w:bodyDiv w:val="1"/>
      <w:marLeft w:val="0"/>
      <w:marRight w:val="0"/>
      <w:marTop w:val="0"/>
      <w:marBottom w:val="0"/>
      <w:divBdr>
        <w:top w:val="none" w:sz="0" w:space="0" w:color="auto"/>
        <w:left w:val="none" w:sz="0" w:space="0" w:color="auto"/>
        <w:bottom w:val="none" w:sz="0" w:space="0" w:color="auto"/>
        <w:right w:val="none" w:sz="0" w:space="0" w:color="auto"/>
      </w:divBdr>
    </w:div>
    <w:div w:id="1180311689">
      <w:bodyDiv w:val="1"/>
      <w:marLeft w:val="0"/>
      <w:marRight w:val="0"/>
      <w:marTop w:val="0"/>
      <w:marBottom w:val="0"/>
      <w:divBdr>
        <w:top w:val="none" w:sz="0" w:space="0" w:color="auto"/>
        <w:left w:val="none" w:sz="0" w:space="0" w:color="auto"/>
        <w:bottom w:val="none" w:sz="0" w:space="0" w:color="auto"/>
        <w:right w:val="none" w:sz="0" w:space="0" w:color="auto"/>
      </w:divBdr>
    </w:div>
    <w:div w:id="1190533021">
      <w:bodyDiv w:val="1"/>
      <w:marLeft w:val="0"/>
      <w:marRight w:val="0"/>
      <w:marTop w:val="0"/>
      <w:marBottom w:val="0"/>
      <w:divBdr>
        <w:top w:val="none" w:sz="0" w:space="0" w:color="auto"/>
        <w:left w:val="none" w:sz="0" w:space="0" w:color="auto"/>
        <w:bottom w:val="none" w:sz="0" w:space="0" w:color="auto"/>
        <w:right w:val="none" w:sz="0" w:space="0" w:color="auto"/>
      </w:divBdr>
    </w:div>
    <w:div w:id="1190872128">
      <w:bodyDiv w:val="1"/>
      <w:marLeft w:val="0"/>
      <w:marRight w:val="0"/>
      <w:marTop w:val="0"/>
      <w:marBottom w:val="0"/>
      <w:divBdr>
        <w:top w:val="none" w:sz="0" w:space="0" w:color="auto"/>
        <w:left w:val="none" w:sz="0" w:space="0" w:color="auto"/>
        <w:bottom w:val="none" w:sz="0" w:space="0" w:color="auto"/>
        <w:right w:val="none" w:sz="0" w:space="0" w:color="auto"/>
      </w:divBdr>
    </w:div>
    <w:div w:id="1198348586">
      <w:bodyDiv w:val="1"/>
      <w:marLeft w:val="0"/>
      <w:marRight w:val="0"/>
      <w:marTop w:val="0"/>
      <w:marBottom w:val="0"/>
      <w:divBdr>
        <w:top w:val="none" w:sz="0" w:space="0" w:color="auto"/>
        <w:left w:val="none" w:sz="0" w:space="0" w:color="auto"/>
        <w:bottom w:val="none" w:sz="0" w:space="0" w:color="auto"/>
        <w:right w:val="none" w:sz="0" w:space="0" w:color="auto"/>
      </w:divBdr>
    </w:div>
    <w:div w:id="1204244317">
      <w:bodyDiv w:val="1"/>
      <w:marLeft w:val="0"/>
      <w:marRight w:val="0"/>
      <w:marTop w:val="0"/>
      <w:marBottom w:val="0"/>
      <w:divBdr>
        <w:top w:val="none" w:sz="0" w:space="0" w:color="auto"/>
        <w:left w:val="none" w:sz="0" w:space="0" w:color="auto"/>
        <w:bottom w:val="none" w:sz="0" w:space="0" w:color="auto"/>
        <w:right w:val="none" w:sz="0" w:space="0" w:color="auto"/>
      </w:divBdr>
    </w:div>
    <w:div w:id="1211460780">
      <w:bodyDiv w:val="1"/>
      <w:marLeft w:val="0"/>
      <w:marRight w:val="0"/>
      <w:marTop w:val="0"/>
      <w:marBottom w:val="0"/>
      <w:divBdr>
        <w:top w:val="none" w:sz="0" w:space="0" w:color="auto"/>
        <w:left w:val="none" w:sz="0" w:space="0" w:color="auto"/>
        <w:bottom w:val="none" w:sz="0" w:space="0" w:color="auto"/>
        <w:right w:val="none" w:sz="0" w:space="0" w:color="auto"/>
      </w:divBdr>
    </w:div>
    <w:div w:id="1214150363">
      <w:bodyDiv w:val="1"/>
      <w:marLeft w:val="0"/>
      <w:marRight w:val="0"/>
      <w:marTop w:val="0"/>
      <w:marBottom w:val="0"/>
      <w:divBdr>
        <w:top w:val="none" w:sz="0" w:space="0" w:color="auto"/>
        <w:left w:val="none" w:sz="0" w:space="0" w:color="auto"/>
        <w:bottom w:val="none" w:sz="0" w:space="0" w:color="auto"/>
        <w:right w:val="none" w:sz="0" w:space="0" w:color="auto"/>
      </w:divBdr>
    </w:div>
    <w:div w:id="1224829669">
      <w:bodyDiv w:val="1"/>
      <w:marLeft w:val="0"/>
      <w:marRight w:val="0"/>
      <w:marTop w:val="0"/>
      <w:marBottom w:val="0"/>
      <w:divBdr>
        <w:top w:val="none" w:sz="0" w:space="0" w:color="auto"/>
        <w:left w:val="none" w:sz="0" w:space="0" w:color="auto"/>
        <w:bottom w:val="none" w:sz="0" w:space="0" w:color="auto"/>
        <w:right w:val="none" w:sz="0" w:space="0" w:color="auto"/>
      </w:divBdr>
    </w:div>
    <w:div w:id="1226994798">
      <w:bodyDiv w:val="1"/>
      <w:marLeft w:val="0"/>
      <w:marRight w:val="0"/>
      <w:marTop w:val="0"/>
      <w:marBottom w:val="0"/>
      <w:divBdr>
        <w:top w:val="none" w:sz="0" w:space="0" w:color="auto"/>
        <w:left w:val="none" w:sz="0" w:space="0" w:color="auto"/>
        <w:bottom w:val="none" w:sz="0" w:space="0" w:color="auto"/>
        <w:right w:val="none" w:sz="0" w:space="0" w:color="auto"/>
      </w:divBdr>
    </w:div>
    <w:div w:id="1228419085">
      <w:bodyDiv w:val="1"/>
      <w:marLeft w:val="0"/>
      <w:marRight w:val="0"/>
      <w:marTop w:val="0"/>
      <w:marBottom w:val="0"/>
      <w:divBdr>
        <w:top w:val="none" w:sz="0" w:space="0" w:color="auto"/>
        <w:left w:val="none" w:sz="0" w:space="0" w:color="auto"/>
        <w:bottom w:val="none" w:sz="0" w:space="0" w:color="auto"/>
        <w:right w:val="none" w:sz="0" w:space="0" w:color="auto"/>
      </w:divBdr>
    </w:div>
    <w:div w:id="1228998569">
      <w:bodyDiv w:val="1"/>
      <w:marLeft w:val="0"/>
      <w:marRight w:val="0"/>
      <w:marTop w:val="0"/>
      <w:marBottom w:val="0"/>
      <w:divBdr>
        <w:top w:val="none" w:sz="0" w:space="0" w:color="auto"/>
        <w:left w:val="none" w:sz="0" w:space="0" w:color="auto"/>
        <w:bottom w:val="none" w:sz="0" w:space="0" w:color="auto"/>
        <w:right w:val="none" w:sz="0" w:space="0" w:color="auto"/>
      </w:divBdr>
    </w:div>
    <w:div w:id="1244989294">
      <w:bodyDiv w:val="1"/>
      <w:marLeft w:val="0"/>
      <w:marRight w:val="0"/>
      <w:marTop w:val="0"/>
      <w:marBottom w:val="0"/>
      <w:divBdr>
        <w:top w:val="none" w:sz="0" w:space="0" w:color="auto"/>
        <w:left w:val="none" w:sz="0" w:space="0" w:color="auto"/>
        <w:bottom w:val="none" w:sz="0" w:space="0" w:color="auto"/>
        <w:right w:val="none" w:sz="0" w:space="0" w:color="auto"/>
      </w:divBdr>
    </w:div>
    <w:div w:id="1246913962">
      <w:bodyDiv w:val="1"/>
      <w:marLeft w:val="0"/>
      <w:marRight w:val="0"/>
      <w:marTop w:val="0"/>
      <w:marBottom w:val="0"/>
      <w:divBdr>
        <w:top w:val="none" w:sz="0" w:space="0" w:color="auto"/>
        <w:left w:val="none" w:sz="0" w:space="0" w:color="auto"/>
        <w:bottom w:val="none" w:sz="0" w:space="0" w:color="auto"/>
        <w:right w:val="none" w:sz="0" w:space="0" w:color="auto"/>
      </w:divBdr>
    </w:div>
    <w:div w:id="1252084458">
      <w:bodyDiv w:val="1"/>
      <w:marLeft w:val="0"/>
      <w:marRight w:val="0"/>
      <w:marTop w:val="0"/>
      <w:marBottom w:val="0"/>
      <w:divBdr>
        <w:top w:val="none" w:sz="0" w:space="0" w:color="auto"/>
        <w:left w:val="none" w:sz="0" w:space="0" w:color="auto"/>
        <w:bottom w:val="none" w:sz="0" w:space="0" w:color="auto"/>
        <w:right w:val="none" w:sz="0" w:space="0" w:color="auto"/>
      </w:divBdr>
    </w:div>
    <w:div w:id="1252660740">
      <w:bodyDiv w:val="1"/>
      <w:marLeft w:val="0"/>
      <w:marRight w:val="0"/>
      <w:marTop w:val="0"/>
      <w:marBottom w:val="0"/>
      <w:divBdr>
        <w:top w:val="none" w:sz="0" w:space="0" w:color="auto"/>
        <w:left w:val="none" w:sz="0" w:space="0" w:color="auto"/>
        <w:bottom w:val="none" w:sz="0" w:space="0" w:color="auto"/>
        <w:right w:val="none" w:sz="0" w:space="0" w:color="auto"/>
      </w:divBdr>
    </w:div>
    <w:div w:id="1252815993">
      <w:bodyDiv w:val="1"/>
      <w:marLeft w:val="0"/>
      <w:marRight w:val="0"/>
      <w:marTop w:val="0"/>
      <w:marBottom w:val="0"/>
      <w:divBdr>
        <w:top w:val="none" w:sz="0" w:space="0" w:color="auto"/>
        <w:left w:val="none" w:sz="0" w:space="0" w:color="auto"/>
        <w:bottom w:val="none" w:sz="0" w:space="0" w:color="auto"/>
        <w:right w:val="none" w:sz="0" w:space="0" w:color="auto"/>
      </w:divBdr>
    </w:div>
    <w:div w:id="1254317657">
      <w:bodyDiv w:val="1"/>
      <w:marLeft w:val="0"/>
      <w:marRight w:val="0"/>
      <w:marTop w:val="0"/>
      <w:marBottom w:val="0"/>
      <w:divBdr>
        <w:top w:val="none" w:sz="0" w:space="0" w:color="auto"/>
        <w:left w:val="none" w:sz="0" w:space="0" w:color="auto"/>
        <w:bottom w:val="none" w:sz="0" w:space="0" w:color="auto"/>
        <w:right w:val="none" w:sz="0" w:space="0" w:color="auto"/>
      </w:divBdr>
    </w:div>
    <w:div w:id="1261182322">
      <w:bodyDiv w:val="1"/>
      <w:marLeft w:val="0"/>
      <w:marRight w:val="0"/>
      <w:marTop w:val="0"/>
      <w:marBottom w:val="0"/>
      <w:divBdr>
        <w:top w:val="none" w:sz="0" w:space="0" w:color="auto"/>
        <w:left w:val="none" w:sz="0" w:space="0" w:color="auto"/>
        <w:bottom w:val="none" w:sz="0" w:space="0" w:color="auto"/>
        <w:right w:val="none" w:sz="0" w:space="0" w:color="auto"/>
      </w:divBdr>
    </w:div>
    <w:div w:id="1262879128">
      <w:bodyDiv w:val="1"/>
      <w:marLeft w:val="0"/>
      <w:marRight w:val="0"/>
      <w:marTop w:val="0"/>
      <w:marBottom w:val="0"/>
      <w:divBdr>
        <w:top w:val="none" w:sz="0" w:space="0" w:color="auto"/>
        <w:left w:val="none" w:sz="0" w:space="0" w:color="auto"/>
        <w:bottom w:val="none" w:sz="0" w:space="0" w:color="auto"/>
        <w:right w:val="none" w:sz="0" w:space="0" w:color="auto"/>
      </w:divBdr>
    </w:div>
    <w:div w:id="1269508436">
      <w:bodyDiv w:val="1"/>
      <w:marLeft w:val="0"/>
      <w:marRight w:val="0"/>
      <w:marTop w:val="0"/>
      <w:marBottom w:val="0"/>
      <w:divBdr>
        <w:top w:val="none" w:sz="0" w:space="0" w:color="auto"/>
        <w:left w:val="none" w:sz="0" w:space="0" w:color="auto"/>
        <w:bottom w:val="none" w:sz="0" w:space="0" w:color="auto"/>
        <w:right w:val="none" w:sz="0" w:space="0" w:color="auto"/>
      </w:divBdr>
    </w:div>
    <w:div w:id="1269578167">
      <w:bodyDiv w:val="1"/>
      <w:marLeft w:val="0"/>
      <w:marRight w:val="0"/>
      <w:marTop w:val="0"/>
      <w:marBottom w:val="0"/>
      <w:divBdr>
        <w:top w:val="none" w:sz="0" w:space="0" w:color="auto"/>
        <w:left w:val="none" w:sz="0" w:space="0" w:color="auto"/>
        <w:bottom w:val="none" w:sz="0" w:space="0" w:color="auto"/>
        <w:right w:val="none" w:sz="0" w:space="0" w:color="auto"/>
      </w:divBdr>
    </w:div>
    <w:div w:id="1286962636">
      <w:bodyDiv w:val="1"/>
      <w:marLeft w:val="0"/>
      <w:marRight w:val="0"/>
      <w:marTop w:val="0"/>
      <w:marBottom w:val="0"/>
      <w:divBdr>
        <w:top w:val="none" w:sz="0" w:space="0" w:color="auto"/>
        <w:left w:val="none" w:sz="0" w:space="0" w:color="auto"/>
        <w:bottom w:val="none" w:sz="0" w:space="0" w:color="auto"/>
        <w:right w:val="none" w:sz="0" w:space="0" w:color="auto"/>
      </w:divBdr>
    </w:div>
    <w:div w:id="1288967675">
      <w:bodyDiv w:val="1"/>
      <w:marLeft w:val="0"/>
      <w:marRight w:val="0"/>
      <w:marTop w:val="0"/>
      <w:marBottom w:val="0"/>
      <w:divBdr>
        <w:top w:val="none" w:sz="0" w:space="0" w:color="auto"/>
        <w:left w:val="none" w:sz="0" w:space="0" w:color="auto"/>
        <w:bottom w:val="none" w:sz="0" w:space="0" w:color="auto"/>
        <w:right w:val="none" w:sz="0" w:space="0" w:color="auto"/>
      </w:divBdr>
    </w:div>
    <w:div w:id="1298952154">
      <w:bodyDiv w:val="1"/>
      <w:marLeft w:val="0"/>
      <w:marRight w:val="0"/>
      <w:marTop w:val="0"/>
      <w:marBottom w:val="0"/>
      <w:divBdr>
        <w:top w:val="none" w:sz="0" w:space="0" w:color="auto"/>
        <w:left w:val="none" w:sz="0" w:space="0" w:color="auto"/>
        <w:bottom w:val="none" w:sz="0" w:space="0" w:color="auto"/>
        <w:right w:val="none" w:sz="0" w:space="0" w:color="auto"/>
      </w:divBdr>
    </w:div>
    <w:div w:id="1303341029">
      <w:bodyDiv w:val="1"/>
      <w:marLeft w:val="0"/>
      <w:marRight w:val="0"/>
      <w:marTop w:val="0"/>
      <w:marBottom w:val="0"/>
      <w:divBdr>
        <w:top w:val="none" w:sz="0" w:space="0" w:color="auto"/>
        <w:left w:val="none" w:sz="0" w:space="0" w:color="auto"/>
        <w:bottom w:val="none" w:sz="0" w:space="0" w:color="auto"/>
        <w:right w:val="none" w:sz="0" w:space="0" w:color="auto"/>
      </w:divBdr>
    </w:div>
    <w:div w:id="1305046958">
      <w:bodyDiv w:val="1"/>
      <w:marLeft w:val="0"/>
      <w:marRight w:val="0"/>
      <w:marTop w:val="0"/>
      <w:marBottom w:val="0"/>
      <w:divBdr>
        <w:top w:val="none" w:sz="0" w:space="0" w:color="auto"/>
        <w:left w:val="none" w:sz="0" w:space="0" w:color="auto"/>
        <w:bottom w:val="none" w:sz="0" w:space="0" w:color="auto"/>
        <w:right w:val="none" w:sz="0" w:space="0" w:color="auto"/>
      </w:divBdr>
    </w:div>
    <w:div w:id="1311863419">
      <w:bodyDiv w:val="1"/>
      <w:marLeft w:val="0"/>
      <w:marRight w:val="0"/>
      <w:marTop w:val="0"/>
      <w:marBottom w:val="0"/>
      <w:divBdr>
        <w:top w:val="none" w:sz="0" w:space="0" w:color="auto"/>
        <w:left w:val="none" w:sz="0" w:space="0" w:color="auto"/>
        <w:bottom w:val="none" w:sz="0" w:space="0" w:color="auto"/>
        <w:right w:val="none" w:sz="0" w:space="0" w:color="auto"/>
      </w:divBdr>
    </w:div>
    <w:div w:id="1312056203">
      <w:bodyDiv w:val="1"/>
      <w:marLeft w:val="0"/>
      <w:marRight w:val="0"/>
      <w:marTop w:val="0"/>
      <w:marBottom w:val="0"/>
      <w:divBdr>
        <w:top w:val="none" w:sz="0" w:space="0" w:color="auto"/>
        <w:left w:val="none" w:sz="0" w:space="0" w:color="auto"/>
        <w:bottom w:val="none" w:sz="0" w:space="0" w:color="auto"/>
        <w:right w:val="none" w:sz="0" w:space="0" w:color="auto"/>
      </w:divBdr>
    </w:div>
    <w:div w:id="1312247792">
      <w:bodyDiv w:val="1"/>
      <w:marLeft w:val="0"/>
      <w:marRight w:val="0"/>
      <w:marTop w:val="0"/>
      <w:marBottom w:val="0"/>
      <w:divBdr>
        <w:top w:val="none" w:sz="0" w:space="0" w:color="auto"/>
        <w:left w:val="none" w:sz="0" w:space="0" w:color="auto"/>
        <w:bottom w:val="none" w:sz="0" w:space="0" w:color="auto"/>
        <w:right w:val="none" w:sz="0" w:space="0" w:color="auto"/>
      </w:divBdr>
    </w:div>
    <w:div w:id="1314211330">
      <w:bodyDiv w:val="1"/>
      <w:marLeft w:val="0"/>
      <w:marRight w:val="0"/>
      <w:marTop w:val="0"/>
      <w:marBottom w:val="0"/>
      <w:divBdr>
        <w:top w:val="none" w:sz="0" w:space="0" w:color="auto"/>
        <w:left w:val="none" w:sz="0" w:space="0" w:color="auto"/>
        <w:bottom w:val="none" w:sz="0" w:space="0" w:color="auto"/>
        <w:right w:val="none" w:sz="0" w:space="0" w:color="auto"/>
      </w:divBdr>
    </w:div>
    <w:div w:id="1331182423">
      <w:bodyDiv w:val="1"/>
      <w:marLeft w:val="0"/>
      <w:marRight w:val="0"/>
      <w:marTop w:val="0"/>
      <w:marBottom w:val="0"/>
      <w:divBdr>
        <w:top w:val="none" w:sz="0" w:space="0" w:color="auto"/>
        <w:left w:val="none" w:sz="0" w:space="0" w:color="auto"/>
        <w:bottom w:val="none" w:sz="0" w:space="0" w:color="auto"/>
        <w:right w:val="none" w:sz="0" w:space="0" w:color="auto"/>
      </w:divBdr>
    </w:div>
    <w:div w:id="1333796303">
      <w:bodyDiv w:val="1"/>
      <w:marLeft w:val="0"/>
      <w:marRight w:val="0"/>
      <w:marTop w:val="0"/>
      <w:marBottom w:val="0"/>
      <w:divBdr>
        <w:top w:val="none" w:sz="0" w:space="0" w:color="auto"/>
        <w:left w:val="none" w:sz="0" w:space="0" w:color="auto"/>
        <w:bottom w:val="none" w:sz="0" w:space="0" w:color="auto"/>
        <w:right w:val="none" w:sz="0" w:space="0" w:color="auto"/>
      </w:divBdr>
    </w:div>
    <w:div w:id="1336880027">
      <w:bodyDiv w:val="1"/>
      <w:marLeft w:val="0"/>
      <w:marRight w:val="0"/>
      <w:marTop w:val="0"/>
      <w:marBottom w:val="0"/>
      <w:divBdr>
        <w:top w:val="none" w:sz="0" w:space="0" w:color="auto"/>
        <w:left w:val="none" w:sz="0" w:space="0" w:color="auto"/>
        <w:bottom w:val="none" w:sz="0" w:space="0" w:color="auto"/>
        <w:right w:val="none" w:sz="0" w:space="0" w:color="auto"/>
      </w:divBdr>
    </w:div>
    <w:div w:id="1339966647">
      <w:bodyDiv w:val="1"/>
      <w:marLeft w:val="0"/>
      <w:marRight w:val="0"/>
      <w:marTop w:val="0"/>
      <w:marBottom w:val="0"/>
      <w:divBdr>
        <w:top w:val="none" w:sz="0" w:space="0" w:color="auto"/>
        <w:left w:val="none" w:sz="0" w:space="0" w:color="auto"/>
        <w:bottom w:val="none" w:sz="0" w:space="0" w:color="auto"/>
        <w:right w:val="none" w:sz="0" w:space="0" w:color="auto"/>
      </w:divBdr>
    </w:div>
    <w:div w:id="1344088991">
      <w:bodyDiv w:val="1"/>
      <w:marLeft w:val="0"/>
      <w:marRight w:val="0"/>
      <w:marTop w:val="0"/>
      <w:marBottom w:val="0"/>
      <w:divBdr>
        <w:top w:val="none" w:sz="0" w:space="0" w:color="auto"/>
        <w:left w:val="none" w:sz="0" w:space="0" w:color="auto"/>
        <w:bottom w:val="none" w:sz="0" w:space="0" w:color="auto"/>
        <w:right w:val="none" w:sz="0" w:space="0" w:color="auto"/>
      </w:divBdr>
    </w:div>
    <w:div w:id="1350251663">
      <w:bodyDiv w:val="1"/>
      <w:marLeft w:val="0"/>
      <w:marRight w:val="0"/>
      <w:marTop w:val="0"/>
      <w:marBottom w:val="0"/>
      <w:divBdr>
        <w:top w:val="none" w:sz="0" w:space="0" w:color="auto"/>
        <w:left w:val="none" w:sz="0" w:space="0" w:color="auto"/>
        <w:bottom w:val="none" w:sz="0" w:space="0" w:color="auto"/>
        <w:right w:val="none" w:sz="0" w:space="0" w:color="auto"/>
      </w:divBdr>
    </w:div>
    <w:div w:id="1363676991">
      <w:bodyDiv w:val="1"/>
      <w:marLeft w:val="0"/>
      <w:marRight w:val="0"/>
      <w:marTop w:val="0"/>
      <w:marBottom w:val="0"/>
      <w:divBdr>
        <w:top w:val="none" w:sz="0" w:space="0" w:color="auto"/>
        <w:left w:val="none" w:sz="0" w:space="0" w:color="auto"/>
        <w:bottom w:val="none" w:sz="0" w:space="0" w:color="auto"/>
        <w:right w:val="none" w:sz="0" w:space="0" w:color="auto"/>
      </w:divBdr>
    </w:div>
    <w:div w:id="1374309030">
      <w:bodyDiv w:val="1"/>
      <w:marLeft w:val="0"/>
      <w:marRight w:val="0"/>
      <w:marTop w:val="0"/>
      <w:marBottom w:val="0"/>
      <w:divBdr>
        <w:top w:val="none" w:sz="0" w:space="0" w:color="auto"/>
        <w:left w:val="none" w:sz="0" w:space="0" w:color="auto"/>
        <w:bottom w:val="none" w:sz="0" w:space="0" w:color="auto"/>
        <w:right w:val="none" w:sz="0" w:space="0" w:color="auto"/>
      </w:divBdr>
    </w:div>
    <w:div w:id="1386179002">
      <w:bodyDiv w:val="1"/>
      <w:marLeft w:val="0"/>
      <w:marRight w:val="0"/>
      <w:marTop w:val="0"/>
      <w:marBottom w:val="0"/>
      <w:divBdr>
        <w:top w:val="none" w:sz="0" w:space="0" w:color="auto"/>
        <w:left w:val="none" w:sz="0" w:space="0" w:color="auto"/>
        <w:bottom w:val="none" w:sz="0" w:space="0" w:color="auto"/>
        <w:right w:val="none" w:sz="0" w:space="0" w:color="auto"/>
      </w:divBdr>
    </w:div>
    <w:div w:id="1389111136">
      <w:bodyDiv w:val="1"/>
      <w:marLeft w:val="0"/>
      <w:marRight w:val="0"/>
      <w:marTop w:val="0"/>
      <w:marBottom w:val="0"/>
      <w:divBdr>
        <w:top w:val="none" w:sz="0" w:space="0" w:color="auto"/>
        <w:left w:val="none" w:sz="0" w:space="0" w:color="auto"/>
        <w:bottom w:val="none" w:sz="0" w:space="0" w:color="auto"/>
        <w:right w:val="none" w:sz="0" w:space="0" w:color="auto"/>
      </w:divBdr>
    </w:div>
    <w:div w:id="1394039464">
      <w:bodyDiv w:val="1"/>
      <w:marLeft w:val="0"/>
      <w:marRight w:val="0"/>
      <w:marTop w:val="0"/>
      <w:marBottom w:val="0"/>
      <w:divBdr>
        <w:top w:val="none" w:sz="0" w:space="0" w:color="auto"/>
        <w:left w:val="none" w:sz="0" w:space="0" w:color="auto"/>
        <w:bottom w:val="none" w:sz="0" w:space="0" w:color="auto"/>
        <w:right w:val="none" w:sz="0" w:space="0" w:color="auto"/>
      </w:divBdr>
    </w:div>
    <w:div w:id="1398935234">
      <w:bodyDiv w:val="1"/>
      <w:marLeft w:val="0"/>
      <w:marRight w:val="0"/>
      <w:marTop w:val="0"/>
      <w:marBottom w:val="0"/>
      <w:divBdr>
        <w:top w:val="none" w:sz="0" w:space="0" w:color="auto"/>
        <w:left w:val="none" w:sz="0" w:space="0" w:color="auto"/>
        <w:bottom w:val="none" w:sz="0" w:space="0" w:color="auto"/>
        <w:right w:val="none" w:sz="0" w:space="0" w:color="auto"/>
      </w:divBdr>
    </w:div>
    <w:div w:id="1402026396">
      <w:bodyDiv w:val="1"/>
      <w:marLeft w:val="0"/>
      <w:marRight w:val="0"/>
      <w:marTop w:val="0"/>
      <w:marBottom w:val="0"/>
      <w:divBdr>
        <w:top w:val="none" w:sz="0" w:space="0" w:color="auto"/>
        <w:left w:val="none" w:sz="0" w:space="0" w:color="auto"/>
        <w:bottom w:val="none" w:sz="0" w:space="0" w:color="auto"/>
        <w:right w:val="none" w:sz="0" w:space="0" w:color="auto"/>
      </w:divBdr>
    </w:div>
    <w:div w:id="1423911253">
      <w:bodyDiv w:val="1"/>
      <w:marLeft w:val="0"/>
      <w:marRight w:val="0"/>
      <w:marTop w:val="0"/>
      <w:marBottom w:val="0"/>
      <w:divBdr>
        <w:top w:val="none" w:sz="0" w:space="0" w:color="auto"/>
        <w:left w:val="none" w:sz="0" w:space="0" w:color="auto"/>
        <w:bottom w:val="none" w:sz="0" w:space="0" w:color="auto"/>
        <w:right w:val="none" w:sz="0" w:space="0" w:color="auto"/>
      </w:divBdr>
    </w:div>
    <w:div w:id="1426880277">
      <w:bodyDiv w:val="1"/>
      <w:marLeft w:val="0"/>
      <w:marRight w:val="0"/>
      <w:marTop w:val="0"/>
      <w:marBottom w:val="0"/>
      <w:divBdr>
        <w:top w:val="none" w:sz="0" w:space="0" w:color="auto"/>
        <w:left w:val="none" w:sz="0" w:space="0" w:color="auto"/>
        <w:bottom w:val="none" w:sz="0" w:space="0" w:color="auto"/>
        <w:right w:val="none" w:sz="0" w:space="0" w:color="auto"/>
      </w:divBdr>
    </w:div>
    <w:div w:id="1428964013">
      <w:bodyDiv w:val="1"/>
      <w:marLeft w:val="0"/>
      <w:marRight w:val="0"/>
      <w:marTop w:val="0"/>
      <w:marBottom w:val="0"/>
      <w:divBdr>
        <w:top w:val="none" w:sz="0" w:space="0" w:color="auto"/>
        <w:left w:val="none" w:sz="0" w:space="0" w:color="auto"/>
        <w:bottom w:val="none" w:sz="0" w:space="0" w:color="auto"/>
        <w:right w:val="none" w:sz="0" w:space="0" w:color="auto"/>
      </w:divBdr>
    </w:div>
    <w:div w:id="1435981497">
      <w:bodyDiv w:val="1"/>
      <w:marLeft w:val="0"/>
      <w:marRight w:val="0"/>
      <w:marTop w:val="0"/>
      <w:marBottom w:val="0"/>
      <w:divBdr>
        <w:top w:val="none" w:sz="0" w:space="0" w:color="auto"/>
        <w:left w:val="none" w:sz="0" w:space="0" w:color="auto"/>
        <w:bottom w:val="none" w:sz="0" w:space="0" w:color="auto"/>
        <w:right w:val="none" w:sz="0" w:space="0" w:color="auto"/>
      </w:divBdr>
    </w:div>
    <w:div w:id="1450708104">
      <w:bodyDiv w:val="1"/>
      <w:marLeft w:val="0"/>
      <w:marRight w:val="0"/>
      <w:marTop w:val="0"/>
      <w:marBottom w:val="0"/>
      <w:divBdr>
        <w:top w:val="none" w:sz="0" w:space="0" w:color="auto"/>
        <w:left w:val="none" w:sz="0" w:space="0" w:color="auto"/>
        <w:bottom w:val="none" w:sz="0" w:space="0" w:color="auto"/>
        <w:right w:val="none" w:sz="0" w:space="0" w:color="auto"/>
      </w:divBdr>
    </w:div>
    <w:div w:id="1451318212">
      <w:bodyDiv w:val="1"/>
      <w:marLeft w:val="0"/>
      <w:marRight w:val="0"/>
      <w:marTop w:val="0"/>
      <w:marBottom w:val="0"/>
      <w:divBdr>
        <w:top w:val="none" w:sz="0" w:space="0" w:color="auto"/>
        <w:left w:val="none" w:sz="0" w:space="0" w:color="auto"/>
        <w:bottom w:val="none" w:sz="0" w:space="0" w:color="auto"/>
        <w:right w:val="none" w:sz="0" w:space="0" w:color="auto"/>
      </w:divBdr>
    </w:div>
    <w:div w:id="1459489727">
      <w:bodyDiv w:val="1"/>
      <w:marLeft w:val="0"/>
      <w:marRight w:val="0"/>
      <w:marTop w:val="0"/>
      <w:marBottom w:val="0"/>
      <w:divBdr>
        <w:top w:val="none" w:sz="0" w:space="0" w:color="auto"/>
        <w:left w:val="none" w:sz="0" w:space="0" w:color="auto"/>
        <w:bottom w:val="none" w:sz="0" w:space="0" w:color="auto"/>
        <w:right w:val="none" w:sz="0" w:space="0" w:color="auto"/>
      </w:divBdr>
    </w:div>
    <w:div w:id="1471434854">
      <w:bodyDiv w:val="1"/>
      <w:marLeft w:val="0"/>
      <w:marRight w:val="0"/>
      <w:marTop w:val="0"/>
      <w:marBottom w:val="0"/>
      <w:divBdr>
        <w:top w:val="none" w:sz="0" w:space="0" w:color="auto"/>
        <w:left w:val="none" w:sz="0" w:space="0" w:color="auto"/>
        <w:bottom w:val="none" w:sz="0" w:space="0" w:color="auto"/>
        <w:right w:val="none" w:sz="0" w:space="0" w:color="auto"/>
      </w:divBdr>
    </w:div>
    <w:div w:id="1471483580">
      <w:bodyDiv w:val="1"/>
      <w:marLeft w:val="0"/>
      <w:marRight w:val="0"/>
      <w:marTop w:val="0"/>
      <w:marBottom w:val="0"/>
      <w:divBdr>
        <w:top w:val="none" w:sz="0" w:space="0" w:color="auto"/>
        <w:left w:val="none" w:sz="0" w:space="0" w:color="auto"/>
        <w:bottom w:val="none" w:sz="0" w:space="0" w:color="auto"/>
        <w:right w:val="none" w:sz="0" w:space="0" w:color="auto"/>
      </w:divBdr>
    </w:div>
    <w:div w:id="1473324997">
      <w:bodyDiv w:val="1"/>
      <w:marLeft w:val="0"/>
      <w:marRight w:val="0"/>
      <w:marTop w:val="0"/>
      <w:marBottom w:val="0"/>
      <w:divBdr>
        <w:top w:val="none" w:sz="0" w:space="0" w:color="auto"/>
        <w:left w:val="none" w:sz="0" w:space="0" w:color="auto"/>
        <w:bottom w:val="none" w:sz="0" w:space="0" w:color="auto"/>
        <w:right w:val="none" w:sz="0" w:space="0" w:color="auto"/>
      </w:divBdr>
    </w:div>
    <w:div w:id="1483694604">
      <w:bodyDiv w:val="1"/>
      <w:marLeft w:val="0"/>
      <w:marRight w:val="0"/>
      <w:marTop w:val="0"/>
      <w:marBottom w:val="0"/>
      <w:divBdr>
        <w:top w:val="none" w:sz="0" w:space="0" w:color="auto"/>
        <w:left w:val="none" w:sz="0" w:space="0" w:color="auto"/>
        <w:bottom w:val="none" w:sz="0" w:space="0" w:color="auto"/>
        <w:right w:val="none" w:sz="0" w:space="0" w:color="auto"/>
      </w:divBdr>
    </w:div>
    <w:div w:id="1488132591">
      <w:bodyDiv w:val="1"/>
      <w:marLeft w:val="0"/>
      <w:marRight w:val="0"/>
      <w:marTop w:val="0"/>
      <w:marBottom w:val="0"/>
      <w:divBdr>
        <w:top w:val="none" w:sz="0" w:space="0" w:color="auto"/>
        <w:left w:val="none" w:sz="0" w:space="0" w:color="auto"/>
        <w:bottom w:val="none" w:sz="0" w:space="0" w:color="auto"/>
        <w:right w:val="none" w:sz="0" w:space="0" w:color="auto"/>
      </w:divBdr>
    </w:div>
    <w:div w:id="1499227182">
      <w:bodyDiv w:val="1"/>
      <w:marLeft w:val="0"/>
      <w:marRight w:val="0"/>
      <w:marTop w:val="0"/>
      <w:marBottom w:val="0"/>
      <w:divBdr>
        <w:top w:val="none" w:sz="0" w:space="0" w:color="auto"/>
        <w:left w:val="none" w:sz="0" w:space="0" w:color="auto"/>
        <w:bottom w:val="none" w:sz="0" w:space="0" w:color="auto"/>
        <w:right w:val="none" w:sz="0" w:space="0" w:color="auto"/>
      </w:divBdr>
    </w:div>
    <w:div w:id="1508208834">
      <w:bodyDiv w:val="1"/>
      <w:marLeft w:val="0"/>
      <w:marRight w:val="0"/>
      <w:marTop w:val="0"/>
      <w:marBottom w:val="0"/>
      <w:divBdr>
        <w:top w:val="none" w:sz="0" w:space="0" w:color="auto"/>
        <w:left w:val="none" w:sz="0" w:space="0" w:color="auto"/>
        <w:bottom w:val="none" w:sz="0" w:space="0" w:color="auto"/>
        <w:right w:val="none" w:sz="0" w:space="0" w:color="auto"/>
      </w:divBdr>
    </w:div>
    <w:div w:id="1508594674">
      <w:bodyDiv w:val="1"/>
      <w:marLeft w:val="0"/>
      <w:marRight w:val="0"/>
      <w:marTop w:val="0"/>
      <w:marBottom w:val="0"/>
      <w:divBdr>
        <w:top w:val="none" w:sz="0" w:space="0" w:color="auto"/>
        <w:left w:val="none" w:sz="0" w:space="0" w:color="auto"/>
        <w:bottom w:val="none" w:sz="0" w:space="0" w:color="auto"/>
        <w:right w:val="none" w:sz="0" w:space="0" w:color="auto"/>
      </w:divBdr>
    </w:div>
    <w:div w:id="1513060447">
      <w:bodyDiv w:val="1"/>
      <w:marLeft w:val="0"/>
      <w:marRight w:val="0"/>
      <w:marTop w:val="0"/>
      <w:marBottom w:val="0"/>
      <w:divBdr>
        <w:top w:val="none" w:sz="0" w:space="0" w:color="auto"/>
        <w:left w:val="none" w:sz="0" w:space="0" w:color="auto"/>
        <w:bottom w:val="none" w:sz="0" w:space="0" w:color="auto"/>
        <w:right w:val="none" w:sz="0" w:space="0" w:color="auto"/>
      </w:divBdr>
    </w:div>
    <w:div w:id="1514226345">
      <w:bodyDiv w:val="1"/>
      <w:marLeft w:val="0"/>
      <w:marRight w:val="0"/>
      <w:marTop w:val="0"/>
      <w:marBottom w:val="0"/>
      <w:divBdr>
        <w:top w:val="none" w:sz="0" w:space="0" w:color="auto"/>
        <w:left w:val="none" w:sz="0" w:space="0" w:color="auto"/>
        <w:bottom w:val="none" w:sz="0" w:space="0" w:color="auto"/>
        <w:right w:val="none" w:sz="0" w:space="0" w:color="auto"/>
      </w:divBdr>
    </w:div>
    <w:div w:id="1514303344">
      <w:bodyDiv w:val="1"/>
      <w:marLeft w:val="0"/>
      <w:marRight w:val="0"/>
      <w:marTop w:val="0"/>
      <w:marBottom w:val="0"/>
      <w:divBdr>
        <w:top w:val="none" w:sz="0" w:space="0" w:color="auto"/>
        <w:left w:val="none" w:sz="0" w:space="0" w:color="auto"/>
        <w:bottom w:val="none" w:sz="0" w:space="0" w:color="auto"/>
        <w:right w:val="none" w:sz="0" w:space="0" w:color="auto"/>
      </w:divBdr>
    </w:div>
    <w:div w:id="1516845719">
      <w:bodyDiv w:val="1"/>
      <w:marLeft w:val="0"/>
      <w:marRight w:val="0"/>
      <w:marTop w:val="0"/>
      <w:marBottom w:val="0"/>
      <w:divBdr>
        <w:top w:val="none" w:sz="0" w:space="0" w:color="auto"/>
        <w:left w:val="none" w:sz="0" w:space="0" w:color="auto"/>
        <w:bottom w:val="none" w:sz="0" w:space="0" w:color="auto"/>
        <w:right w:val="none" w:sz="0" w:space="0" w:color="auto"/>
      </w:divBdr>
    </w:div>
    <w:div w:id="1517573398">
      <w:bodyDiv w:val="1"/>
      <w:marLeft w:val="0"/>
      <w:marRight w:val="0"/>
      <w:marTop w:val="0"/>
      <w:marBottom w:val="0"/>
      <w:divBdr>
        <w:top w:val="none" w:sz="0" w:space="0" w:color="auto"/>
        <w:left w:val="none" w:sz="0" w:space="0" w:color="auto"/>
        <w:bottom w:val="none" w:sz="0" w:space="0" w:color="auto"/>
        <w:right w:val="none" w:sz="0" w:space="0" w:color="auto"/>
      </w:divBdr>
    </w:div>
    <w:div w:id="1524710311">
      <w:bodyDiv w:val="1"/>
      <w:marLeft w:val="0"/>
      <w:marRight w:val="0"/>
      <w:marTop w:val="0"/>
      <w:marBottom w:val="0"/>
      <w:divBdr>
        <w:top w:val="none" w:sz="0" w:space="0" w:color="auto"/>
        <w:left w:val="none" w:sz="0" w:space="0" w:color="auto"/>
        <w:bottom w:val="none" w:sz="0" w:space="0" w:color="auto"/>
        <w:right w:val="none" w:sz="0" w:space="0" w:color="auto"/>
      </w:divBdr>
    </w:div>
    <w:div w:id="1529371559">
      <w:bodyDiv w:val="1"/>
      <w:marLeft w:val="0"/>
      <w:marRight w:val="0"/>
      <w:marTop w:val="0"/>
      <w:marBottom w:val="0"/>
      <w:divBdr>
        <w:top w:val="none" w:sz="0" w:space="0" w:color="auto"/>
        <w:left w:val="none" w:sz="0" w:space="0" w:color="auto"/>
        <w:bottom w:val="none" w:sz="0" w:space="0" w:color="auto"/>
        <w:right w:val="none" w:sz="0" w:space="0" w:color="auto"/>
      </w:divBdr>
    </w:div>
    <w:div w:id="1529491419">
      <w:bodyDiv w:val="1"/>
      <w:marLeft w:val="0"/>
      <w:marRight w:val="0"/>
      <w:marTop w:val="0"/>
      <w:marBottom w:val="0"/>
      <w:divBdr>
        <w:top w:val="none" w:sz="0" w:space="0" w:color="auto"/>
        <w:left w:val="none" w:sz="0" w:space="0" w:color="auto"/>
        <w:bottom w:val="none" w:sz="0" w:space="0" w:color="auto"/>
        <w:right w:val="none" w:sz="0" w:space="0" w:color="auto"/>
      </w:divBdr>
    </w:div>
    <w:div w:id="1546022010">
      <w:bodyDiv w:val="1"/>
      <w:marLeft w:val="0"/>
      <w:marRight w:val="0"/>
      <w:marTop w:val="0"/>
      <w:marBottom w:val="0"/>
      <w:divBdr>
        <w:top w:val="none" w:sz="0" w:space="0" w:color="auto"/>
        <w:left w:val="none" w:sz="0" w:space="0" w:color="auto"/>
        <w:bottom w:val="none" w:sz="0" w:space="0" w:color="auto"/>
        <w:right w:val="none" w:sz="0" w:space="0" w:color="auto"/>
      </w:divBdr>
    </w:div>
    <w:div w:id="1552963553">
      <w:bodyDiv w:val="1"/>
      <w:marLeft w:val="0"/>
      <w:marRight w:val="0"/>
      <w:marTop w:val="0"/>
      <w:marBottom w:val="0"/>
      <w:divBdr>
        <w:top w:val="none" w:sz="0" w:space="0" w:color="auto"/>
        <w:left w:val="none" w:sz="0" w:space="0" w:color="auto"/>
        <w:bottom w:val="none" w:sz="0" w:space="0" w:color="auto"/>
        <w:right w:val="none" w:sz="0" w:space="0" w:color="auto"/>
      </w:divBdr>
    </w:div>
    <w:div w:id="1554199558">
      <w:bodyDiv w:val="1"/>
      <w:marLeft w:val="0"/>
      <w:marRight w:val="0"/>
      <w:marTop w:val="0"/>
      <w:marBottom w:val="0"/>
      <w:divBdr>
        <w:top w:val="none" w:sz="0" w:space="0" w:color="auto"/>
        <w:left w:val="none" w:sz="0" w:space="0" w:color="auto"/>
        <w:bottom w:val="none" w:sz="0" w:space="0" w:color="auto"/>
        <w:right w:val="none" w:sz="0" w:space="0" w:color="auto"/>
      </w:divBdr>
    </w:div>
    <w:div w:id="1566866930">
      <w:bodyDiv w:val="1"/>
      <w:marLeft w:val="0"/>
      <w:marRight w:val="0"/>
      <w:marTop w:val="0"/>
      <w:marBottom w:val="0"/>
      <w:divBdr>
        <w:top w:val="none" w:sz="0" w:space="0" w:color="auto"/>
        <w:left w:val="none" w:sz="0" w:space="0" w:color="auto"/>
        <w:bottom w:val="none" w:sz="0" w:space="0" w:color="auto"/>
        <w:right w:val="none" w:sz="0" w:space="0" w:color="auto"/>
      </w:divBdr>
    </w:div>
    <w:div w:id="1570263064">
      <w:bodyDiv w:val="1"/>
      <w:marLeft w:val="0"/>
      <w:marRight w:val="0"/>
      <w:marTop w:val="0"/>
      <w:marBottom w:val="0"/>
      <w:divBdr>
        <w:top w:val="none" w:sz="0" w:space="0" w:color="auto"/>
        <w:left w:val="none" w:sz="0" w:space="0" w:color="auto"/>
        <w:bottom w:val="none" w:sz="0" w:space="0" w:color="auto"/>
        <w:right w:val="none" w:sz="0" w:space="0" w:color="auto"/>
      </w:divBdr>
      <w:divsChild>
        <w:div w:id="1733770553">
          <w:marLeft w:val="547"/>
          <w:marRight w:val="0"/>
          <w:marTop w:val="0"/>
          <w:marBottom w:val="0"/>
          <w:divBdr>
            <w:top w:val="none" w:sz="0" w:space="0" w:color="auto"/>
            <w:left w:val="none" w:sz="0" w:space="0" w:color="auto"/>
            <w:bottom w:val="none" w:sz="0" w:space="0" w:color="auto"/>
            <w:right w:val="none" w:sz="0" w:space="0" w:color="auto"/>
          </w:divBdr>
        </w:div>
      </w:divsChild>
    </w:div>
    <w:div w:id="1574122008">
      <w:bodyDiv w:val="1"/>
      <w:marLeft w:val="0"/>
      <w:marRight w:val="0"/>
      <w:marTop w:val="0"/>
      <w:marBottom w:val="0"/>
      <w:divBdr>
        <w:top w:val="none" w:sz="0" w:space="0" w:color="auto"/>
        <w:left w:val="none" w:sz="0" w:space="0" w:color="auto"/>
        <w:bottom w:val="none" w:sz="0" w:space="0" w:color="auto"/>
        <w:right w:val="none" w:sz="0" w:space="0" w:color="auto"/>
      </w:divBdr>
    </w:div>
    <w:div w:id="1577128410">
      <w:bodyDiv w:val="1"/>
      <w:marLeft w:val="0"/>
      <w:marRight w:val="0"/>
      <w:marTop w:val="0"/>
      <w:marBottom w:val="0"/>
      <w:divBdr>
        <w:top w:val="none" w:sz="0" w:space="0" w:color="auto"/>
        <w:left w:val="none" w:sz="0" w:space="0" w:color="auto"/>
        <w:bottom w:val="none" w:sz="0" w:space="0" w:color="auto"/>
        <w:right w:val="none" w:sz="0" w:space="0" w:color="auto"/>
      </w:divBdr>
    </w:div>
    <w:div w:id="1577208289">
      <w:bodyDiv w:val="1"/>
      <w:marLeft w:val="0"/>
      <w:marRight w:val="0"/>
      <w:marTop w:val="0"/>
      <w:marBottom w:val="0"/>
      <w:divBdr>
        <w:top w:val="none" w:sz="0" w:space="0" w:color="auto"/>
        <w:left w:val="none" w:sz="0" w:space="0" w:color="auto"/>
        <w:bottom w:val="none" w:sz="0" w:space="0" w:color="auto"/>
        <w:right w:val="none" w:sz="0" w:space="0" w:color="auto"/>
      </w:divBdr>
    </w:div>
    <w:div w:id="1581720435">
      <w:bodyDiv w:val="1"/>
      <w:marLeft w:val="0"/>
      <w:marRight w:val="0"/>
      <w:marTop w:val="0"/>
      <w:marBottom w:val="0"/>
      <w:divBdr>
        <w:top w:val="none" w:sz="0" w:space="0" w:color="auto"/>
        <w:left w:val="none" w:sz="0" w:space="0" w:color="auto"/>
        <w:bottom w:val="none" w:sz="0" w:space="0" w:color="auto"/>
        <w:right w:val="none" w:sz="0" w:space="0" w:color="auto"/>
      </w:divBdr>
    </w:div>
    <w:div w:id="1583366763">
      <w:bodyDiv w:val="1"/>
      <w:marLeft w:val="0"/>
      <w:marRight w:val="0"/>
      <w:marTop w:val="0"/>
      <w:marBottom w:val="0"/>
      <w:divBdr>
        <w:top w:val="none" w:sz="0" w:space="0" w:color="auto"/>
        <w:left w:val="none" w:sz="0" w:space="0" w:color="auto"/>
        <w:bottom w:val="none" w:sz="0" w:space="0" w:color="auto"/>
        <w:right w:val="none" w:sz="0" w:space="0" w:color="auto"/>
      </w:divBdr>
    </w:div>
    <w:div w:id="1586258826">
      <w:bodyDiv w:val="1"/>
      <w:marLeft w:val="0"/>
      <w:marRight w:val="0"/>
      <w:marTop w:val="0"/>
      <w:marBottom w:val="0"/>
      <w:divBdr>
        <w:top w:val="none" w:sz="0" w:space="0" w:color="auto"/>
        <w:left w:val="none" w:sz="0" w:space="0" w:color="auto"/>
        <w:bottom w:val="none" w:sz="0" w:space="0" w:color="auto"/>
        <w:right w:val="none" w:sz="0" w:space="0" w:color="auto"/>
      </w:divBdr>
    </w:div>
    <w:div w:id="1586307719">
      <w:bodyDiv w:val="1"/>
      <w:marLeft w:val="0"/>
      <w:marRight w:val="0"/>
      <w:marTop w:val="0"/>
      <w:marBottom w:val="0"/>
      <w:divBdr>
        <w:top w:val="none" w:sz="0" w:space="0" w:color="auto"/>
        <w:left w:val="none" w:sz="0" w:space="0" w:color="auto"/>
        <w:bottom w:val="none" w:sz="0" w:space="0" w:color="auto"/>
        <w:right w:val="none" w:sz="0" w:space="0" w:color="auto"/>
      </w:divBdr>
    </w:div>
    <w:div w:id="1598437974">
      <w:bodyDiv w:val="1"/>
      <w:marLeft w:val="0"/>
      <w:marRight w:val="0"/>
      <w:marTop w:val="0"/>
      <w:marBottom w:val="0"/>
      <w:divBdr>
        <w:top w:val="none" w:sz="0" w:space="0" w:color="auto"/>
        <w:left w:val="none" w:sz="0" w:space="0" w:color="auto"/>
        <w:bottom w:val="none" w:sz="0" w:space="0" w:color="auto"/>
        <w:right w:val="none" w:sz="0" w:space="0" w:color="auto"/>
      </w:divBdr>
    </w:div>
    <w:div w:id="1602493673">
      <w:bodyDiv w:val="1"/>
      <w:marLeft w:val="0"/>
      <w:marRight w:val="0"/>
      <w:marTop w:val="0"/>
      <w:marBottom w:val="0"/>
      <w:divBdr>
        <w:top w:val="none" w:sz="0" w:space="0" w:color="auto"/>
        <w:left w:val="none" w:sz="0" w:space="0" w:color="auto"/>
        <w:bottom w:val="none" w:sz="0" w:space="0" w:color="auto"/>
        <w:right w:val="none" w:sz="0" w:space="0" w:color="auto"/>
      </w:divBdr>
    </w:div>
    <w:div w:id="1605652116">
      <w:bodyDiv w:val="1"/>
      <w:marLeft w:val="0"/>
      <w:marRight w:val="0"/>
      <w:marTop w:val="0"/>
      <w:marBottom w:val="0"/>
      <w:divBdr>
        <w:top w:val="none" w:sz="0" w:space="0" w:color="auto"/>
        <w:left w:val="none" w:sz="0" w:space="0" w:color="auto"/>
        <w:bottom w:val="none" w:sz="0" w:space="0" w:color="auto"/>
        <w:right w:val="none" w:sz="0" w:space="0" w:color="auto"/>
      </w:divBdr>
    </w:div>
    <w:div w:id="1609192517">
      <w:bodyDiv w:val="1"/>
      <w:marLeft w:val="0"/>
      <w:marRight w:val="0"/>
      <w:marTop w:val="0"/>
      <w:marBottom w:val="0"/>
      <w:divBdr>
        <w:top w:val="none" w:sz="0" w:space="0" w:color="auto"/>
        <w:left w:val="none" w:sz="0" w:space="0" w:color="auto"/>
        <w:bottom w:val="none" w:sz="0" w:space="0" w:color="auto"/>
        <w:right w:val="none" w:sz="0" w:space="0" w:color="auto"/>
      </w:divBdr>
    </w:div>
    <w:div w:id="1627739080">
      <w:bodyDiv w:val="1"/>
      <w:marLeft w:val="0"/>
      <w:marRight w:val="0"/>
      <w:marTop w:val="0"/>
      <w:marBottom w:val="0"/>
      <w:divBdr>
        <w:top w:val="none" w:sz="0" w:space="0" w:color="auto"/>
        <w:left w:val="none" w:sz="0" w:space="0" w:color="auto"/>
        <w:bottom w:val="none" w:sz="0" w:space="0" w:color="auto"/>
        <w:right w:val="none" w:sz="0" w:space="0" w:color="auto"/>
      </w:divBdr>
    </w:div>
    <w:div w:id="1638993005">
      <w:bodyDiv w:val="1"/>
      <w:marLeft w:val="0"/>
      <w:marRight w:val="0"/>
      <w:marTop w:val="0"/>
      <w:marBottom w:val="0"/>
      <w:divBdr>
        <w:top w:val="none" w:sz="0" w:space="0" w:color="auto"/>
        <w:left w:val="none" w:sz="0" w:space="0" w:color="auto"/>
        <w:bottom w:val="none" w:sz="0" w:space="0" w:color="auto"/>
        <w:right w:val="none" w:sz="0" w:space="0" w:color="auto"/>
      </w:divBdr>
    </w:div>
    <w:div w:id="1656570455">
      <w:bodyDiv w:val="1"/>
      <w:marLeft w:val="0"/>
      <w:marRight w:val="0"/>
      <w:marTop w:val="0"/>
      <w:marBottom w:val="0"/>
      <w:divBdr>
        <w:top w:val="none" w:sz="0" w:space="0" w:color="auto"/>
        <w:left w:val="none" w:sz="0" w:space="0" w:color="auto"/>
        <w:bottom w:val="none" w:sz="0" w:space="0" w:color="auto"/>
        <w:right w:val="none" w:sz="0" w:space="0" w:color="auto"/>
      </w:divBdr>
    </w:div>
    <w:div w:id="1658920134">
      <w:bodyDiv w:val="1"/>
      <w:marLeft w:val="0"/>
      <w:marRight w:val="0"/>
      <w:marTop w:val="0"/>
      <w:marBottom w:val="0"/>
      <w:divBdr>
        <w:top w:val="none" w:sz="0" w:space="0" w:color="auto"/>
        <w:left w:val="none" w:sz="0" w:space="0" w:color="auto"/>
        <w:bottom w:val="none" w:sz="0" w:space="0" w:color="auto"/>
        <w:right w:val="none" w:sz="0" w:space="0" w:color="auto"/>
      </w:divBdr>
    </w:div>
    <w:div w:id="1662075174">
      <w:bodyDiv w:val="1"/>
      <w:marLeft w:val="0"/>
      <w:marRight w:val="0"/>
      <w:marTop w:val="0"/>
      <w:marBottom w:val="0"/>
      <w:divBdr>
        <w:top w:val="none" w:sz="0" w:space="0" w:color="auto"/>
        <w:left w:val="none" w:sz="0" w:space="0" w:color="auto"/>
        <w:bottom w:val="none" w:sz="0" w:space="0" w:color="auto"/>
        <w:right w:val="none" w:sz="0" w:space="0" w:color="auto"/>
      </w:divBdr>
    </w:div>
    <w:div w:id="1663266606">
      <w:bodyDiv w:val="1"/>
      <w:marLeft w:val="0"/>
      <w:marRight w:val="0"/>
      <w:marTop w:val="0"/>
      <w:marBottom w:val="0"/>
      <w:divBdr>
        <w:top w:val="none" w:sz="0" w:space="0" w:color="auto"/>
        <w:left w:val="none" w:sz="0" w:space="0" w:color="auto"/>
        <w:bottom w:val="none" w:sz="0" w:space="0" w:color="auto"/>
        <w:right w:val="none" w:sz="0" w:space="0" w:color="auto"/>
      </w:divBdr>
    </w:div>
    <w:div w:id="1664241586">
      <w:bodyDiv w:val="1"/>
      <w:marLeft w:val="0"/>
      <w:marRight w:val="0"/>
      <w:marTop w:val="0"/>
      <w:marBottom w:val="0"/>
      <w:divBdr>
        <w:top w:val="none" w:sz="0" w:space="0" w:color="auto"/>
        <w:left w:val="none" w:sz="0" w:space="0" w:color="auto"/>
        <w:bottom w:val="none" w:sz="0" w:space="0" w:color="auto"/>
        <w:right w:val="none" w:sz="0" w:space="0" w:color="auto"/>
      </w:divBdr>
    </w:div>
    <w:div w:id="1664623348">
      <w:bodyDiv w:val="1"/>
      <w:marLeft w:val="0"/>
      <w:marRight w:val="0"/>
      <w:marTop w:val="0"/>
      <w:marBottom w:val="0"/>
      <w:divBdr>
        <w:top w:val="none" w:sz="0" w:space="0" w:color="auto"/>
        <w:left w:val="none" w:sz="0" w:space="0" w:color="auto"/>
        <w:bottom w:val="none" w:sz="0" w:space="0" w:color="auto"/>
        <w:right w:val="none" w:sz="0" w:space="0" w:color="auto"/>
      </w:divBdr>
    </w:div>
    <w:div w:id="1664967677">
      <w:bodyDiv w:val="1"/>
      <w:marLeft w:val="0"/>
      <w:marRight w:val="0"/>
      <w:marTop w:val="0"/>
      <w:marBottom w:val="0"/>
      <w:divBdr>
        <w:top w:val="none" w:sz="0" w:space="0" w:color="auto"/>
        <w:left w:val="none" w:sz="0" w:space="0" w:color="auto"/>
        <w:bottom w:val="none" w:sz="0" w:space="0" w:color="auto"/>
        <w:right w:val="none" w:sz="0" w:space="0" w:color="auto"/>
      </w:divBdr>
    </w:div>
    <w:div w:id="1666057246">
      <w:bodyDiv w:val="1"/>
      <w:marLeft w:val="0"/>
      <w:marRight w:val="0"/>
      <w:marTop w:val="0"/>
      <w:marBottom w:val="0"/>
      <w:divBdr>
        <w:top w:val="none" w:sz="0" w:space="0" w:color="auto"/>
        <w:left w:val="none" w:sz="0" w:space="0" w:color="auto"/>
        <w:bottom w:val="none" w:sz="0" w:space="0" w:color="auto"/>
        <w:right w:val="none" w:sz="0" w:space="0" w:color="auto"/>
      </w:divBdr>
    </w:div>
    <w:div w:id="1671105980">
      <w:bodyDiv w:val="1"/>
      <w:marLeft w:val="0"/>
      <w:marRight w:val="0"/>
      <w:marTop w:val="0"/>
      <w:marBottom w:val="0"/>
      <w:divBdr>
        <w:top w:val="none" w:sz="0" w:space="0" w:color="auto"/>
        <w:left w:val="none" w:sz="0" w:space="0" w:color="auto"/>
        <w:bottom w:val="none" w:sz="0" w:space="0" w:color="auto"/>
        <w:right w:val="none" w:sz="0" w:space="0" w:color="auto"/>
      </w:divBdr>
    </w:div>
    <w:div w:id="1677267616">
      <w:bodyDiv w:val="1"/>
      <w:marLeft w:val="0"/>
      <w:marRight w:val="0"/>
      <w:marTop w:val="0"/>
      <w:marBottom w:val="0"/>
      <w:divBdr>
        <w:top w:val="none" w:sz="0" w:space="0" w:color="auto"/>
        <w:left w:val="none" w:sz="0" w:space="0" w:color="auto"/>
        <w:bottom w:val="none" w:sz="0" w:space="0" w:color="auto"/>
        <w:right w:val="none" w:sz="0" w:space="0" w:color="auto"/>
      </w:divBdr>
    </w:div>
    <w:div w:id="1683966552">
      <w:bodyDiv w:val="1"/>
      <w:marLeft w:val="0"/>
      <w:marRight w:val="0"/>
      <w:marTop w:val="0"/>
      <w:marBottom w:val="0"/>
      <w:divBdr>
        <w:top w:val="none" w:sz="0" w:space="0" w:color="auto"/>
        <w:left w:val="none" w:sz="0" w:space="0" w:color="auto"/>
        <w:bottom w:val="none" w:sz="0" w:space="0" w:color="auto"/>
        <w:right w:val="none" w:sz="0" w:space="0" w:color="auto"/>
      </w:divBdr>
    </w:div>
    <w:div w:id="1687750741">
      <w:bodyDiv w:val="1"/>
      <w:marLeft w:val="0"/>
      <w:marRight w:val="0"/>
      <w:marTop w:val="0"/>
      <w:marBottom w:val="0"/>
      <w:divBdr>
        <w:top w:val="none" w:sz="0" w:space="0" w:color="auto"/>
        <w:left w:val="none" w:sz="0" w:space="0" w:color="auto"/>
        <w:bottom w:val="none" w:sz="0" w:space="0" w:color="auto"/>
        <w:right w:val="none" w:sz="0" w:space="0" w:color="auto"/>
      </w:divBdr>
    </w:div>
    <w:div w:id="1689018508">
      <w:bodyDiv w:val="1"/>
      <w:marLeft w:val="0"/>
      <w:marRight w:val="0"/>
      <w:marTop w:val="0"/>
      <w:marBottom w:val="0"/>
      <w:divBdr>
        <w:top w:val="none" w:sz="0" w:space="0" w:color="auto"/>
        <w:left w:val="none" w:sz="0" w:space="0" w:color="auto"/>
        <w:bottom w:val="none" w:sz="0" w:space="0" w:color="auto"/>
        <w:right w:val="none" w:sz="0" w:space="0" w:color="auto"/>
      </w:divBdr>
    </w:div>
    <w:div w:id="1690444751">
      <w:bodyDiv w:val="1"/>
      <w:marLeft w:val="0"/>
      <w:marRight w:val="0"/>
      <w:marTop w:val="0"/>
      <w:marBottom w:val="0"/>
      <w:divBdr>
        <w:top w:val="none" w:sz="0" w:space="0" w:color="auto"/>
        <w:left w:val="none" w:sz="0" w:space="0" w:color="auto"/>
        <w:bottom w:val="none" w:sz="0" w:space="0" w:color="auto"/>
        <w:right w:val="none" w:sz="0" w:space="0" w:color="auto"/>
      </w:divBdr>
    </w:div>
    <w:div w:id="1691033241">
      <w:bodyDiv w:val="1"/>
      <w:marLeft w:val="0"/>
      <w:marRight w:val="0"/>
      <w:marTop w:val="0"/>
      <w:marBottom w:val="0"/>
      <w:divBdr>
        <w:top w:val="none" w:sz="0" w:space="0" w:color="auto"/>
        <w:left w:val="none" w:sz="0" w:space="0" w:color="auto"/>
        <w:bottom w:val="none" w:sz="0" w:space="0" w:color="auto"/>
        <w:right w:val="none" w:sz="0" w:space="0" w:color="auto"/>
      </w:divBdr>
    </w:div>
    <w:div w:id="1697807526">
      <w:bodyDiv w:val="1"/>
      <w:marLeft w:val="0"/>
      <w:marRight w:val="0"/>
      <w:marTop w:val="0"/>
      <w:marBottom w:val="0"/>
      <w:divBdr>
        <w:top w:val="none" w:sz="0" w:space="0" w:color="auto"/>
        <w:left w:val="none" w:sz="0" w:space="0" w:color="auto"/>
        <w:bottom w:val="none" w:sz="0" w:space="0" w:color="auto"/>
        <w:right w:val="none" w:sz="0" w:space="0" w:color="auto"/>
      </w:divBdr>
    </w:div>
    <w:div w:id="1702632552">
      <w:bodyDiv w:val="1"/>
      <w:marLeft w:val="0"/>
      <w:marRight w:val="0"/>
      <w:marTop w:val="0"/>
      <w:marBottom w:val="0"/>
      <w:divBdr>
        <w:top w:val="none" w:sz="0" w:space="0" w:color="auto"/>
        <w:left w:val="none" w:sz="0" w:space="0" w:color="auto"/>
        <w:bottom w:val="none" w:sz="0" w:space="0" w:color="auto"/>
        <w:right w:val="none" w:sz="0" w:space="0" w:color="auto"/>
      </w:divBdr>
    </w:div>
    <w:div w:id="1706327424">
      <w:bodyDiv w:val="1"/>
      <w:marLeft w:val="0"/>
      <w:marRight w:val="0"/>
      <w:marTop w:val="0"/>
      <w:marBottom w:val="0"/>
      <w:divBdr>
        <w:top w:val="none" w:sz="0" w:space="0" w:color="auto"/>
        <w:left w:val="none" w:sz="0" w:space="0" w:color="auto"/>
        <w:bottom w:val="none" w:sz="0" w:space="0" w:color="auto"/>
        <w:right w:val="none" w:sz="0" w:space="0" w:color="auto"/>
      </w:divBdr>
    </w:div>
    <w:div w:id="1718360617">
      <w:bodyDiv w:val="1"/>
      <w:marLeft w:val="0"/>
      <w:marRight w:val="0"/>
      <w:marTop w:val="0"/>
      <w:marBottom w:val="0"/>
      <w:divBdr>
        <w:top w:val="none" w:sz="0" w:space="0" w:color="auto"/>
        <w:left w:val="none" w:sz="0" w:space="0" w:color="auto"/>
        <w:bottom w:val="none" w:sz="0" w:space="0" w:color="auto"/>
        <w:right w:val="none" w:sz="0" w:space="0" w:color="auto"/>
      </w:divBdr>
    </w:div>
    <w:div w:id="1724861733">
      <w:bodyDiv w:val="1"/>
      <w:marLeft w:val="0"/>
      <w:marRight w:val="0"/>
      <w:marTop w:val="0"/>
      <w:marBottom w:val="0"/>
      <w:divBdr>
        <w:top w:val="none" w:sz="0" w:space="0" w:color="auto"/>
        <w:left w:val="none" w:sz="0" w:space="0" w:color="auto"/>
        <w:bottom w:val="none" w:sz="0" w:space="0" w:color="auto"/>
        <w:right w:val="none" w:sz="0" w:space="0" w:color="auto"/>
      </w:divBdr>
    </w:div>
    <w:div w:id="1728917107">
      <w:bodyDiv w:val="1"/>
      <w:marLeft w:val="0"/>
      <w:marRight w:val="0"/>
      <w:marTop w:val="0"/>
      <w:marBottom w:val="0"/>
      <w:divBdr>
        <w:top w:val="none" w:sz="0" w:space="0" w:color="auto"/>
        <w:left w:val="none" w:sz="0" w:space="0" w:color="auto"/>
        <w:bottom w:val="none" w:sz="0" w:space="0" w:color="auto"/>
        <w:right w:val="none" w:sz="0" w:space="0" w:color="auto"/>
      </w:divBdr>
    </w:div>
    <w:div w:id="1730691676">
      <w:bodyDiv w:val="1"/>
      <w:marLeft w:val="0"/>
      <w:marRight w:val="0"/>
      <w:marTop w:val="0"/>
      <w:marBottom w:val="0"/>
      <w:divBdr>
        <w:top w:val="none" w:sz="0" w:space="0" w:color="auto"/>
        <w:left w:val="none" w:sz="0" w:space="0" w:color="auto"/>
        <w:bottom w:val="none" w:sz="0" w:space="0" w:color="auto"/>
        <w:right w:val="none" w:sz="0" w:space="0" w:color="auto"/>
      </w:divBdr>
    </w:div>
    <w:div w:id="1730882903">
      <w:bodyDiv w:val="1"/>
      <w:marLeft w:val="0"/>
      <w:marRight w:val="0"/>
      <w:marTop w:val="0"/>
      <w:marBottom w:val="0"/>
      <w:divBdr>
        <w:top w:val="none" w:sz="0" w:space="0" w:color="auto"/>
        <w:left w:val="none" w:sz="0" w:space="0" w:color="auto"/>
        <w:bottom w:val="none" w:sz="0" w:space="0" w:color="auto"/>
        <w:right w:val="none" w:sz="0" w:space="0" w:color="auto"/>
      </w:divBdr>
    </w:div>
    <w:div w:id="1731343464">
      <w:bodyDiv w:val="1"/>
      <w:marLeft w:val="0"/>
      <w:marRight w:val="0"/>
      <w:marTop w:val="0"/>
      <w:marBottom w:val="0"/>
      <w:divBdr>
        <w:top w:val="none" w:sz="0" w:space="0" w:color="auto"/>
        <w:left w:val="none" w:sz="0" w:space="0" w:color="auto"/>
        <w:bottom w:val="none" w:sz="0" w:space="0" w:color="auto"/>
        <w:right w:val="none" w:sz="0" w:space="0" w:color="auto"/>
      </w:divBdr>
    </w:div>
    <w:div w:id="1738355705">
      <w:bodyDiv w:val="1"/>
      <w:marLeft w:val="0"/>
      <w:marRight w:val="0"/>
      <w:marTop w:val="0"/>
      <w:marBottom w:val="0"/>
      <w:divBdr>
        <w:top w:val="none" w:sz="0" w:space="0" w:color="auto"/>
        <w:left w:val="none" w:sz="0" w:space="0" w:color="auto"/>
        <w:bottom w:val="none" w:sz="0" w:space="0" w:color="auto"/>
        <w:right w:val="none" w:sz="0" w:space="0" w:color="auto"/>
      </w:divBdr>
    </w:div>
    <w:div w:id="1745568735">
      <w:bodyDiv w:val="1"/>
      <w:marLeft w:val="0"/>
      <w:marRight w:val="0"/>
      <w:marTop w:val="0"/>
      <w:marBottom w:val="0"/>
      <w:divBdr>
        <w:top w:val="none" w:sz="0" w:space="0" w:color="auto"/>
        <w:left w:val="none" w:sz="0" w:space="0" w:color="auto"/>
        <w:bottom w:val="none" w:sz="0" w:space="0" w:color="auto"/>
        <w:right w:val="none" w:sz="0" w:space="0" w:color="auto"/>
      </w:divBdr>
    </w:div>
    <w:div w:id="1749186388">
      <w:bodyDiv w:val="1"/>
      <w:marLeft w:val="0"/>
      <w:marRight w:val="0"/>
      <w:marTop w:val="0"/>
      <w:marBottom w:val="0"/>
      <w:divBdr>
        <w:top w:val="none" w:sz="0" w:space="0" w:color="auto"/>
        <w:left w:val="none" w:sz="0" w:space="0" w:color="auto"/>
        <w:bottom w:val="none" w:sz="0" w:space="0" w:color="auto"/>
        <w:right w:val="none" w:sz="0" w:space="0" w:color="auto"/>
      </w:divBdr>
    </w:div>
    <w:div w:id="1762943974">
      <w:bodyDiv w:val="1"/>
      <w:marLeft w:val="0"/>
      <w:marRight w:val="0"/>
      <w:marTop w:val="0"/>
      <w:marBottom w:val="0"/>
      <w:divBdr>
        <w:top w:val="none" w:sz="0" w:space="0" w:color="auto"/>
        <w:left w:val="none" w:sz="0" w:space="0" w:color="auto"/>
        <w:bottom w:val="none" w:sz="0" w:space="0" w:color="auto"/>
        <w:right w:val="none" w:sz="0" w:space="0" w:color="auto"/>
      </w:divBdr>
    </w:div>
    <w:div w:id="1763647848">
      <w:bodyDiv w:val="1"/>
      <w:marLeft w:val="0"/>
      <w:marRight w:val="0"/>
      <w:marTop w:val="0"/>
      <w:marBottom w:val="0"/>
      <w:divBdr>
        <w:top w:val="none" w:sz="0" w:space="0" w:color="auto"/>
        <w:left w:val="none" w:sz="0" w:space="0" w:color="auto"/>
        <w:bottom w:val="none" w:sz="0" w:space="0" w:color="auto"/>
        <w:right w:val="none" w:sz="0" w:space="0" w:color="auto"/>
      </w:divBdr>
    </w:div>
    <w:div w:id="1764184291">
      <w:bodyDiv w:val="1"/>
      <w:marLeft w:val="0"/>
      <w:marRight w:val="0"/>
      <w:marTop w:val="0"/>
      <w:marBottom w:val="0"/>
      <w:divBdr>
        <w:top w:val="none" w:sz="0" w:space="0" w:color="auto"/>
        <w:left w:val="none" w:sz="0" w:space="0" w:color="auto"/>
        <w:bottom w:val="none" w:sz="0" w:space="0" w:color="auto"/>
        <w:right w:val="none" w:sz="0" w:space="0" w:color="auto"/>
      </w:divBdr>
    </w:div>
    <w:div w:id="1764498607">
      <w:bodyDiv w:val="1"/>
      <w:marLeft w:val="0"/>
      <w:marRight w:val="0"/>
      <w:marTop w:val="0"/>
      <w:marBottom w:val="0"/>
      <w:divBdr>
        <w:top w:val="none" w:sz="0" w:space="0" w:color="auto"/>
        <w:left w:val="none" w:sz="0" w:space="0" w:color="auto"/>
        <w:bottom w:val="none" w:sz="0" w:space="0" w:color="auto"/>
        <w:right w:val="none" w:sz="0" w:space="0" w:color="auto"/>
      </w:divBdr>
    </w:div>
    <w:div w:id="1765229205">
      <w:bodyDiv w:val="1"/>
      <w:marLeft w:val="0"/>
      <w:marRight w:val="0"/>
      <w:marTop w:val="0"/>
      <w:marBottom w:val="0"/>
      <w:divBdr>
        <w:top w:val="none" w:sz="0" w:space="0" w:color="auto"/>
        <w:left w:val="none" w:sz="0" w:space="0" w:color="auto"/>
        <w:bottom w:val="none" w:sz="0" w:space="0" w:color="auto"/>
        <w:right w:val="none" w:sz="0" w:space="0" w:color="auto"/>
      </w:divBdr>
    </w:div>
    <w:div w:id="1773627301">
      <w:bodyDiv w:val="1"/>
      <w:marLeft w:val="0"/>
      <w:marRight w:val="0"/>
      <w:marTop w:val="0"/>
      <w:marBottom w:val="0"/>
      <w:divBdr>
        <w:top w:val="none" w:sz="0" w:space="0" w:color="auto"/>
        <w:left w:val="none" w:sz="0" w:space="0" w:color="auto"/>
        <w:bottom w:val="none" w:sz="0" w:space="0" w:color="auto"/>
        <w:right w:val="none" w:sz="0" w:space="0" w:color="auto"/>
      </w:divBdr>
    </w:div>
    <w:div w:id="1774863596">
      <w:bodyDiv w:val="1"/>
      <w:marLeft w:val="0"/>
      <w:marRight w:val="0"/>
      <w:marTop w:val="0"/>
      <w:marBottom w:val="0"/>
      <w:divBdr>
        <w:top w:val="none" w:sz="0" w:space="0" w:color="auto"/>
        <w:left w:val="none" w:sz="0" w:space="0" w:color="auto"/>
        <w:bottom w:val="none" w:sz="0" w:space="0" w:color="auto"/>
        <w:right w:val="none" w:sz="0" w:space="0" w:color="auto"/>
      </w:divBdr>
    </w:div>
    <w:div w:id="1776166729">
      <w:bodyDiv w:val="1"/>
      <w:marLeft w:val="0"/>
      <w:marRight w:val="0"/>
      <w:marTop w:val="0"/>
      <w:marBottom w:val="0"/>
      <w:divBdr>
        <w:top w:val="none" w:sz="0" w:space="0" w:color="auto"/>
        <w:left w:val="none" w:sz="0" w:space="0" w:color="auto"/>
        <w:bottom w:val="none" w:sz="0" w:space="0" w:color="auto"/>
        <w:right w:val="none" w:sz="0" w:space="0" w:color="auto"/>
      </w:divBdr>
    </w:div>
    <w:div w:id="1778941418">
      <w:bodyDiv w:val="1"/>
      <w:marLeft w:val="0"/>
      <w:marRight w:val="0"/>
      <w:marTop w:val="0"/>
      <w:marBottom w:val="0"/>
      <w:divBdr>
        <w:top w:val="none" w:sz="0" w:space="0" w:color="auto"/>
        <w:left w:val="none" w:sz="0" w:space="0" w:color="auto"/>
        <w:bottom w:val="none" w:sz="0" w:space="0" w:color="auto"/>
        <w:right w:val="none" w:sz="0" w:space="0" w:color="auto"/>
      </w:divBdr>
    </w:div>
    <w:div w:id="1783763497">
      <w:bodyDiv w:val="1"/>
      <w:marLeft w:val="0"/>
      <w:marRight w:val="0"/>
      <w:marTop w:val="0"/>
      <w:marBottom w:val="0"/>
      <w:divBdr>
        <w:top w:val="none" w:sz="0" w:space="0" w:color="auto"/>
        <w:left w:val="none" w:sz="0" w:space="0" w:color="auto"/>
        <w:bottom w:val="none" w:sz="0" w:space="0" w:color="auto"/>
        <w:right w:val="none" w:sz="0" w:space="0" w:color="auto"/>
      </w:divBdr>
    </w:div>
    <w:div w:id="1785034498">
      <w:bodyDiv w:val="1"/>
      <w:marLeft w:val="0"/>
      <w:marRight w:val="0"/>
      <w:marTop w:val="0"/>
      <w:marBottom w:val="0"/>
      <w:divBdr>
        <w:top w:val="none" w:sz="0" w:space="0" w:color="auto"/>
        <w:left w:val="none" w:sz="0" w:space="0" w:color="auto"/>
        <w:bottom w:val="none" w:sz="0" w:space="0" w:color="auto"/>
        <w:right w:val="none" w:sz="0" w:space="0" w:color="auto"/>
      </w:divBdr>
    </w:div>
    <w:div w:id="1787578201">
      <w:bodyDiv w:val="1"/>
      <w:marLeft w:val="0"/>
      <w:marRight w:val="0"/>
      <w:marTop w:val="0"/>
      <w:marBottom w:val="0"/>
      <w:divBdr>
        <w:top w:val="none" w:sz="0" w:space="0" w:color="auto"/>
        <w:left w:val="none" w:sz="0" w:space="0" w:color="auto"/>
        <w:bottom w:val="none" w:sz="0" w:space="0" w:color="auto"/>
        <w:right w:val="none" w:sz="0" w:space="0" w:color="auto"/>
      </w:divBdr>
    </w:div>
    <w:div w:id="1794519808">
      <w:bodyDiv w:val="1"/>
      <w:marLeft w:val="0"/>
      <w:marRight w:val="0"/>
      <w:marTop w:val="0"/>
      <w:marBottom w:val="0"/>
      <w:divBdr>
        <w:top w:val="none" w:sz="0" w:space="0" w:color="auto"/>
        <w:left w:val="none" w:sz="0" w:space="0" w:color="auto"/>
        <w:bottom w:val="none" w:sz="0" w:space="0" w:color="auto"/>
        <w:right w:val="none" w:sz="0" w:space="0" w:color="auto"/>
      </w:divBdr>
    </w:div>
    <w:div w:id="1802576689">
      <w:bodyDiv w:val="1"/>
      <w:marLeft w:val="0"/>
      <w:marRight w:val="0"/>
      <w:marTop w:val="0"/>
      <w:marBottom w:val="0"/>
      <w:divBdr>
        <w:top w:val="none" w:sz="0" w:space="0" w:color="auto"/>
        <w:left w:val="none" w:sz="0" w:space="0" w:color="auto"/>
        <w:bottom w:val="none" w:sz="0" w:space="0" w:color="auto"/>
        <w:right w:val="none" w:sz="0" w:space="0" w:color="auto"/>
      </w:divBdr>
    </w:div>
    <w:div w:id="1802765917">
      <w:bodyDiv w:val="1"/>
      <w:marLeft w:val="0"/>
      <w:marRight w:val="0"/>
      <w:marTop w:val="0"/>
      <w:marBottom w:val="0"/>
      <w:divBdr>
        <w:top w:val="none" w:sz="0" w:space="0" w:color="auto"/>
        <w:left w:val="none" w:sz="0" w:space="0" w:color="auto"/>
        <w:bottom w:val="none" w:sz="0" w:space="0" w:color="auto"/>
        <w:right w:val="none" w:sz="0" w:space="0" w:color="auto"/>
      </w:divBdr>
    </w:div>
    <w:div w:id="1803305144">
      <w:bodyDiv w:val="1"/>
      <w:marLeft w:val="0"/>
      <w:marRight w:val="0"/>
      <w:marTop w:val="0"/>
      <w:marBottom w:val="0"/>
      <w:divBdr>
        <w:top w:val="none" w:sz="0" w:space="0" w:color="auto"/>
        <w:left w:val="none" w:sz="0" w:space="0" w:color="auto"/>
        <w:bottom w:val="none" w:sz="0" w:space="0" w:color="auto"/>
        <w:right w:val="none" w:sz="0" w:space="0" w:color="auto"/>
      </w:divBdr>
    </w:div>
    <w:div w:id="1803764878">
      <w:bodyDiv w:val="1"/>
      <w:marLeft w:val="0"/>
      <w:marRight w:val="0"/>
      <w:marTop w:val="0"/>
      <w:marBottom w:val="0"/>
      <w:divBdr>
        <w:top w:val="none" w:sz="0" w:space="0" w:color="auto"/>
        <w:left w:val="none" w:sz="0" w:space="0" w:color="auto"/>
        <w:bottom w:val="none" w:sz="0" w:space="0" w:color="auto"/>
        <w:right w:val="none" w:sz="0" w:space="0" w:color="auto"/>
      </w:divBdr>
    </w:div>
    <w:div w:id="1805613840">
      <w:bodyDiv w:val="1"/>
      <w:marLeft w:val="0"/>
      <w:marRight w:val="0"/>
      <w:marTop w:val="0"/>
      <w:marBottom w:val="0"/>
      <w:divBdr>
        <w:top w:val="none" w:sz="0" w:space="0" w:color="auto"/>
        <w:left w:val="none" w:sz="0" w:space="0" w:color="auto"/>
        <w:bottom w:val="none" w:sz="0" w:space="0" w:color="auto"/>
        <w:right w:val="none" w:sz="0" w:space="0" w:color="auto"/>
      </w:divBdr>
    </w:div>
    <w:div w:id="1808664665">
      <w:bodyDiv w:val="1"/>
      <w:marLeft w:val="0"/>
      <w:marRight w:val="0"/>
      <w:marTop w:val="0"/>
      <w:marBottom w:val="0"/>
      <w:divBdr>
        <w:top w:val="none" w:sz="0" w:space="0" w:color="auto"/>
        <w:left w:val="none" w:sz="0" w:space="0" w:color="auto"/>
        <w:bottom w:val="none" w:sz="0" w:space="0" w:color="auto"/>
        <w:right w:val="none" w:sz="0" w:space="0" w:color="auto"/>
      </w:divBdr>
    </w:div>
    <w:div w:id="1816995155">
      <w:bodyDiv w:val="1"/>
      <w:marLeft w:val="0"/>
      <w:marRight w:val="0"/>
      <w:marTop w:val="0"/>
      <w:marBottom w:val="0"/>
      <w:divBdr>
        <w:top w:val="none" w:sz="0" w:space="0" w:color="auto"/>
        <w:left w:val="none" w:sz="0" w:space="0" w:color="auto"/>
        <w:bottom w:val="none" w:sz="0" w:space="0" w:color="auto"/>
        <w:right w:val="none" w:sz="0" w:space="0" w:color="auto"/>
      </w:divBdr>
    </w:div>
    <w:div w:id="1824546585">
      <w:bodyDiv w:val="1"/>
      <w:marLeft w:val="0"/>
      <w:marRight w:val="0"/>
      <w:marTop w:val="0"/>
      <w:marBottom w:val="0"/>
      <w:divBdr>
        <w:top w:val="none" w:sz="0" w:space="0" w:color="auto"/>
        <w:left w:val="none" w:sz="0" w:space="0" w:color="auto"/>
        <w:bottom w:val="none" w:sz="0" w:space="0" w:color="auto"/>
        <w:right w:val="none" w:sz="0" w:space="0" w:color="auto"/>
      </w:divBdr>
    </w:div>
    <w:div w:id="1825703210">
      <w:bodyDiv w:val="1"/>
      <w:marLeft w:val="0"/>
      <w:marRight w:val="0"/>
      <w:marTop w:val="0"/>
      <w:marBottom w:val="0"/>
      <w:divBdr>
        <w:top w:val="none" w:sz="0" w:space="0" w:color="auto"/>
        <w:left w:val="none" w:sz="0" w:space="0" w:color="auto"/>
        <w:bottom w:val="none" w:sz="0" w:space="0" w:color="auto"/>
        <w:right w:val="none" w:sz="0" w:space="0" w:color="auto"/>
      </w:divBdr>
    </w:div>
    <w:div w:id="1828014459">
      <w:bodyDiv w:val="1"/>
      <w:marLeft w:val="0"/>
      <w:marRight w:val="0"/>
      <w:marTop w:val="0"/>
      <w:marBottom w:val="0"/>
      <w:divBdr>
        <w:top w:val="none" w:sz="0" w:space="0" w:color="auto"/>
        <w:left w:val="none" w:sz="0" w:space="0" w:color="auto"/>
        <w:bottom w:val="none" w:sz="0" w:space="0" w:color="auto"/>
        <w:right w:val="none" w:sz="0" w:space="0" w:color="auto"/>
      </w:divBdr>
    </w:div>
    <w:div w:id="1832603294">
      <w:bodyDiv w:val="1"/>
      <w:marLeft w:val="0"/>
      <w:marRight w:val="0"/>
      <w:marTop w:val="0"/>
      <w:marBottom w:val="0"/>
      <w:divBdr>
        <w:top w:val="none" w:sz="0" w:space="0" w:color="auto"/>
        <w:left w:val="none" w:sz="0" w:space="0" w:color="auto"/>
        <w:bottom w:val="none" w:sz="0" w:space="0" w:color="auto"/>
        <w:right w:val="none" w:sz="0" w:space="0" w:color="auto"/>
      </w:divBdr>
    </w:div>
    <w:div w:id="1838573835">
      <w:bodyDiv w:val="1"/>
      <w:marLeft w:val="0"/>
      <w:marRight w:val="0"/>
      <w:marTop w:val="0"/>
      <w:marBottom w:val="0"/>
      <w:divBdr>
        <w:top w:val="none" w:sz="0" w:space="0" w:color="auto"/>
        <w:left w:val="none" w:sz="0" w:space="0" w:color="auto"/>
        <w:bottom w:val="none" w:sz="0" w:space="0" w:color="auto"/>
        <w:right w:val="none" w:sz="0" w:space="0" w:color="auto"/>
      </w:divBdr>
    </w:div>
    <w:div w:id="1847162635">
      <w:bodyDiv w:val="1"/>
      <w:marLeft w:val="0"/>
      <w:marRight w:val="0"/>
      <w:marTop w:val="0"/>
      <w:marBottom w:val="0"/>
      <w:divBdr>
        <w:top w:val="none" w:sz="0" w:space="0" w:color="auto"/>
        <w:left w:val="none" w:sz="0" w:space="0" w:color="auto"/>
        <w:bottom w:val="none" w:sz="0" w:space="0" w:color="auto"/>
        <w:right w:val="none" w:sz="0" w:space="0" w:color="auto"/>
      </w:divBdr>
    </w:div>
    <w:div w:id="1847862890">
      <w:bodyDiv w:val="1"/>
      <w:marLeft w:val="0"/>
      <w:marRight w:val="0"/>
      <w:marTop w:val="0"/>
      <w:marBottom w:val="0"/>
      <w:divBdr>
        <w:top w:val="none" w:sz="0" w:space="0" w:color="auto"/>
        <w:left w:val="none" w:sz="0" w:space="0" w:color="auto"/>
        <w:bottom w:val="none" w:sz="0" w:space="0" w:color="auto"/>
        <w:right w:val="none" w:sz="0" w:space="0" w:color="auto"/>
      </w:divBdr>
    </w:div>
    <w:div w:id="1850489027">
      <w:bodyDiv w:val="1"/>
      <w:marLeft w:val="0"/>
      <w:marRight w:val="0"/>
      <w:marTop w:val="0"/>
      <w:marBottom w:val="0"/>
      <w:divBdr>
        <w:top w:val="none" w:sz="0" w:space="0" w:color="auto"/>
        <w:left w:val="none" w:sz="0" w:space="0" w:color="auto"/>
        <w:bottom w:val="none" w:sz="0" w:space="0" w:color="auto"/>
        <w:right w:val="none" w:sz="0" w:space="0" w:color="auto"/>
      </w:divBdr>
    </w:div>
    <w:div w:id="1853377794">
      <w:bodyDiv w:val="1"/>
      <w:marLeft w:val="0"/>
      <w:marRight w:val="0"/>
      <w:marTop w:val="0"/>
      <w:marBottom w:val="0"/>
      <w:divBdr>
        <w:top w:val="none" w:sz="0" w:space="0" w:color="auto"/>
        <w:left w:val="none" w:sz="0" w:space="0" w:color="auto"/>
        <w:bottom w:val="none" w:sz="0" w:space="0" w:color="auto"/>
        <w:right w:val="none" w:sz="0" w:space="0" w:color="auto"/>
      </w:divBdr>
    </w:div>
    <w:div w:id="1861893079">
      <w:bodyDiv w:val="1"/>
      <w:marLeft w:val="0"/>
      <w:marRight w:val="0"/>
      <w:marTop w:val="0"/>
      <w:marBottom w:val="0"/>
      <w:divBdr>
        <w:top w:val="none" w:sz="0" w:space="0" w:color="auto"/>
        <w:left w:val="none" w:sz="0" w:space="0" w:color="auto"/>
        <w:bottom w:val="none" w:sz="0" w:space="0" w:color="auto"/>
        <w:right w:val="none" w:sz="0" w:space="0" w:color="auto"/>
      </w:divBdr>
    </w:div>
    <w:div w:id="1862159317">
      <w:bodyDiv w:val="1"/>
      <w:marLeft w:val="0"/>
      <w:marRight w:val="0"/>
      <w:marTop w:val="0"/>
      <w:marBottom w:val="0"/>
      <w:divBdr>
        <w:top w:val="none" w:sz="0" w:space="0" w:color="auto"/>
        <w:left w:val="none" w:sz="0" w:space="0" w:color="auto"/>
        <w:bottom w:val="none" w:sz="0" w:space="0" w:color="auto"/>
        <w:right w:val="none" w:sz="0" w:space="0" w:color="auto"/>
      </w:divBdr>
    </w:div>
    <w:div w:id="1863595073">
      <w:bodyDiv w:val="1"/>
      <w:marLeft w:val="0"/>
      <w:marRight w:val="0"/>
      <w:marTop w:val="0"/>
      <w:marBottom w:val="0"/>
      <w:divBdr>
        <w:top w:val="none" w:sz="0" w:space="0" w:color="auto"/>
        <w:left w:val="none" w:sz="0" w:space="0" w:color="auto"/>
        <w:bottom w:val="none" w:sz="0" w:space="0" w:color="auto"/>
        <w:right w:val="none" w:sz="0" w:space="0" w:color="auto"/>
      </w:divBdr>
    </w:div>
    <w:div w:id="1869954536">
      <w:bodyDiv w:val="1"/>
      <w:marLeft w:val="0"/>
      <w:marRight w:val="0"/>
      <w:marTop w:val="0"/>
      <w:marBottom w:val="0"/>
      <w:divBdr>
        <w:top w:val="none" w:sz="0" w:space="0" w:color="auto"/>
        <w:left w:val="none" w:sz="0" w:space="0" w:color="auto"/>
        <w:bottom w:val="none" w:sz="0" w:space="0" w:color="auto"/>
        <w:right w:val="none" w:sz="0" w:space="0" w:color="auto"/>
      </w:divBdr>
    </w:div>
    <w:div w:id="1870142257">
      <w:bodyDiv w:val="1"/>
      <w:marLeft w:val="0"/>
      <w:marRight w:val="0"/>
      <w:marTop w:val="0"/>
      <w:marBottom w:val="0"/>
      <w:divBdr>
        <w:top w:val="none" w:sz="0" w:space="0" w:color="auto"/>
        <w:left w:val="none" w:sz="0" w:space="0" w:color="auto"/>
        <w:bottom w:val="none" w:sz="0" w:space="0" w:color="auto"/>
        <w:right w:val="none" w:sz="0" w:space="0" w:color="auto"/>
      </w:divBdr>
    </w:div>
    <w:div w:id="1871724936">
      <w:bodyDiv w:val="1"/>
      <w:marLeft w:val="0"/>
      <w:marRight w:val="0"/>
      <w:marTop w:val="0"/>
      <w:marBottom w:val="0"/>
      <w:divBdr>
        <w:top w:val="none" w:sz="0" w:space="0" w:color="auto"/>
        <w:left w:val="none" w:sz="0" w:space="0" w:color="auto"/>
        <w:bottom w:val="none" w:sz="0" w:space="0" w:color="auto"/>
        <w:right w:val="none" w:sz="0" w:space="0" w:color="auto"/>
      </w:divBdr>
    </w:div>
    <w:div w:id="1873498952">
      <w:bodyDiv w:val="1"/>
      <w:marLeft w:val="0"/>
      <w:marRight w:val="0"/>
      <w:marTop w:val="0"/>
      <w:marBottom w:val="0"/>
      <w:divBdr>
        <w:top w:val="none" w:sz="0" w:space="0" w:color="auto"/>
        <w:left w:val="none" w:sz="0" w:space="0" w:color="auto"/>
        <w:bottom w:val="none" w:sz="0" w:space="0" w:color="auto"/>
        <w:right w:val="none" w:sz="0" w:space="0" w:color="auto"/>
      </w:divBdr>
    </w:div>
    <w:div w:id="1884099367">
      <w:bodyDiv w:val="1"/>
      <w:marLeft w:val="0"/>
      <w:marRight w:val="0"/>
      <w:marTop w:val="0"/>
      <w:marBottom w:val="0"/>
      <w:divBdr>
        <w:top w:val="none" w:sz="0" w:space="0" w:color="auto"/>
        <w:left w:val="none" w:sz="0" w:space="0" w:color="auto"/>
        <w:bottom w:val="none" w:sz="0" w:space="0" w:color="auto"/>
        <w:right w:val="none" w:sz="0" w:space="0" w:color="auto"/>
      </w:divBdr>
    </w:div>
    <w:div w:id="1890874437">
      <w:bodyDiv w:val="1"/>
      <w:marLeft w:val="0"/>
      <w:marRight w:val="0"/>
      <w:marTop w:val="0"/>
      <w:marBottom w:val="0"/>
      <w:divBdr>
        <w:top w:val="none" w:sz="0" w:space="0" w:color="auto"/>
        <w:left w:val="none" w:sz="0" w:space="0" w:color="auto"/>
        <w:bottom w:val="none" w:sz="0" w:space="0" w:color="auto"/>
        <w:right w:val="none" w:sz="0" w:space="0" w:color="auto"/>
      </w:divBdr>
    </w:div>
    <w:div w:id="1891651584">
      <w:bodyDiv w:val="1"/>
      <w:marLeft w:val="0"/>
      <w:marRight w:val="0"/>
      <w:marTop w:val="0"/>
      <w:marBottom w:val="0"/>
      <w:divBdr>
        <w:top w:val="none" w:sz="0" w:space="0" w:color="auto"/>
        <w:left w:val="none" w:sz="0" w:space="0" w:color="auto"/>
        <w:bottom w:val="none" w:sz="0" w:space="0" w:color="auto"/>
        <w:right w:val="none" w:sz="0" w:space="0" w:color="auto"/>
      </w:divBdr>
    </w:div>
    <w:div w:id="1895844517">
      <w:bodyDiv w:val="1"/>
      <w:marLeft w:val="0"/>
      <w:marRight w:val="0"/>
      <w:marTop w:val="0"/>
      <w:marBottom w:val="0"/>
      <w:divBdr>
        <w:top w:val="none" w:sz="0" w:space="0" w:color="auto"/>
        <w:left w:val="none" w:sz="0" w:space="0" w:color="auto"/>
        <w:bottom w:val="none" w:sz="0" w:space="0" w:color="auto"/>
        <w:right w:val="none" w:sz="0" w:space="0" w:color="auto"/>
      </w:divBdr>
    </w:div>
    <w:div w:id="1907957140">
      <w:bodyDiv w:val="1"/>
      <w:marLeft w:val="0"/>
      <w:marRight w:val="0"/>
      <w:marTop w:val="0"/>
      <w:marBottom w:val="0"/>
      <w:divBdr>
        <w:top w:val="none" w:sz="0" w:space="0" w:color="auto"/>
        <w:left w:val="none" w:sz="0" w:space="0" w:color="auto"/>
        <w:bottom w:val="none" w:sz="0" w:space="0" w:color="auto"/>
        <w:right w:val="none" w:sz="0" w:space="0" w:color="auto"/>
      </w:divBdr>
    </w:div>
    <w:div w:id="1915428323">
      <w:bodyDiv w:val="1"/>
      <w:marLeft w:val="0"/>
      <w:marRight w:val="0"/>
      <w:marTop w:val="0"/>
      <w:marBottom w:val="0"/>
      <w:divBdr>
        <w:top w:val="none" w:sz="0" w:space="0" w:color="auto"/>
        <w:left w:val="none" w:sz="0" w:space="0" w:color="auto"/>
        <w:bottom w:val="none" w:sz="0" w:space="0" w:color="auto"/>
        <w:right w:val="none" w:sz="0" w:space="0" w:color="auto"/>
      </w:divBdr>
    </w:div>
    <w:div w:id="1918202859">
      <w:bodyDiv w:val="1"/>
      <w:marLeft w:val="0"/>
      <w:marRight w:val="0"/>
      <w:marTop w:val="0"/>
      <w:marBottom w:val="0"/>
      <w:divBdr>
        <w:top w:val="none" w:sz="0" w:space="0" w:color="auto"/>
        <w:left w:val="none" w:sz="0" w:space="0" w:color="auto"/>
        <w:bottom w:val="none" w:sz="0" w:space="0" w:color="auto"/>
        <w:right w:val="none" w:sz="0" w:space="0" w:color="auto"/>
      </w:divBdr>
    </w:div>
    <w:div w:id="1919097061">
      <w:bodyDiv w:val="1"/>
      <w:marLeft w:val="0"/>
      <w:marRight w:val="0"/>
      <w:marTop w:val="0"/>
      <w:marBottom w:val="0"/>
      <w:divBdr>
        <w:top w:val="none" w:sz="0" w:space="0" w:color="auto"/>
        <w:left w:val="none" w:sz="0" w:space="0" w:color="auto"/>
        <w:bottom w:val="none" w:sz="0" w:space="0" w:color="auto"/>
        <w:right w:val="none" w:sz="0" w:space="0" w:color="auto"/>
      </w:divBdr>
    </w:div>
    <w:div w:id="1919441071">
      <w:bodyDiv w:val="1"/>
      <w:marLeft w:val="0"/>
      <w:marRight w:val="0"/>
      <w:marTop w:val="0"/>
      <w:marBottom w:val="0"/>
      <w:divBdr>
        <w:top w:val="none" w:sz="0" w:space="0" w:color="auto"/>
        <w:left w:val="none" w:sz="0" w:space="0" w:color="auto"/>
        <w:bottom w:val="none" w:sz="0" w:space="0" w:color="auto"/>
        <w:right w:val="none" w:sz="0" w:space="0" w:color="auto"/>
      </w:divBdr>
    </w:div>
    <w:div w:id="1919633139">
      <w:bodyDiv w:val="1"/>
      <w:marLeft w:val="0"/>
      <w:marRight w:val="0"/>
      <w:marTop w:val="0"/>
      <w:marBottom w:val="0"/>
      <w:divBdr>
        <w:top w:val="none" w:sz="0" w:space="0" w:color="auto"/>
        <w:left w:val="none" w:sz="0" w:space="0" w:color="auto"/>
        <w:bottom w:val="none" w:sz="0" w:space="0" w:color="auto"/>
        <w:right w:val="none" w:sz="0" w:space="0" w:color="auto"/>
      </w:divBdr>
    </w:div>
    <w:div w:id="1924948710">
      <w:bodyDiv w:val="1"/>
      <w:marLeft w:val="0"/>
      <w:marRight w:val="0"/>
      <w:marTop w:val="0"/>
      <w:marBottom w:val="0"/>
      <w:divBdr>
        <w:top w:val="none" w:sz="0" w:space="0" w:color="auto"/>
        <w:left w:val="none" w:sz="0" w:space="0" w:color="auto"/>
        <w:bottom w:val="none" w:sz="0" w:space="0" w:color="auto"/>
        <w:right w:val="none" w:sz="0" w:space="0" w:color="auto"/>
      </w:divBdr>
    </w:div>
    <w:div w:id="1925722513">
      <w:bodyDiv w:val="1"/>
      <w:marLeft w:val="0"/>
      <w:marRight w:val="0"/>
      <w:marTop w:val="0"/>
      <w:marBottom w:val="0"/>
      <w:divBdr>
        <w:top w:val="none" w:sz="0" w:space="0" w:color="auto"/>
        <w:left w:val="none" w:sz="0" w:space="0" w:color="auto"/>
        <w:bottom w:val="none" w:sz="0" w:space="0" w:color="auto"/>
        <w:right w:val="none" w:sz="0" w:space="0" w:color="auto"/>
      </w:divBdr>
    </w:div>
    <w:div w:id="1925798279">
      <w:bodyDiv w:val="1"/>
      <w:marLeft w:val="0"/>
      <w:marRight w:val="0"/>
      <w:marTop w:val="0"/>
      <w:marBottom w:val="0"/>
      <w:divBdr>
        <w:top w:val="none" w:sz="0" w:space="0" w:color="auto"/>
        <w:left w:val="none" w:sz="0" w:space="0" w:color="auto"/>
        <w:bottom w:val="none" w:sz="0" w:space="0" w:color="auto"/>
        <w:right w:val="none" w:sz="0" w:space="0" w:color="auto"/>
      </w:divBdr>
    </w:div>
    <w:div w:id="1929459334">
      <w:bodyDiv w:val="1"/>
      <w:marLeft w:val="0"/>
      <w:marRight w:val="0"/>
      <w:marTop w:val="0"/>
      <w:marBottom w:val="0"/>
      <w:divBdr>
        <w:top w:val="none" w:sz="0" w:space="0" w:color="auto"/>
        <w:left w:val="none" w:sz="0" w:space="0" w:color="auto"/>
        <w:bottom w:val="none" w:sz="0" w:space="0" w:color="auto"/>
        <w:right w:val="none" w:sz="0" w:space="0" w:color="auto"/>
      </w:divBdr>
    </w:div>
    <w:div w:id="1930000305">
      <w:bodyDiv w:val="1"/>
      <w:marLeft w:val="0"/>
      <w:marRight w:val="0"/>
      <w:marTop w:val="0"/>
      <w:marBottom w:val="0"/>
      <w:divBdr>
        <w:top w:val="none" w:sz="0" w:space="0" w:color="auto"/>
        <w:left w:val="none" w:sz="0" w:space="0" w:color="auto"/>
        <w:bottom w:val="none" w:sz="0" w:space="0" w:color="auto"/>
        <w:right w:val="none" w:sz="0" w:space="0" w:color="auto"/>
      </w:divBdr>
    </w:div>
    <w:div w:id="1934127260">
      <w:bodyDiv w:val="1"/>
      <w:marLeft w:val="0"/>
      <w:marRight w:val="0"/>
      <w:marTop w:val="0"/>
      <w:marBottom w:val="0"/>
      <w:divBdr>
        <w:top w:val="none" w:sz="0" w:space="0" w:color="auto"/>
        <w:left w:val="none" w:sz="0" w:space="0" w:color="auto"/>
        <w:bottom w:val="none" w:sz="0" w:space="0" w:color="auto"/>
        <w:right w:val="none" w:sz="0" w:space="0" w:color="auto"/>
      </w:divBdr>
    </w:div>
    <w:div w:id="1935091137">
      <w:bodyDiv w:val="1"/>
      <w:marLeft w:val="0"/>
      <w:marRight w:val="0"/>
      <w:marTop w:val="0"/>
      <w:marBottom w:val="0"/>
      <w:divBdr>
        <w:top w:val="none" w:sz="0" w:space="0" w:color="auto"/>
        <w:left w:val="none" w:sz="0" w:space="0" w:color="auto"/>
        <w:bottom w:val="none" w:sz="0" w:space="0" w:color="auto"/>
        <w:right w:val="none" w:sz="0" w:space="0" w:color="auto"/>
      </w:divBdr>
    </w:div>
    <w:div w:id="1935547645">
      <w:bodyDiv w:val="1"/>
      <w:marLeft w:val="0"/>
      <w:marRight w:val="0"/>
      <w:marTop w:val="0"/>
      <w:marBottom w:val="0"/>
      <w:divBdr>
        <w:top w:val="none" w:sz="0" w:space="0" w:color="auto"/>
        <w:left w:val="none" w:sz="0" w:space="0" w:color="auto"/>
        <w:bottom w:val="none" w:sz="0" w:space="0" w:color="auto"/>
        <w:right w:val="none" w:sz="0" w:space="0" w:color="auto"/>
      </w:divBdr>
    </w:div>
    <w:div w:id="1938783130">
      <w:bodyDiv w:val="1"/>
      <w:marLeft w:val="0"/>
      <w:marRight w:val="0"/>
      <w:marTop w:val="0"/>
      <w:marBottom w:val="0"/>
      <w:divBdr>
        <w:top w:val="none" w:sz="0" w:space="0" w:color="auto"/>
        <w:left w:val="none" w:sz="0" w:space="0" w:color="auto"/>
        <w:bottom w:val="none" w:sz="0" w:space="0" w:color="auto"/>
        <w:right w:val="none" w:sz="0" w:space="0" w:color="auto"/>
      </w:divBdr>
    </w:div>
    <w:div w:id="1945918451">
      <w:bodyDiv w:val="1"/>
      <w:marLeft w:val="0"/>
      <w:marRight w:val="0"/>
      <w:marTop w:val="0"/>
      <w:marBottom w:val="0"/>
      <w:divBdr>
        <w:top w:val="none" w:sz="0" w:space="0" w:color="auto"/>
        <w:left w:val="none" w:sz="0" w:space="0" w:color="auto"/>
        <w:bottom w:val="none" w:sz="0" w:space="0" w:color="auto"/>
        <w:right w:val="none" w:sz="0" w:space="0" w:color="auto"/>
      </w:divBdr>
    </w:div>
    <w:div w:id="1947611855">
      <w:bodyDiv w:val="1"/>
      <w:marLeft w:val="0"/>
      <w:marRight w:val="0"/>
      <w:marTop w:val="0"/>
      <w:marBottom w:val="0"/>
      <w:divBdr>
        <w:top w:val="none" w:sz="0" w:space="0" w:color="auto"/>
        <w:left w:val="none" w:sz="0" w:space="0" w:color="auto"/>
        <w:bottom w:val="none" w:sz="0" w:space="0" w:color="auto"/>
        <w:right w:val="none" w:sz="0" w:space="0" w:color="auto"/>
      </w:divBdr>
    </w:div>
    <w:div w:id="1955281212">
      <w:bodyDiv w:val="1"/>
      <w:marLeft w:val="0"/>
      <w:marRight w:val="0"/>
      <w:marTop w:val="0"/>
      <w:marBottom w:val="0"/>
      <w:divBdr>
        <w:top w:val="none" w:sz="0" w:space="0" w:color="auto"/>
        <w:left w:val="none" w:sz="0" w:space="0" w:color="auto"/>
        <w:bottom w:val="none" w:sz="0" w:space="0" w:color="auto"/>
        <w:right w:val="none" w:sz="0" w:space="0" w:color="auto"/>
      </w:divBdr>
    </w:div>
    <w:div w:id="1964573021">
      <w:bodyDiv w:val="1"/>
      <w:marLeft w:val="0"/>
      <w:marRight w:val="0"/>
      <w:marTop w:val="0"/>
      <w:marBottom w:val="0"/>
      <w:divBdr>
        <w:top w:val="none" w:sz="0" w:space="0" w:color="auto"/>
        <w:left w:val="none" w:sz="0" w:space="0" w:color="auto"/>
        <w:bottom w:val="none" w:sz="0" w:space="0" w:color="auto"/>
        <w:right w:val="none" w:sz="0" w:space="0" w:color="auto"/>
      </w:divBdr>
    </w:div>
    <w:div w:id="1965110856">
      <w:bodyDiv w:val="1"/>
      <w:marLeft w:val="0"/>
      <w:marRight w:val="0"/>
      <w:marTop w:val="0"/>
      <w:marBottom w:val="0"/>
      <w:divBdr>
        <w:top w:val="none" w:sz="0" w:space="0" w:color="auto"/>
        <w:left w:val="none" w:sz="0" w:space="0" w:color="auto"/>
        <w:bottom w:val="none" w:sz="0" w:space="0" w:color="auto"/>
        <w:right w:val="none" w:sz="0" w:space="0" w:color="auto"/>
      </w:divBdr>
    </w:div>
    <w:div w:id="1970238800">
      <w:bodyDiv w:val="1"/>
      <w:marLeft w:val="0"/>
      <w:marRight w:val="0"/>
      <w:marTop w:val="0"/>
      <w:marBottom w:val="0"/>
      <w:divBdr>
        <w:top w:val="none" w:sz="0" w:space="0" w:color="auto"/>
        <w:left w:val="none" w:sz="0" w:space="0" w:color="auto"/>
        <w:bottom w:val="none" w:sz="0" w:space="0" w:color="auto"/>
        <w:right w:val="none" w:sz="0" w:space="0" w:color="auto"/>
      </w:divBdr>
    </w:div>
    <w:div w:id="1975018708">
      <w:bodyDiv w:val="1"/>
      <w:marLeft w:val="0"/>
      <w:marRight w:val="0"/>
      <w:marTop w:val="0"/>
      <w:marBottom w:val="0"/>
      <w:divBdr>
        <w:top w:val="none" w:sz="0" w:space="0" w:color="auto"/>
        <w:left w:val="none" w:sz="0" w:space="0" w:color="auto"/>
        <w:bottom w:val="none" w:sz="0" w:space="0" w:color="auto"/>
        <w:right w:val="none" w:sz="0" w:space="0" w:color="auto"/>
      </w:divBdr>
    </w:div>
    <w:div w:id="1979917074">
      <w:bodyDiv w:val="1"/>
      <w:marLeft w:val="0"/>
      <w:marRight w:val="0"/>
      <w:marTop w:val="0"/>
      <w:marBottom w:val="0"/>
      <w:divBdr>
        <w:top w:val="none" w:sz="0" w:space="0" w:color="auto"/>
        <w:left w:val="none" w:sz="0" w:space="0" w:color="auto"/>
        <w:bottom w:val="none" w:sz="0" w:space="0" w:color="auto"/>
        <w:right w:val="none" w:sz="0" w:space="0" w:color="auto"/>
      </w:divBdr>
    </w:div>
    <w:div w:id="1983804694">
      <w:bodyDiv w:val="1"/>
      <w:marLeft w:val="0"/>
      <w:marRight w:val="0"/>
      <w:marTop w:val="0"/>
      <w:marBottom w:val="0"/>
      <w:divBdr>
        <w:top w:val="none" w:sz="0" w:space="0" w:color="auto"/>
        <w:left w:val="none" w:sz="0" w:space="0" w:color="auto"/>
        <w:bottom w:val="none" w:sz="0" w:space="0" w:color="auto"/>
        <w:right w:val="none" w:sz="0" w:space="0" w:color="auto"/>
      </w:divBdr>
    </w:div>
    <w:div w:id="1994795947">
      <w:bodyDiv w:val="1"/>
      <w:marLeft w:val="0"/>
      <w:marRight w:val="0"/>
      <w:marTop w:val="0"/>
      <w:marBottom w:val="0"/>
      <w:divBdr>
        <w:top w:val="none" w:sz="0" w:space="0" w:color="auto"/>
        <w:left w:val="none" w:sz="0" w:space="0" w:color="auto"/>
        <w:bottom w:val="none" w:sz="0" w:space="0" w:color="auto"/>
        <w:right w:val="none" w:sz="0" w:space="0" w:color="auto"/>
      </w:divBdr>
    </w:div>
    <w:div w:id="1995451332">
      <w:bodyDiv w:val="1"/>
      <w:marLeft w:val="0"/>
      <w:marRight w:val="0"/>
      <w:marTop w:val="0"/>
      <w:marBottom w:val="0"/>
      <w:divBdr>
        <w:top w:val="none" w:sz="0" w:space="0" w:color="auto"/>
        <w:left w:val="none" w:sz="0" w:space="0" w:color="auto"/>
        <w:bottom w:val="none" w:sz="0" w:space="0" w:color="auto"/>
        <w:right w:val="none" w:sz="0" w:space="0" w:color="auto"/>
      </w:divBdr>
    </w:div>
    <w:div w:id="1998683262">
      <w:bodyDiv w:val="1"/>
      <w:marLeft w:val="0"/>
      <w:marRight w:val="0"/>
      <w:marTop w:val="0"/>
      <w:marBottom w:val="0"/>
      <w:divBdr>
        <w:top w:val="none" w:sz="0" w:space="0" w:color="auto"/>
        <w:left w:val="none" w:sz="0" w:space="0" w:color="auto"/>
        <w:bottom w:val="none" w:sz="0" w:space="0" w:color="auto"/>
        <w:right w:val="none" w:sz="0" w:space="0" w:color="auto"/>
      </w:divBdr>
    </w:div>
    <w:div w:id="2000691313">
      <w:bodyDiv w:val="1"/>
      <w:marLeft w:val="0"/>
      <w:marRight w:val="0"/>
      <w:marTop w:val="0"/>
      <w:marBottom w:val="0"/>
      <w:divBdr>
        <w:top w:val="none" w:sz="0" w:space="0" w:color="auto"/>
        <w:left w:val="none" w:sz="0" w:space="0" w:color="auto"/>
        <w:bottom w:val="none" w:sz="0" w:space="0" w:color="auto"/>
        <w:right w:val="none" w:sz="0" w:space="0" w:color="auto"/>
      </w:divBdr>
    </w:div>
    <w:div w:id="2000889738">
      <w:bodyDiv w:val="1"/>
      <w:marLeft w:val="0"/>
      <w:marRight w:val="0"/>
      <w:marTop w:val="0"/>
      <w:marBottom w:val="0"/>
      <w:divBdr>
        <w:top w:val="none" w:sz="0" w:space="0" w:color="auto"/>
        <w:left w:val="none" w:sz="0" w:space="0" w:color="auto"/>
        <w:bottom w:val="none" w:sz="0" w:space="0" w:color="auto"/>
        <w:right w:val="none" w:sz="0" w:space="0" w:color="auto"/>
      </w:divBdr>
    </w:div>
    <w:div w:id="2001155635">
      <w:bodyDiv w:val="1"/>
      <w:marLeft w:val="0"/>
      <w:marRight w:val="0"/>
      <w:marTop w:val="0"/>
      <w:marBottom w:val="0"/>
      <w:divBdr>
        <w:top w:val="none" w:sz="0" w:space="0" w:color="auto"/>
        <w:left w:val="none" w:sz="0" w:space="0" w:color="auto"/>
        <w:bottom w:val="none" w:sz="0" w:space="0" w:color="auto"/>
        <w:right w:val="none" w:sz="0" w:space="0" w:color="auto"/>
      </w:divBdr>
    </w:div>
    <w:div w:id="2022118369">
      <w:bodyDiv w:val="1"/>
      <w:marLeft w:val="0"/>
      <w:marRight w:val="0"/>
      <w:marTop w:val="0"/>
      <w:marBottom w:val="0"/>
      <w:divBdr>
        <w:top w:val="none" w:sz="0" w:space="0" w:color="auto"/>
        <w:left w:val="none" w:sz="0" w:space="0" w:color="auto"/>
        <w:bottom w:val="none" w:sz="0" w:space="0" w:color="auto"/>
        <w:right w:val="none" w:sz="0" w:space="0" w:color="auto"/>
      </w:divBdr>
    </w:div>
    <w:div w:id="2023580020">
      <w:bodyDiv w:val="1"/>
      <w:marLeft w:val="0"/>
      <w:marRight w:val="0"/>
      <w:marTop w:val="0"/>
      <w:marBottom w:val="0"/>
      <w:divBdr>
        <w:top w:val="none" w:sz="0" w:space="0" w:color="auto"/>
        <w:left w:val="none" w:sz="0" w:space="0" w:color="auto"/>
        <w:bottom w:val="none" w:sz="0" w:space="0" w:color="auto"/>
        <w:right w:val="none" w:sz="0" w:space="0" w:color="auto"/>
      </w:divBdr>
    </w:div>
    <w:div w:id="2025134359">
      <w:bodyDiv w:val="1"/>
      <w:marLeft w:val="0"/>
      <w:marRight w:val="0"/>
      <w:marTop w:val="0"/>
      <w:marBottom w:val="0"/>
      <w:divBdr>
        <w:top w:val="none" w:sz="0" w:space="0" w:color="auto"/>
        <w:left w:val="none" w:sz="0" w:space="0" w:color="auto"/>
        <w:bottom w:val="none" w:sz="0" w:space="0" w:color="auto"/>
        <w:right w:val="none" w:sz="0" w:space="0" w:color="auto"/>
      </w:divBdr>
    </w:div>
    <w:div w:id="2027561940">
      <w:bodyDiv w:val="1"/>
      <w:marLeft w:val="0"/>
      <w:marRight w:val="0"/>
      <w:marTop w:val="0"/>
      <w:marBottom w:val="0"/>
      <w:divBdr>
        <w:top w:val="none" w:sz="0" w:space="0" w:color="auto"/>
        <w:left w:val="none" w:sz="0" w:space="0" w:color="auto"/>
        <w:bottom w:val="none" w:sz="0" w:space="0" w:color="auto"/>
        <w:right w:val="none" w:sz="0" w:space="0" w:color="auto"/>
      </w:divBdr>
    </w:div>
    <w:div w:id="2031683807">
      <w:bodyDiv w:val="1"/>
      <w:marLeft w:val="0"/>
      <w:marRight w:val="0"/>
      <w:marTop w:val="0"/>
      <w:marBottom w:val="0"/>
      <w:divBdr>
        <w:top w:val="none" w:sz="0" w:space="0" w:color="auto"/>
        <w:left w:val="none" w:sz="0" w:space="0" w:color="auto"/>
        <w:bottom w:val="none" w:sz="0" w:space="0" w:color="auto"/>
        <w:right w:val="none" w:sz="0" w:space="0" w:color="auto"/>
      </w:divBdr>
    </w:div>
    <w:div w:id="2032220962">
      <w:bodyDiv w:val="1"/>
      <w:marLeft w:val="0"/>
      <w:marRight w:val="0"/>
      <w:marTop w:val="0"/>
      <w:marBottom w:val="0"/>
      <w:divBdr>
        <w:top w:val="none" w:sz="0" w:space="0" w:color="auto"/>
        <w:left w:val="none" w:sz="0" w:space="0" w:color="auto"/>
        <w:bottom w:val="none" w:sz="0" w:space="0" w:color="auto"/>
        <w:right w:val="none" w:sz="0" w:space="0" w:color="auto"/>
      </w:divBdr>
    </w:div>
    <w:div w:id="2032337193">
      <w:bodyDiv w:val="1"/>
      <w:marLeft w:val="0"/>
      <w:marRight w:val="0"/>
      <w:marTop w:val="0"/>
      <w:marBottom w:val="0"/>
      <w:divBdr>
        <w:top w:val="none" w:sz="0" w:space="0" w:color="auto"/>
        <w:left w:val="none" w:sz="0" w:space="0" w:color="auto"/>
        <w:bottom w:val="none" w:sz="0" w:space="0" w:color="auto"/>
        <w:right w:val="none" w:sz="0" w:space="0" w:color="auto"/>
      </w:divBdr>
    </w:div>
    <w:div w:id="2033064408">
      <w:bodyDiv w:val="1"/>
      <w:marLeft w:val="0"/>
      <w:marRight w:val="0"/>
      <w:marTop w:val="0"/>
      <w:marBottom w:val="0"/>
      <w:divBdr>
        <w:top w:val="none" w:sz="0" w:space="0" w:color="auto"/>
        <w:left w:val="none" w:sz="0" w:space="0" w:color="auto"/>
        <w:bottom w:val="none" w:sz="0" w:space="0" w:color="auto"/>
        <w:right w:val="none" w:sz="0" w:space="0" w:color="auto"/>
      </w:divBdr>
    </w:div>
    <w:div w:id="2043823852">
      <w:bodyDiv w:val="1"/>
      <w:marLeft w:val="0"/>
      <w:marRight w:val="0"/>
      <w:marTop w:val="0"/>
      <w:marBottom w:val="0"/>
      <w:divBdr>
        <w:top w:val="none" w:sz="0" w:space="0" w:color="auto"/>
        <w:left w:val="none" w:sz="0" w:space="0" w:color="auto"/>
        <w:bottom w:val="none" w:sz="0" w:space="0" w:color="auto"/>
        <w:right w:val="none" w:sz="0" w:space="0" w:color="auto"/>
      </w:divBdr>
    </w:div>
    <w:div w:id="2060469764">
      <w:bodyDiv w:val="1"/>
      <w:marLeft w:val="0"/>
      <w:marRight w:val="0"/>
      <w:marTop w:val="0"/>
      <w:marBottom w:val="0"/>
      <w:divBdr>
        <w:top w:val="none" w:sz="0" w:space="0" w:color="auto"/>
        <w:left w:val="none" w:sz="0" w:space="0" w:color="auto"/>
        <w:bottom w:val="none" w:sz="0" w:space="0" w:color="auto"/>
        <w:right w:val="none" w:sz="0" w:space="0" w:color="auto"/>
      </w:divBdr>
    </w:div>
    <w:div w:id="2065908385">
      <w:bodyDiv w:val="1"/>
      <w:marLeft w:val="0"/>
      <w:marRight w:val="0"/>
      <w:marTop w:val="0"/>
      <w:marBottom w:val="0"/>
      <w:divBdr>
        <w:top w:val="none" w:sz="0" w:space="0" w:color="auto"/>
        <w:left w:val="none" w:sz="0" w:space="0" w:color="auto"/>
        <w:bottom w:val="none" w:sz="0" w:space="0" w:color="auto"/>
        <w:right w:val="none" w:sz="0" w:space="0" w:color="auto"/>
      </w:divBdr>
    </w:div>
    <w:div w:id="2066643153">
      <w:bodyDiv w:val="1"/>
      <w:marLeft w:val="0"/>
      <w:marRight w:val="0"/>
      <w:marTop w:val="0"/>
      <w:marBottom w:val="0"/>
      <w:divBdr>
        <w:top w:val="none" w:sz="0" w:space="0" w:color="auto"/>
        <w:left w:val="none" w:sz="0" w:space="0" w:color="auto"/>
        <w:bottom w:val="none" w:sz="0" w:space="0" w:color="auto"/>
        <w:right w:val="none" w:sz="0" w:space="0" w:color="auto"/>
      </w:divBdr>
      <w:divsChild>
        <w:div w:id="383985517">
          <w:marLeft w:val="1080"/>
          <w:marRight w:val="0"/>
          <w:marTop w:val="100"/>
          <w:marBottom w:val="0"/>
          <w:divBdr>
            <w:top w:val="none" w:sz="0" w:space="0" w:color="auto"/>
            <w:left w:val="none" w:sz="0" w:space="0" w:color="auto"/>
            <w:bottom w:val="none" w:sz="0" w:space="0" w:color="auto"/>
            <w:right w:val="none" w:sz="0" w:space="0" w:color="auto"/>
          </w:divBdr>
        </w:div>
        <w:div w:id="1301351485">
          <w:marLeft w:val="1080"/>
          <w:marRight w:val="0"/>
          <w:marTop w:val="100"/>
          <w:marBottom w:val="0"/>
          <w:divBdr>
            <w:top w:val="none" w:sz="0" w:space="0" w:color="auto"/>
            <w:left w:val="none" w:sz="0" w:space="0" w:color="auto"/>
            <w:bottom w:val="none" w:sz="0" w:space="0" w:color="auto"/>
            <w:right w:val="none" w:sz="0" w:space="0" w:color="auto"/>
          </w:divBdr>
        </w:div>
      </w:divsChild>
    </w:div>
    <w:div w:id="2077974525">
      <w:bodyDiv w:val="1"/>
      <w:marLeft w:val="0"/>
      <w:marRight w:val="0"/>
      <w:marTop w:val="0"/>
      <w:marBottom w:val="0"/>
      <w:divBdr>
        <w:top w:val="none" w:sz="0" w:space="0" w:color="auto"/>
        <w:left w:val="none" w:sz="0" w:space="0" w:color="auto"/>
        <w:bottom w:val="none" w:sz="0" w:space="0" w:color="auto"/>
        <w:right w:val="none" w:sz="0" w:space="0" w:color="auto"/>
      </w:divBdr>
    </w:div>
    <w:div w:id="2078087314">
      <w:bodyDiv w:val="1"/>
      <w:marLeft w:val="0"/>
      <w:marRight w:val="0"/>
      <w:marTop w:val="0"/>
      <w:marBottom w:val="0"/>
      <w:divBdr>
        <w:top w:val="none" w:sz="0" w:space="0" w:color="auto"/>
        <w:left w:val="none" w:sz="0" w:space="0" w:color="auto"/>
        <w:bottom w:val="none" w:sz="0" w:space="0" w:color="auto"/>
        <w:right w:val="none" w:sz="0" w:space="0" w:color="auto"/>
      </w:divBdr>
    </w:div>
    <w:div w:id="2080327715">
      <w:bodyDiv w:val="1"/>
      <w:marLeft w:val="0"/>
      <w:marRight w:val="0"/>
      <w:marTop w:val="0"/>
      <w:marBottom w:val="0"/>
      <w:divBdr>
        <w:top w:val="none" w:sz="0" w:space="0" w:color="auto"/>
        <w:left w:val="none" w:sz="0" w:space="0" w:color="auto"/>
        <w:bottom w:val="none" w:sz="0" w:space="0" w:color="auto"/>
        <w:right w:val="none" w:sz="0" w:space="0" w:color="auto"/>
      </w:divBdr>
    </w:div>
    <w:div w:id="2083330888">
      <w:bodyDiv w:val="1"/>
      <w:marLeft w:val="0"/>
      <w:marRight w:val="0"/>
      <w:marTop w:val="0"/>
      <w:marBottom w:val="0"/>
      <w:divBdr>
        <w:top w:val="none" w:sz="0" w:space="0" w:color="auto"/>
        <w:left w:val="none" w:sz="0" w:space="0" w:color="auto"/>
        <w:bottom w:val="none" w:sz="0" w:space="0" w:color="auto"/>
        <w:right w:val="none" w:sz="0" w:space="0" w:color="auto"/>
      </w:divBdr>
    </w:div>
    <w:div w:id="2086099191">
      <w:bodyDiv w:val="1"/>
      <w:marLeft w:val="0"/>
      <w:marRight w:val="0"/>
      <w:marTop w:val="0"/>
      <w:marBottom w:val="0"/>
      <w:divBdr>
        <w:top w:val="none" w:sz="0" w:space="0" w:color="auto"/>
        <w:left w:val="none" w:sz="0" w:space="0" w:color="auto"/>
        <w:bottom w:val="none" w:sz="0" w:space="0" w:color="auto"/>
        <w:right w:val="none" w:sz="0" w:space="0" w:color="auto"/>
      </w:divBdr>
    </w:div>
    <w:div w:id="2090885209">
      <w:bodyDiv w:val="1"/>
      <w:marLeft w:val="0"/>
      <w:marRight w:val="0"/>
      <w:marTop w:val="0"/>
      <w:marBottom w:val="0"/>
      <w:divBdr>
        <w:top w:val="none" w:sz="0" w:space="0" w:color="auto"/>
        <w:left w:val="none" w:sz="0" w:space="0" w:color="auto"/>
        <w:bottom w:val="none" w:sz="0" w:space="0" w:color="auto"/>
        <w:right w:val="none" w:sz="0" w:space="0" w:color="auto"/>
      </w:divBdr>
    </w:div>
    <w:div w:id="2091386508">
      <w:bodyDiv w:val="1"/>
      <w:marLeft w:val="0"/>
      <w:marRight w:val="0"/>
      <w:marTop w:val="0"/>
      <w:marBottom w:val="0"/>
      <w:divBdr>
        <w:top w:val="none" w:sz="0" w:space="0" w:color="auto"/>
        <w:left w:val="none" w:sz="0" w:space="0" w:color="auto"/>
        <w:bottom w:val="none" w:sz="0" w:space="0" w:color="auto"/>
        <w:right w:val="none" w:sz="0" w:space="0" w:color="auto"/>
      </w:divBdr>
    </w:div>
    <w:div w:id="2104497241">
      <w:bodyDiv w:val="1"/>
      <w:marLeft w:val="0"/>
      <w:marRight w:val="0"/>
      <w:marTop w:val="0"/>
      <w:marBottom w:val="0"/>
      <w:divBdr>
        <w:top w:val="none" w:sz="0" w:space="0" w:color="auto"/>
        <w:left w:val="none" w:sz="0" w:space="0" w:color="auto"/>
        <w:bottom w:val="none" w:sz="0" w:space="0" w:color="auto"/>
        <w:right w:val="none" w:sz="0" w:space="0" w:color="auto"/>
      </w:divBdr>
    </w:div>
    <w:div w:id="2109108374">
      <w:bodyDiv w:val="1"/>
      <w:marLeft w:val="0"/>
      <w:marRight w:val="0"/>
      <w:marTop w:val="0"/>
      <w:marBottom w:val="0"/>
      <w:divBdr>
        <w:top w:val="none" w:sz="0" w:space="0" w:color="auto"/>
        <w:left w:val="none" w:sz="0" w:space="0" w:color="auto"/>
        <w:bottom w:val="none" w:sz="0" w:space="0" w:color="auto"/>
        <w:right w:val="none" w:sz="0" w:space="0" w:color="auto"/>
      </w:divBdr>
    </w:div>
    <w:div w:id="2115048940">
      <w:bodyDiv w:val="1"/>
      <w:marLeft w:val="0"/>
      <w:marRight w:val="0"/>
      <w:marTop w:val="0"/>
      <w:marBottom w:val="0"/>
      <w:divBdr>
        <w:top w:val="none" w:sz="0" w:space="0" w:color="auto"/>
        <w:left w:val="none" w:sz="0" w:space="0" w:color="auto"/>
        <w:bottom w:val="none" w:sz="0" w:space="0" w:color="auto"/>
        <w:right w:val="none" w:sz="0" w:space="0" w:color="auto"/>
      </w:divBdr>
    </w:div>
    <w:div w:id="2128620379">
      <w:bodyDiv w:val="1"/>
      <w:marLeft w:val="0"/>
      <w:marRight w:val="0"/>
      <w:marTop w:val="0"/>
      <w:marBottom w:val="0"/>
      <w:divBdr>
        <w:top w:val="none" w:sz="0" w:space="0" w:color="auto"/>
        <w:left w:val="none" w:sz="0" w:space="0" w:color="auto"/>
        <w:bottom w:val="none" w:sz="0" w:space="0" w:color="auto"/>
        <w:right w:val="none" w:sz="0" w:space="0" w:color="auto"/>
      </w:divBdr>
    </w:div>
    <w:div w:id="2133355646">
      <w:bodyDiv w:val="1"/>
      <w:marLeft w:val="0"/>
      <w:marRight w:val="0"/>
      <w:marTop w:val="0"/>
      <w:marBottom w:val="0"/>
      <w:divBdr>
        <w:top w:val="none" w:sz="0" w:space="0" w:color="auto"/>
        <w:left w:val="none" w:sz="0" w:space="0" w:color="auto"/>
        <w:bottom w:val="none" w:sz="0" w:space="0" w:color="auto"/>
        <w:right w:val="none" w:sz="0" w:space="0" w:color="auto"/>
      </w:divBdr>
    </w:div>
    <w:div w:id="2143183404">
      <w:bodyDiv w:val="1"/>
      <w:marLeft w:val="0"/>
      <w:marRight w:val="0"/>
      <w:marTop w:val="0"/>
      <w:marBottom w:val="0"/>
      <w:divBdr>
        <w:top w:val="none" w:sz="0" w:space="0" w:color="auto"/>
        <w:left w:val="none" w:sz="0" w:space="0" w:color="auto"/>
        <w:bottom w:val="none" w:sz="0" w:space="0" w:color="auto"/>
        <w:right w:val="none" w:sz="0" w:space="0" w:color="auto"/>
      </w:divBdr>
    </w:div>
    <w:div w:id="21467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microsoft.com/office/2007/relationships/diagramDrawing" Target="diagrams/drawing2.xml"/><Relationship Id="rId39" Type="http://schemas.microsoft.com/office/2007/relationships/diagramDrawing" Target="diagrams/drawing3.xml"/><Relationship Id="rId21" Type="http://schemas.openxmlformats.org/officeDocument/2006/relationships/chart" Target="charts/chart9.xml"/><Relationship Id="rId34" Type="http://schemas.openxmlformats.org/officeDocument/2006/relationships/chart" Target="charts/chart17.xml"/><Relationship Id="rId42" Type="http://schemas.openxmlformats.org/officeDocument/2006/relationships/chart" Target="charts/chart20.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QuickStyle" Target="diagrams/quickStyle2.xml"/><Relationship Id="rId32" Type="http://schemas.openxmlformats.org/officeDocument/2006/relationships/chart" Target="charts/chart15.xml"/><Relationship Id="rId37" Type="http://schemas.openxmlformats.org/officeDocument/2006/relationships/diagramQuickStyle" Target="diagrams/quickStyle3.xml"/><Relationship Id="rId40" Type="http://schemas.openxmlformats.org/officeDocument/2006/relationships/chart" Target="charts/chart18.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diagramLayout" Target="diagrams/layout2.xml"/><Relationship Id="rId28" Type="http://schemas.openxmlformats.org/officeDocument/2006/relationships/chart" Target="charts/chart11.xml"/><Relationship Id="rId36" Type="http://schemas.openxmlformats.org/officeDocument/2006/relationships/diagramLayout" Target="diagrams/layout3.xml"/><Relationship Id="rId10" Type="http://schemas.openxmlformats.org/officeDocument/2006/relationships/diagramQuickStyle" Target="diagrams/quickStyle1.xml"/><Relationship Id="rId19" Type="http://schemas.openxmlformats.org/officeDocument/2006/relationships/chart" Target="charts/chart7.xml"/><Relationship Id="rId31" Type="http://schemas.openxmlformats.org/officeDocument/2006/relationships/chart" Target="charts/chart14.xml"/><Relationship Id="rId44" Type="http://schemas.openxmlformats.org/officeDocument/2006/relationships/chart" Target="charts/chart2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diagramData" Target="diagrams/data2.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diagramData" Target="diagrams/data3.xml"/><Relationship Id="rId43" Type="http://schemas.openxmlformats.org/officeDocument/2006/relationships/chart" Target="charts/chart21.xml"/><Relationship Id="rId48" Type="http://schemas.openxmlformats.org/officeDocument/2006/relationships/theme" Target="theme/theme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diagramColors" Target="diagrams/colors2.xml"/><Relationship Id="rId33" Type="http://schemas.openxmlformats.org/officeDocument/2006/relationships/chart" Target="charts/chart16.xml"/><Relationship Id="rId38" Type="http://schemas.openxmlformats.org/officeDocument/2006/relationships/diagramColors" Target="diagrams/colors3.xml"/><Relationship Id="rId46" Type="http://schemas.openxmlformats.org/officeDocument/2006/relationships/footer" Target="footer1.xml"/><Relationship Id="rId20" Type="http://schemas.openxmlformats.org/officeDocument/2006/relationships/chart" Target="charts/chart8.xml"/><Relationship Id="rId41" Type="http://schemas.openxmlformats.org/officeDocument/2006/relationships/chart" Target="charts/chart1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juank\Desktop\Austeridad\Tercer%20Trimestre%202019\Papeles%20de%20trabajo\Planta%20de%20Personal%20III%20Trim201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Esquema%20Seguridad%20III%20Trim%202019.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Esquema%20Seguridad%20III%20Trim%202019.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Esquema%20Seguridad%20III%20Trim%202019.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Esquema%20Seguridad%20III%20Trim%202019.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Consumo%20Papel%20III%20Trim2019.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Consumo%20Papel%20III%20Trim2019.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Consumo%20Papel%20III%20Trim2019.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Consumo%20Papel%20III%20Trim2019.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juank\Desktop\Austeridad\Tercer%20Trimestre%202019\Papeles%20de%20trabajo\Telefonia%20Movil%20III%20Trim%202019.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Energia%20III%20Trim%202019.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Horas%20Extras%20III%20Trim2019.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Energia%20III%20Trim%202019.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Acueducto%20III%20Trim2019%20(1).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Acueducto%20III%20Trim2019%20(1).xlsx"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Horas%20Extras%20III%20Trim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Contratos%20III%20Trim201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Viaticos%20y%20pasajes%20III%20Trimestr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Viaticos%20y%20pasajes%20III%20Trimestr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Viaticos%20y%20pasajes%20III%20Trimestr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Viaticos%20y%20pasajes%20III%20Trimestr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Control%20Interno\2019\Austeridad\Austeridad%202019\Tercer%20Trimestre%202019\Papeles%20de%20trabajo\Viaticos%20y%20pasajes%20III%20Trimestr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r>
              <a:rPr lang="es-CO" sz="1100">
                <a:solidFill>
                  <a:schemeClr val="accent1">
                    <a:lumMod val="50000"/>
                  </a:schemeClr>
                </a:solidFill>
                <a:latin typeface="Arial" panose="020B0604020202020204" pitchFamily="34" charset="0"/>
                <a:cs typeface="Arial" panose="020B0604020202020204" pitchFamily="34" charset="0"/>
              </a:rPr>
              <a:t>Distribución Planta de Personal  - MHCP</a:t>
            </a:r>
          </a:p>
          <a:p>
            <a:pPr>
              <a:defRPr sz="1100">
                <a:solidFill>
                  <a:schemeClr val="accent1">
                    <a:lumMod val="50000"/>
                  </a:schemeClr>
                </a:solidFill>
                <a:latin typeface="Arial" panose="020B0604020202020204" pitchFamily="34" charset="0"/>
                <a:cs typeface="Arial" panose="020B0604020202020204" pitchFamily="34" charset="0"/>
              </a:defRPr>
            </a:pPr>
            <a:r>
              <a:rPr lang="es-CO" sz="1100">
                <a:solidFill>
                  <a:schemeClr val="accent1">
                    <a:lumMod val="50000"/>
                  </a:schemeClr>
                </a:solidFill>
                <a:latin typeface="Arial" panose="020B0604020202020204" pitchFamily="34" charset="0"/>
                <a:cs typeface="Arial" panose="020B0604020202020204" pitchFamily="34" charset="0"/>
              </a:rPr>
              <a:t>a 30 de septiembre de 2019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7.2941871845751877E-2"/>
          <c:y val="0.14415137385954921"/>
          <c:w val="0.82498718731770138"/>
          <c:h val="0.59611199631244083"/>
        </c:manualLayout>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'Variación Planta II Trime2019'!$A$22:$A$33</c:f>
              <c:strCache>
                <c:ptCount val="12"/>
                <c:pt idx="0">
                  <c:v>Asesores</c:v>
                </c:pt>
                <c:pt idx="1">
                  <c:v>Profesionales</c:v>
                </c:pt>
                <c:pt idx="2">
                  <c:v>Secretarios</c:v>
                </c:pt>
                <c:pt idx="3">
                  <c:v>Auxiliares</c:v>
                </c:pt>
                <c:pt idx="4">
                  <c:v>Técnicos</c:v>
                </c:pt>
                <c:pt idx="5">
                  <c:v>Subdirectores</c:v>
                </c:pt>
                <c:pt idx="6">
                  <c:v>Conductores</c:v>
                </c:pt>
                <c:pt idx="7">
                  <c:v>Directores</c:v>
                </c:pt>
                <c:pt idx="8">
                  <c:v>Jefes de Oficina</c:v>
                </c:pt>
                <c:pt idx="9">
                  <c:v>Viceministros</c:v>
                </c:pt>
                <c:pt idx="10">
                  <c:v>Ministro</c:v>
                </c:pt>
                <c:pt idx="11">
                  <c:v>Secretario General</c:v>
                </c:pt>
              </c:strCache>
            </c:strRef>
          </c:cat>
          <c:val>
            <c:numRef>
              <c:f>'Variación Planta II Trime2019'!$C$22:$C$33</c:f>
              <c:numCache>
                <c:formatCode>0%</c:formatCode>
                <c:ptCount val="12"/>
                <c:pt idx="0">
                  <c:v>0.43024963289280471</c:v>
                </c:pt>
                <c:pt idx="1">
                  <c:v>0.23054331864904551</c:v>
                </c:pt>
                <c:pt idx="2">
                  <c:v>0.10279001468428781</c:v>
                </c:pt>
                <c:pt idx="3">
                  <c:v>7.7826725403817909E-2</c:v>
                </c:pt>
                <c:pt idx="4">
                  <c:v>7.0484581497797363E-2</c:v>
                </c:pt>
                <c:pt idx="5">
                  <c:v>3.5242290748898682E-2</c:v>
                </c:pt>
                <c:pt idx="6">
                  <c:v>2.9368575624082231E-2</c:v>
                </c:pt>
                <c:pt idx="7">
                  <c:v>1.1747430249632892E-2</c:v>
                </c:pt>
                <c:pt idx="8">
                  <c:v>5.8737151248164461E-3</c:v>
                </c:pt>
                <c:pt idx="9" formatCode="0.0%">
                  <c:v>2.936857562408223E-3</c:v>
                </c:pt>
                <c:pt idx="10" formatCode="0.0%">
                  <c:v>1.4684287812041115E-3</c:v>
                </c:pt>
                <c:pt idx="11" formatCode="0.0%">
                  <c:v>1.4684287812041115E-3</c:v>
                </c:pt>
              </c:numCache>
            </c:numRef>
          </c:val>
          <c:extLst xmlns:c16r2="http://schemas.microsoft.com/office/drawing/2015/06/chart">
            <c:ext xmlns:c16="http://schemas.microsoft.com/office/drawing/2014/chart" uri="{C3380CC4-5D6E-409C-BE32-E72D297353CC}">
              <c16:uniqueId val="{00000000-5C47-499A-A150-EC81A075C9EF}"/>
            </c:ext>
          </c:extLst>
        </c:ser>
        <c:dLbls>
          <c:showLegendKey val="0"/>
          <c:showVal val="0"/>
          <c:showCatName val="0"/>
          <c:showSerName val="0"/>
          <c:showPercent val="0"/>
          <c:showBubbleSize val="0"/>
        </c:dLbls>
        <c:gapWidth val="100"/>
        <c:overlap val="-24"/>
        <c:axId val="100405072"/>
        <c:axId val="100415952"/>
      </c:barChart>
      <c:catAx>
        <c:axId val="1004050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0415952"/>
        <c:crosses val="autoZero"/>
        <c:auto val="1"/>
        <c:lblAlgn val="ctr"/>
        <c:lblOffset val="100"/>
        <c:noMultiLvlLbl val="0"/>
      </c:catAx>
      <c:valAx>
        <c:axId val="100415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crossAx val="1004050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solidFill>
                  <a:schemeClr val="tx2">
                    <a:lumMod val="50000"/>
                  </a:schemeClr>
                </a:solidFill>
                <a:latin typeface="Arial" panose="020B0604020202020204" pitchFamily="34" charset="0"/>
                <a:cs typeface="Arial" panose="020B0604020202020204" pitchFamily="34" charset="0"/>
              </a:rPr>
              <a:t>Variaciones de Gasto de Combustible </a:t>
            </a:r>
          </a:p>
          <a:p>
            <a:pPr>
              <a:defRPr sz="1000">
                <a:latin typeface="Arial" panose="020B0604020202020204" pitchFamily="34" charset="0"/>
                <a:cs typeface="Arial" panose="020B0604020202020204" pitchFamily="34" charset="0"/>
              </a:defRPr>
            </a:pPr>
            <a:r>
              <a:rPr lang="en-US" sz="1000">
                <a:solidFill>
                  <a:schemeClr val="tx2">
                    <a:lumMod val="50000"/>
                  </a:schemeClr>
                </a:solidFill>
                <a:latin typeface="Arial" panose="020B0604020202020204" pitchFamily="34" charset="0"/>
                <a:cs typeface="Arial" panose="020B0604020202020204" pitchFamily="34" charset="0"/>
              </a:rPr>
              <a:t>III Trimestre de 2019 -2018</a:t>
            </a:r>
          </a:p>
        </c:rich>
      </c:tx>
      <c:layout>
        <c:manualLayout>
          <c:xMode val="edge"/>
          <c:yMode val="edge"/>
          <c:x val="0.19041524064811047"/>
          <c:y val="1.3245033112582781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993258821370732"/>
          <c:y val="0.17660044150110377"/>
          <c:w val="0.82548787784505662"/>
          <c:h val="0.67792703064434823"/>
        </c:manualLayout>
      </c:layout>
      <c:lineChart>
        <c:grouping val="standard"/>
        <c:varyColors val="0"/>
        <c:ser>
          <c:idx val="0"/>
          <c:order val="0"/>
          <c:tx>
            <c:strRef>
              <c:f>'Resumen Combustible  '!$A$47</c:f>
              <c:strCache>
                <c:ptCount val="1"/>
                <c:pt idx="0">
                  <c:v>Gasolina Corriente</c:v>
                </c:pt>
              </c:strCache>
            </c:strRef>
          </c:tx>
          <c:spPr>
            <a:ln w="34925" cap="rnd">
              <a:solidFill>
                <a:schemeClr val="accent1">
                  <a:tint val="77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w="9525">
                <a:solidFill>
                  <a:schemeClr val="accent1">
                    <a:tint val="77000"/>
                  </a:schemeClr>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Lbl>
              <c:idx val="0"/>
              <c:layout>
                <c:manualLayout>
                  <c:x val="-0.14331123503179125"/>
                  <c:y val="2.12650570996505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99C-4897-8E50-B13B8658AA8D}"/>
                </c:ext>
                <c:ext xmlns:c15="http://schemas.microsoft.com/office/drawing/2012/chart" uri="{CE6537A1-D6FC-4f65-9D91-7224C49458BB}"/>
              </c:extLst>
            </c:dLbl>
            <c:dLbl>
              <c:idx val="1"/>
              <c:layout>
                <c:manualLayout>
                  <c:x val="4.8850574712643681E-2"/>
                  <c:y val="8.82250785845444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99C-4897-8E50-B13B8658AA8D}"/>
                </c:ext>
                <c:ext xmlns:c15="http://schemas.microsoft.com/office/drawing/2012/chart" uri="{CE6537A1-D6FC-4f65-9D91-7224C49458BB}"/>
              </c:extLst>
            </c:dLbl>
            <c:dLbl>
              <c:idx val="2"/>
              <c:layout>
                <c:manualLayout>
                  <c:x val="3.6325778426632691E-2"/>
                  <c:y val="-4.15848846708731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99C-4897-8E50-B13B8658AA8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Combustible  '!$B$46:$D$46</c:f>
              <c:strCache>
                <c:ptCount val="3"/>
                <c:pt idx="0">
                  <c:v>Julio </c:v>
                </c:pt>
                <c:pt idx="1">
                  <c:v>Agosto </c:v>
                </c:pt>
                <c:pt idx="2">
                  <c:v>Septiembre</c:v>
                </c:pt>
              </c:strCache>
            </c:strRef>
          </c:cat>
          <c:val>
            <c:numRef>
              <c:f>'Resumen Combustible  '!$B$47:$D$47</c:f>
              <c:numCache>
                <c:formatCode>0%</c:formatCode>
                <c:ptCount val="3"/>
                <c:pt idx="0">
                  <c:v>0.13910169615943943</c:v>
                </c:pt>
                <c:pt idx="1">
                  <c:v>-1.9667868475092332E-2</c:v>
                </c:pt>
                <c:pt idx="2">
                  <c:v>-7.7633584294844182E-3</c:v>
                </c:pt>
              </c:numCache>
            </c:numRef>
          </c:val>
          <c:smooth val="0"/>
          <c:extLst xmlns:c16r2="http://schemas.microsoft.com/office/drawing/2015/06/chart">
            <c:ext xmlns:c16="http://schemas.microsoft.com/office/drawing/2014/chart" uri="{C3380CC4-5D6E-409C-BE32-E72D297353CC}">
              <c16:uniqueId val="{00000003-A99C-4897-8E50-B13B8658AA8D}"/>
            </c:ext>
          </c:extLst>
        </c:ser>
        <c:ser>
          <c:idx val="1"/>
          <c:order val="1"/>
          <c:tx>
            <c:strRef>
              <c:f>'Resumen Combustible  '!$A$48</c:f>
              <c:strCache>
                <c:ptCount val="1"/>
                <c:pt idx="0">
                  <c:v>ACPM</c:v>
                </c:pt>
              </c:strCache>
            </c:strRef>
          </c:tx>
          <c:spPr>
            <a:ln w="34925" cap="rnd">
              <a:solidFill>
                <a:schemeClr val="accent1">
                  <a:shade val="76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w="9525">
                <a:solidFill>
                  <a:schemeClr val="accent1">
                    <a:shade val="76000"/>
                  </a:schemeClr>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Lbl>
              <c:idx val="0"/>
              <c:layout>
                <c:manualLayout>
                  <c:x val="-9.9395447909436857E-2"/>
                  <c:y val="-6.04501920703620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99C-4897-8E50-B13B8658AA8D}"/>
                </c:ext>
                <c:ext xmlns:c15="http://schemas.microsoft.com/office/drawing/2012/chart" uri="{CE6537A1-D6FC-4f65-9D91-7224C49458BB}"/>
              </c:extLst>
            </c:dLbl>
            <c:dLbl>
              <c:idx val="1"/>
              <c:layout>
                <c:manualLayout>
                  <c:x val="-1.1494252873563218E-2"/>
                  <c:y val="-8.779149519890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99C-4897-8E50-B13B8658AA8D}"/>
                </c:ext>
                <c:ext xmlns:c15="http://schemas.microsoft.com/office/drawing/2012/chart" uri="{CE6537A1-D6FC-4f65-9D91-7224C49458BB}"/>
              </c:extLst>
            </c:dLbl>
            <c:dLbl>
              <c:idx val="2"/>
              <c:layout>
                <c:manualLayout>
                  <c:x val="-5.7471264367818199E-3"/>
                  <c:y val="-9.48616600790513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99C-4897-8E50-B13B8658AA8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Combustible  '!$B$46:$D$46</c:f>
              <c:strCache>
                <c:ptCount val="3"/>
                <c:pt idx="0">
                  <c:v>Julio </c:v>
                </c:pt>
                <c:pt idx="1">
                  <c:v>Agosto </c:v>
                </c:pt>
                <c:pt idx="2">
                  <c:v>Septiembre</c:v>
                </c:pt>
              </c:strCache>
            </c:strRef>
          </c:cat>
          <c:val>
            <c:numRef>
              <c:f>'Resumen Combustible  '!$B$48:$D$48</c:f>
              <c:numCache>
                <c:formatCode>0%</c:formatCode>
                <c:ptCount val="3"/>
                <c:pt idx="0">
                  <c:v>0.42374026358121364</c:v>
                </c:pt>
                <c:pt idx="1">
                  <c:v>0.48144248934677963</c:v>
                </c:pt>
                <c:pt idx="2">
                  <c:v>0.24872240629617393</c:v>
                </c:pt>
              </c:numCache>
            </c:numRef>
          </c:val>
          <c:smooth val="0"/>
          <c:extLst xmlns:c16r2="http://schemas.microsoft.com/office/drawing/2015/06/chart">
            <c:ext xmlns:c16="http://schemas.microsoft.com/office/drawing/2014/chart" uri="{C3380CC4-5D6E-409C-BE32-E72D297353CC}">
              <c16:uniqueId val="{00000007-A99C-4897-8E50-B13B8658AA8D}"/>
            </c:ext>
          </c:extLst>
        </c:ser>
        <c:dLbls>
          <c:showLegendKey val="0"/>
          <c:showVal val="0"/>
          <c:showCatName val="0"/>
          <c:showSerName val="0"/>
          <c:showPercent val="0"/>
          <c:showBubbleSize val="0"/>
        </c:dLbls>
        <c:marker val="1"/>
        <c:smooth val="0"/>
        <c:axId val="104107760"/>
        <c:axId val="104111568"/>
      </c:lineChart>
      <c:catAx>
        <c:axId val="1041077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11568"/>
        <c:crosses val="autoZero"/>
        <c:auto val="1"/>
        <c:lblAlgn val="ctr"/>
        <c:lblOffset val="100"/>
        <c:noMultiLvlLbl val="0"/>
      </c:catAx>
      <c:valAx>
        <c:axId val="104111568"/>
        <c:scaling>
          <c:orientation val="minMax"/>
          <c:min val="-0.60000000000000009"/>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07760"/>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050">
                <a:solidFill>
                  <a:schemeClr val="tx2">
                    <a:lumMod val="50000"/>
                  </a:schemeClr>
                </a:solidFill>
                <a:latin typeface="Arial" panose="020B0604020202020204" pitchFamily="34" charset="0"/>
                <a:cs typeface="Arial" panose="020B0604020202020204" pitchFamily="34" charset="0"/>
              </a:rPr>
              <a:t>Consumo en  Galones - ACPM</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v>2019</c:v>
          </c:tx>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'Resumen Combustible  '!$G$15:$G$17</c:f>
              <c:strCache>
                <c:ptCount val="3"/>
                <c:pt idx="0">
                  <c:v>Julio </c:v>
                </c:pt>
                <c:pt idx="1">
                  <c:v>Agosto</c:v>
                </c:pt>
                <c:pt idx="2">
                  <c:v>Septiembre</c:v>
                </c:pt>
              </c:strCache>
            </c:strRef>
          </c:cat>
          <c:val>
            <c:numRef>
              <c:f>'Resumen Combustible  '!$H$15:$H$17</c:f>
              <c:numCache>
                <c:formatCode>_(* #,##0_);_(* \(#,##0\);_(* "-"_);_(@_)</c:formatCode>
                <c:ptCount val="3"/>
                <c:pt idx="0">
                  <c:v>514.04999999999995</c:v>
                </c:pt>
                <c:pt idx="1">
                  <c:v>575.92600000000004</c:v>
                </c:pt>
                <c:pt idx="2">
                  <c:v>129.661</c:v>
                </c:pt>
              </c:numCache>
            </c:numRef>
          </c:val>
          <c:extLst xmlns:c16r2="http://schemas.microsoft.com/office/drawing/2015/06/chart">
            <c:ext xmlns:c16="http://schemas.microsoft.com/office/drawing/2014/chart" uri="{C3380CC4-5D6E-409C-BE32-E72D297353CC}">
              <c16:uniqueId val="{00000000-5D9C-4DA3-9B40-E790611A6A25}"/>
            </c:ext>
          </c:extLst>
        </c:ser>
        <c:dLbls>
          <c:showLegendKey val="0"/>
          <c:showVal val="0"/>
          <c:showCatName val="0"/>
          <c:showSerName val="0"/>
          <c:showPercent val="0"/>
          <c:showBubbleSize val="0"/>
        </c:dLbls>
        <c:gapWidth val="150"/>
        <c:axId val="104109392"/>
        <c:axId val="104096880"/>
      </c:barChart>
      <c:lineChart>
        <c:grouping val="standard"/>
        <c:varyColors val="0"/>
        <c:ser>
          <c:idx val="1"/>
          <c:order val="1"/>
          <c:tx>
            <c:v>2018</c:v>
          </c:tx>
          <c:spPr>
            <a:ln w="34925" cap="rnd">
              <a:solidFill>
                <a:schemeClr val="accent1">
                  <a:tint val="77000"/>
                </a:schemeClr>
              </a:solidFill>
              <a:round/>
            </a:ln>
            <a:effectLst>
              <a:outerShdw blurRad="57150" dist="19050" dir="5400000" algn="ctr" rotWithShape="0">
                <a:srgbClr val="000000">
                  <a:alpha val="63000"/>
                </a:srgbClr>
              </a:outerShdw>
            </a:effectLst>
          </c:spPr>
          <c:marker>
            <c:symbol val="none"/>
          </c:marker>
          <c:cat>
            <c:strRef>
              <c:f>'Resumen Combustible  '!$G$15:$G$17</c:f>
              <c:strCache>
                <c:ptCount val="3"/>
                <c:pt idx="0">
                  <c:v>Julio </c:v>
                </c:pt>
                <c:pt idx="1">
                  <c:v>Agosto</c:v>
                </c:pt>
                <c:pt idx="2">
                  <c:v>Septiembre</c:v>
                </c:pt>
              </c:strCache>
            </c:strRef>
          </c:cat>
          <c:val>
            <c:numRef>
              <c:f>'Resumen Combustible  '!$I$15:$I$17</c:f>
              <c:numCache>
                <c:formatCode>_(* #,##0_);_(* \(#,##0\);_(* "-"_);_(@_)</c:formatCode>
                <c:ptCount val="3"/>
                <c:pt idx="0">
                  <c:v>375.08499999999998</c:v>
                </c:pt>
                <c:pt idx="1">
                  <c:v>403.839</c:v>
                </c:pt>
                <c:pt idx="2">
                  <c:v>317.084</c:v>
                </c:pt>
              </c:numCache>
            </c:numRef>
          </c:val>
          <c:smooth val="0"/>
          <c:extLst xmlns:c16r2="http://schemas.microsoft.com/office/drawing/2015/06/chart">
            <c:ext xmlns:c16="http://schemas.microsoft.com/office/drawing/2014/chart" uri="{C3380CC4-5D6E-409C-BE32-E72D297353CC}">
              <c16:uniqueId val="{00000001-5D9C-4DA3-9B40-E790611A6A25}"/>
            </c:ext>
          </c:extLst>
        </c:ser>
        <c:dLbls>
          <c:showLegendKey val="0"/>
          <c:showVal val="0"/>
          <c:showCatName val="0"/>
          <c:showSerName val="0"/>
          <c:showPercent val="0"/>
          <c:showBubbleSize val="0"/>
        </c:dLbls>
        <c:marker val="1"/>
        <c:smooth val="0"/>
        <c:axId val="104109392"/>
        <c:axId val="104096880"/>
      </c:lineChart>
      <c:catAx>
        <c:axId val="10410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4096880"/>
        <c:crosses val="autoZero"/>
        <c:auto val="1"/>
        <c:lblAlgn val="ctr"/>
        <c:lblOffset val="100"/>
        <c:noMultiLvlLbl val="0"/>
      </c:catAx>
      <c:valAx>
        <c:axId val="10409688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093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050">
                <a:solidFill>
                  <a:schemeClr val="tx2">
                    <a:lumMod val="50000"/>
                  </a:schemeClr>
                </a:solidFill>
              </a:rPr>
              <a:t>Consumo en Galones-  Gasolina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v>2019</c:v>
          </c:tx>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'Resumen Combustible  '!$A$15:$A$17</c:f>
              <c:strCache>
                <c:ptCount val="3"/>
                <c:pt idx="0">
                  <c:v>Julio</c:v>
                </c:pt>
                <c:pt idx="1">
                  <c:v>Agosto</c:v>
                </c:pt>
                <c:pt idx="2">
                  <c:v>Septiembre</c:v>
                </c:pt>
              </c:strCache>
            </c:strRef>
          </c:cat>
          <c:val>
            <c:numRef>
              <c:f>'Resumen Combustible  '!$B$15:$B$17</c:f>
              <c:numCache>
                <c:formatCode>_(* #,##0_);_(* \(#,##0\);_(* "-"_);_(@_)</c:formatCode>
                <c:ptCount val="3"/>
                <c:pt idx="0">
                  <c:v>927.60100000000011</c:v>
                </c:pt>
                <c:pt idx="1">
                  <c:v>800.73</c:v>
                </c:pt>
                <c:pt idx="2">
                  <c:v>852.92499999999995</c:v>
                </c:pt>
              </c:numCache>
            </c:numRef>
          </c:val>
          <c:extLst xmlns:c16r2="http://schemas.microsoft.com/office/drawing/2015/06/chart">
            <c:ext xmlns:c16="http://schemas.microsoft.com/office/drawing/2014/chart" uri="{C3380CC4-5D6E-409C-BE32-E72D297353CC}">
              <c16:uniqueId val="{00000000-7AD4-47BE-BF34-2EF4A8D99C91}"/>
            </c:ext>
          </c:extLst>
        </c:ser>
        <c:dLbls>
          <c:showLegendKey val="0"/>
          <c:showVal val="0"/>
          <c:showCatName val="0"/>
          <c:showSerName val="0"/>
          <c:showPercent val="0"/>
          <c:showBubbleSize val="0"/>
        </c:dLbls>
        <c:gapWidth val="150"/>
        <c:axId val="104109936"/>
        <c:axId val="104097968"/>
      </c:barChart>
      <c:lineChart>
        <c:grouping val="standard"/>
        <c:varyColors val="0"/>
        <c:ser>
          <c:idx val="1"/>
          <c:order val="1"/>
          <c:tx>
            <c:v>2018</c:v>
          </c:tx>
          <c:spPr>
            <a:ln w="34925" cap="rnd">
              <a:solidFill>
                <a:schemeClr val="accent1">
                  <a:tint val="77000"/>
                </a:schemeClr>
              </a:solidFill>
              <a:round/>
            </a:ln>
            <a:effectLst>
              <a:outerShdw blurRad="57150" dist="19050" dir="5400000" algn="ctr" rotWithShape="0">
                <a:srgbClr val="000000">
                  <a:alpha val="63000"/>
                </a:srgbClr>
              </a:outerShdw>
            </a:effectLst>
          </c:spPr>
          <c:marker>
            <c:symbol val="none"/>
          </c:marker>
          <c:cat>
            <c:strRef>
              <c:f>'Resumen Combustible  '!$A$15:$A$17</c:f>
              <c:strCache>
                <c:ptCount val="3"/>
                <c:pt idx="0">
                  <c:v>Julio</c:v>
                </c:pt>
                <c:pt idx="1">
                  <c:v>Agosto</c:v>
                </c:pt>
                <c:pt idx="2">
                  <c:v>Septiembre</c:v>
                </c:pt>
              </c:strCache>
            </c:strRef>
          </c:cat>
          <c:val>
            <c:numRef>
              <c:f>'Resumen Combustible  '!$C$15:$C$17</c:f>
              <c:numCache>
                <c:formatCode>_(* #,##0_);_(* \(#,##0\);_(* "-"_);_(@_)</c:formatCode>
                <c:ptCount val="3"/>
                <c:pt idx="0">
                  <c:v>829.26499999999999</c:v>
                </c:pt>
                <c:pt idx="1">
                  <c:v>831.66499999999996</c:v>
                </c:pt>
                <c:pt idx="2">
                  <c:v>872.21499999999992</c:v>
                </c:pt>
              </c:numCache>
            </c:numRef>
          </c:val>
          <c:smooth val="0"/>
          <c:extLst xmlns:c16r2="http://schemas.microsoft.com/office/drawing/2015/06/chart">
            <c:ext xmlns:c16="http://schemas.microsoft.com/office/drawing/2014/chart" uri="{C3380CC4-5D6E-409C-BE32-E72D297353CC}">
              <c16:uniqueId val="{00000001-7AD4-47BE-BF34-2EF4A8D99C91}"/>
            </c:ext>
          </c:extLst>
        </c:ser>
        <c:dLbls>
          <c:showLegendKey val="0"/>
          <c:showVal val="0"/>
          <c:showCatName val="0"/>
          <c:showSerName val="0"/>
          <c:showPercent val="0"/>
          <c:showBubbleSize val="0"/>
        </c:dLbls>
        <c:marker val="1"/>
        <c:smooth val="0"/>
        <c:axId val="104109936"/>
        <c:axId val="104097968"/>
      </c:lineChart>
      <c:catAx>
        <c:axId val="1041099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04097968"/>
        <c:crosses val="autoZero"/>
        <c:auto val="1"/>
        <c:lblAlgn val="ctr"/>
        <c:lblOffset val="100"/>
        <c:noMultiLvlLbl val="0"/>
      </c:catAx>
      <c:valAx>
        <c:axId val="10409796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09936"/>
        <c:crosses val="autoZero"/>
        <c:crossBetween val="between"/>
        <c:majorUnit val="5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6.9886701662292217E-2"/>
          <c:y val="9.6146272855133635E-2"/>
          <c:w val="0.88566885389326333"/>
          <c:h val="0.7245281681561957"/>
        </c:manualLayout>
      </c:layout>
      <c:lineChart>
        <c:grouping val="stacked"/>
        <c:varyColors val="0"/>
        <c:ser>
          <c:idx val="0"/>
          <c:order val="0"/>
          <c:tx>
            <c:strRef>
              <c:f>'Resumen Combustible  '!$A$62</c:f>
              <c:strCache>
                <c:ptCount val="1"/>
                <c:pt idx="0">
                  <c:v>Gasolina Corriente</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cat>
            <c:multiLvlStrRef>
              <c:f>'Resumen Combustible  '!$B$60:$G$61</c:f>
              <c:multiLvlStrCache>
                <c:ptCount val="6"/>
                <c:lvl>
                  <c:pt idx="0">
                    <c:v>Gasto </c:v>
                  </c:pt>
                  <c:pt idx="1">
                    <c:v>Cantidad</c:v>
                  </c:pt>
                  <c:pt idx="2">
                    <c:v>Gasto </c:v>
                  </c:pt>
                  <c:pt idx="3">
                    <c:v>Cantidad</c:v>
                  </c:pt>
                  <c:pt idx="4">
                    <c:v>Gasto </c:v>
                  </c:pt>
                  <c:pt idx="5">
                    <c:v>Cantidad</c:v>
                  </c:pt>
                </c:lvl>
                <c:lvl>
                  <c:pt idx="0">
                    <c:v>Julio </c:v>
                  </c:pt>
                  <c:pt idx="2">
                    <c:v>Agosto</c:v>
                  </c:pt>
                  <c:pt idx="4">
                    <c:v>Septiembre</c:v>
                  </c:pt>
                </c:lvl>
              </c:multiLvlStrCache>
            </c:multiLvlStrRef>
          </c:cat>
          <c:val>
            <c:numRef>
              <c:f>'Resumen Combustible  '!$B$62:$G$62</c:f>
              <c:numCache>
                <c:formatCode>0%</c:formatCode>
                <c:ptCount val="6"/>
                <c:pt idx="0">
                  <c:v>0.13910169615943943</c:v>
                </c:pt>
                <c:pt idx="1">
                  <c:v>0.11858211789958593</c:v>
                </c:pt>
                <c:pt idx="2">
                  <c:v>-1.9667868475092332E-2</c:v>
                </c:pt>
                <c:pt idx="3">
                  <c:v>-3.7196467327589772E-2</c:v>
                </c:pt>
                <c:pt idx="4">
                  <c:v>-7.7633584294844182E-3</c:v>
                </c:pt>
                <c:pt idx="5">
                  <c:v>-2.2116106693877043E-2</c:v>
                </c:pt>
              </c:numCache>
            </c:numRef>
          </c:val>
          <c:smooth val="0"/>
          <c:extLst xmlns:c16r2="http://schemas.microsoft.com/office/drawing/2015/06/chart">
            <c:ext xmlns:c16="http://schemas.microsoft.com/office/drawing/2014/chart" uri="{C3380CC4-5D6E-409C-BE32-E72D297353CC}">
              <c16:uniqueId val="{00000000-F2F3-4562-A68D-156B9CFF16FB}"/>
            </c:ext>
          </c:extLst>
        </c:ser>
        <c:ser>
          <c:idx val="1"/>
          <c:order val="1"/>
          <c:tx>
            <c:strRef>
              <c:f>'Resumen Combustible  '!$A$63</c:f>
              <c:strCache>
                <c:ptCount val="1"/>
                <c:pt idx="0">
                  <c:v>ACPM</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cat>
            <c:multiLvlStrRef>
              <c:f>'Resumen Combustible  '!$B$60:$G$61</c:f>
              <c:multiLvlStrCache>
                <c:ptCount val="6"/>
                <c:lvl>
                  <c:pt idx="0">
                    <c:v>Gasto </c:v>
                  </c:pt>
                  <c:pt idx="1">
                    <c:v>Cantidad</c:v>
                  </c:pt>
                  <c:pt idx="2">
                    <c:v>Gasto </c:v>
                  </c:pt>
                  <c:pt idx="3">
                    <c:v>Cantidad</c:v>
                  </c:pt>
                  <c:pt idx="4">
                    <c:v>Gasto </c:v>
                  </c:pt>
                  <c:pt idx="5">
                    <c:v>Cantidad</c:v>
                  </c:pt>
                </c:lvl>
                <c:lvl>
                  <c:pt idx="0">
                    <c:v>Julio </c:v>
                  </c:pt>
                  <c:pt idx="2">
                    <c:v>Agosto</c:v>
                  </c:pt>
                  <c:pt idx="4">
                    <c:v>Septiembre</c:v>
                  </c:pt>
                </c:lvl>
              </c:multiLvlStrCache>
            </c:multiLvlStrRef>
          </c:cat>
          <c:val>
            <c:numRef>
              <c:f>'Resumen Combustible  '!$B$63:$G$63</c:f>
              <c:numCache>
                <c:formatCode>0%</c:formatCode>
                <c:ptCount val="6"/>
                <c:pt idx="0">
                  <c:v>0.42374026358121364</c:v>
                </c:pt>
                <c:pt idx="1">
                  <c:v>0.37048935574603087</c:v>
                </c:pt>
                <c:pt idx="2">
                  <c:v>0.48144248934677963</c:v>
                </c:pt>
                <c:pt idx="3">
                  <c:v>0.42612773902471046</c:v>
                </c:pt>
                <c:pt idx="4">
                  <c:v>0.24872240629617393</c:v>
                </c:pt>
                <c:pt idx="5">
                  <c:v>-0.59108311993036544</c:v>
                </c:pt>
              </c:numCache>
            </c:numRef>
          </c:val>
          <c:smooth val="0"/>
          <c:extLst xmlns:c16r2="http://schemas.microsoft.com/office/drawing/2015/06/chart">
            <c:ext xmlns:c16="http://schemas.microsoft.com/office/drawing/2014/chart" uri="{C3380CC4-5D6E-409C-BE32-E72D297353CC}">
              <c16:uniqueId val="{00000001-F2F3-4562-A68D-156B9CFF16FB}"/>
            </c:ext>
          </c:extLst>
        </c:ser>
        <c:dLbls>
          <c:showLegendKey val="0"/>
          <c:showVal val="0"/>
          <c:showCatName val="0"/>
          <c:showSerName val="0"/>
          <c:showPercent val="0"/>
          <c:showBubbleSize val="0"/>
        </c:dLbls>
        <c:marker val="1"/>
        <c:smooth val="0"/>
        <c:axId val="104111024"/>
        <c:axId val="104108304"/>
      </c:lineChart>
      <c:catAx>
        <c:axId val="10411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08304"/>
        <c:crosses val="autoZero"/>
        <c:auto val="1"/>
        <c:lblAlgn val="ctr"/>
        <c:lblOffset val="100"/>
        <c:noMultiLvlLbl val="0"/>
      </c:catAx>
      <c:valAx>
        <c:axId val="104108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11024"/>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200">
                <a:solidFill>
                  <a:schemeClr val="tx2">
                    <a:lumMod val="50000"/>
                  </a:schemeClr>
                </a:solidFill>
                <a:latin typeface="Arial" panose="020B0604020202020204" pitchFamily="34" charset="0"/>
                <a:cs typeface="Arial" panose="020B0604020202020204" pitchFamily="34" charset="0"/>
              </a:rPr>
              <a:t>Consumo</a:t>
            </a:r>
            <a:r>
              <a:rPr lang="en-US" sz="1200" baseline="0">
                <a:solidFill>
                  <a:schemeClr val="tx2">
                    <a:lumMod val="50000"/>
                  </a:schemeClr>
                </a:solidFill>
                <a:latin typeface="Arial" panose="020B0604020202020204" pitchFamily="34" charset="0"/>
                <a:cs typeface="Arial" panose="020B0604020202020204" pitchFamily="34" charset="0"/>
              </a:rPr>
              <a:t> de Papel por Mes 2019 -2018</a:t>
            </a:r>
            <a:endParaRPr lang="en-US" sz="1200">
              <a:solidFill>
                <a:schemeClr val="tx2">
                  <a:lumMod val="50000"/>
                </a:schemeClr>
              </a:solidFill>
              <a:latin typeface="Arial" panose="020B0604020202020204" pitchFamily="34" charset="0"/>
              <a:cs typeface="Arial" panose="020B0604020202020204" pitchFamily="34" charset="0"/>
            </a:endParaRPr>
          </a:p>
        </c:rich>
      </c:tx>
      <c:layout>
        <c:manualLayout>
          <c:xMode val="edge"/>
          <c:yMode val="edge"/>
          <c:x val="0.16377620518954117"/>
          <c:y val="2.2446689113355778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'graficas consumo'!$A$23</c:f>
              <c:strCache>
                <c:ptCount val="1"/>
                <c:pt idx="0">
                  <c:v>2019</c:v>
                </c:pt>
              </c:strCache>
            </c:strRef>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consumo'!$B$22:$D$22</c:f>
              <c:strCache>
                <c:ptCount val="3"/>
                <c:pt idx="0">
                  <c:v>Julio</c:v>
                </c:pt>
                <c:pt idx="1">
                  <c:v>Agosto</c:v>
                </c:pt>
                <c:pt idx="2">
                  <c:v>Septiembre</c:v>
                </c:pt>
              </c:strCache>
            </c:strRef>
          </c:cat>
          <c:val>
            <c:numRef>
              <c:f>'graficas consumo'!$B$23:$D$23</c:f>
              <c:numCache>
                <c:formatCode>#,##0</c:formatCode>
                <c:ptCount val="3"/>
                <c:pt idx="0">
                  <c:v>237507</c:v>
                </c:pt>
                <c:pt idx="1">
                  <c:v>242770</c:v>
                </c:pt>
                <c:pt idx="2">
                  <c:v>239218</c:v>
                </c:pt>
              </c:numCache>
            </c:numRef>
          </c:val>
          <c:extLst xmlns:c16r2="http://schemas.microsoft.com/office/drawing/2015/06/chart">
            <c:ext xmlns:c16="http://schemas.microsoft.com/office/drawing/2014/chart" uri="{C3380CC4-5D6E-409C-BE32-E72D297353CC}">
              <c16:uniqueId val="{00000000-BC1E-41BC-81A1-2B20B7BE14A1}"/>
            </c:ext>
          </c:extLst>
        </c:ser>
        <c:ser>
          <c:idx val="1"/>
          <c:order val="1"/>
          <c:tx>
            <c:strRef>
              <c:f>'graficas consumo'!$A$24</c:f>
              <c:strCache>
                <c:ptCount val="1"/>
                <c:pt idx="0">
                  <c:v>2018</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consumo'!$B$22:$D$22</c:f>
              <c:strCache>
                <c:ptCount val="3"/>
                <c:pt idx="0">
                  <c:v>Julio</c:v>
                </c:pt>
                <c:pt idx="1">
                  <c:v>Agosto</c:v>
                </c:pt>
                <c:pt idx="2">
                  <c:v>Septiembre</c:v>
                </c:pt>
              </c:strCache>
            </c:strRef>
          </c:cat>
          <c:val>
            <c:numRef>
              <c:f>'graficas consumo'!$B$24:$D$24</c:f>
              <c:numCache>
                <c:formatCode>_(* #,##0_);_(* \(#,##0\);_(* "-"_);_(@_)</c:formatCode>
                <c:ptCount val="3"/>
                <c:pt idx="0">
                  <c:v>243201</c:v>
                </c:pt>
                <c:pt idx="1">
                  <c:v>252102</c:v>
                </c:pt>
                <c:pt idx="2">
                  <c:v>252521</c:v>
                </c:pt>
              </c:numCache>
            </c:numRef>
          </c:val>
          <c:extLst xmlns:c16r2="http://schemas.microsoft.com/office/drawing/2015/06/chart">
            <c:ext xmlns:c16="http://schemas.microsoft.com/office/drawing/2014/chart" uri="{C3380CC4-5D6E-409C-BE32-E72D297353CC}">
              <c16:uniqueId val="{00000001-BC1E-41BC-81A1-2B20B7BE14A1}"/>
            </c:ext>
          </c:extLst>
        </c:ser>
        <c:ser>
          <c:idx val="2"/>
          <c:order val="2"/>
          <c:tx>
            <c:strRef>
              <c:f>'graficas consumo'!$A$25</c:f>
              <c:strCache>
                <c:ptCount val="1"/>
                <c:pt idx="0">
                  <c:v>Variación </c:v>
                </c:pt>
              </c:strCache>
            </c:strRef>
          </c:tx>
          <c:spPr>
            <a:gradFill rotWithShape="1">
              <a:gsLst>
                <a:gs pos="0">
                  <a:schemeClr val="accent1">
                    <a:shade val="65000"/>
                    <a:shade val="51000"/>
                    <a:satMod val="130000"/>
                  </a:schemeClr>
                </a:gs>
                <a:gs pos="80000">
                  <a:schemeClr val="accent1">
                    <a:shade val="65000"/>
                    <a:shade val="93000"/>
                    <a:satMod val="130000"/>
                  </a:schemeClr>
                </a:gs>
                <a:gs pos="100000">
                  <a:schemeClr val="accent1">
                    <a:shade val="65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consumo'!$B$22:$D$22</c:f>
              <c:strCache>
                <c:ptCount val="3"/>
                <c:pt idx="0">
                  <c:v>Julio</c:v>
                </c:pt>
                <c:pt idx="1">
                  <c:v>Agosto</c:v>
                </c:pt>
                <c:pt idx="2">
                  <c:v>Septiembre</c:v>
                </c:pt>
              </c:strCache>
            </c:strRef>
          </c:cat>
          <c:val>
            <c:numRef>
              <c:f>'graficas consumo'!$B$25:$D$25</c:f>
              <c:numCache>
                <c:formatCode>0.0%</c:formatCode>
                <c:ptCount val="3"/>
                <c:pt idx="0">
                  <c:v>-2.3412732677908398E-2</c:v>
                </c:pt>
                <c:pt idx="1">
                  <c:v>-3.7016763056223277E-2</c:v>
                </c:pt>
                <c:pt idx="2">
                  <c:v>-5.2680767144118706E-2</c:v>
                </c:pt>
              </c:numCache>
            </c:numRef>
          </c:val>
          <c:extLst xmlns:c16r2="http://schemas.microsoft.com/office/drawing/2015/06/chart">
            <c:ext xmlns:c16="http://schemas.microsoft.com/office/drawing/2014/chart" uri="{C3380CC4-5D6E-409C-BE32-E72D297353CC}">
              <c16:uniqueId val="{00000002-BC1E-41BC-81A1-2B20B7BE14A1}"/>
            </c:ext>
          </c:extLst>
        </c:ser>
        <c:dLbls>
          <c:showLegendKey val="0"/>
          <c:showVal val="0"/>
          <c:showCatName val="0"/>
          <c:showSerName val="0"/>
          <c:showPercent val="0"/>
          <c:showBubbleSize val="0"/>
        </c:dLbls>
        <c:gapWidth val="150"/>
        <c:axId val="104104496"/>
        <c:axId val="104099056"/>
      </c:barChart>
      <c:catAx>
        <c:axId val="104104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4099056"/>
        <c:crosses val="autoZero"/>
        <c:auto val="1"/>
        <c:lblAlgn val="ctr"/>
        <c:lblOffset val="100"/>
        <c:noMultiLvlLbl val="0"/>
      </c:catAx>
      <c:valAx>
        <c:axId val="10409905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41044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615721111784"/>
          <c:y val="8.0503144654088046E-2"/>
          <c:w val="0.78925305277011315"/>
          <c:h val="0.69233813697816082"/>
        </c:manualLayout>
      </c:layout>
      <c:barChart>
        <c:barDir val="col"/>
        <c:grouping val="clustered"/>
        <c:varyColors val="0"/>
        <c:ser>
          <c:idx val="0"/>
          <c:order val="0"/>
          <c:tx>
            <c:strRef>
              <c:f>'graficas consumo'!$B$33</c:f>
              <c:strCache>
                <c:ptCount val="1"/>
                <c:pt idx="0">
                  <c:v>Servicios Digitales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6.5408805031446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4EA-40B4-BA80-3BD8909FA38E}"/>
                </c:ext>
                <c:ext xmlns:c15="http://schemas.microsoft.com/office/drawing/2012/chart" uri="{CE6537A1-D6FC-4f65-9D91-7224C49458BB}"/>
              </c:extLst>
            </c:dLbl>
            <c:dLbl>
              <c:idx val="1"/>
              <c:layout>
                <c:manualLayout>
                  <c:x val="-1.3928297472021872E-16"/>
                  <c:y val="-5.03144654088050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4EA-40B4-BA80-3BD8909FA38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ln>
              <a:effectLst/>
            </c:spPr>
            <c:trendlineType val="linear"/>
            <c:dispRSqr val="0"/>
            <c:dispEq val="0"/>
          </c:trendline>
          <c:cat>
            <c:strRef>
              <c:f>'graficas consumo'!$A$34:$A$35</c:f>
              <c:strCache>
                <c:ptCount val="2"/>
                <c:pt idx="0">
                  <c:v>II Trimestre de 2019</c:v>
                </c:pt>
                <c:pt idx="1">
                  <c:v>III Trimestre de 2019</c:v>
                </c:pt>
              </c:strCache>
            </c:strRef>
          </c:cat>
          <c:val>
            <c:numRef>
              <c:f>'graficas consumo'!$B$34:$B$35</c:f>
              <c:numCache>
                <c:formatCode>#,##0</c:formatCode>
                <c:ptCount val="2"/>
                <c:pt idx="0">
                  <c:v>725439</c:v>
                </c:pt>
                <c:pt idx="1">
                  <c:v>719495</c:v>
                </c:pt>
              </c:numCache>
            </c:numRef>
          </c:val>
          <c:extLst xmlns:c16r2="http://schemas.microsoft.com/office/drawing/2015/06/chart">
            <c:ext xmlns:c16="http://schemas.microsoft.com/office/drawing/2014/chart" uri="{C3380CC4-5D6E-409C-BE32-E72D297353CC}">
              <c16:uniqueId val="{00000000-1977-4062-9D7A-C565301E38F6}"/>
            </c:ext>
          </c:extLst>
        </c:ser>
        <c:dLbls>
          <c:showLegendKey val="0"/>
          <c:showVal val="1"/>
          <c:showCatName val="0"/>
          <c:showSerName val="0"/>
          <c:showPercent val="0"/>
          <c:showBubbleSize val="0"/>
        </c:dLbls>
        <c:gapWidth val="100"/>
        <c:overlap val="-24"/>
        <c:axId val="104100144"/>
        <c:axId val="104105040"/>
      </c:barChart>
      <c:catAx>
        <c:axId val="1041001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05040"/>
        <c:crosses val="autoZero"/>
        <c:auto val="1"/>
        <c:lblAlgn val="ctr"/>
        <c:lblOffset val="100"/>
        <c:noMultiLvlLbl val="0"/>
      </c:catAx>
      <c:valAx>
        <c:axId val="104105040"/>
        <c:scaling>
          <c:orientation val="minMax"/>
          <c:max val="730000"/>
          <c:min val="700000"/>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4100144"/>
        <c:crosses val="autoZero"/>
        <c:crossBetween val="between"/>
        <c:majorUnit val="80000"/>
        <c:minorUnit val="50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100">
                <a:solidFill>
                  <a:schemeClr val="tx2">
                    <a:lumMod val="50000"/>
                  </a:schemeClr>
                </a:solidFill>
                <a:latin typeface="Arial" panose="020B0604020202020204" pitchFamily="34" charset="0"/>
                <a:cs typeface="Arial" panose="020B0604020202020204" pitchFamily="34" charset="0"/>
              </a:rPr>
              <a:t>Consumo de Hojas  Mensual  -2019</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0792630781728961"/>
          <c:y val="0.14588003933136676"/>
          <c:w val="0.86538276358295052"/>
          <c:h val="0.53868921252100133"/>
        </c:manualLayout>
      </c:layout>
      <c:lineChart>
        <c:grouping val="standard"/>
        <c:varyColors val="0"/>
        <c:ser>
          <c:idx val="0"/>
          <c:order val="0"/>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4.6102513035948881E-2"/>
                  <c:y val="-7.5055187637969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4F8-48A0-A267-65E191E1B847}"/>
                </c:ext>
                <c:ext xmlns:c15="http://schemas.microsoft.com/office/drawing/2012/chart" uri="{CE6537A1-D6FC-4f65-9D91-7224C49458BB}"/>
              </c:extLst>
            </c:dLbl>
            <c:dLbl>
              <c:idx val="1"/>
              <c:layout>
                <c:manualLayout>
                  <c:x val="-9.7057922180945454E-3"/>
                  <c:y val="-7.5055187637969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4F8-48A0-A267-65E191E1B847}"/>
                </c:ext>
                <c:ext xmlns:c15="http://schemas.microsoft.com/office/drawing/2012/chart" uri="{CE6537A1-D6FC-4f65-9D91-7224C49458BB}"/>
              </c:extLst>
            </c:dLbl>
            <c:dLbl>
              <c:idx val="2"/>
              <c:layout>
                <c:manualLayout>
                  <c:x val="-3.1543824708807171E-2"/>
                  <c:y val="-0.130499603247268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4F8-48A0-A267-65E191E1B847}"/>
                </c:ext>
                <c:ext xmlns:c15="http://schemas.microsoft.com/office/drawing/2012/chart" uri="{CE6537A1-D6FC-4f65-9D91-7224C49458BB}"/>
              </c:extLst>
            </c:dLbl>
            <c:dLbl>
              <c:idx val="3"/>
              <c:layout>
                <c:manualLayout>
                  <c:x val="-2.4264480545236253E-2"/>
                  <c:y val="0.1093999877922236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4F8-48A0-A267-65E191E1B847}"/>
                </c:ext>
                <c:ext xmlns:c15="http://schemas.microsoft.com/office/drawing/2012/chart" uri="{CE6537A1-D6FC-4f65-9D91-7224C49458BB}"/>
              </c:extLst>
            </c:dLbl>
            <c:dLbl>
              <c:idx val="4"/>
              <c:layout>
                <c:manualLayout>
                  <c:x val="-2.426448054523634E-2"/>
                  <c:y val="-5.00540194103644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4F8-48A0-A267-65E191E1B847}"/>
                </c:ext>
                <c:ext xmlns:c15="http://schemas.microsoft.com/office/drawing/2012/chart" uri="{CE6537A1-D6FC-4f65-9D91-7224C49458BB}"/>
              </c:extLst>
            </c:dLbl>
            <c:dLbl>
              <c:idx val="5"/>
              <c:layout>
                <c:manualLayout>
                  <c:x val="-6.0661201363090632E-2"/>
                  <c:y val="8.344869681987433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4F8-48A0-A267-65E191E1B847}"/>
                </c:ext>
                <c:ext xmlns:c15="http://schemas.microsoft.com/office/drawing/2012/chart" uri="{CE6537A1-D6FC-4f65-9D91-7224C49458BB}"/>
              </c:extLst>
            </c:dLbl>
            <c:dLbl>
              <c:idx val="6"/>
              <c:layout>
                <c:manualLayout>
                  <c:x val="-4.6102513035948881E-2"/>
                  <c:y val="-9.68992248062015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4F8-48A0-A267-65E191E1B847}"/>
                </c:ext>
                <c:ext xmlns:c15="http://schemas.microsoft.com/office/drawing/2012/chart" uri="{CE6537A1-D6FC-4f65-9D91-7224C49458BB}"/>
              </c:extLst>
            </c:dLbl>
            <c:dLbl>
              <c:idx val="7"/>
              <c:layout>
                <c:manualLayout>
                  <c:x val="0"/>
                  <c:y val="-9.30232558139534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4F8-48A0-A267-65E191E1B847}"/>
                </c:ext>
                <c:ext xmlns:c15="http://schemas.microsoft.com/office/drawing/2012/chart" uri="{CE6537A1-D6FC-4f65-9D91-7224C49458BB}"/>
              </c:extLst>
            </c:dLbl>
            <c:dLbl>
              <c:idx val="8"/>
              <c:layout>
                <c:manualLayout>
                  <c:x val="0"/>
                  <c:y val="8.52713178294573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4F8-48A0-A267-65E191E1B84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consumo'!$H$2:$H$10</c:f>
              <c:strCache>
                <c:ptCount val="9"/>
                <c:pt idx="0">
                  <c:v>Ene</c:v>
                </c:pt>
                <c:pt idx="1">
                  <c:v>Feb </c:v>
                </c:pt>
                <c:pt idx="2">
                  <c:v>Mar</c:v>
                </c:pt>
                <c:pt idx="3">
                  <c:v>Abr</c:v>
                </c:pt>
                <c:pt idx="4">
                  <c:v>May</c:v>
                </c:pt>
                <c:pt idx="5">
                  <c:v>Jun</c:v>
                </c:pt>
                <c:pt idx="6">
                  <c:v>Jul</c:v>
                </c:pt>
                <c:pt idx="7">
                  <c:v>Ago</c:v>
                </c:pt>
                <c:pt idx="8">
                  <c:v>Sep</c:v>
                </c:pt>
              </c:strCache>
            </c:strRef>
          </c:cat>
          <c:val>
            <c:numRef>
              <c:f>'graficas consumo'!$I$2:$I$10</c:f>
              <c:numCache>
                <c:formatCode>#,##0</c:formatCode>
                <c:ptCount val="9"/>
                <c:pt idx="0">
                  <c:v>241556</c:v>
                </c:pt>
                <c:pt idx="1">
                  <c:v>268367</c:v>
                </c:pt>
                <c:pt idx="2">
                  <c:v>215516</c:v>
                </c:pt>
                <c:pt idx="3">
                  <c:v>241556</c:v>
                </c:pt>
                <c:pt idx="4">
                  <c:v>268367</c:v>
                </c:pt>
                <c:pt idx="5">
                  <c:v>215516</c:v>
                </c:pt>
                <c:pt idx="6">
                  <c:v>237507</c:v>
                </c:pt>
                <c:pt idx="7">
                  <c:v>242770</c:v>
                </c:pt>
                <c:pt idx="8">
                  <c:v>239218</c:v>
                </c:pt>
              </c:numCache>
            </c:numRef>
          </c:val>
          <c:smooth val="0"/>
          <c:extLst xmlns:c16r2="http://schemas.microsoft.com/office/drawing/2015/06/chart">
            <c:ext xmlns:c16="http://schemas.microsoft.com/office/drawing/2014/chart" uri="{C3380CC4-5D6E-409C-BE32-E72D297353CC}">
              <c16:uniqueId val="{00000009-24F8-48A0-A267-65E191E1B847}"/>
            </c:ext>
          </c:extLst>
        </c:ser>
        <c:dLbls>
          <c:showLegendKey val="0"/>
          <c:showVal val="0"/>
          <c:showCatName val="0"/>
          <c:showSerName val="0"/>
          <c:showPercent val="0"/>
          <c:showBubbleSize val="0"/>
        </c:dLbls>
        <c:smooth val="0"/>
        <c:axId val="104100688"/>
        <c:axId val="104101232"/>
      </c:lineChart>
      <c:catAx>
        <c:axId val="1041006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01232"/>
        <c:crosses val="autoZero"/>
        <c:auto val="1"/>
        <c:lblAlgn val="ctr"/>
        <c:lblOffset val="100"/>
        <c:noMultiLvlLbl val="0"/>
      </c:catAx>
      <c:valAx>
        <c:axId val="104101232"/>
        <c:scaling>
          <c:orientation val="minMax"/>
          <c:max val="300000"/>
          <c:min val="2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00688"/>
        <c:crosses val="autoZero"/>
        <c:crossBetween val="between"/>
        <c:majorUnit val="50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8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a:solidFill>
                  <a:schemeClr val="tx2">
                    <a:lumMod val="50000"/>
                  </a:schemeClr>
                </a:solidFill>
              </a:rPr>
              <a:t>Consumo</a:t>
            </a:r>
            <a:r>
              <a:rPr lang="es-CO" baseline="0">
                <a:solidFill>
                  <a:schemeClr val="tx2">
                    <a:lumMod val="50000"/>
                  </a:schemeClr>
                </a:solidFill>
              </a:rPr>
              <a:t> de Papel por Dependencias</a:t>
            </a:r>
            <a:endParaRPr lang="es-CO">
              <a:solidFill>
                <a:schemeClr val="tx2">
                  <a:lumMod val="50000"/>
                </a:schemeClr>
              </a:solidFill>
            </a:endParaRPr>
          </a:p>
        </c:rich>
      </c:tx>
      <c:overlay val="0"/>
      <c:spPr>
        <a:noFill/>
        <a:ln>
          <a:noFill/>
        </a:ln>
        <a:effectLst/>
      </c:spPr>
      <c:txPr>
        <a:bodyPr rot="0" spcFirstLastPara="1" vertOverflow="ellipsis" vert="horz" wrap="square" anchor="ctr" anchorCtr="1"/>
        <a:lstStyle/>
        <a:p>
          <a:pPr>
            <a:defRPr sz="108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8630513927694523"/>
          <c:y val="0.11515414386760976"/>
          <c:w val="0.81369486072305475"/>
          <c:h val="0.62798211664219938"/>
        </c:manualLayout>
      </c:layout>
      <c:barChart>
        <c:barDir val="col"/>
        <c:grouping val="clustered"/>
        <c:varyColors val="0"/>
        <c:ser>
          <c:idx val="0"/>
          <c:order val="0"/>
          <c:tx>
            <c:strRef>
              <c:f>'consumo de papel'!$B$32</c:f>
              <c:strCache>
                <c:ptCount val="1"/>
                <c:pt idx="0">
                  <c:v>III Trimestre 2019</c:v>
                </c:pt>
              </c:strCache>
            </c:strRef>
          </c:tx>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'consumo de papel'!$A$33:$A$41</c:f>
              <c:strCache>
                <c:ptCount val="9"/>
                <c:pt idx="0">
                  <c:v>DA</c:v>
                </c:pt>
                <c:pt idx="1">
                  <c:v>SJ</c:v>
                </c:pt>
                <c:pt idx="2">
                  <c:v>OBP</c:v>
                </c:pt>
                <c:pt idx="3">
                  <c:v>DGCPTN</c:v>
                </c:pt>
                <c:pt idx="4">
                  <c:v>DGRESS</c:v>
                </c:pt>
                <c:pt idx="5">
                  <c:v>DM</c:v>
                </c:pt>
                <c:pt idx="6">
                  <c:v>SG</c:v>
                </c:pt>
                <c:pt idx="7">
                  <c:v>OAJ</c:v>
                </c:pt>
                <c:pt idx="8">
                  <c:v>SGSJ</c:v>
                </c:pt>
              </c:strCache>
            </c:strRef>
          </c:cat>
          <c:val>
            <c:numRef>
              <c:f>'consumo de papel'!$B$33:$B$41</c:f>
              <c:numCache>
                <c:formatCode>0%</c:formatCode>
                <c:ptCount val="9"/>
                <c:pt idx="0">
                  <c:v>0.28624949777280723</c:v>
                </c:pt>
                <c:pt idx="1">
                  <c:v>0.20126656914907495</c:v>
                </c:pt>
                <c:pt idx="2">
                  <c:v>0.15165608873289166</c:v>
                </c:pt>
                <c:pt idx="3">
                  <c:v>9.7909517357493578E-2</c:v>
                </c:pt>
                <c:pt idx="4">
                  <c:v>8.0949457246768788E-2</c:v>
                </c:pt>
                <c:pt idx="5">
                  <c:v>5.5466753864322996E-2</c:v>
                </c:pt>
                <c:pt idx="6">
                  <c:v>4.8419049673095751E-2</c:v>
                </c:pt>
                <c:pt idx="7">
                  <c:v>4.1176542207086317E-2</c:v>
                </c:pt>
                <c:pt idx="8">
                  <c:v>3.6906523996458752E-2</c:v>
                </c:pt>
              </c:numCache>
            </c:numRef>
          </c:val>
          <c:extLst xmlns:c16r2="http://schemas.microsoft.com/office/drawing/2015/06/chart">
            <c:ext xmlns:c16="http://schemas.microsoft.com/office/drawing/2014/chart" uri="{C3380CC4-5D6E-409C-BE32-E72D297353CC}">
              <c16:uniqueId val="{00000000-5769-482C-B5BE-767DC50D9B79}"/>
            </c:ext>
          </c:extLst>
        </c:ser>
        <c:ser>
          <c:idx val="1"/>
          <c:order val="1"/>
          <c:tx>
            <c:strRef>
              <c:f>'consumo de papel'!$C$32</c:f>
              <c:strCache>
                <c:ptCount val="1"/>
                <c:pt idx="0">
                  <c:v>IIITrimestre 2018</c:v>
                </c:pt>
              </c:strCache>
            </c:strRef>
          </c:tx>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'consumo de papel'!$A$33:$A$41</c:f>
              <c:strCache>
                <c:ptCount val="9"/>
                <c:pt idx="0">
                  <c:v>DA</c:v>
                </c:pt>
                <c:pt idx="1">
                  <c:v>SJ</c:v>
                </c:pt>
                <c:pt idx="2">
                  <c:v>OBP</c:v>
                </c:pt>
                <c:pt idx="3">
                  <c:v>DGCPTN</c:v>
                </c:pt>
                <c:pt idx="4">
                  <c:v>DGRESS</c:v>
                </c:pt>
                <c:pt idx="5">
                  <c:v>DM</c:v>
                </c:pt>
                <c:pt idx="6">
                  <c:v>SG</c:v>
                </c:pt>
                <c:pt idx="7">
                  <c:v>OAJ</c:v>
                </c:pt>
                <c:pt idx="8">
                  <c:v>SGSJ</c:v>
                </c:pt>
              </c:strCache>
            </c:strRef>
          </c:cat>
          <c:val>
            <c:numRef>
              <c:f>'consumo de papel'!$C$33:$C$41</c:f>
              <c:numCache>
                <c:formatCode>0%</c:formatCode>
                <c:ptCount val="9"/>
                <c:pt idx="0">
                  <c:v>0.30421305765461998</c:v>
                </c:pt>
                <c:pt idx="1">
                  <c:v>0.1912794926872684</c:v>
                </c:pt>
                <c:pt idx="2">
                  <c:v>0.10657332842679994</c:v>
                </c:pt>
                <c:pt idx="3">
                  <c:v>0.1120606584453706</c:v>
                </c:pt>
                <c:pt idx="4">
                  <c:v>0.11110046127119151</c:v>
                </c:pt>
                <c:pt idx="5">
                  <c:v>4.6276026734901714E-2</c:v>
                </c:pt>
                <c:pt idx="6">
                  <c:v>5.5285791306877989E-2</c:v>
                </c:pt>
                <c:pt idx="7">
                  <c:v>4.5442486585480654E-2</c:v>
                </c:pt>
                <c:pt idx="8">
                  <c:v>2.7768696887489196E-2</c:v>
                </c:pt>
              </c:numCache>
            </c:numRef>
          </c:val>
          <c:extLst xmlns:c16r2="http://schemas.microsoft.com/office/drawing/2015/06/chart">
            <c:ext xmlns:c16="http://schemas.microsoft.com/office/drawing/2014/chart" uri="{C3380CC4-5D6E-409C-BE32-E72D297353CC}">
              <c16:uniqueId val="{00000001-5769-482C-B5BE-767DC50D9B79}"/>
            </c:ext>
          </c:extLst>
        </c:ser>
        <c:dLbls>
          <c:showLegendKey val="0"/>
          <c:showVal val="0"/>
          <c:showCatName val="0"/>
          <c:showSerName val="0"/>
          <c:showPercent val="0"/>
          <c:showBubbleSize val="0"/>
        </c:dLbls>
        <c:gapWidth val="100"/>
        <c:overlap val="-24"/>
        <c:axId val="104101776"/>
        <c:axId val="104105584"/>
      </c:barChart>
      <c:catAx>
        <c:axId val="1041017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04105584"/>
        <c:crosses val="autoZero"/>
        <c:auto val="1"/>
        <c:lblAlgn val="ctr"/>
        <c:lblOffset val="100"/>
        <c:noMultiLvlLbl val="0"/>
      </c:catAx>
      <c:valAx>
        <c:axId val="104105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01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no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a:solidFill>
                  <a:schemeClr val="tx2">
                    <a:lumMod val="50000"/>
                  </a:schemeClr>
                </a:solidFill>
              </a:rPr>
              <a:t>Total Gastos por  Servicio de Telefonía Móvil</a:t>
            </a:r>
          </a:p>
        </c:rich>
      </c:tx>
      <c:overlay val="0"/>
      <c:spPr>
        <a:noFill/>
        <a:ln>
          <a:noFill/>
        </a:ln>
        <a:effectLst/>
      </c:spPr>
      <c:txPr>
        <a:bodyPr rot="0" spcFirstLastPara="1" vertOverflow="ellipsis" vert="horz" wrap="square" anchor="ctr" anchorCtr="1"/>
        <a:lstStyle/>
        <a:p>
          <a:pPr>
            <a:defRPr sz="108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Resumen!$F$8</c:f>
              <c:strCache>
                <c:ptCount val="1"/>
                <c:pt idx="0">
                  <c:v>Total  Servicio de Telefonía Movil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manualLayout>
                  <c:x val="-3.6330608537693071E-2"/>
                  <c:y val="-4.384757460872946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0B1-43A4-8E73-EEB4EB98004B}"/>
                </c:ext>
                <c:ext xmlns:c15="http://schemas.microsoft.com/office/drawing/2012/chart" uri="{CE6537A1-D6FC-4f65-9D91-7224C49458BB}"/>
              </c:extLst>
            </c:dLbl>
            <c:dLbl>
              <c:idx val="1"/>
              <c:layout>
                <c:manualLayout>
                  <c:x val="6.1762034514078114E-2"/>
                  <c:y val="-3.150189559638378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0B1-43A4-8E73-EEB4EB98004B}"/>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strRef>
              <c:f>Resumen!$G$6:$H$7</c:f>
              <c:strCache>
                <c:ptCount val="2"/>
                <c:pt idx="0">
                  <c:v>III Trimestre de 2018</c:v>
                </c:pt>
                <c:pt idx="1">
                  <c:v>III Trimestre de 2019</c:v>
                </c:pt>
              </c:strCache>
            </c:strRef>
          </c:cat>
          <c:val>
            <c:numRef>
              <c:f>Resumen!$G$8:$H$8</c:f>
              <c:numCache>
                <c:formatCode>_(* #,##0_);_(* \(#,##0\);_(* "-"_);_(@_)</c:formatCode>
                <c:ptCount val="2"/>
                <c:pt idx="0">
                  <c:v>14475254</c:v>
                </c:pt>
                <c:pt idx="1">
                  <c:v>15864598.85</c:v>
                </c:pt>
              </c:numCache>
            </c:numRef>
          </c:val>
          <c:extLst xmlns:c16r2="http://schemas.microsoft.com/office/drawing/2015/06/chart">
            <c:ext xmlns:c16="http://schemas.microsoft.com/office/drawing/2014/chart" uri="{C3380CC4-5D6E-409C-BE32-E72D297353CC}">
              <c16:uniqueId val="{00000001-D0B1-43A4-8E73-EEB4EB98004B}"/>
            </c:ext>
          </c:extLst>
        </c:ser>
        <c:dLbls>
          <c:dLblPos val="inEnd"/>
          <c:showLegendKey val="0"/>
          <c:showVal val="1"/>
          <c:showCatName val="0"/>
          <c:showSerName val="0"/>
          <c:showPercent val="0"/>
          <c:showBubbleSize val="0"/>
        </c:dLbls>
        <c:gapWidth val="100"/>
        <c:overlap val="-24"/>
        <c:axId val="104108848"/>
        <c:axId val="106180160"/>
      </c:barChart>
      <c:catAx>
        <c:axId val="1041088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crossAx val="106180160"/>
        <c:crosses val="autoZero"/>
        <c:auto val="1"/>
        <c:lblAlgn val="ctr"/>
        <c:lblOffset val="100"/>
        <c:noMultiLvlLbl val="0"/>
      </c:catAx>
      <c:valAx>
        <c:axId val="106180160"/>
        <c:scaling>
          <c:orientation val="minMax"/>
        </c:scaling>
        <c:delete val="0"/>
        <c:axPos val="l"/>
        <c:majorGridlines>
          <c:spPr>
            <a:ln w="9525" cap="flat" cmpd="sng" algn="ctr">
              <a:solidFill>
                <a:schemeClr val="tx2">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0884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s-CO" sz="1200" b="1">
                <a:solidFill>
                  <a:schemeClr val="tx2">
                    <a:lumMod val="50000"/>
                  </a:schemeClr>
                </a:solidFill>
                <a:latin typeface="Arial" panose="020B0604020202020204" pitchFamily="34" charset="0"/>
                <a:cs typeface="Arial" panose="020B0604020202020204" pitchFamily="34" charset="0"/>
              </a:rPr>
              <a:t>Variaciones:</a:t>
            </a:r>
            <a:r>
              <a:rPr lang="es-CO" sz="1200" b="1" baseline="0">
                <a:solidFill>
                  <a:schemeClr val="tx2">
                    <a:lumMod val="50000"/>
                  </a:schemeClr>
                </a:solidFill>
                <a:latin typeface="Arial" panose="020B0604020202020204" pitchFamily="34" charset="0"/>
                <a:cs typeface="Arial" panose="020B0604020202020204" pitchFamily="34" charset="0"/>
              </a:rPr>
              <a:t> </a:t>
            </a:r>
            <a:r>
              <a:rPr lang="es-CO" sz="1200" b="1">
                <a:solidFill>
                  <a:schemeClr val="tx2">
                    <a:lumMod val="50000"/>
                  </a:schemeClr>
                </a:solidFill>
                <a:latin typeface="Arial" panose="020B0604020202020204" pitchFamily="34" charset="0"/>
                <a:cs typeface="Arial" panose="020B0604020202020204" pitchFamily="34" charset="0"/>
              </a:rPr>
              <a:t>Consumo en Kw/h y</a:t>
            </a:r>
            <a:r>
              <a:rPr lang="es-CO" sz="1200" b="1" baseline="0">
                <a:solidFill>
                  <a:schemeClr val="tx2">
                    <a:lumMod val="50000"/>
                  </a:schemeClr>
                </a:solidFill>
                <a:latin typeface="Arial" panose="020B0604020202020204" pitchFamily="34" charset="0"/>
                <a:cs typeface="Arial" panose="020B0604020202020204" pitchFamily="34" charset="0"/>
              </a:rPr>
              <a:t> Gasto de Energía</a:t>
            </a:r>
            <a:endParaRPr lang="es-CO" sz="1200" b="1">
              <a:solidFill>
                <a:schemeClr val="tx2">
                  <a:lumMod val="50000"/>
                </a:schemeClr>
              </a:solidFill>
              <a:latin typeface="Arial" panose="020B0604020202020204" pitchFamily="34" charset="0"/>
              <a:cs typeface="Arial" panose="020B0604020202020204" pitchFamily="34" charset="0"/>
            </a:endParaRPr>
          </a:p>
          <a:p>
            <a:pPr>
              <a:defRPr sz="1200">
                <a:solidFill>
                  <a:schemeClr val="tx2">
                    <a:lumMod val="50000"/>
                  </a:schemeClr>
                </a:solidFill>
                <a:latin typeface="Arial" panose="020B0604020202020204" pitchFamily="34" charset="0"/>
                <a:cs typeface="Arial" panose="020B0604020202020204" pitchFamily="34" charset="0"/>
              </a:defRPr>
            </a:pPr>
            <a:r>
              <a:rPr lang="es-CO" sz="1200" b="1">
                <a:solidFill>
                  <a:schemeClr val="tx2">
                    <a:lumMod val="50000"/>
                  </a:schemeClr>
                </a:solidFill>
                <a:latin typeface="Arial" panose="020B0604020202020204" pitchFamily="34" charset="0"/>
                <a:cs typeface="Arial" panose="020B0604020202020204" pitchFamily="34" charset="0"/>
              </a:rPr>
              <a:t>Sede: Edificio San Agustín 2019-2018</a:t>
            </a:r>
          </a:p>
        </c:rich>
      </c:tx>
      <c:layout>
        <c:manualLayout>
          <c:xMode val="edge"/>
          <c:yMode val="edge"/>
          <c:x val="0.24688434587878347"/>
          <c:y val="2.8553904988680538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2.2512146003755677E-2"/>
          <c:y val="0.21150165507662058"/>
          <c:w val="0.95497570799248865"/>
          <c:h val="0.59559019040145755"/>
        </c:manualLayout>
      </c:layout>
      <c:lineChart>
        <c:grouping val="standard"/>
        <c:varyColors val="0"/>
        <c:ser>
          <c:idx val="0"/>
          <c:order val="0"/>
          <c:tx>
            <c:v>Consumo en Kw/H</c:v>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Lbls>
            <c:dLbl>
              <c:idx val="0"/>
              <c:layout>
                <c:manualLayout>
                  <c:x val="-6.2486765425508232E-2"/>
                  <c:y val="-9.818149020032289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77A-4D10-9685-41BA5F9C9140}"/>
                </c:ext>
                <c:ext xmlns:c15="http://schemas.microsoft.com/office/drawing/2012/chart" uri="{CE6537A1-D6FC-4f65-9D91-7224C49458BB}"/>
              </c:extLst>
            </c:dLbl>
            <c:dLbl>
              <c:idx val="1"/>
              <c:layout>
                <c:manualLayout>
                  <c:x val="-4.1922764276961524E-2"/>
                  <c:y val="-0.1133851052123639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77A-4D10-9685-41BA5F9C9140}"/>
                </c:ext>
                <c:ext xmlns:c15="http://schemas.microsoft.com/office/drawing/2012/chart" uri="{CE6537A1-D6FC-4f65-9D91-7224C49458BB}"/>
              </c:extLst>
            </c:dLbl>
            <c:dLbl>
              <c:idx val="2"/>
              <c:layout>
                <c:manualLayout>
                  <c:x val="-1.9557647743954965E-2"/>
                  <c:y val="-0.10996563573883165"/>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77A-4D10-9685-41BA5F9C914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 de energia III'!$D$28:$F$28</c:f>
              <c:strCache>
                <c:ptCount val="3"/>
                <c:pt idx="0">
                  <c:v>Julio </c:v>
                </c:pt>
                <c:pt idx="1">
                  <c:v>Agosto</c:v>
                </c:pt>
                <c:pt idx="2">
                  <c:v>Septiembre</c:v>
                </c:pt>
              </c:strCache>
            </c:strRef>
          </c:cat>
          <c:val>
            <c:numRef>
              <c:f>'Consumo y gasto de energia III'!$D$29:$F$29</c:f>
              <c:numCache>
                <c:formatCode>0%</c:formatCode>
                <c:ptCount val="3"/>
                <c:pt idx="0">
                  <c:v>-8.5408726741525776E-2</c:v>
                </c:pt>
                <c:pt idx="1">
                  <c:v>-8.2758240850384163E-2</c:v>
                </c:pt>
                <c:pt idx="2">
                  <c:v>-6.7859068078685941E-2</c:v>
                </c:pt>
              </c:numCache>
            </c:numRef>
          </c:val>
          <c:smooth val="0"/>
          <c:extLst xmlns:c16r2="http://schemas.microsoft.com/office/drawing/2015/06/chart">
            <c:ext xmlns:c16="http://schemas.microsoft.com/office/drawing/2014/chart" uri="{C3380CC4-5D6E-409C-BE32-E72D297353CC}">
              <c16:uniqueId val="{00000003-F77A-4D10-9685-41BA5F9C9140}"/>
            </c:ext>
          </c:extLst>
        </c:ser>
        <c:ser>
          <c:idx val="1"/>
          <c:order val="1"/>
          <c:tx>
            <c:v>Valor Facturado ($)</c:v>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dLbls>
            <c:dLbl>
              <c:idx val="0"/>
              <c:layout>
                <c:manualLayout>
                  <c:x val="-4.1031750846244372E-2"/>
                  <c:y val="8.28000108233893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77A-4D10-9685-41BA5F9C9140}"/>
                </c:ext>
                <c:ext xmlns:c15="http://schemas.microsoft.com/office/drawing/2012/chart" uri="{CE6537A1-D6FC-4f65-9D91-7224C49458BB}"/>
              </c:extLst>
            </c:dLbl>
            <c:dLbl>
              <c:idx val="1"/>
              <c:layout>
                <c:manualLayout>
                  <c:x val="-2.8938847975282057E-2"/>
                  <c:y val="0.10807659351859351"/>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77A-4D10-9685-41BA5F9C9140}"/>
                </c:ext>
                <c:ext xmlns:c15="http://schemas.microsoft.com/office/drawing/2012/chart" uri="{CE6537A1-D6FC-4f65-9D91-7224C49458BB}"/>
              </c:extLst>
            </c:dLbl>
            <c:dLbl>
              <c:idx val="2"/>
              <c:layout>
                <c:manualLayout>
                  <c:x val="-1.213010931414775E-2"/>
                  <c:y val="8.690424006277565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77A-4D10-9685-41BA5F9C914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 de energia III'!$D$28:$F$28</c:f>
              <c:strCache>
                <c:ptCount val="3"/>
                <c:pt idx="0">
                  <c:v>Julio </c:v>
                </c:pt>
                <c:pt idx="1">
                  <c:v>Agosto</c:v>
                </c:pt>
                <c:pt idx="2">
                  <c:v>Septiembre</c:v>
                </c:pt>
              </c:strCache>
            </c:strRef>
          </c:cat>
          <c:val>
            <c:numRef>
              <c:f>'Consumo y gasto de energia III'!$D$30:$F$30</c:f>
              <c:numCache>
                <c:formatCode>0%</c:formatCode>
                <c:ptCount val="3"/>
                <c:pt idx="0">
                  <c:v>-9.9561313006887309E-2</c:v>
                </c:pt>
                <c:pt idx="1">
                  <c:v>-9.8579348938489603E-2</c:v>
                </c:pt>
                <c:pt idx="2">
                  <c:v>-7.3087024881213603E-2</c:v>
                </c:pt>
              </c:numCache>
            </c:numRef>
          </c:val>
          <c:smooth val="0"/>
          <c:extLst xmlns:c16r2="http://schemas.microsoft.com/office/drawing/2015/06/chart">
            <c:ext xmlns:c16="http://schemas.microsoft.com/office/drawing/2014/chart" uri="{C3380CC4-5D6E-409C-BE32-E72D297353CC}">
              <c16:uniqueId val="{00000007-F77A-4D10-9685-41BA5F9C9140}"/>
            </c:ext>
          </c:extLst>
        </c:ser>
        <c:dLbls>
          <c:dLblPos val="ctr"/>
          <c:showLegendKey val="0"/>
          <c:showVal val="1"/>
          <c:showCatName val="0"/>
          <c:showSerName val="0"/>
          <c:showPercent val="0"/>
          <c:showBubbleSize val="0"/>
        </c:dLbls>
        <c:marker val="1"/>
        <c:smooth val="0"/>
        <c:axId val="106187232"/>
        <c:axId val="106173632"/>
      </c:lineChart>
      <c:catAx>
        <c:axId val="10618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6173632"/>
        <c:crosses val="autoZero"/>
        <c:auto val="1"/>
        <c:lblAlgn val="ctr"/>
        <c:lblOffset val="100"/>
        <c:noMultiLvlLbl val="0"/>
      </c:catAx>
      <c:valAx>
        <c:axId val="106173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6187232"/>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r>
              <a:rPr lang="en-US" sz="1400">
                <a:solidFill>
                  <a:schemeClr val="accent1">
                    <a:lumMod val="50000"/>
                  </a:schemeClr>
                </a:solidFill>
                <a:latin typeface="Arial" panose="020B0604020202020204" pitchFamily="34" charset="0"/>
                <a:cs typeface="Arial" panose="020B0604020202020204" pitchFamily="34" charset="0"/>
              </a:rPr>
              <a:t>Horas Extras por Dependencia III Trimestre de 2019</a:t>
            </a:r>
          </a:p>
        </c:rich>
      </c:tx>
      <c:layout>
        <c:manualLayout>
          <c:xMode val="edge"/>
          <c:yMode val="edge"/>
          <c:x val="0.14430591571628201"/>
          <c:y val="2.0114942528735632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bar"/>
        <c:grouping val="stacked"/>
        <c:varyColors val="0"/>
        <c:ser>
          <c:idx val="0"/>
          <c:order val="0"/>
          <c:tx>
            <c:strRef>
              <c:f>'Rankin por dependencia'!$B$2</c:f>
              <c:strCache>
                <c:ptCount val="1"/>
                <c:pt idx="0">
                  <c:v>Porcentaje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'Rankin por dependencia'!$A$3:$A$25</c:f>
              <c:strCache>
                <c:ptCount val="23"/>
                <c:pt idx="0">
                  <c:v>Despacho del Ministro </c:v>
                </c:pt>
                <c:pt idx="1">
                  <c:v> Grupo de Logística  y Suministros</c:v>
                </c:pt>
                <c:pt idx="2">
                  <c:v>Despacho del Viceministro Técnico</c:v>
                </c:pt>
                <c:pt idx="3">
                  <c:v>Dirección General del Presupuesto Público Nacional</c:v>
                </c:pt>
                <c:pt idx="4">
                  <c:v>Despacho del Viceministerio General</c:v>
                </c:pt>
                <c:pt idx="5">
                  <c:v>Dirección de Tecnología</c:v>
                </c:pt>
                <c:pt idx="6">
                  <c:v>Secretaría General </c:v>
                </c:pt>
                <c:pt idx="7">
                  <c:v>Dirección General de Crédito Público y Tesoro Nacional</c:v>
                </c:pt>
                <c:pt idx="8">
                  <c:v> Dirección General de Política de Macroeconómica </c:v>
                </c:pt>
                <c:pt idx="9">
                  <c:v> Dirección General de Regulación Económica de la Seguridad Social </c:v>
                </c:pt>
                <c:pt idx="10">
                  <c:v>Dirección General de Participaciones Estatales</c:v>
                </c:pt>
                <c:pt idx="11">
                  <c:v>Dirección Administrativa</c:v>
                </c:pt>
                <c:pt idx="12">
                  <c:v>Dirección General de Apoyo Fiscal</c:v>
                </c:pt>
                <c:pt idx="13">
                  <c:v>Grupo de Pagaduría</c:v>
                </c:pt>
                <c:pt idx="14">
                  <c:v>Oficina Asesora de Jurídica</c:v>
                </c:pt>
                <c:pt idx="15">
                  <c:v>Subdirección de Administración de Recursos Tecnológicos</c:v>
                </c:pt>
                <c:pt idx="16">
                  <c:v>Subdirección Financiera</c:v>
                </c:pt>
                <c:pt idx="17">
                  <c:v>Grupo de Infraestructura</c:v>
                </c:pt>
                <c:pt idx="18">
                  <c:v>Grupo de Gestión de Información</c:v>
                </c:pt>
                <c:pt idx="19">
                  <c:v>Grupo de Historias Laborales</c:v>
                </c:pt>
                <c:pt idx="20">
                  <c:v>Grupo de Administración de Personal</c:v>
                </c:pt>
                <c:pt idx="21">
                  <c:v>Grupo de Análisis Presupuestal </c:v>
                </c:pt>
                <c:pt idx="22">
                  <c:v>Subdirección de Gestión de Talento Humano</c:v>
                </c:pt>
              </c:strCache>
            </c:strRef>
          </c:cat>
          <c:val>
            <c:numRef>
              <c:f>'Rankin por dependencia'!$B$3:$B$25</c:f>
              <c:numCache>
                <c:formatCode>0%</c:formatCode>
                <c:ptCount val="23"/>
                <c:pt idx="0">
                  <c:v>0.23701222411051431</c:v>
                </c:pt>
                <c:pt idx="1">
                  <c:v>0.16101863944611722</c:v>
                </c:pt>
                <c:pt idx="2">
                  <c:v>6.918617041623179E-2</c:v>
                </c:pt>
                <c:pt idx="3">
                  <c:v>6.0591861157711251E-2</c:v>
                </c:pt>
                <c:pt idx="4">
                  <c:v>5.5262597063371936E-2</c:v>
                </c:pt>
                <c:pt idx="5">
                  <c:v>4.3442860343499153E-2</c:v>
                </c:pt>
                <c:pt idx="6">
                  <c:v>4.2177826108339395E-2</c:v>
                </c:pt>
                <c:pt idx="7">
                  <c:v>4.0983830512735048E-2</c:v>
                </c:pt>
                <c:pt idx="8">
                  <c:v>4.0983830512735048E-2</c:v>
                </c:pt>
                <c:pt idx="9">
                  <c:v>4.0983830512735048E-2</c:v>
                </c:pt>
                <c:pt idx="10">
                  <c:v>3.8593107066158837E-2</c:v>
                </c:pt>
                <c:pt idx="11">
                  <c:v>3.360674102044274E-2</c:v>
                </c:pt>
                <c:pt idx="12">
                  <c:v>2.8190044754342922E-2</c:v>
                </c:pt>
                <c:pt idx="13">
                  <c:v>1.9125787572609687E-2</c:v>
                </c:pt>
                <c:pt idx="14">
                  <c:v>1.7937256487740371E-2</c:v>
                </c:pt>
                <c:pt idx="15">
                  <c:v>1.7370313498980869E-2</c:v>
                </c:pt>
                <c:pt idx="16">
                  <c:v>1.4569751747277308E-2</c:v>
                </c:pt>
                <c:pt idx="17">
                  <c:v>1.2759632566298178E-2</c:v>
                </c:pt>
                <c:pt idx="18">
                  <c:v>1.036071235361942E-2</c:v>
                </c:pt>
                <c:pt idx="19">
                  <c:v>9.0451313941606239E-3</c:v>
                </c:pt>
                <c:pt idx="20" formatCode="0.00%">
                  <c:v>3.5519319777703707E-3</c:v>
                </c:pt>
                <c:pt idx="21" formatCode="0.00%">
                  <c:v>2.1352575697134962E-3</c:v>
                </c:pt>
                <c:pt idx="22" formatCode="0.00%">
                  <c:v>1.1106618068951199E-3</c:v>
                </c:pt>
              </c:numCache>
            </c:numRef>
          </c:val>
          <c:extLst xmlns:c16r2="http://schemas.microsoft.com/office/drawing/2015/06/chart">
            <c:ext xmlns:c16="http://schemas.microsoft.com/office/drawing/2014/chart" uri="{C3380CC4-5D6E-409C-BE32-E72D297353CC}">
              <c16:uniqueId val="{00000000-CAAC-47F0-98C3-BD77BC02CAB9}"/>
            </c:ext>
          </c:extLst>
        </c:ser>
        <c:dLbls>
          <c:showLegendKey val="0"/>
          <c:showVal val="0"/>
          <c:showCatName val="0"/>
          <c:showSerName val="0"/>
          <c:showPercent val="0"/>
          <c:showBubbleSize val="0"/>
        </c:dLbls>
        <c:gapWidth val="150"/>
        <c:overlap val="100"/>
        <c:axId val="100406160"/>
        <c:axId val="2058455376"/>
      </c:barChart>
      <c:catAx>
        <c:axId val="10040616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2058455376"/>
        <c:crosses val="autoZero"/>
        <c:auto val="1"/>
        <c:lblAlgn val="ctr"/>
        <c:lblOffset val="100"/>
        <c:noMultiLvlLbl val="0"/>
      </c:catAx>
      <c:valAx>
        <c:axId val="20584553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04061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s-CO" b="1">
                <a:solidFill>
                  <a:schemeClr val="tx2">
                    <a:lumMod val="50000"/>
                  </a:schemeClr>
                </a:solidFill>
              </a:rPr>
              <a:t>Variaciones: Consumo en Kw/h y Gasto de Energía</a:t>
            </a:r>
          </a:p>
          <a:p>
            <a:pPr>
              <a:defRPr b="1">
                <a:solidFill>
                  <a:schemeClr val="tx2">
                    <a:lumMod val="50000"/>
                  </a:schemeClr>
                </a:solidFill>
              </a:defRPr>
            </a:pPr>
            <a:r>
              <a:rPr lang="es-CO" b="1">
                <a:solidFill>
                  <a:schemeClr val="tx2">
                    <a:lumMod val="50000"/>
                  </a:schemeClr>
                </a:solidFill>
              </a:rPr>
              <a:t>Sede: Casa Santa Barbara 2019-2018</a:t>
            </a:r>
          </a:p>
        </c:rich>
      </c:tx>
      <c:layout>
        <c:manualLayout>
          <c:xMode val="edge"/>
          <c:yMode val="edge"/>
          <c:x val="0.19430228581833361"/>
          <c:y val="1.4807972325014143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7.3306845818584598E-2"/>
          <c:y val="0.18666364546158348"/>
          <c:w val="0.95497570799248865"/>
          <c:h val="0.57726260088802572"/>
        </c:manualLayout>
      </c:layout>
      <c:lineChart>
        <c:grouping val="standard"/>
        <c:varyColors val="0"/>
        <c:ser>
          <c:idx val="0"/>
          <c:order val="0"/>
          <c:tx>
            <c:v>Consumo en Kw/H</c:v>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dLbls>
            <c:dLbl>
              <c:idx val="0"/>
              <c:layout>
                <c:manualLayout>
                  <c:x val="-7.057800516052247E-2"/>
                  <c:y val="-0.1036513545347468"/>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A6C-42A3-9D0C-C90D64DE039B}"/>
                </c:ext>
                <c:ext xmlns:c15="http://schemas.microsoft.com/office/drawing/2012/chart" uri="{CE6537A1-D6FC-4f65-9D91-7224C49458BB}"/>
              </c:extLst>
            </c:dLbl>
            <c:dLbl>
              <c:idx val="1"/>
              <c:layout>
                <c:manualLayout>
                  <c:x val="-0.12672679874406562"/>
                  <c:y val="-6.995464789516156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A6C-42A3-9D0C-C90D64DE039B}"/>
                </c:ext>
                <c:ext xmlns:c15="http://schemas.microsoft.com/office/drawing/2012/chart" uri="{CE6537A1-D6FC-4f65-9D91-7224C49458BB}"/>
              </c:extLst>
            </c:dLbl>
            <c:dLbl>
              <c:idx val="2"/>
              <c:layout>
                <c:manualLayout>
                  <c:x val="2.4435295841827045E-2"/>
                  <c:y val="-1.71477328584810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A6C-42A3-9D0C-C90D64DE039B}"/>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 de energia III'!$D$33:$F$33</c:f>
              <c:strCache>
                <c:ptCount val="3"/>
                <c:pt idx="0">
                  <c:v>Julio </c:v>
                </c:pt>
                <c:pt idx="1">
                  <c:v>Agosto</c:v>
                </c:pt>
                <c:pt idx="2">
                  <c:v>Septiembre</c:v>
                </c:pt>
              </c:strCache>
            </c:strRef>
          </c:cat>
          <c:val>
            <c:numRef>
              <c:f>'Consumo y gasto de energia III'!$D$34:$F$34</c:f>
              <c:numCache>
                <c:formatCode>0%</c:formatCode>
                <c:ptCount val="3"/>
                <c:pt idx="0">
                  <c:v>0.84210526315789469</c:v>
                </c:pt>
                <c:pt idx="1">
                  <c:v>0.97368421052631582</c:v>
                </c:pt>
                <c:pt idx="2">
                  <c:v>1.037037037037037</c:v>
                </c:pt>
              </c:numCache>
            </c:numRef>
          </c:val>
          <c:smooth val="0"/>
          <c:extLst xmlns:c16r2="http://schemas.microsoft.com/office/drawing/2015/06/chart">
            <c:ext xmlns:c16="http://schemas.microsoft.com/office/drawing/2014/chart" uri="{C3380CC4-5D6E-409C-BE32-E72D297353CC}">
              <c16:uniqueId val="{00000003-5A6C-42A3-9D0C-C90D64DE039B}"/>
            </c:ext>
          </c:extLst>
        </c:ser>
        <c:ser>
          <c:idx val="1"/>
          <c:order val="1"/>
          <c:tx>
            <c:v>Valor Facturado ($)</c:v>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Lbls>
            <c:dLbl>
              <c:idx val="0"/>
              <c:layout>
                <c:manualLayout>
                  <c:x val="-6.9933339550830295E-2"/>
                  <c:y val="0.13882418407946356"/>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A6C-42A3-9D0C-C90D64DE039B}"/>
                </c:ext>
                <c:ext xmlns:c15="http://schemas.microsoft.com/office/drawing/2012/chart" uri="{CE6537A1-D6FC-4f65-9D91-7224C49458BB}"/>
              </c:extLst>
            </c:dLbl>
            <c:dLbl>
              <c:idx val="1"/>
              <c:layout>
                <c:manualLayout>
                  <c:x val="-2.3015397187026831E-2"/>
                  <c:y val="0.1160038210771356"/>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A6C-42A3-9D0C-C90D64DE039B}"/>
                </c:ext>
                <c:ext xmlns:c15="http://schemas.microsoft.com/office/drawing/2012/chart" uri="{CE6537A1-D6FC-4f65-9D91-7224C49458BB}"/>
              </c:extLst>
            </c:dLbl>
            <c:dLbl>
              <c:idx val="2"/>
              <c:layout>
                <c:manualLayout>
                  <c:x val="-3.4809100639069862E-2"/>
                  <c:y val="9.340604509241998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A6C-42A3-9D0C-C90D64DE039B}"/>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 de energia III'!$D$33:$F$33</c:f>
              <c:strCache>
                <c:ptCount val="3"/>
                <c:pt idx="0">
                  <c:v>Julio </c:v>
                </c:pt>
                <c:pt idx="1">
                  <c:v>Agosto</c:v>
                </c:pt>
                <c:pt idx="2">
                  <c:v>Septiembre</c:v>
                </c:pt>
              </c:strCache>
            </c:strRef>
          </c:cat>
          <c:val>
            <c:numRef>
              <c:f>'Consumo y gasto de energia III'!$D$35:$F$35</c:f>
              <c:numCache>
                <c:formatCode>0%</c:formatCode>
                <c:ptCount val="3"/>
                <c:pt idx="0">
                  <c:v>0.87476666164240391</c:v>
                </c:pt>
                <c:pt idx="1">
                  <c:v>0.93964137651586266</c:v>
                </c:pt>
                <c:pt idx="2">
                  <c:v>1.0256122693668503</c:v>
                </c:pt>
              </c:numCache>
            </c:numRef>
          </c:val>
          <c:smooth val="0"/>
          <c:extLst xmlns:c16r2="http://schemas.microsoft.com/office/drawing/2015/06/chart">
            <c:ext xmlns:c16="http://schemas.microsoft.com/office/drawing/2014/chart" uri="{C3380CC4-5D6E-409C-BE32-E72D297353CC}">
              <c16:uniqueId val="{00000007-5A6C-42A3-9D0C-C90D64DE039B}"/>
            </c:ext>
          </c:extLst>
        </c:ser>
        <c:dLbls>
          <c:dLblPos val="ctr"/>
          <c:showLegendKey val="0"/>
          <c:showVal val="1"/>
          <c:showCatName val="0"/>
          <c:showSerName val="0"/>
          <c:showPercent val="0"/>
          <c:showBubbleSize val="0"/>
        </c:dLbls>
        <c:marker val="1"/>
        <c:smooth val="0"/>
        <c:axId val="106176352"/>
        <c:axId val="106175808"/>
      </c:lineChart>
      <c:catAx>
        <c:axId val="10617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6175808"/>
        <c:crosses val="autoZero"/>
        <c:auto val="1"/>
        <c:lblAlgn val="ctr"/>
        <c:lblOffset val="100"/>
        <c:noMultiLvlLbl val="0"/>
      </c:catAx>
      <c:valAx>
        <c:axId val="106175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6176352"/>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200">
                <a:solidFill>
                  <a:schemeClr val="tx2">
                    <a:lumMod val="50000"/>
                  </a:schemeClr>
                </a:solidFill>
                <a:latin typeface="Arial" panose="020B0604020202020204" pitchFamily="34" charset="0"/>
                <a:cs typeface="Arial" panose="020B0604020202020204" pitchFamily="34" charset="0"/>
              </a:rPr>
              <a:t>Valor facturado Acueducto y Aseo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'resumen pago '!$G$14</c:f>
              <c:strCache>
                <c:ptCount val="1"/>
                <c:pt idx="0">
                  <c:v>III Trimestre de 2019</c:v>
                </c:pt>
              </c:strCache>
            </c:strRef>
          </c:tx>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4737167594310453E-3"/>
                  <c:y val="-3.19634703196347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193-457A-9790-88931B28FAA5}"/>
                </c:ext>
                <c:ext xmlns:c15="http://schemas.microsoft.com/office/drawing/2012/chart" uri="{CE6537A1-D6FC-4f65-9D91-7224C49458BB}"/>
              </c:extLst>
            </c:dLbl>
            <c:dLbl>
              <c:idx val="1"/>
              <c:layout>
                <c:manualLayout>
                  <c:x val="-9.1666593623848963E-2"/>
                  <c:y val="-3.19634703196347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193-457A-9790-88931B28FAA5}"/>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B-9193-457A-9790-88931B28FAA5}"/>
                </c:ext>
                <c:ext xmlns:c15="http://schemas.microsoft.com/office/drawing/2012/chart" uri="{CE6537A1-D6FC-4f65-9D91-7224C49458BB}"/>
              </c:extLst>
            </c:dLbl>
            <c:dLbl>
              <c:idx val="3"/>
              <c:layout>
                <c:manualLayout>
                  <c:x val="-1.6666666666666666E-2"/>
                  <c:y val="-5.47945205479452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193-457A-9790-88931B28FAA5}"/>
                </c:ext>
                <c:ext xmlns:c15="http://schemas.microsoft.com/office/drawing/2012/chart" uri="{CE6537A1-D6FC-4f65-9D91-7224C49458BB}"/>
              </c:extLst>
            </c:dLbl>
            <c:dLbl>
              <c:idx val="4"/>
              <c:layout>
                <c:manualLayout>
                  <c:x val="-5.2777777777777778E-2"/>
                  <c:y val="-7.30593607305936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193-457A-9790-88931B28FAA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'resumen pago '!$H$12:$L$13</c:f>
              <c:multiLvlStrCache>
                <c:ptCount val="5"/>
                <c:lvl>
                  <c:pt idx="0">
                    <c:v>Servicio de Aseo</c:v>
                  </c:pt>
                  <c:pt idx="1">
                    <c:v>Servicios de Acueducto</c:v>
                  </c:pt>
                  <c:pt idx="3">
                    <c:v>Servicio de Aseo</c:v>
                  </c:pt>
                  <c:pt idx="4">
                    <c:v>Servicios de Acueducto</c:v>
                  </c:pt>
                </c:lvl>
                <c:lvl>
                  <c:pt idx="0">
                    <c:v>San Agustin </c:v>
                  </c:pt>
                  <c:pt idx="3">
                    <c:v>Casas Santa Bárbara</c:v>
                  </c:pt>
                </c:lvl>
              </c:multiLvlStrCache>
            </c:multiLvlStrRef>
          </c:cat>
          <c:val>
            <c:numRef>
              <c:f>'resumen pago '!$H$14:$L$14</c:f>
              <c:numCache>
                <c:formatCode>_(* #,##0_);_(* \(#,##0\);_(* "-"_);_(@_)</c:formatCode>
                <c:ptCount val="5"/>
                <c:pt idx="0">
                  <c:v>3365706</c:v>
                </c:pt>
                <c:pt idx="1">
                  <c:v>11292791</c:v>
                </c:pt>
                <c:pt idx="2" formatCode="General">
                  <c:v>0</c:v>
                </c:pt>
                <c:pt idx="3" formatCode="#,##0">
                  <c:v>1600940</c:v>
                </c:pt>
                <c:pt idx="4" formatCode="#,##0">
                  <c:v>3880760</c:v>
                </c:pt>
              </c:numCache>
            </c:numRef>
          </c:val>
          <c:extLst xmlns:c16r2="http://schemas.microsoft.com/office/drawing/2015/06/chart">
            <c:ext xmlns:c16="http://schemas.microsoft.com/office/drawing/2014/chart" uri="{C3380CC4-5D6E-409C-BE32-E72D297353CC}">
              <c16:uniqueId val="{00000000-9193-457A-9790-88931B28FAA5}"/>
            </c:ext>
          </c:extLst>
        </c:ser>
        <c:ser>
          <c:idx val="1"/>
          <c:order val="1"/>
          <c:tx>
            <c:strRef>
              <c:f>'resumen pago '!$G$15</c:f>
              <c:strCache>
                <c:ptCount val="1"/>
                <c:pt idx="0">
                  <c:v>III Trimestre de 2018</c:v>
                </c:pt>
              </c:strCache>
            </c:strRef>
          </c:tx>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5912280445463797E-2"/>
                  <c:y val="-0.105022831050228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193-457A-9790-88931B28FAA5}"/>
                </c:ext>
                <c:ext xmlns:c15="http://schemas.microsoft.com/office/drawing/2012/chart" uri="{CE6537A1-D6FC-4f65-9D91-7224C49458BB}"/>
              </c:extLst>
            </c:dLbl>
            <c:dLbl>
              <c:idx val="1"/>
              <c:layout>
                <c:manualLayout>
                  <c:x val="0.10555555555555556"/>
                  <c:y val="9.132420091324200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193-457A-9790-88931B28FAA5}"/>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1-9193-457A-9790-88931B28FAA5}"/>
                </c:ext>
                <c:ext xmlns:c15="http://schemas.microsoft.com/office/drawing/2012/chart" uri="{CE6537A1-D6FC-4f65-9D91-7224C49458BB}"/>
              </c:extLst>
            </c:dLbl>
            <c:dLbl>
              <c:idx val="3"/>
              <c:layout>
                <c:manualLayout>
                  <c:x val="1.9444444444444445E-2"/>
                  <c:y val="-3.19634703196347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193-457A-9790-88931B28FAA5}"/>
                </c:ext>
                <c:ext xmlns:c15="http://schemas.microsoft.com/office/drawing/2012/chart" uri="{CE6537A1-D6FC-4f65-9D91-7224C49458BB}"/>
              </c:extLst>
            </c:dLbl>
            <c:dLbl>
              <c:idx val="4"/>
              <c:layout>
                <c:manualLayout>
                  <c:x val="-5.5555555555555558E-3"/>
                  <c:y val="-5.47945205479452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193-457A-9790-88931B28FAA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'resumen pago '!$H$12:$L$13</c:f>
              <c:multiLvlStrCache>
                <c:ptCount val="5"/>
                <c:lvl>
                  <c:pt idx="0">
                    <c:v>Servicio de Aseo</c:v>
                  </c:pt>
                  <c:pt idx="1">
                    <c:v>Servicios de Acueducto</c:v>
                  </c:pt>
                  <c:pt idx="3">
                    <c:v>Servicio de Aseo</c:v>
                  </c:pt>
                  <c:pt idx="4">
                    <c:v>Servicios de Acueducto</c:v>
                  </c:pt>
                </c:lvl>
                <c:lvl>
                  <c:pt idx="0">
                    <c:v>San Agustin </c:v>
                  </c:pt>
                  <c:pt idx="3">
                    <c:v>Casas Santa Bárbara</c:v>
                  </c:pt>
                </c:lvl>
              </c:multiLvlStrCache>
            </c:multiLvlStrRef>
          </c:cat>
          <c:val>
            <c:numRef>
              <c:f>'resumen pago '!$H$15:$L$15</c:f>
              <c:numCache>
                <c:formatCode>_(* #,##0_);_(* \(#,##0\);_(* "-"_);_(@_)</c:formatCode>
                <c:ptCount val="5"/>
                <c:pt idx="0">
                  <c:v>3631361</c:v>
                </c:pt>
                <c:pt idx="1">
                  <c:v>10408529</c:v>
                </c:pt>
                <c:pt idx="2" formatCode="General">
                  <c:v>0</c:v>
                </c:pt>
                <c:pt idx="3" formatCode="#,##0">
                  <c:v>987830</c:v>
                </c:pt>
                <c:pt idx="4" formatCode="#,##0">
                  <c:v>5543140</c:v>
                </c:pt>
              </c:numCache>
            </c:numRef>
          </c:val>
          <c:extLst xmlns:c16r2="http://schemas.microsoft.com/office/drawing/2015/06/chart">
            <c:ext xmlns:c16="http://schemas.microsoft.com/office/drawing/2014/chart" uri="{C3380CC4-5D6E-409C-BE32-E72D297353CC}">
              <c16:uniqueId val="{00000002-9193-457A-9790-88931B28FAA5}"/>
            </c:ext>
          </c:extLst>
        </c:ser>
        <c:dLbls>
          <c:showLegendKey val="0"/>
          <c:showVal val="0"/>
          <c:showCatName val="0"/>
          <c:showSerName val="0"/>
          <c:showPercent val="0"/>
          <c:showBubbleSize val="0"/>
        </c:dLbls>
        <c:gapWidth val="100"/>
        <c:overlap val="-24"/>
        <c:axId val="106181248"/>
        <c:axId val="106181792"/>
      </c:barChart>
      <c:catAx>
        <c:axId val="106181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6181792"/>
        <c:crosses val="autoZero"/>
        <c:auto val="1"/>
        <c:lblAlgn val="ctr"/>
        <c:lblOffset val="100"/>
        <c:noMultiLvlLbl val="0"/>
      </c:catAx>
      <c:valAx>
        <c:axId val="106181792"/>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10618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n-US" sz="1100" b="1">
                <a:latin typeface="Arial" panose="020B0604020202020204" pitchFamily="34" charset="0"/>
                <a:cs typeface="Arial" panose="020B0604020202020204" pitchFamily="34" charset="0"/>
              </a:rPr>
              <a:t>Comportamiento del Consumo de Agua en M 3</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'resumen pago '!$A$46</c:f>
              <c:strCache>
                <c:ptCount val="1"/>
                <c:pt idx="0">
                  <c:v>Sede San Agustín </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Lbls>
            <c:dLbl>
              <c:idx val="0"/>
              <c:layout>
                <c:manualLayout>
                  <c:x val="-4.7222222222222249E-2"/>
                  <c:y val="0.1018518518518518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EEF-4CE6-905D-8A38145B5A19}"/>
                </c:ext>
                <c:ext xmlns:c15="http://schemas.microsoft.com/office/drawing/2012/chart" uri="{CE6537A1-D6FC-4f65-9D91-7224C49458BB}"/>
              </c:extLst>
            </c:dLbl>
            <c:dLbl>
              <c:idx val="1"/>
              <c:layout>
                <c:manualLayout>
                  <c:x val="-4.4444444444444446E-2"/>
                  <c:y val="8.79629629629629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EEF-4CE6-905D-8A38145B5A19}"/>
                </c:ext>
                <c:ext xmlns:c15="http://schemas.microsoft.com/office/drawing/2012/chart" uri="{CE6537A1-D6FC-4f65-9D91-7224C49458BB}"/>
              </c:extLst>
            </c:dLbl>
            <c:dLbl>
              <c:idx val="2"/>
              <c:layout>
                <c:manualLayout>
                  <c:x val="-2.777777777777788E-2"/>
                  <c:y val="8.79629629629629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EEF-4CE6-905D-8A38145B5A1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pago '!$B$45:$E$45</c:f>
              <c:strCache>
                <c:ptCount val="4"/>
                <c:pt idx="0">
                  <c:v>Periodo I </c:v>
                </c:pt>
                <c:pt idx="1">
                  <c:v>Periodo II </c:v>
                </c:pt>
                <c:pt idx="2">
                  <c:v>Periodo III</c:v>
                </c:pt>
                <c:pt idx="3">
                  <c:v>Periodo Actual </c:v>
                </c:pt>
              </c:strCache>
            </c:strRef>
          </c:cat>
          <c:val>
            <c:numRef>
              <c:f>'resumen pago '!$B$46:$E$46</c:f>
              <c:numCache>
                <c:formatCode>General</c:formatCode>
                <c:ptCount val="4"/>
                <c:pt idx="0">
                  <c:v>3272</c:v>
                </c:pt>
                <c:pt idx="1">
                  <c:v>3728</c:v>
                </c:pt>
                <c:pt idx="2">
                  <c:v>3468</c:v>
                </c:pt>
                <c:pt idx="3">
                  <c:v>3706</c:v>
                </c:pt>
              </c:numCache>
            </c:numRef>
          </c:val>
          <c:smooth val="0"/>
          <c:extLst xmlns:c16r2="http://schemas.microsoft.com/office/drawing/2015/06/chart">
            <c:ext xmlns:c16="http://schemas.microsoft.com/office/drawing/2014/chart" uri="{C3380CC4-5D6E-409C-BE32-E72D297353CC}">
              <c16:uniqueId val="{00000003-AEEF-4CE6-905D-8A38145B5A19}"/>
            </c:ext>
          </c:extLst>
        </c:ser>
        <c:ser>
          <c:idx val="1"/>
          <c:order val="1"/>
          <c:tx>
            <c:strRef>
              <c:f>'resumen pago '!$A$47</c:f>
              <c:strCache>
                <c:ptCount val="1"/>
                <c:pt idx="0">
                  <c:v>Sede Casas de Santa Barbara</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dLbls>
            <c:dLbl>
              <c:idx val="0"/>
              <c:layout>
                <c:manualLayout>
                  <c:x val="-3.8888888888888917E-2"/>
                  <c:y val="-0.106481481481481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EEF-4CE6-905D-8A38145B5A19}"/>
                </c:ext>
                <c:ext xmlns:c15="http://schemas.microsoft.com/office/drawing/2012/chart" uri="{CE6537A1-D6FC-4f65-9D91-7224C49458BB}"/>
              </c:extLst>
            </c:dLbl>
            <c:dLbl>
              <c:idx val="1"/>
              <c:layout>
                <c:manualLayout>
                  <c:x val="-4.1666557305336832E-2"/>
                  <c:y val="-0.1226851851851851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EEF-4CE6-905D-8A38145B5A19}"/>
                </c:ext>
                <c:ext xmlns:c15="http://schemas.microsoft.com/office/drawing/2012/chart" uri="{CE6537A1-D6FC-4f65-9D91-7224C49458BB}">
                  <c15:layout>
                    <c:manualLayout>
                      <c:w val="5.4666666666666662E-2"/>
                      <c:h val="0.11567147856517936"/>
                    </c:manualLayout>
                  </c15:layout>
                </c:ext>
              </c:extLst>
            </c:dLbl>
            <c:dLbl>
              <c:idx val="2"/>
              <c:layout>
                <c:manualLayout>
                  <c:x val="-4.1666666666666768E-2"/>
                  <c:y val="-8.79629629629629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EEF-4CE6-905D-8A38145B5A1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pago '!$B$45:$E$45</c:f>
              <c:strCache>
                <c:ptCount val="4"/>
                <c:pt idx="0">
                  <c:v>Periodo I </c:v>
                </c:pt>
                <c:pt idx="1">
                  <c:v>Periodo II </c:v>
                </c:pt>
                <c:pt idx="2">
                  <c:v>Periodo III</c:v>
                </c:pt>
                <c:pt idx="3">
                  <c:v>Periodo Actual </c:v>
                </c:pt>
              </c:strCache>
            </c:strRef>
          </c:cat>
          <c:val>
            <c:numRef>
              <c:f>'resumen pago '!$B$47:$E$47</c:f>
              <c:numCache>
                <c:formatCode>General</c:formatCode>
                <c:ptCount val="4"/>
                <c:pt idx="0">
                  <c:v>610</c:v>
                </c:pt>
                <c:pt idx="1">
                  <c:v>699</c:v>
                </c:pt>
                <c:pt idx="2">
                  <c:v>777</c:v>
                </c:pt>
                <c:pt idx="3">
                  <c:v>715</c:v>
                </c:pt>
              </c:numCache>
            </c:numRef>
          </c:val>
          <c:smooth val="0"/>
          <c:extLst xmlns:c16r2="http://schemas.microsoft.com/office/drawing/2015/06/chart">
            <c:ext xmlns:c16="http://schemas.microsoft.com/office/drawing/2014/chart" uri="{C3380CC4-5D6E-409C-BE32-E72D297353CC}">
              <c16:uniqueId val="{00000007-AEEF-4CE6-905D-8A38145B5A19}"/>
            </c:ext>
          </c:extLst>
        </c:ser>
        <c:dLbls>
          <c:showLegendKey val="0"/>
          <c:showVal val="0"/>
          <c:showCatName val="0"/>
          <c:showSerName val="0"/>
          <c:showPercent val="0"/>
          <c:showBubbleSize val="0"/>
        </c:dLbls>
        <c:marker val="1"/>
        <c:smooth val="0"/>
        <c:axId val="106172544"/>
        <c:axId val="106182336"/>
      </c:lineChart>
      <c:catAx>
        <c:axId val="10617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106182336"/>
        <c:crosses val="autoZero"/>
        <c:auto val="1"/>
        <c:lblAlgn val="ctr"/>
        <c:lblOffset val="100"/>
        <c:noMultiLvlLbl val="0"/>
      </c:catAx>
      <c:valAx>
        <c:axId val="10618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106172544"/>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2">
              <a:lumMod val="50000"/>
            </a:schemeClr>
          </a:solidFill>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100">
                <a:solidFill>
                  <a:schemeClr val="tx2">
                    <a:lumMod val="50000"/>
                  </a:schemeClr>
                </a:solidFill>
                <a:latin typeface="Arial" panose="020B0604020202020204" pitchFamily="34" charset="0"/>
                <a:cs typeface="Arial" panose="020B0604020202020204" pitchFamily="34" charset="0"/>
              </a:rPr>
              <a:t>Tendencia Cantidad Horas Extras</a:t>
            </a:r>
          </a:p>
          <a:p>
            <a:pPr>
              <a:defRPr sz="1100">
                <a:solidFill>
                  <a:schemeClr val="tx2">
                    <a:lumMod val="50000"/>
                  </a:schemeClr>
                </a:solidFill>
                <a:latin typeface="Arial" panose="020B0604020202020204" pitchFamily="34" charset="0"/>
                <a:cs typeface="Arial" panose="020B0604020202020204" pitchFamily="34" charset="0"/>
              </a:defRPr>
            </a:pPr>
            <a:r>
              <a:rPr lang="en-US" sz="1100">
                <a:solidFill>
                  <a:schemeClr val="tx2">
                    <a:lumMod val="50000"/>
                  </a:schemeClr>
                </a:solidFill>
                <a:latin typeface="Arial" panose="020B0604020202020204" pitchFamily="34" charset="0"/>
                <a:cs typeface="Arial" panose="020B0604020202020204" pitchFamily="34" charset="0"/>
              </a:rPr>
              <a:t>Tercer Trimestre de 2019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'tendencia '!$B$1</c:f>
              <c:strCache>
                <c:ptCount val="1"/>
                <c:pt idx="0">
                  <c:v>Cantidad Horas Extras </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cat>
            <c:strRef>
              <c:f>'tendencia '!$A$2:$A$4</c:f>
              <c:strCache>
                <c:ptCount val="3"/>
                <c:pt idx="0">
                  <c:v>Julio </c:v>
                </c:pt>
                <c:pt idx="1">
                  <c:v>Agosto</c:v>
                </c:pt>
                <c:pt idx="2">
                  <c:v>Septiembre </c:v>
                </c:pt>
              </c:strCache>
            </c:strRef>
          </c:cat>
          <c:val>
            <c:numRef>
              <c:f>'tendencia '!$B$2:$B$4</c:f>
              <c:numCache>
                <c:formatCode>_(* #,##0_);_(* \(#,##0\);_(* "-"_);_(@_)</c:formatCode>
                <c:ptCount val="3"/>
                <c:pt idx="0">
                  <c:v>2400</c:v>
                </c:pt>
                <c:pt idx="1">
                  <c:v>2394</c:v>
                </c:pt>
                <c:pt idx="2">
                  <c:v>2526</c:v>
                </c:pt>
              </c:numCache>
            </c:numRef>
          </c:val>
          <c:smooth val="0"/>
          <c:extLst xmlns:c16r2="http://schemas.microsoft.com/office/drawing/2015/06/chart">
            <c:ext xmlns:c16="http://schemas.microsoft.com/office/drawing/2014/chart" uri="{C3380CC4-5D6E-409C-BE32-E72D297353CC}">
              <c16:uniqueId val="{00000000-8D66-40C4-AD7E-4669560F0F57}"/>
            </c:ext>
          </c:extLst>
        </c:ser>
        <c:dLbls>
          <c:showLegendKey val="0"/>
          <c:showVal val="0"/>
          <c:showCatName val="0"/>
          <c:showSerName val="0"/>
          <c:showPercent val="0"/>
          <c:showBubbleSize val="0"/>
        </c:dLbls>
        <c:smooth val="0"/>
        <c:axId val="2058464080"/>
        <c:axId val="2058458096"/>
      </c:lineChart>
      <c:catAx>
        <c:axId val="20584640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58458096"/>
        <c:crosses val="autoZero"/>
        <c:auto val="1"/>
        <c:lblAlgn val="ctr"/>
        <c:lblOffset val="100"/>
        <c:noMultiLvlLbl val="0"/>
      </c:catAx>
      <c:valAx>
        <c:axId val="2058458096"/>
        <c:scaling>
          <c:orientation val="minMax"/>
          <c:min val="2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a:solidFill>
                      <a:schemeClr val="tx2">
                        <a:lumMod val="50000"/>
                      </a:schemeClr>
                    </a:solidFill>
                    <a:latin typeface="Arial" panose="020B0604020202020204" pitchFamily="34" charset="0"/>
                    <a:cs typeface="Arial" panose="020B0604020202020204" pitchFamily="34" charset="0"/>
                  </a:rPr>
                  <a:t>Total Horas Extas por Mes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20584640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200">
                <a:solidFill>
                  <a:schemeClr val="tx2">
                    <a:lumMod val="50000"/>
                  </a:schemeClr>
                </a:solidFill>
                <a:latin typeface="Arial" panose="020B0604020202020204" pitchFamily="34" charset="0"/>
                <a:cs typeface="Arial" panose="020B0604020202020204" pitchFamily="34" charset="0"/>
              </a:rPr>
              <a:t>Contratos Vigentes por Dependencia</a:t>
            </a:r>
          </a:p>
        </c:rich>
      </c:tx>
      <c:layout>
        <c:manualLayout>
          <c:xMode val="edge"/>
          <c:yMode val="edge"/>
          <c:x val="0.20003350083752094"/>
          <c:y val="1.8554003330228882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3.6850921273031828E-2"/>
          <c:y val="0.11301169590643274"/>
          <c:w val="0.9262981574539364"/>
          <c:h val="0.7061285723685653"/>
        </c:manualLayout>
      </c:layout>
      <c:barChart>
        <c:barDir val="col"/>
        <c:grouping val="clustered"/>
        <c:varyColors val="0"/>
        <c:ser>
          <c:idx val="0"/>
          <c:order val="0"/>
          <c:tx>
            <c:strRef>
              <c:f>'resumen Contratos vigentes '!$B$53</c:f>
              <c:strCache>
                <c:ptCount val="1"/>
                <c:pt idx="0">
                  <c:v>Representatividad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1"/>
              <c:tx>
                <c:rich>
                  <a:bodyPr/>
                  <a:lstStyle/>
                  <a:p>
                    <a:r>
                      <a:rPr lang="en-US"/>
                      <a:t>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0CC-44D4-A4F8-7F66293E785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Contratos vigentes '!$A$54:$A$70</c:f>
              <c:strCache>
                <c:ptCount val="17"/>
                <c:pt idx="0">
                  <c:v>SJ</c:v>
                </c:pt>
                <c:pt idx="1">
                  <c:v>DT</c:v>
                </c:pt>
                <c:pt idx="2">
                  <c:v>DGPPN</c:v>
                </c:pt>
                <c:pt idx="3">
                  <c:v>DM</c:v>
                </c:pt>
                <c:pt idx="4">
                  <c:v>DGCPTN</c:v>
                </c:pt>
                <c:pt idx="5">
                  <c:v>DGRESS</c:v>
                </c:pt>
                <c:pt idx="6">
                  <c:v>DGPE</c:v>
                </c:pt>
                <c:pt idx="7">
                  <c:v>SIIF</c:v>
                </c:pt>
                <c:pt idx="8">
                  <c:v>SG</c:v>
                </c:pt>
                <c:pt idx="9">
                  <c:v>OCDI</c:v>
                </c:pt>
                <c:pt idx="10">
                  <c:v>OAJ</c:v>
                </c:pt>
                <c:pt idx="11">
                  <c:v>OBP</c:v>
                </c:pt>
                <c:pt idx="12">
                  <c:v>SS</c:v>
                </c:pt>
                <c:pt idx="13">
                  <c:v>SFOM</c:v>
                </c:pt>
                <c:pt idx="14">
                  <c:v>OCI</c:v>
                </c:pt>
                <c:pt idx="15">
                  <c:v>DPM</c:v>
                </c:pt>
                <c:pt idx="16">
                  <c:v>DVT</c:v>
                </c:pt>
              </c:strCache>
            </c:strRef>
          </c:cat>
          <c:val>
            <c:numRef>
              <c:f>'resumen Contratos vigentes '!$B$54:$B$70</c:f>
              <c:numCache>
                <c:formatCode>0%</c:formatCode>
                <c:ptCount val="17"/>
                <c:pt idx="0">
                  <c:v>0.27777777777777779</c:v>
                </c:pt>
                <c:pt idx="1">
                  <c:v>0.22222222222222221</c:v>
                </c:pt>
                <c:pt idx="2">
                  <c:v>0.12222222222222222</c:v>
                </c:pt>
                <c:pt idx="3">
                  <c:v>7.7777777777777779E-2</c:v>
                </c:pt>
                <c:pt idx="4">
                  <c:v>5.5555555555555552E-2</c:v>
                </c:pt>
                <c:pt idx="5">
                  <c:v>4.4444444444444446E-2</c:v>
                </c:pt>
                <c:pt idx="6">
                  <c:v>3.3333333333333333E-2</c:v>
                </c:pt>
                <c:pt idx="7">
                  <c:v>2.2222222222222223E-2</c:v>
                </c:pt>
                <c:pt idx="8">
                  <c:v>2.2222222222222223E-2</c:v>
                </c:pt>
                <c:pt idx="9">
                  <c:v>2.2222222222222223E-2</c:v>
                </c:pt>
                <c:pt idx="10">
                  <c:v>2.2222222222222223E-2</c:v>
                </c:pt>
                <c:pt idx="11">
                  <c:v>2.2222222222222223E-2</c:v>
                </c:pt>
                <c:pt idx="12">
                  <c:v>1.1111111111111112E-2</c:v>
                </c:pt>
                <c:pt idx="13">
                  <c:v>1.1111111111111112E-2</c:v>
                </c:pt>
                <c:pt idx="14">
                  <c:v>1.1111111111111112E-2</c:v>
                </c:pt>
                <c:pt idx="15">
                  <c:v>1.1111111111111112E-2</c:v>
                </c:pt>
                <c:pt idx="16">
                  <c:v>1.1111111111111112E-2</c:v>
                </c:pt>
              </c:numCache>
            </c:numRef>
          </c:val>
          <c:extLst xmlns:c16r2="http://schemas.microsoft.com/office/drawing/2015/06/chart">
            <c:ext xmlns:c16="http://schemas.microsoft.com/office/drawing/2014/chart" uri="{C3380CC4-5D6E-409C-BE32-E72D297353CC}">
              <c16:uniqueId val="{00000000-8FE4-4385-85F3-FD1E6051FA7B}"/>
            </c:ext>
          </c:extLst>
        </c:ser>
        <c:dLbls>
          <c:showLegendKey val="0"/>
          <c:showVal val="0"/>
          <c:showCatName val="0"/>
          <c:showSerName val="0"/>
          <c:showPercent val="0"/>
          <c:showBubbleSize val="0"/>
        </c:dLbls>
        <c:gapWidth val="100"/>
        <c:overlap val="-24"/>
        <c:axId val="2058458640"/>
        <c:axId val="2058460272"/>
      </c:barChart>
      <c:catAx>
        <c:axId val="2058458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2058460272"/>
        <c:crosses val="autoZero"/>
        <c:auto val="1"/>
        <c:lblAlgn val="ctr"/>
        <c:lblOffset val="100"/>
        <c:noMultiLvlLbl val="0"/>
      </c:catAx>
      <c:valAx>
        <c:axId val="205846027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584586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sz="1050">
                <a:solidFill>
                  <a:schemeClr val="tx2">
                    <a:lumMod val="50000"/>
                  </a:schemeClr>
                </a:solidFill>
                <a:latin typeface="Arial" panose="020B0604020202020204" pitchFamily="34" charset="0"/>
                <a:cs typeface="Arial" panose="020B0604020202020204" pitchFamily="34" charset="0"/>
              </a:rPr>
              <a:t>Comparación Pasajes Aéreos </a:t>
            </a:r>
          </a:p>
          <a:p>
            <a:pPr>
              <a:defRPr sz="1050">
                <a:latin typeface="Arial" panose="020B0604020202020204" pitchFamily="34" charset="0"/>
                <a:cs typeface="Arial" panose="020B0604020202020204" pitchFamily="34" charset="0"/>
              </a:defRPr>
            </a:pPr>
            <a:r>
              <a:rPr lang="es-CO" sz="1050">
                <a:solidFill>
                  <a:schemeClr val="tx2">
                    <a:lumMod val="50000"/>
                  </a:schemeClr>
                </a:solidFill>
                <a:latin typeface="Arial" panose="020B0604020202020204" pitchFamily="34" charset="0"/>
                <a:cs typeface="Arial" panose="020B0604020202020204" pitchFamily="34" charset="0"/>
              </a:rPr>
              <a:t>III Trimestre 2019 -2018</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'resumen III Trime'!$A$20</c:f>
              <c:strCache>
                <c:ptCount val="1"/>
                <c:pt idx="0">
                  <c:v>Pasajes 2019</c:v>
                </c:pt>
              </c:strCache>
            </c:strRef>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III Trime'!$B$19:$D$19</c:f>
              <c:strCache>
                <c:ptCount val="3"/>
                <c:pt idx="0">
                  <c:v>Jul</c:v>
                </c:pt>
                <c:pt idx="1">
                  <c:v>Ago</c:v>
                </c:pt>
                <c:pt idx="2">
                  <c:v>Sep</c:v>
                </c:pt>
              </c:strCache>
            </c:strRef>
          </c:cat>
          <c:val>
            <c:numRef>
              <c:f>'resumen III Trime'!$B$20:$D$20</c:f>
              <c:numCache>
                <c:formatCode>#,##0</c:formatCode>
                <c:ptCount val="3"/>
                <c:pt idx="0">
                  <c:v>52392535</c:v>
                </c:pt>
                <c:pt idx="1">
                  <c:v>47834245</c:v>
                </c:pt>
                <c:pt idx="2">
                  <c:v>61245633</c:v>
                </c:pt>
              </c:numCache>
            </c:numRef>
          </c:val>
          <c:extLst xmlns:c16r2="http://schemas.microsoft.com/office/drawing/2015/06/chart">
            <c:ext xmlns:c16="http://schemas.microsoft.com/office/drawing/2014/chart" uri="{C3380CC4-5D6E-409C-BE32-E72D297353CC}">
              <c16:uniqueId val="{00000000-877E-4455-8BD2-E7B8E70A08CD}"/>
            </c:ext>
          </c:extLst>
        </c:ser>
        <c:ser>
          <c:idx val="1"/>
          <c:order val="1"/>
          <c:tx>
            <c:strRef>
              <c:f>'resumen III Trime'!$A$21</c:f>
              <c:strCache>
                <c:ptCount val="1"/>
                <c:pt idx="0">
                  <c:v>Pasajes 2018</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III Trime'!$B$19:$D$19</c:f>
              <c:strCache>
                <c:ptCount val="3"/>
                <c:pt idx="0">
                  <c:v>Jul</c:v>
                </c:pt>
                <c:pt idx="1">
                  <c:v>Ago</c:v>
                </c:pt>
                <c:pt idx="2">
                  <c:v>Sep</c:v>
                </c:pt>
              </c:strCache>
            </c:strRef>
          </c:cat>
          <c:val>
            <c:numRef>
              <c:f>'resumen III Trime'!$B$21:$D$21</c:f>
              <c:numCache>
                <c:formatCode>#,##0</c:formatCode>
                <c:ptCount val="3"/>
                <c:pt idx="0">
                  <c:v>65538062</c:v>
                </c:pt>
                <c:pt idx="1">
                  <c:v>68570973</c:v>
                </c:pt>
                <c:pt idx="2">
                  <c:v>61462906</c:v>
                </c:pt>
              </c:numCache>
            </c:numRef>
          </c:val>
          <c:extLst xmlns:c16r2="http://schemas.microsoft.com/office/drawing/2015/06/chart">
            <c:ext xmlns:c16="http://schemas.microsoft.com/office/drawing/2014/chart" uri="{C3380CC4-5D6E-409C-BE32-E72D297353CC}">
              <c16:uniqueId val="{00000001-877E-4455-8BD2-E7B8E70A08CD}"/>
            </c:ext>
          </c:extLst>
        </c:ser>
        <c:ser>
          <c:idx val="2"/>
          <c:order val="2"/>
          <c:tx>
            <c:strRef>
              <c:f>'resumen III Trime'!$A$22</c:f>
              <c:strCache>
                <c:ptCount val="1"/>
                <c:pt idx="0">
                  <c:v>Variación  Relativa</c:v>
                </c:pt>
              </c:strCache>
            </c:strRef>
          </c:tx>
          <c:spPr>
            <a:gradFill rotWithShape="1">
              <a:gsLst>
                <a:gs pos="0">
                  <a:schemeClr val="accent1">
                    <a:shade val="65000"/>
                    <a:shade val="51000"/>
                    <a:satMod val="130000"/>
                  </a:schemeClr>
                </a:gs>
                <a:gs pos="80000">
                  <a:schemeClr val="accent1">
                    <a:shade val="65000"/>
                    <a:shade val="93000"/>
                    <a:satMod val="130000"/>
                  </a:schemeClr>
                </a:gs>
                <a:gs pos="100000">
                  <a:schemeClr val="accent1">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III Trime'!$B$19:$D$19</c:f>
              <c:strCache>
                <c:ptCount val="3"/>
                <c:pt idx="0">
                  <c:v>Jul</c:v>
                </c:pt>
                <c:pt idx="1">
                  <c:v>Ago</c:v>
                </c:pt>
                <c:pt idx="2">
                  <c:v>Sep</c:v>
                </c:pt>
              </c:strCache>
            </c:strRef>
          </c:cat>
          <c:val>
            <c:numRef>
              <c:f>'resumen III Trime'!$B$22:$D$22</c:f>
              <c:numCache>
                <c:formatCode>0%</c:formatCode>
                <c:ptCount val="3"/>
                <c:pt idx="0">
                  <c:v>-0.20057851268168411</c:v>
                </c:pt>
                <c:pt idx="1">
                  <c:v>-0.30241262582054945</c:v>
                </c:pt>
                <c:pt idx="2" formatCode="0.0%">
                  <c:v>-3.5350264759690993E-3</c:v>
                </c:pt>
              </c:numCache>
            </c:numRef>
          </c:val>
          <c:extLst xmlns:c16r2="http://schemas.microsoft.com/office/drawing/2015/06/chart">
            <c:ext xmlns:c16="http://schemas.microsoft.com/office/drawing/2014/chart" uri="{C3380CC4-5D6E-409C-BE32-E72D297353CC}">
              <c16:uniqueId val="{00000002-877E-4455-8BD2-E7B8E70A08CD}"/>
            </c:ext>
          </c:extLst>
        </c:ser>
        <c:dLbls>
          <c:showLegendKey val="0"/>
          <c:showVal val="0"/>
          <c:showCatName val="0"/>
          <c:showSerName val="0"/>
          <c:showPercent val="0"/>
          <c:showBubbleSize val="0"/>
        </c:dLbls>
        <c:gapWidth val="100"/>
        <c:overlap val="-24"/>
        <c:axId val="100799008"/>
        <c:axId val="100803360"/>
      </c:barChart>
      <c:catAx>
        <c:axId val="1007990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0803360"/>
        <c:crosses val="autoZero"/>
        <c:auto val="1"/>
        <c:lblAlgn val="ctr"/>
        <c:lblOffset val="100"/>
        <c:noMultiLvlLbl val="0"/>
      </c:catAx>
      <c:valAx>
        <c:axId val="100803360"/>
        <c:scaling>
          <c:orientation val="minMax"/>
          <c:min val="20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0799008"/>
        <c:crosses val="autoZero"/>
        <c:crossBetween val="between"/>
        <c:majorUnit val="20000000"/>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Comparación Viaticos </a:t>
            </a:r>
          </a:p>
          <a:p>
            <a:pPr>
              <a:defRPr sz="1050">
                <a:latin typeface="Arial" panose="020B0604020202020204" pitchFamily="34" charset="0"/>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III Trimestre 2019 -2018</a:t>
            </a:r>
          </a:p>
        </c:rich>
      </c:tx>
      <c:layout>
        <c:manualLayout>
          <c:xMode val="edge"/>
          <c:yMode val="edge"/>
          <c:x val="0.24911240584091077"/>
          <c:y val="3.2520325203252036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'resumen III Trime'!$A$16</c:f>
              <c:strCache>
                <c:ptCount val="1"/>
                <c:pt idx="0">
                  <c:v>Viáticos 2019</c:v>
                </c:pt>
              </c:strCache>
            </c:strRef>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III Trime'!$B$15:$D$15</c:f>
              <c:strCache>
                <c:ptCount val="3"/>
                <c:pt idx="0">
                  <c:v>Jul</c:v>
                </c:pt>
                <c:pt idx="1">
                  <c:v>Ago</c:v>
                </c:pt>
                <c:pt idx="2">
                  <c:v>Sep</c:v>
                </c:pt>
              </c:strCache>
            </c:strRef>
          </c:cat>
          <c:val>
            <c:numRef>
              <c:f>'resumen III Trime'!$B$16:$D$16</c:f>
              <c:numCache>
                <c:formatCode>#,##0</c:formatCode>
                <c:ptCount val="3"/>
                <c:pt idx="0">
                  <c:v>40870408.300000019</c:v>
                </c:pt>
                <c:pt idx="1">
                  <c:v>39797671.899999999</c:v>
                </c:pt>
                <c:pt idx="2">
                  <c:v>41694407.900000021</c:v>
                </c:pt>
              </c:numCache>
            </c:numRef>
          </c:val>
          <c:extLst xmlns:c16r2="http://schemas.microsoft.com/office/drawing/2015/06/chart">
            <c:ext xmlns:c16="http://schemas.microsoft.com/office/drawing/2014/chart" uri="{C3380CC4-5D6E-409C-BE32-E72D297353CC}">
              <c16:uniqueId val="{00000000-668C-4883-96F2-6299E8543D10}"/>
            </c:ext>
          </c:extLst>
        </c:ser>
        <c:ser>
          <c:idx val="1"/>
          <c:order val="1"/>
          <c:tx>
            <c:strRef>
              <c:f>'resumen III Trime'!$A$17</c:f>
              <c:strCache>
                <c:ptCount val="1"/>
                <c:pt idx="0">
                  <c:v>Viáticos 2018</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III Trime'!$B$15:$D$15</c:f>
              <c:strCache>
                <c:ptCount val="3"/>
                <c:pt idx="0">
                  <c:v>Jul</c:v>
                </c:pt>
                <c:pt idx="1">
                  <c:v>Ago</c:v>
                </c:pt>
                <c:pt idx="2">
                  <c:v>Sep</c:v>
                </c:pt>
              </c:strCache>
            </c:strRef>
          </c:cat>
          <c:val>
            <c:numRef>
              <c:f>'resumen III Trime'!$B$17:$D$17</c:f>
              <c:numCache>
                <c:formatCode>#,##0</c:formatCode>
                <c:ptCount val="3"/>
                <c:pt idx="0">
                  <c:v>43678412</c:v>
                </c:pt>
                <c:pt idx="1">
                  <c:v>35857818</c:v>
                </c:pt>
                <c:pt idx="2">
                  <c:v>44220978.5</c:v>
                </c:pt>
              </c:numCache>
            </c:numRef>
          </c:val>
          <c:extLst xmlns:c16r2="http://schemas.microsoft.com/office/drawing/2015/06/chart">
            <c:ext xmlns:c16="http://schemas.microsoft.com/office/drawing/2014/chart" uri="{C3380CC4-5D6E-409C-BE32-E72D297353CC}">
              <c16:uniqueId val="{00000001-668C-4883-96F2-6299E8543D10}"/>
            </c:ext>
          </c:extLst>
        </c:ser>
        <c:ser>
          <c:idx val="2"/>
          <c:order val="2"/>
          <c:tx>
            <c:strRef>
              <c:f>'resumen III Trime'!$A$18</c:f>
              <c:strCache>
                <c:ptCount val="1"/>
                <c:pt idx="0">
                  <c:v>Variación  Relativa</c:v>
                </c:pt>
              </c:strCache>
            </c:strRef>
          </c:tx>
          <c:spPr>
            <a:gradFill rotWithShape="1">
              <a:gsLst>
                <a:gs pos="0">
                  <a:schemeClr val="accent1">
                    <a:shade val="65000"/>
                    <a:shade val="51000"/>
                    <a:satMod val="130000"/>
                  </a:schemeClr>
                </a:gs>
                <a:gs pos="80000">
                  <a:schemeClr val="accent1">
                    <a:shade val="65000"/>
                    <a:shade val="93000"/>
                    <a:satMod val="130000"/>
                  </a:schemeClr>
                </a:gs>
                <a:gs pos="100000">
                  <a:schemeClr val="accent1">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III Trime'!$B$15:$D$15</c:f>
              <c:strCache>
                <c:ptCount val="3"/>
                <c:pt idx="0">
                  <c:v>Jul</c:v>
                </c:pt>
                <c:pt idx="1">
                  <c:v>Ago</c:v>
                </c:pt>
                <c:pt idx="2">
                  <c:v>Sep</c:v>
                </c:pt>
              </c:strCache>
            </c:strRef>
          </c:cat>
          <c:val>
            <c:numRef>
              <c:f>'resumen III Trime'!$B$18:$D$18</c:f>
              <c:numCache>
                <c:formatCode>0%</c:formatCode>
                <c:ptCount val="3"/>
                <c:pt idx="0">
                  <c:v>-6.4288136207881832E-2</c:v>
                </c:pt>
                <c:pt idx="1">
                  <c:v>0.1098743347963894</c:v>
                </c:pt>
                <c:pt idx="2">
                  <c:v>-5.7135112919312246E-2</c:v>
                </c:pt>
              </c:numCache>
            </c:numRef>
          </c:val>
          <c:extLst xmlns:c16r2="http://schemas.microsoft.com/office/drawing/2015/06/chart">
            <c:ext xmlns:c16="http://schemas.microsoft.com/office/drawing/2014/chart" uri="{C3380CC4-5D6E-409C-BE32-E72D297353CC}">
              <c16:uniqueId val="{00000002-668C-4883-96F2-6299E8543D10}"/>
            </c:ext>
          </c:extLst>
        </c:ser>
        <c:dLbls>
          <c:showLegendKey val="0"/>
          <c:showVal val="0"/>
          <c:showCatName val="0"/>
          <c:showSerName val="0"/>
          <c:showPercent val="0"/>
          <c:showBubbleSize val="0"/>
        </c:dLbls>
        <c:gapWidth val="100"/>
        <c:overlap val="-24"/>
        <c:axId val="100806080"/>
        <c:axId val="104107216"/>
      </c:barChart>
      <c:catAx>
        <c:axId val="1008060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07216"/>
        <c:crosses val="autoZero"/>
        <c:auto val="1"/>
        <c:lblAlgn val="ctr"/>
        <c:lblOffset val="100"/>
        <c:noMultiLvlLbl val="0"/>
      </c:catAx>
      <c:valAx>
        <c:axId val="104107216"/>
        <c:scaling>
          <c:orientation val="minMax"/>
          <c:min val="20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0806080"/>
        <c:crosses val="autoZero"/>
        <c:crossBetween val="between"/>
        <c:majorUnit val="10000000"/>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s-CO" sz="1200" b="1">
                <a:solidFill>
                  <a:schemeClr val="tx2">
                    <a:lumMod val="50000"/>
                  </a:schemeClr>
                </a:solidFill>
              </a:rPr>
              <a:t>Viáticos y Pasajes Áereros 2019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'resumen III Trime'!$A$38</c:f>
              <c:strCache>
                <c:ptCount val="1"/>
                <c:pt idx="0">
                  <c:v>Viáticos 2019</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cat>
            <c:strRef>
              <c:f>'resumen III Trime'!$B$37:$J$37</c:f>
              <c:strCache>
                <c:ptCount val="9"/>
                <c:pt idx="0">
                  <c:v>Ener</c:v>
                </c:pt>
                <c:pt idx="1">
                  <c:v>Feb </c:v>
                </c:pt>
                <c:pt idx="2">
                  <c:v>Mar </c:v>
                </c:pt>
                <c:pt idx="3">
                  <c:v>Abr</c:v>
                </c:pt>
                <c:pt idx="4">
                  <c:v>May</c:v>
                </c:pt>
                <c:pt idx="5">
                  <c:v>Jun</c:v>
                </c:pt>
                <c:pt idx="6">
                  <c:v>Jul</c:v>
                </c:pt>
                <c:pt idx="7">
                  <c:v>Ago</c:v>
                </c:pt>
                <c:pt idx="8">
                  <c:v>Sep</c:v>
                </c:pt>
              </c:strCache>
            </c:strRef>
          </c:cat>
          <c:val>
            <c:numRef>
              <c:f>'resumen III Trime'!$B$38:$J$38</c:f>
              <c:numCache>
                <c:formatCode>_(* #,##0_);_(* \(#,##0\);_(* "-"_);_(@_)</c:formatCode>
                <c:ptCount val="9"/>
                <c:pt idx="0">
                  <c:v>31766325.5</c:v>
                </c:pt>
                <c:pt idx="1">
                  <c:v>35184101.5</c:v>
                </c:pt>
                <c:pt idx="2">
                  <c:v>55172177.5</c:v>
                </c:pt>
                <c:pt idx="3">
                  <c:v>81492484.5</c:v>
                </c:pt>
                <c:pt idx="4">
                  <c:v>25772049</c:v>
                </c:pt>
                <c:pt idx="5">
                  <c:v>53210226.450000003</c:v>
                </c:pt>
                <c:pt idx="6" formatCode="#,##0">
                  <c:v>40870408.300000019</c:v>
                </c:pt>
                <c:pt idx="7" formatCode="#,##0">
                  <c:v>39797671.899999999</c:v>
                </c:pt>
                <c:pt idx="8" formatCode="#,##0">
                  <c:v>41694407.900000021</c:v>
                </c:pt>
              </c:numCache>
            </c:numRef>
          </c:val>
          <c:smooth val="0"/>
          <c:extLst xmlns:c16r2="http://schemas.microsoft.com/office/drawing/2015/06/chart">
            <c:ext xmlns:c16="http://schemas.microsoft.com/office/drawing/2014/chart" uri="{C3380CC4-5D6E-409C-BE32-E72D297353CC}">
              <c16:uniqueId val="{00000000-A3FC-4F4B-BA09-B1601E00143D}"/>
            </c:ext>
          </c:extLst>
        </c:ser>
        <c:ser>
          <c:idx val="1"/>
          <c:order val="1"/>
          <c:tx>
            <c:strRef>
              <c:f>'resumen III Trime'!$A$39</c:f>
              <c:strCache>
                <c:ptCount val="1"/>
                <c:pt idx="0">
                  <c:v>Pasajes 2019</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cat>
            <c:strRef>
              <c:f>'resumen III Trime'!$B$37:$J$37</c:f>
              <c:strCache>
                <c:ptCount val="9"/>
                <c:pt idx="0">
                  <c:v>Ener</c:v>
                </c:pt>
                <c:pt idx="1">
                  <c:v>Feb </c:v>
                </c:pt>
                <c:pt idx="2">
                  <c:v>Mar </c:v>
                </c:pt>
                <c:pt idx="3">
                  <c:v>Abr</c:v>
                </c:pt>
                <c:pt idx="4">
                  <c:v>May</c:v>
                </c:pt>
                <c:pt idx="5">
                  <c:v>Jun</c:v>
                </c:pt>
                <c:pt idx="6">
                  <c:v>Jul</c:v>
                </c:pt>
                <c:pt idx="7">
                  <c:v>Ago</c:v>
                </c:pt>
                <c:pt idx="8">
                  <c:v>Sep</c:v>
                </c:pt>
              </c:strCache>
            </c:strRef>
          </c:cat>
          <c:val>
            <c:numRef>
              <c:f>'resumen III Trime'!$B$39:$J$39</c:f>
              <c:numCache>
                <c:formatCode>_(* #,##0_);_(* \(#,##0\);_(* "-"_);_(@_)</c:formatCode>
                <c:ptCount val="9"/>
                <c:pt idx="0">
                  <c:v>43727116</c:v>
                </c:pt>
                <c:pt idx="1">
                  <c:v>49421224</c:v>
                </c:pt>
                <c:pt idx="2">
                  <c:v>70309140</c:v>
                </c:pt>
                <c:pt idx="3">
                  <c:v>96558565</c:v>
                </c:pt>
                <c:pt idx="4">
                  <c:v>36764173</c:v>
                </c:pt>
                <c:pt idx="5">
                  <c:v>74476428</c:v>
                </c:pt>
                <c:pt idx="6" formatCode="#,##0">
                  <c:v>52392535</c:v>
                </c:pt>
                <c:pt idx="7" formatCode="#,##0">
                  <c:v>47834245</c:v>
                </c:pt>
                <c:pt idx="8" formatCode="#,##0">
                  <c:v>61245633</c:v>
                </c:pt>
              </c:numCache>
            </c:numRef>
          </c:val>
          <c:smooth val="0"/>
          <c:extLst xmlns:c16r2="http://schemas.microsoft.com/office/drawing/2015/06/chart">
            <c:ext xmlns:c16="http://schemas.microsoft.com/office/drawing/2014/chart" uri="{C3380CC4-5D6E-409C-BE32-E72D297353CC}">
              <c16:uniqueId val="{00000001-A3FC-4F4B-BA09-B1601E00143D}"/>
            </c:ext>
          </c:extLst>
        </c:ser>
        <c:dLbls>
          <c:showLegendKey val="0"/>
          <c:showVal val="0"/>
          <c:showCatName val="0"/>
          <c:showSerName val="0"/>
          <c:showPercent val="0"/>
          <c:showBubbleSize val="0"/>
        </c:dLbls>
        <c:marker val="1"/>
        <c:smooth val="0"/>
        <c:axId val="104102864"/>
        <c:axId val="104110480"/>
      </c:lineChart>
      <c:catAx>
        <c:axId val="10410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04110480"/>
        <c:crosses val="autoZero"/>
        <c:auto val="1"/>
        <c:lblAlgn val="ctr"/>
        <c:lblOffset val="100"/>
        <c:noMultiLvlLbl val="0"/>
      </c:catAx>
      <c:valAx>
        <c:axId val="10411048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04102864"/>
        <c:crosses val="autoZero"/>
        <c:crossBetween val="between"/>
        <c:majorUnit val="2000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cap="all" spc="120" normalizeH="0" baseline="0">
                <a:solidFill>
                  <a:schemeClr val="tx2">
                    <a:lumMod val="50000"/>
                  </a:schemeClr>
                </a:solidFill>
                <a:latin typeface="Arial" panose="020B0604020202020204" pitchFamily="34" charset="0"/>
                <a:ea typeface="+mn-ea"/>
                <a:cs typeface="Arial" panose="020B0604020202020204" pitchFamily="34" charset="0"/>
              </a:defRPr>
            </a:pPr>
            <a:r>
              <a:rPr lang="es-CO" sz="1000" cap="none">
                <a:solidFill>
                  <a:schemeClr val="tx2">
                    <a:lumMod val="50000"/>
                  </a:schemeClr>
                </a:solidFill>
                <a:latin typeface="Arial" panose="020B0604020202020204" pitchFamily="34" charset="0"/>
                <a:cs typeface="Arial" panose="020B0604020202020204" pitchFamily="34" charset="0"/>
              </a:rPr>
              <a:t>Variación de Viáticos </a:t>
            </a:r>
          </a:p>
          <a:p>
            <a:pPr>
              <a:defRPr sz="1050">
                <a:solidFill>
                  <a:schemeClr val="tx2">
                    <a:lumMod val="50000"/>
                  </a:schemeClr>
                </a:solidFill>
                <a:latin typeface="Arial" panose="020B0604020202020204" pitchFamily="34" charset="0"/>
                <a:cs typeface="Arial" panose="020B0604020202020204" pitchFamily="34" charset="0"/>
              </a:defRPr>
            </a:pPr>
            <a:r>
              <a:rPr lang="es-CO" sz="1000" cap="none">
                <a:solidFill>
                  <a:schemeClr val="tx2">
                    <a:lumMod val="50000"/>
                  </a:schemeClr>
                </a:solidFill>
                <a:latin typeface="Arial" panose="020B0604020202020204" pitchFamily="34" charset="0"/>
                <a:cs typeface="Arial" panose="020B0604020202020204" pitchFamily="34" charset="0"/>
              </a:rPr>
              <a:t>III Trimestre 2019- 2018</a:t>
            </a:r>
          </a:p>
        </c:rich>
      </c:tx>
      <c:overlay val="0"/>
      <c:spPr>
        <a:noFill/>
        <a:ln>
          <a:noFill/>
        </a:ln>
        <a:effectLst/>
      </c:spPr>
      <c:txPr>
        <a:bodyPr rot="0" spcFirstLastPara="1" vertOverflow="ellipsis" vert="horz" wrap="square" anchor="ctr" anchorCtr="1"/>
        <a:lstStyle/>
        <a:p>
          <a:pPr>
            <a:defRPr sz="1050" b="1" i="0" u="none" strike="noStrike" kern="1200" cap="all" spc="120" normalizeH="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'resumen III Trime'!$B$106</c:f>
              <c:strCache>
                <c:ptCount val="1"/>
                <c:pt idx="0">
                  <c:v>Valor ($)</c:v>
                </c:pt>
              </c:strCache>
            </c:strRef>
          </c:tx>
          <c:spPr>
            <a:ln w="22225" cap="rnd">
              <a:solidFill>
                <a:schemeClr val="accent1">
                  <a:tint val="77000"/>
                </a:schemeClr>
              </a:solidFill>
              <a:round/>
            </a:ln>
            <a:effectLst/>
          </c:spPr>
          <c:marker>
            <c:symbol val="diamond"/>
            <c:size val="6"/>
            <c:spPr>
              <a:solidFill>
                <a:schemeClr val="accent1">
                  <a:tint val="77000"/>
                </a:schemeClr>
              </a:solidFill>
              <a:ln w="9525">
                <a:solidFill>
                  <a:schemeClr val="accent1">
                    <a:tint val="77000"/>
                  </a:schemeClr>
                </a:solidFill>
                <a:round/>
              </a:ln>
              <a:effectLst/>
            </c:spPr>
          </c:marker>
          <c:dLbls>
            <c:dLbl>
              <c:idx val="0"/>
              <c:layout>
                <c:manualLayout>
                  <c:x val="-6.1349693251533742E-2"/>
                  <c:y val="7.54716981132075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8A0-4CEF-98D4-180A593FC92F}"/>
                </c:ext>
                <c:ext xmlns:c15="http://schemas.microsoft.com/office/drawing/2012/chart" uri="{CE6537A1-D6FC-4f65-9D91-7224C49458BB}"/>
              </c:extLst>
            </c:dLbl>
            <c:dLbl>
              <c:idx val="1"/>
              <c:layout>
                <c:manualLayout>
                  <c:x val="-0.130879345603272"/>
                  <c:y val="-2.51572327044025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8A0-4CEF-98D4-180A593FC92F}"/>
                </c:ext>
                <c:ext xmlns:c15="http://schemas.microsoft.com/office/drawing/2012/chart" uri="{CE6537A1-D6FC-4f65-9D91-7224C49458BB}"/>
              </c:extLst>
            </c:dLbl>
            <c:dLbl>
              <c:idx val="2"/>
              <c:layout>
                <c:manualLayout>
                  <c:x val="-8.1799591002044994E-2"/>
                  <c:y val="8.3857442348008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8A0-4CEF-98D4-180A593FC92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'resumen III Trime'!$A$107:$A$109</c:f>
              <c:strCache>
                <c:ptCount val="3"/>
                <c:pt idx="0">
                  <c:v>Jul</c:v>
                </c:pt>
                <c:pt idx="1">
                  <c:v>Ago</c:v>
                </c:pt>
                <c:pt idx="2">
                  <c:v>Sep</c:v>
                </c:pt>
              </c:strCache>
            </c:strRef>
          </c:cat>
          <c:val>
            <c:numRef>
              <c:f>'resumen III Trime'!$B$107:$B$109</c:f>
              <c:numCache>
                <c:formatCode>0%</c:formatCode>
                <c:ptCount val="3"/>
                <c:pt idx="0">
                  <c:v>-0.06</c:v>
                </c:pt>
                <c:pt idx="1">
                  <c:v>0.11</c:v>
                </c:pt>
                <c:pt idx="2">
                  <c:v>-0.06</c:v>
                </c:pt>
              </c:numCache>
            </c:numRef>
          </c:val>
          <c:smooth val="0"/>
          <c:extLst xmlns:c16r2="http://schemas.microsoft.com/office/drawing/2015/06/chart">
            <c:ext xmlns:c16="http://schemas.microsoft.com/office/drawing/2014/chart" uri="{C3380CC4-5D6E-409C-BE32-E72D297353CC}">
              <c16:uniqueId val="{00000000-C8A0-4CEF-98D4-180A593FC92F}"/>
            </c:ext>
          </c:extLst>
        </c:ser>
        <c:ser>
          <c:idx val="1"/>
          <c:order val="1"/>
          <c:tx>
            <c:strRef>
              <c:f>'resumen III Trime'!$C$106</c:f>
              <c:strCache>
                <c:ptCount val="1"/>
                <c:pt idx="0">
                  <c:v>Cantidad (#)</c:v>
                </c:pt>
              </c:strCache>
            </c:strRef>
          </c:tx>
          <c:spPr>
            <a:ln w="22225" cap="rnd">
              <a:solidFill>
                <a:schemeClr val="accent1">
                  <a:shade val="76000"/>
                </a:schemeClr>
              </a:solidFill>
              <a:round/>
            </a:ln>
            <a:effectLst/>
          </c:spPr>
          <c:marker>
            <c:symbol val="square"/>
            <c:size val="6"/>
            <c:spPr>
              <a:solidFill>
                <a:schemeClr val="accent1">
                  <a:shade val="76000"/>
                </a:schemeClr>
              </a:solidFill>
              <a:ln w="9525">
                <a:solidFill>
                  <a:schemeClr val="accent1">
                    <a:shade val="76000"/>
                  </a:schemeClr>
                </a:solidFill>
                <a:round/>
              </a:ln>
              <a:effectLst/>
            </c:spPr>
          </c:marker>
          <c:dLbls>
            <c:dLbl>
              <c:idx val="0"/>
              <c:layout>
                <c:manualLayout>
                  <c:x val="-8.1799591002044994E-2"/>
                  <c:y val="-6.28930817610063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8A0-4CEF-98D4-180A593FC92F}"/>
                </c:ext>
                <c:ext xmlns:c15="http://schemas.microsoft.com/office/drawing/2012/chart" uri="{CE6537A1-D6FC-4f65-9D91-7224C49458BB}"/>
              </c:extLst>
            </c:dLbl>
            <c:dLbl>
              <c:idx val="1"/>
              <c:layout>
                <c:manualLayout>
                  <c:x val="-3.6809815950920248E-2"/>
                  <c:y val="-6.70859538784067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8A0-4CEF-98D4-180A593FC92F}"/>
                </c:ext>
                <c:ext xmlns:c15="http://schemas.microsoft.com/office/drawing/2012/chart" uri="{CE6537A1-D6FC-4f65-9D91-7224C49458BB}"/>
              </c:extLst>
            </c:dLbl>
            <c:dLbl>
              <c:idx val="2"/>
              <c:layout>
                <c:manualLayout>
                  <c:x val="-2.4539877300613498E-2"/>
                  <c:y val="-7.54716981132075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8A0-4CEF-98D4-180A593FC92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'resumen III Trime'!$A$107:$A$109</c:f>
              <c:strCache>
                <c:ptCount val="3"/>
                <c:pt idx="0">
                  <c:v>Jul</c:v>
                </c:pt>
                <c:pt idx="1">
                  <c:v>Ago</c:v>
                </c:pt>
                <c:pt idx="2">
                  <c:v>Sep</c:v>
                </c:pt>
              </c:strCache>
            </c:strRef>
          </c:cat>
          <c:val>
            <c:numRef>
              <c:f>'resumen III Trime'!$C$107:$C$109</c:f>
              <c:numCache>
                <c:formatCode>0%</c:formatCode>
                <c:ptCount val="3"/>
                <c:pt idx="0">
                  <c:v>0.09</c:v>
                </c:pt>
                <c:pt idx="1">
                  <c:v>0.2</c:v>
                </c:pt>
                <c:pt idx="2">
                  <c:v>-0.01</c:v>
                </c:pt>
              </c:numCache>
            </c:numRef>
          </c:val>
          <c:smooth val="0"/>
          <c:extLst xmlns:c16r2="http://schemas.microsoft.com/office/drawing/2015/06/chart">
            <c:ext xmlns:c16="http://schemas.microsoft.com/office/drawing/2014/chart" uri="{C3380CC4-5D6E-409C-BE32-E72D297353CC}">
              <c16:uniqueId val="{00000001-C8A0-4CEF-98D4-180A593FC92F}"/>
            </c:ext>
          </c:extLst>
        </c:ser>
        <c:dLbls>
          <c:showLegendKey val="0"/>
          <c:showVal val="0"/>
          <c:showCatName val="0"/>
          <c:showSerName val="0"/>
          <c:showPercent val="0"/>
          <c:showBubbleSize val="0"/>
        </c:dLbls>
        <c:marker val="1"/>
        <c:smooth val="0"/>
        <c:axId val="104097424"/>
        <c:axId val="104103952"/>
      </c:lineChart>
      <c:catAx>
        <c:axId val="10409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2">
                    <a:lumMod val="50000"/>
                  </a:schemeClr>
                </a:solidFill>
                <a:latin typeface="+mn-lt"/>
                <a:ea typeface="+mn-ea"/>
                <a:cs typeface="+mn-cs"/>
              </a:defRPr>
            </a:pPr>
            <a:endParaRPr lang="es-CO"/>
          </a:p>
        </c:txPr>
        <c:crossAx val="104103952"/>
        <c:crosses val="autoZero"/>
        <c:auto val="1"/>
        <c:lblAlgn val="ctr"/>
        <c:lblOffset val="100"/>
        <c:noMultiLvlLbl val="0"/>
      </c:catAx>
      <c:valAx>
        <c:axId val="104103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104097424"/>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lt1"/>
    </a:solidFill>
    <a:ln w="9525" cap="flat" cmpd="sng" algn="ctr">
      <a:no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cap="all" spc="120" normalizeH="0" baseline="0">
                <a:solidFill>
                  <a:schemeClr val="tx2">
                    <a:lumMod val="50000"/>
                  </a:schemeClr>
                </a:solidFill>
                <a:latin typeface="Arial" panose="020B0604020202020204" pitchFamily="34" charset="0"/>
                <a:ea typeface="+mn-ea"/>
                <a:cs typeface="Arial" panose="020B0604020202020204" pitchFamily="34" charset="0"/>
              </a:defRPr>
            </a:pPr>
            <a:r>
              <a:rPr lang="es-CO" sz="1000" cap="none">
                <a:solidFill>
                  <a:schemeClr val="tx2">
                    <a:lumMod val="50000"/>
                  </a:schemeClr>
                </a:solidFill>
                <a:latin typeface="Arial" panose="020B0604020202020204" pitchFamily="34" charset="0"/>
                <a:cs typeface="Arial" panose="020B0604020202020204" pitchFamily="34" charset="0"/>
              </a:rPr>
              <a:t>Variación de Pasajes</a:t>
            </a:r>
            <a:r>
              <a:rPr lang="es-CO" sz="1000" cap="none" baseline="0">
                <a:solidFill>
                  <a:schemeClr val="tx2">
                    <a:lumMod val="50000"/>
                  </a:schemeClr>
                </a:solidFill>
                <a:latin typeface="Arial" panose="020B0604020202020204" pitchFamily="34" charset="0"/>
                <a:cs typeface="Arial" panose="020B0604020202020204" pitchFamily="34" charset="0"/>
              </a:rPr>
              <a:t> </a:t>
            </a:r>
            <a:r>
              <a:rPr lang="es-CO" sz="1000" cap="none">
                <a:solidFill>
                  <a:schemeClr val="tx2">
                    <a:lumMod val="50000"/>
                  </a:schemeClr>
                </a:solidFill>
                <a:latin typeface="Arial" panose="020B0604020202020204" pitchFamily="34" charset="0"/>
                <a:cs typeface="Arial" panose="020B0604020202020204" pitchFamily="34" charset="0"/>
              </a:rPr>
              <a:t>Aéreos </a:t>
            </a:r>
          </a:p>
          <a:p>
            <a:pPr>
              <a:defRPr sz="1050">
                <a:solidFill>
                  <a:schemeClr val="tx2">
                    <a:lumMod val="50000"/>
                  </a:schemeClr>
                </a:solidFill>
                <a:latin typeface="Arial" panose="020B0604020202020204" pitchFamily="34" charset="0"/>
                <a:cs typeface="Arial" panose="020B0604020202020204" pitchFamily="34" charset="0"/>
              </a:defRPr>
            </a:pPr>
            <a:r>
              <a:rPr lang="es-CO" sz="1000">
                <a:solidFill>
                  <a:schemeClr val="tx2">
                    <a:lumMod val="50000"/>
                  </a:schemeClr>
                </a:solidFill>
                <a:latin typeface="Arial" panose="020B0604020202020204" pitchFamily="34" charset="0"/>
                <a:cs typeface="Arial" panose="020B0604020202020204" pitchFamily="34" charset="0"/>
              </a:rPr>
              <a:t>III </a:t>
            </a:r>
            <a:r>
              <a:rPr lang="es-CO" sz="1000" cap="none">
                <a:solidFill>
                  <a:schemeClr val="tx2">
                    <a:lumMod val="50000"/>
                  </a:schemeClr>
                </a:solidFill>
                <a:latin typeface="Arial" panose="020B0604020202020204" pitchFamily="34" charset="0"/>
                <a:cs typeface="Arial" panose="020B0604020202020204" pitchFamily="34" charset="0"/>
              </a:rPr>
              <a:t>Trimestre 2019- 2018</a:t>
            </a:r>
            <a:endParaRPr lang="es-CO" sz="1000">
              <a:solidFill>
                <a:schemeClr val="tx2">
                  <a:lumMod val="50000"/>
                </a:schemeClr>
              </a:solidFill>
              <a:latin typeface="Arial" panose="020B0604020202020204" pitchFamily="34" charset="0"/>
              <a:cs typeface="Arial" panose="020B0604020202020204" pitchFamily="34" charset="0"/>
            </a:endParaRPr>
          </a:p>
        </c:rich>
      </c:tx>
      <c:layout>
        <c:manualLayout>
          <c:xMode val="edge"/>
          <c:yMode val="edge"/>
          <c:x val="0.17248000249968753"/>
          <c:y val="2.5396825396825397E-2"/>
        </c:manualLayout>
      </c:layout>
      <c:overlay val="0"/>
      <c:spPr>
        <a:noFill/>
        <a:ln>
          <a:noFill/>
        </a:ln>
        <a:effectLst/>
      </c:spPr>
      <c:txPr>
        <a:bodyPr rot="0" spcFirstLastPara="1" vertOverflow="ellipsis" vert="horz" wrap="square" anchor="ctr" anchorCtr="1"/>
        <a:lstStyle/>
        <a:p>
          <a:pPr>
            <a:defRPr sz="1050" b="1" i="0" u="none" strike="noStrike" kern="1200" cap="all" spc="120" normalizeH="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'resumen III Trime'!$B$111</c:f>
              <c:strCache>
                <c:ptCount val="1"/>
                <c:pt idx="0">
                  <c:v>Valor ($)</c:v>
                </c:pt>
              </c:strCache>
            </c:strRef>
          </c:tx>
          <c:spPr>
            <a:ln w="22225" cap="rnd">
              <a:solidFill>
                <a:schemeClr val="accent1">
                  <a:tint val="77000"/>
                </a:schemeClr>
              </a:solidFill>
              <a:round/>
            </a:ln>
            <a:effectLst/>
          </c:spPr>
          <c:marker>
            <c:symbol val="diamond"/>
            <c:size val="6"/>
            <c:spPr>
              <a:solidFill>
                <a:schemeClr val="accent1">
                  <a:tint val="77000"/>
                </a:schemeClr>
              </a:solidFill>
              <a:ln w="9525">
                <a:solidFill>
                  <a:schemeClr val="accent1">
                    <a:tint val="77000"/>
                  </a:schemeClr>
                </a:solidFill>
                <a:round/>
              </a:ln>
              <a:effectLst/>
            </c:spPr>
          </c:marker>
          <c:dLbls>
            <c:dLbl>
              <c:idx val="0"/>
              <c:layout>
                <c:manualLayout>
                  <c:x val="-0.14271151885830785"/>
                  <c:y val="8.46560846560845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2A4-4E8C-9D4D-34225FF6725A}"/>
                </c:ext>
                <c:ext xmlns:c15="http://schemas.microsoft.com/office/drawing/2012/chart" uri="{CE6537A1-D6FC-4f65-9D91-7224C49458BB}"/>
              </c:extLst>
            </c:dLbl>
            <c:dLbl>
              <c:idx val="1"/>
              <c:layout>
                <c:manualLayout>
                  <c:x val="-2.8542303771661569E-2"/>
                  <c:y val="5.50264550264549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2A4-4E8C-9D4D-34225FF6725A}"/>
                </c:ext>
                <c:ext xmlns:c15="http://schemas.microsoft.com/office/drawing/2012/chart" uri="{CE6537A1-D6FC-4f65-9D91-7224C49458BB}"/>
              </c:extLst>
            </c:dLbl>
            <c:dLbl>
              <c:idx val="2"/>
              <c:layout>
                <c:manualLayout>
                  <c:x val="-1.2232415902140673E-2"/>
                  <c:y val="7.61904761904761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2A4-4E8C-9D4D-34225FF6725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'resumen III Trime'!$A$112:$A$114</c:f>
              <c:strCache>
                <c:ptCount val="3"/>
                <c:pt idx="0">
                  <c:v>Jul</c:v>
                </c:pt>
                <c:pt idx="1">
                  <c:v>Ago</c:v>
                </c:pt>
                <c:pt idx="2">
                  <c:v>Sep</c:v>
                </c:pt>
              </c:strCache>
            </c:strRef>
          </c:cat>
          <c:val>
            <c:numRef>
              <c:f>'resumen III Trime'!$B$112:$B$114</c:f>
              <c:numCache>
                <c:formatCode>0%</c:formatCode>
                <c:ptCount val="3"/>
                <c:pt idx="0">
                  <c:v>-0.2</c:v>
                </c:pt>
                <c:pt idx="1">
                  <c:v>-0.3</c:v>
                </c:pt>
                <c:pt idx="2" formatCode="0.0%">
                  <c:v>-4.0000000000000001E-3</c:v>
                </c:pt>
              </c:numCache>
            </c:numRef>
          </c:val>
          <c:smooth val="0"/>
          <c:extLst xmlns:c16r2="http://schemas.microsoft.com/office/drawing/2015/06/chart">
            <c:ext xmlns:c16="http://schemas.microsoft.com/office/drawing/2014/chart" uri="{C3380CC4-5D6E-409C-BE32-E72D297353CC}">
              <c16:uniqueId val="{00000000-52A4-4E8C-9D4D-34225FF6725A}"/>
            </c:ext>
          </c:extLst>
        </c:ser>
        <c:ser>
          <c:idx val="1"/>
          <c:order val="1"/>
          <c:tx>
            <c:strRef>
              <c:f>'resumen III Trime'!$C$111</c:f>
              <c:strCache>
                <c:ptCount val="1"/>
                <c:pt idx="0">
                  <c:v>Cantidad (#)</c:v>
                </c:pt>
              </c:strCache>
            </c:strRef>
          </c:tx>
          <c:spPr>
            <a:ln w="22225" cap="rnd">
              <a:solidFill>
                <a:schemeClr val="accent1">
                  <a:shade val="76000"/>
                </a:schemeClr>
              </a:solidFill>
              <a:round/>
            </a:ln>
            <a:effectLst/>
          </c:spPr>
          <c:marker>
            <c:symbol val="square"/>
            <c:size val="6"/>
            <c:spPr>
              <a:solidFill>
                <a:schemeClr val="accent1">
                  <a:shade val="76000"/>
                </a:schemeClr>
              </a:solidFill>
              <a:ln w="9525">
                <a:solidFill>
                  <a:schemeClr val="accent1">
                    <a:shade val="76000"/>
                  </a:schemeClr>
                </a:solidFill>
                <a:round/>
              </a:ln>
              <a:effectLst/>
            </c:spPr>
          </c:marker>
          <c:dLbls>
            <c:dLbl>
              <c:idx val="0"/>
              <c:layout>
                <c:manualLayout>
                  <c:x val="-0.10601427115188583"/>
                  <c:y val="-0.105820105820105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2A4-4E8C-9D4D-34225FF6725A}"/>
                </c:ext>
                <c:ext xmlns:c15="http://schemas.microsoft.com/office/drawing/2012/chart" uri="{CE6537A1-D6FC-4f65-9D91-7224C49458BB}"/>
              </c:extLst>
            </c:dLbl>
            <c:dLbl>
              <c:idx val="1"/>
              <c:layout>
                <c:manualLayout>
                  <c:x val="-0.13863404689092762"/>
                  <c:y val="-0.1523809523809524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2A4-4E8C-9D4D-34225FF6725A}"/>
                </c:ext>
                <c:ext xmlns:c15="http://schemas.microsoft.com/office/drawing/2012/chart" uri="{CE6537A1-D6FC-4f65-9D91-7224C49458BB}"/>
              </c:extLst>
            </c:dLbl>
            <c:dLbl>
              <c:idx val="2"/>
              <c:layout>
                <c:manualLayout>
                  <c:x val="-6.1162079510703515E-2"/>
                  <c:y val="-6.77248677248677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2A4-4E8C-9D4D-34225FF6725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'resumen III Trime'!$A$112:$A$114</c:f>
              <c:strCache>
                <c:ptCount val="3"/>
                <c:pt idx="0">
                  <c:v>Jul</c:v>
                </c:pt>
                <c:pt idx="1">
                  <c:v>Ago</c:v>
                </c:pt>
                <c:pt idx="2">
                  <c:v>Sep</c:v>
                </c:pt>
              </c:strCache>
            </c:strRef>
          </c:cat>
          <c:val>
            <c:numRef>
              <c:f>'resumen III Trime'!$C$112:$C$114</c:f>
              <c:numCache>
                <c:formatCode>0%</c:formatCode>
                <c:ptCount val="3"/>
                <c:pt idx="0">
                  <c:v>-7.0000000000000007E-2</c:v>
                </c:pt>
                <c:pt idx="1">
                  <c:v>-0.16</c:v>
                </c:pt>
                <c:pt idx="2">
                  <c:v>0.06</c:v>
                </c:pt>
              </c:numCache>
            </c:numRef>
          </c:val>
          <c:smooth val="0"/>
          <c:extLst xmlns:c16r2="http://schemas.microsoft.com/office/drawing/2015/06/chart">
            <c:ext xmlns:c16="http://schemas.microsoft.com/office/drawing/2014/chart" uri="{C3380CC4-5D6E-409C-BE32-E72D297353CC}">
              <c16:uniqueId val="{00000001-52A4-4E8C-9D4D-34225FF6725A}"/>
            </c:ext>
          </c:extLst>
        </c:ser>
        <c:dLbls>
          <c:showLegendKey val="0"/>
          <c:showVal val="0"/>
          <c:showCatName val="0"/>
          <c:showSerName val="0"/>
          <c:showPercent val="0"/>
          <c:showBubbleSize val="0"/>
        </c:dLbls>
        <c:marker val="1"/>
        <c:smooth val="0"/>
        <c:axId val="104103408"/>
        <c:axId val="104099600"/>
      </c:lineChart>
      <c:catAx>
        <c:axId val="10410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2">
                    <a:lumMod val="50000"/>
                  </a:schemeClr>
                </a:solidFill>
                <a:latin typeface="+mn-lt"/>
                <a:ea typeface="+mn-ea"/>
                <a:cs typeface="+mn-cs"/>
              </a:defRPr>
            </a:pPr>
            <a:endParaRPr lang="es-CO"/>
          </a:p>
        </c:txPr>
        <c:crossAx val="104099600"/>
        <c:crosses val="autoZero"/>
        <c:auto val="1"/>
        <c:lblAlgn val="ctr"/>
        <c:lblOffset val="100"/>
        <c:noMultiLvlLbl val="0"/>
      </c:catAx>
      <c:valAx>
        <c:axId val="104099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es-CO"/>
          </a:p>
        </c:txPr>
        <c:crossAx val="104103408"/>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lt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10.xml><?xml version="1.0" encoding="utf-8"?>
<cs:colorStyle xmlns:cs="http://schemas.microsoft.com/office/drawing/2012/chartStyle" xmlns:a="http://schemas.openxmlformats.org/drawingml/2006/main" meth="withinLinearReversed" id="21">
  <a:schemeClr val="accent1"/>
</cs:colorStyle>
</file>

<file path=word/charts/colors11.xml><?xml version="1.0" encoding="utf-8"?>
<cs:colorStyle xmlns:cs="http://schemas.microsoft.com/office/drawing/2012/chartStyle" xmlns:a="http://schemas.openxmlformats.org/drawingml/2006/main" meth="withinLinear" id="14">
  <a:schemeClr val="accent1"/>
</cs:colorStyle>
</file>

<file path=word/charts/colors12.xml><?xml version="1.0" encoding="utf-8"?>
<cs:colorStyle xmlns:cs="http://schemas.microsoft.com/office/drawing/2012/chartStyle" xmlns:a="http://schemas.openxmlformats.org/drawingml/2006/main" meth="withinLinear" id="14">
  <a:schemeClr val="accent1"/>
</cs:colorStyle>
</file>

<file path=word/charts/colors13.xml><?xml version="1.0" encoding="utf-8"?>
<cs:colorStyle xmlns:cs="http://schemas.microsoft.com/office/drawing/2012/chartStyle" xmlns:a="http://schemas.openxmlformats.org/drawingml/2006/main" meth="withinLinearReversed" id="21">
  <a:schemeClr val="accent1"/>
</cs:colorStyle>
</file>

<file path=word/charts/colors14.xml><?xml version="1.0" encoding="utf-8"?>
<cs:colorStyle xmlns:cs="http://schemas.microsoft.com/office/drawing/2012/chartStyle" xmlns:a="http://schemas.openxmlformats.org/drawingml/2006/main" meth="withinLinearReversed" id="21">
  <a:schemeClr val="accent1"/>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withinLinearReversed" id="21">
  <a:schemeClr val="accent1"/>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withinLinearReversed" id="21">
  <a:schemeClr val="accent1"/>
</cs:colorStyle>
</file>

<file path=word/charts/colors21.xml><?xml version="1.0" encoding="utf-8"?>
<cs:colorStyle xmlns:cs="http://schemas.microsoft.com/office/drawing/2012/chartStyle" xmlns:a="http://schemas.openxmlformats.org/drawingml/2006/main" meth="withinLinearReversed" id="21">
  <a:schemeClr val="accent1"/>
</cs:colorStyle>
</file>

<file path=word/charts/colors2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colors7.xml><?xml version="1.0" encoding="utf-8"?>
<cs:colorStyle xmlns:cs="http://schemas.microsoft.com/office/drawing/2012/chartStyle" xmlns:a="http://schemas.openxmlformats.org/drawingml/2006/main" meth="withinLinearReversed" id="21">
  <a:schemeClr val="accent1"/>
</cs:colorStyle>
</file>

<file path=word/charts/colors8.xml><?xml version="1.0" encoding="utf-8"?>
<cs:colorStyle xmlns:cs="http://schemas.microsoft.com/office/drawing/2012/chartStyle" xmlns:a="http://schemas.openxmlformats.org/drawingml/2006/main" meth="withinLinearReversed" id="21">
  <a:schemeClr val="accent1"/>
</cs:colorStyle>
</file>

<file path=word/charts/colors9.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4745F0-BB22-43A5-A0B0-61D13F2A8A5B}"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s-ES"/>
        </a:p>
      </dgm:t>
    </dgm:pt>
    <dgm:pt modelId="{F96ED639-8441-4891-9482-15BF7BD85A19}">
      <dgm:prSet phldrT="[Texto]" custT="1"/>
      <dgm:spPr/>
      <dgm:t>
        <a:bodyPr/>
        <a:lstStyle/>
        <a:p>
          <a:pPr>
            <a:lnSpc>
              <a:spcPct val="100000"/>
            </a:lnSpc>
          </a:pPr>
          <a:r>
            <a:rPr lang="es-ES" sz="1100" b="1">
              <a:latin typeface="Arial" panose="020B0604020202020204" pitchFamily="34" charset="0"/>
              <a:cs typeface="Arial" panose="020B0604020202020204" pitchFamily="34" charset="0"/>
            </a:rPr>
            <a:t>Objetivo</a:t>
          </a:r>
        </a:p>
      </dgm:t>
    </dgm:pt>
    <dgm:pt modelId="{EEE9255B-9009-4FBA-9950-7EDDCCFB10A3}" type="parTrans" cxnId="{3B2B4884-97B1-4167-B823-E5C7F105B3A1}">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7A38F5C0-F4EF-464A-9FFC-B038651DCDA8}" type="sibTrans" cxnId="{3B2B4884-97B1-4167-B823-E5C7F105B3A1}">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BB1881BB-9F6B-4CD5-8C49-877D0C96DE54}">
      <dgm:prSet phldrT="[Texto]" custT="1"/>
      <dgm:spPr/>
      <dgm:t>
        <a:bodyPr/>
        <a:lstStyle/>
        <a:p>
          <a:pPr algn="just">
            <a:lnSpc>
              <a:spcPct val="100000"/>
            </a:lnSpc>
          </a:pPr>
          <a:r>
            <a:rPr lang="es-CO" sz="1000">
              <a:latin typeface="Arial" panose="020B0604020202020204" pitchFamily="34" charset="0"/>
              <a:cs typeface="Arial" panose="020B0604020202020204" pitchFamily="34" charset="0"/>
            </a:rPr>
            <a:t>Verificar el cumplimiento razonable de la normatividad y las politicas, en el marco del plan de austeridad y eficiencia en el gasto público direccionado por el Gobierno Nacional. Así mismo, analizar el comportamiento del gasto público y las medidas de austeridad aplicadas por este Ministerio y como resultado, exponer situaciones y hechos, que puedan servir como base para la toma de decisiones y efectuar las respectivas recomendaciones a que haya lugar. Lo anterior, en cumplimiento de lo establecido en el artículo 2.8.4.8.2 del Decreto 1068 de 2015. </a:t>
          </a:r>
          <a:endParaRPr lang="es-ES" sz="1000">
            <a:latin typeface="Arial" panose="020B0604020202020204" pitchFamily="34" charset="0"/>
            <a:cs typeface="Arial" panose="020B0604020202020204" pitchFamily="34" charset="0"/>
          </a:endParaRPr>
        </a:p>
      </dgm:t>
    </dgm:pt>
    <dgm:pt modelId="{936F958B-928B-47E8-807D-43C51B18EB86}" type="parTrans" cxnId="{529EE746-F3ED-420E-A585-9213425C7FD8}">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685241F2-5614-4CA3-8CDB-F1CD4FACF30B}" type="sibTrans" cxnId="{529EE746-F3ED-420E-A585-9213425C7FD8}">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751805B3-082D-4A39-ABBF-21C92207C470}">
      <dgm:prSet phldrT="[Texto]" custT="1"/>
      <dgm:spPr/>
      <dgm:t>
        <a:bodyPr/>
        <a:lstStyle/>
        <a:p>
          <a:pPr>
            <a:lnSpc>
              <a:spcPct val="100000"/>
            </a:lnSpc>
          </a:pPr>
          <a:r>
            <a:rPr lang="es-MX" sz="1100" b="1" i="0">
              <a:latin typeface="Arial" panose="020B0604020202020204" pitchFamily="34" charset="0"/>
              <a:cs typeface="Arial" panose="020B0604020202020204" pitchFamily="34" charset="0"/>
            </a:rPr>
            <a:t>Fuente Normativa </a:t>
          </a:r>
          <a:endParaRPr lang="es-ES" sz="1100" b="1">
            <a:latin typeface="Arial" panose="020B0604020202020204" pitchFamily="34" charset="0"/>
            <a:cs typeface="Arial" panose="020B0604020202020204" pitchFamily="34" charset="0"/>
          </a:endParaRPr>
        </a:p>
      </dgm:t>
    </dgm:pt>
    <dgm:pt modelId="{32C080C9-02D3-44D2-9962-E0A99AB869AF}" type="parTrans" cxnId="{3A2904D4-BBE8-47E6-B48C-95B361124589}">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0A180B88-2F30-4C34-951F-68D8EED40031}" type="sibTrans" cxnId="{3A2904D4-BBE8-47E6-B48C-95B361124589}">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A63EA96D-5602-451D-80C1-BCEEBD7B4A66}">
      <dgm:prSet phldrT="[Texto]" custT="1"/>
      <dgm:spPr/>
      <dgm:t>
        <a:bodyPr/>
        <a:lstStyle/>
        <a:p>
          <a:pPr>
            <a:lnSpc>
              <a:spcPct val="100000"/>
            </a:lnSpc>
          </a:pPr>
          <a:r>
            <a:rPr lang="es-ES" sz="1100" b="1">
              <a:latin typeface="Arial" panose="020B0604020202020204" pitchFamily="34" charset="0"/>
              <a:cs typeface="Arial" panose="020B0604020202020204" pitchFamily="34" charset="0"/>
            </a:rPr>
            <a:t>Alcance </a:t>
          </a:r>
        </a:p>
      </dgm:t>
    </dgm:pt>
    <dgm:pt modelId="{844BBB42-457E-4B14-B24B-1BEEC94912AC}" type="parTrans" cxnId="{918136BC-BEBE-4EC9-BD73-2E44ED3321EE}">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7DA7FE73-E872-4EDD-9D4F-8122B503DEC7}" type="sibTrans" cxnId="{918136BC-BEBE-4EC9-BD73-2E44ED3321EE}">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A2C93772-D5E3-4FD2-84D0-54D8350C64A8}">
      <dgm:prSet phldrT="[Texto]" custT="1"/>
      <dgm:spPr/>
      <dgm:t>
        <a:bodyPr/>
        <a:lstStyle/>
        <a:p>
          <a:pPr algn="just">
            <a:lnSpc>
              <a:spcPct val="100000"/>
            </a:lnSpc>
            <a:spcAft>
              <a:spcPts val="600"/>
            </a:spcAft>
          </a:pPr>
          <a:r>
            <a:rPr lang="es-ES_tradnl" sz="1000">
              <a:latin typeface="Arial" panose="020B0604020202020204" pitchFamily="34" charset="0"/>
              <a:cs typeface="Arial" panose="020B0604020202020204" pitchFamily="34" charset="0"/>
            </a:rPr>
            <a:t>El presente informe tendrá como alcance el análisis y comparación de las medidas de austeridad del gasto señaladas en la Ley 1940 de 2018, Directiva 09 de 2018 y Circular Interna 05 de 2019, correspondiente al tercer trimestre de 2019 comparado con el tercer  trimestre de 2018.</a:t>
          </a:r>
          <a:endParaRPr lang="es-ES" sz="1000">
            <a:latin typeface="Arial" panose="020B0604020202020204" pitchFamily="34" charset="0"/>
            <a:cs typeface="Arial" panose="020B0604020202020204" pitchFamily="34" charset="0"/>
          </a:endParaRPr>
        </a:p>
      </dgm:t>
    </dgm:pt>
    <dgm:pt modelId="{82385681-50C5-4E56-B3E6-36875DD56012}" type="parTrans" cxnId="{1745B8FF-DA8B-4561-B138-87ABBF218503}">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24203CC4-5304-4A47-AFF9-7D8991A198EC}" type="sibTrans" cxnId="{1745B8FF-DA8B-4561-B138-87ABBF218503}">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C9FC0487-575B-4C4C-91C1-F5C874A36FA1}">
      <dgm:prSet phldrT="[Texto]" custT="1"/>
      <dgm:spPr/>
      <dgm:t>
        <a:bodyPr/>
        <a:lstStyle/>
        <a:p>
          <a:pPr algn="just">
            <a:lnSpc>
              <a:spcPct val="100000"/>
            </a:lnSpc>
            <a:spcAft>
              <a:spcPts val="600"/>
            </a:spcAft>
          </a:pPr>
          <a:r>
            <a:rPr lang="es-ES" sz="1000">
              <a:latin typeface="Arial" panose="020B0604020202020204" pitchFamily="34" charset="0"/>
              <a:cs typeface="Arial" panose="020B0604020202020204" pitchFamily="34" charset="0"/>
            </a:rPr>
            <a:t>Ley 1940 de 2018, </a:t>
          </a:r>
          <a:r>
            <a:rPr lang="es-ES" sz="1000" i="1">
              <a:latin typeface="Arial" panose="020B0604020202020204" pitchFamily="34" charset="0"/>
              <a:cs typeface="Arial" panose="020B0604020202020204" pitchFamily="34" charset="0"/>
            </a:rPr>
            <a:t>«Por la cual se decreta el Presupuesto de Rentas y Recursos de Capital y Ley de Apropiaciones para la vigencia fiscal del 1° de enero al 31 de diciembre de 2019, artículo 81 y 83».</a:t>
          </a:r>
          <a:endParaRPr lang="es-ES" sz="1000" b="0">
            <a:latin typeface="Arial" panose="020B0604020202020204" pitchFamily="34" charset="0"/>
            <a:cs typeface="Arial" panose="020B0604020202020204" pitchFamily="34" charset="0"/>
          </a:endParaRPr>
        </a:p>
      </dgm:t>
    </dgm:pt>
    <dgm:pt modelId="{461A4580-2AA9-4DEE-8726-08F73647B127}" type="parTrans" cxnId="{736FADD6-3835-4252-ADDB-6EF04D087800}">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D20B4D97-A21B-4062-8552-331D93684BE1}" type="sibTrans" cxnId="{736FADD6-3835-4252-ADDB-6EF04D087800}">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C4F923CD-36EC-49AD-AD8F-45EA7F2BC8A4}">
      <dgm:prSet custT="1"/>
      <dgm:spPr/>
      <dgm:t>
        <a:bodyPr/>
        <a:lstStyle/>
        <a:p>
          <a:pPr algn="just">
            <a:spcAft>
              <a:spcPts val="600"/>
            </a:spcAft>
          </a:pPr>
          <a:r>
            <a:rPr lang="es-ES" sz="1000">
              <a:latin typeface="Arial" panose="020B0604020202020204" pitchFamily="34" charset="0"/>
              <a:cs typeface="Arial" panose="020B0604020202020204" pitchFamily="34" charset="0"/>
            </a:rPr>
            <a:t>Decreto 128 de 2019</a:t>
          </a:r>
          <a:r>
            <a:rPr lang="es-ES" sz="1000" i="1">
              <a:latin typeface="Arial" panose="020B0604020202020204" pitchFamily="34" charset="0"/>
              <a:cs typeface="Arial" panose="020B0604020202020204" pitchFamily="34" charset="0"/>
            </a:rPr>
            <a:t>, «Por el cual se modifica el Decreto 333 de 2018». </a:t>
          </a:r>
          <a:endParaRPr lang="es-CO" sz="1000">
            <a:latin typeface="Arial" panose="020B0604020202020204" pitchFamily="34" charset="0"/>
            <a:cs typeface="Arial" panose="020B0604020202020204" pitchFamily="34" charset="0"/>
          </a:endParaRPr>
        </a:p>
      </dgm:t>
    </dgm:pt>
    <dgm:pt modelId="{D8CA1F0B-14E5-4FCD-A7C4-A56A2CAA8CFA}" type="parTrans" cxnId="{836B0CC6-4787-40D3-97BB-A5916E47BA69}">
      <dgm:prSet/>
      <dgm:spPr/>
      <dgm:t>
        <a:bodyPr/>
        <a:lstStyle/>
        <a:p>
          <a:endParaRPr lang="es-ES" sz="1000">
            <a:latin typeface="Arial" panose="020B0604020202020204" pitchFamily="34" charset="0"/>
            <a:cs typeface="Arial" panose="020B0604020202020204" pitchFamily="34" charset="0"/>
          </a:endParaRPr>
        </a:p>
      </dgm:t>
    </dgm:pt>
    <dgm:pt modelId="{A5C7E117-14AF-4F19-BA48-54B557CFB417}" type="sibTrans" cxnId="{836B0CC6-4787-40D3-97BB-A5916E47BA69}">
      <dgm:prSet/>
      <dgm:spPr/>
      <dgm:t>
        <a:bodyPr/>
        <a:lstStyle/>
        <a:p>
          <a:endParaRPr lang="es-ES" sz="1000">
            <a:latin typeface="Arial" panose="020B0604020202020204" pitchFamily="34" charset="0"/>
            <a:cs typeface="Arial" panose="020B0604020202020204" pitchFamily="34" charset="0"/>
          </a:endParaRPr>
        </a:p>
      </dgm:t>
    </dgm:pt>
    <dgm:pt modelId="{7A477A4F-14C0-427E-AFF0-ED09D66E1F34}">
      <dgm:prSet custT="1"/>
      <dgm:spPr/>
      <dgm:t>
        <a:bodyPr/>
        <a:lstStyle/>
        <a:p>
          <a:pPr algn="just">
            <a:spcAft>
              <a:spcPts val="600"/>
            </a:spcAft>
          </a:pPr>
          <a:r>
            <a:rPr lang="es-ES" sz="1000">
              <a:latin typeface="Arial" panose="020B0604020202020204" pitchFamily="34" charset="0"/>
              <a:cs typeface="Arial" panose="020B0604020202020204" pitchFamily="34" charset="0"/>
            </a:rPr>
            <a:t>Decreto 333 de 2018</a:t>
          </a:r>
          <a:r>
            <a:rPr lang="es-ES" sz="1000" i="1">
              <a:latin typeface="Arial" panose="020B0604020202020204" pitchFamily="34" charset="0"/>
              <a:cs typeface="Arial" panose="020B0604020202020204" pitchFamily="34" charset="0"/>
            </a:rPr>
            <a:t>, «Por el cual se fijan las escalas de viáticos».</a:t>
          </a:r>
          <a:endParaRPr lang="es-CO" sz="1000">
            <a:latin typeface="Arial" panose="020B0604020202020204" pitchFamily="34" charset="0"/>
            <a:cs typeface="Arial" panose="020B0604020202020204" pitchFamily="34" charset="0"/>
          </a:endParaRPr>
        </a:p>
      </dgm:t>
    </dgm:pt>
    <dgm:pt modelId="{F12FBB56-C547-4044-B826-64D0D8133F8E}" type="parTrans" cxnId="{F823E9D2-5A54-4DA6-88C7-5786CE0E0615}">
      <dgm:prSet/>
      <dgm:spPr/>
      <dgm:t>
        <a:bodyPr/>
        <a:lstStyle/>
        <a:p>
          <a:endParaRPr lang="es-ES" sz="1000">
            <a:latin typeface="Arial" panose="020B0604020202020204" pitchFamily="34" charset="0"/>
            <a:cs typeface="Arial" panose="020B0604020202020204" pitchFamily="34" charset="0"/>
          </a:endParaRPr>
        </a:p>
      </dgm:t>
    </dgm:pt>
    <dgm:pt modelId="{25EB48C5-C2DB-4E6F-A0B9-BBF712CACBCC}" type="sibTrans" cxnId="{F823E9D2-5A54-4DA6-88C7-5786CE0E0615}">
      <dgm:prSet/>
      <dgm:spPr/>
      <dgm:t>
        <a:bodyPr/>
        <a:lstStyle/>
        <a:p>
          <a:endParaRPr lang="es-ES" sz="1000">
            <a:latin typeface="Arial" panose="020B0604020202020204" pitchFamily="34" charset="0"/>
            <a:cs typeface="Arial" panose="020B0604020202020204" pitchFamily="34" charset="0"/>
          </a:endParaRPr>
        </a:p>
      </dgm:t>
    </dgm:pt>
    <dgm:pt modelId="{E2E1F23D-E3C6-41FC-875A-201036425F20}">
      <dgm:prSet custT="1"/>
      <dgm:spPr/>
      <dgm:t>
        <a:bodyPr/>
        <a:lstStyle/>
        <a:p>
          <a:pPr algn="just">
            <a:spcAft>
              <a:spcPts val="600"/>
            </a:spcAft>
          </a:pPr>
          <a:r>
            <a:rPr lang="es-CO" sz="1000">
              <a:latin typeface="Arial" panose="020B0604020202020204" pitchFamily="34" charset="0"/>
              <a:cs typeface="Arial" panose="020B0604020202020204" pitchFamily="34" charset="0"/>
            </a:rPr>
            <a:t>Decreto 1068 de 2015, </a:t>
          </a:r>
          <a:r>
            <a:rPr lang="es-CO" sz="1000" i="1">
              <a:latin typeface="Arial" panose="020B0604020202020204" pitchFamily="34" charset="0"/>
              <a:cs typeface="Arial" panose="020B0604020202020204" pitchFamily="34" charset="0"/>
            </a:rPr>
            <a:t>«Por medio del cual se expide el Decreto Único Reglamentario del Sector Hacienda y Crédito Público, que compiló los Decretos 26, 1737, 1738 y 2209 de 1998 y 984 de 2012, artículo 2.8.4.8.2 y Parte 8, Título 4».</a:t>
          </a:r>
          <a:r>
            <a:rPr lang="es-CO" sz="1000">
              <a:latin typeface="Arial" panose="020B0604020202020204" pitchFamily="34" charset="0"/>
              <a:cs typeface="Arial" panose="020B0604020202020204" pitchFamily="34" charset="0"/>
            </a:rPr>
            <a:t> </a:t>
          </a:r>
        </a:p>
      </dgm:t>
    </dgm:pt>
    <dgm:pt modelId="{6D2594E0-9275-4B70-B001-022FEEACF6D8}" type="parTrans" cxnId="{787CACEE-ED3D-4EC7-A310-F0CACBEB0DEA}">
      <dgm:prSet/>
      <dgm:spPr/>
      <dgm:t>
        <a:bodyPr/>
        <a:lstStyle/>
        <a:p>
          <a:endParaRPr lang="es-ES" sz="1000">
            <a:latin typeface="Arial" panose="020B0604020202020204" pitchFamily="34" charset="0"/>
            <a:cs typeface="Arial" panose="020B0604020202020204" pitchFamily="34" charset="0"/>
          </a:endParaRPr>
        </a:p>
      </dgm:t>
    </dgm:pt>
    <dgm:pt modelId="{865ADB89-A332-408D-9FA3-E52A33724712}" type="sibTrans" cxnId="{787CACEE-ED3D-4EC7-A310-F0CACBEB0DEA}">
      <dgm:prSet/>
      <dgm:spPr/>
      <dgm:t>
        <a:bodyPr/>
        <a:lstStyle/>
        <a:p>
          <a:endParaRPr lang="es-ES" sz="1000">
            <a:latin typeface="Arial" panose="020B0604020202020204" pitchFamily="34" charset="0"/>
            <a:cs typeface="Arial" panose="020B0604020202020204" pitchFamily="34" charset="0"/>
          </a:endParaRPr>
        </a:p>
      </dgm:t>
    </dgm:pt>
    <dgm:pt modelId="{3C61B7B3-FFBC-49DF-A582-2DC43285288B}">
      <dgm:prSet custT="1"/>
      <dgm:spPr/>
      <dgm:t>
        <a:bodyPr/>
        <a:lstStyle/>
        <a:p>
          <a:pPr algn="just">
            <a:spcAft>
              <a:spcPts val="600"/>
            </a:spcAft>
          </a:pPr>
          <a:r>
            <a:rPr lang="es-CO" sz="1000">
              <a:latin typeface="Arial" panose="020B0604020202020204" pitchFamily="34" charset="0"/>
              <a:cs typeface="Arial" panose="020B0604020202020204" pitchFamily="34" charset="0"/>
            </a:rPr>
            <a:t>Resolución Interna 1016 de 2019, </a:t>
          </a:r>
          <a:r>
            <a:rPr lang="es-CO" sz="1000" i="1">
              <a:latin typeface="Arial" panose="020B0604020202020204" pitchFamily="34" charset="0"/>
              <a:cs typeface="Arial" panose="020B0604020202020204" pitchFamily="34" charset="0"/>
            </a:rPr>
            <a:t>«Por la cual se modifica la Resolución 2509 de 30 de julio de 2013».</a:t>
          </a:r>
          <a:endParaRPr lang="es-CO" sz="1000">
            <a:latin typeface="Arial" panose="020B0604020202020204" pitchFamily="34" charset="0"/>
            <a:cs typeface="Arial" panose="020B0604020202020204" pitchFamily="34" charset="0"/>
          </a:endParaRPr>
        </a:p>
      </dgm:t>
    </dgm:pt>
    <dgm:pt modelId="{4AF3EFE9-2757-42C1-AC01-84939D7601EE}" type="parTrans" cxnId="{7AFF8FD6-2669-4280-9E76-BA3EC3656AFD}">
      <dgm:prSet/>
      <dgm:spPr/>
      <dgm:t>
        <a:bodyPr/>
        <a:lstStyle/>
        <a:p>
          <a:endParaRPr lang="es-ES" sz="1000">
            <a:latin typeface="Arial" panose="020B0604020202020204" pitchFamily="34" charset="0"/>
            <a:cs typeface="Arial" panose="020B0604020202020204" pitchFamily="34" charset="0"/>
          </a:endParaRPr>
        </a:p>
      </dgm:t>
    </dgm:pt>
    <dgm:pt modelId="{6DD3EFFD-09BE-4E44-A262-8E54B522B1A0}" type="sibTrans" cxnId="{7AFF8FD6-2669-4280-9E76-BA3EC3656AFD}">
      <dgm:prSet/>
      <dgm:spPr/>
      <dgm:t>
        <a:bodyPr/>
        <a:lstStyle/>
        <a:p>
          <a:endParaRPr lang="es-ES" sz="1000">
            <a:latin typeface="Arial" panose="020B0604020202020204" pitchFamily="34" charset="0"/>
            <a:cs typeface="Arial" panose="020B0604020202020204" pitchFamily="34" charset="0"/>
          </a:endParaRPr>
        </a:p>
      </dgm:t>
    </dgm:pt>
    <dgm:pt modelId="{1FBCFD2B-9AA4-4F78-B6DC-448A3D117566}">
      <dgm:prSet custT="1"/>
      <dgm:spPr/>
      <dgm:t>
        <a:bodyPr/>
        <a:lstStyle/>
        <a:p>
          <a:pPr algn="just">
            <a:spcAft>
              <a:spcPts val="600"/>
            </a:spcAft>
          </a:pPr>
          <a:r>
            <a:rPr lang="es-CO" sz="1000">
              <a:latin typeface="Arial" panose="020B0604020202020204" pitchFamily="34" charset="0"/>
              <a:cs typeface="Arial" panose="020B0604020202020204" pitchFamily="34" charset="0"/>
            </a:rPr>
            <a:t>Resolución Interna 4264 de 2014</a:t>
          </a:r>
          <a:r>
            <a:rPr lang="es-CO" sz="1000" i="1">
              <a:latin typeface="Arial" panose="020B0604020202020204" pitchFamily="34" charset="0"/>
              <a:cs typeface="Arial" panose="020B0604020202020204" pitchFamily="34" charset="0"/>
            </a:rPr>
            <a:t>, «Por la cual se recopila y modifican las normas que regulan algunas situaciones administrativas y se dictan otras disposiciones».</a:t>
          </a:r>
          <a:endParaRPr lang="es-CO" sz="1000">
            <a:latin typeface="Arial" panose="020B0604020202020204" pitchFamily="34" charset="0"/>
            <a:cs typeface="Arial" panose="020B0604020202020204" pitchFamily="34" charset="0"/>
          </a:endParaRPr>
        </a:p>
      </dgm:t>
    </dgm:pt>
    <dgm:pt modelId="{F2E4585C-83AD-4463-BD91-485DB57C5552}" type="parTrans" cxnId="{8B8C7283-073D-4A23-8066-3F186B8416DB}">
      <dgm:prSet/>
      <dgm:spPr/>
      <dgm:t>
        <a:bodyPr/>
        <a:lstStyle/>
        <a:p>
          <a:endParaRPr lang="es-ES" sz="1000">
            <a:latin typeface="Arial" panose="020B0604020202020204" pitchFamily="34" charset="0"/>
            <a:cs typeface="Arial" panose="020B0604020202020204" pitchFamily="34" charset="0"/>
          </a:endParaRPr>
        </a:p>
      </dgm:t>
    </dgm:pt>
    <dgm:pt modelId="{2F1A0662-C1A4-4EDD-8F71-A3C46D0375C7}" type="sibTrans" cxnId="{8B8C7283-073D-4A23-8066-3F186B8416DB}">
      <dgm:prSet/>
      <dgm:spPr/>
      <dgm:t>
        <a:bodyPr/>
        <a:lstStyle/>
        <a:p>
          <a:endParaRPr lang="es-ES" sz="1000">
            <a:latin typeface="Arial" panose="020B0604020202020204" pitchFamily="34" charset="0"/>
            <a:cs typeface="Arial" panose="020B0604020202020204" pitchFamily="34" charset="0"/>
          </a:endParaRPr>
        </a:p>
      </dgm:t>
    </dgm:pt>
    <dgm:pt modelId="{0FDE14D4-8956-4949-A5FB-723D433AADE7}">
      <dgm:prSet custT="1"/>
      <dgm:spPr/>
      <dgm:t>
        <a:bodyPr/>
        <a:lstStyle/>
        <a:p>
          <a:pPr algn="just">
            <a:spcAft>
              <a:spcPts val="600"/>
            </a:spcAft>
          </a:pPr>
          <a:r>
            <a:rPr lang="es-CO" sz="1000">
              <a:latin typeface="Arial" panose="020B0604020202020204" pitchFamily="34" charset="0"/>
              <a:cs typeface="Arial" panose="020B0604020202020204" pitchFamily="34" charset="0"/>
            </a:rPr>
            <a:t>Directiva Presidencial No. 09 de 2018. </a:t>
          </a:r>
          <a:r>
            <a:rPr lang="es-CO" sz="1000" i="1">
              <a:latin typeface="Arial" panose="020B0604020202020204" pitchFamily="34" charset="0"/>
              <a:cs typeface="Arial" panose="020B0604020202020204" pitchFamily="34" charset="0"/>
            </a:rPr>
            <a:t>«Por la cual se imparten instrucciones </a:t>
          </a:r>
          <a:r>
            <a:rPr lang="es-CO" sz="1000">
              <a:latin typeface="Arial" panose="020B0604020202020204" pitchFamily="34" charset="0"/>
              <a:cs typeface="Arial" panose="020B0604020202020204" pitchFamily="34" charset="0"/>
            </a:rPr>
            <a:t>en el marco del Plan de Austeridad iniciado por el Gobierno Nacional y deroga la Directiva No. 01 del 10 febrero de 2016</a:t>
          </a:r>
          <a:r>
            <a:rPr lang="es-CO" sz="1000" i="1">
              <a:latin typeface="Arial" panose="020B0604020202020204" pitchFamily="34" charset="0"/>
              <a:cs typeface="Arial" panose="020B0604020202020204" pitchFamily="34" charset="0"/>
            </a:rPr>
            <a:t>»</a:t>
          </a:r>
          <a:r>
            <a:rPr lang="es-CO" sz="1000">
              <a:latin typeface="Arial" panose="020B0604020202020204" pitchFamily="34" charset="0"/>
              <a:cs typeface="Arial" panose="020B0604020202020204" pitchFamily="34" charset="0"/>
            </a:rPr>
            <a:t>. </a:t>
          </a:r>
        </a:p>
      </dgm:t>
    </dgm:pt>
    <dgm:pt modelId="{5360D7F8-FBD3-468F-B6FC-A82976DAAC9E}" type="parTrans" cxnId="{C61B237B-08E8-4AE0-824E-816C9EADE6A8}">
      <dgm:prSet/>
      <dgm:spPr/>
      <dgm:t>
        <a:bodyPr/>
        <a:lstStyle/>
        <a:p>
          <a:endParaRPr lang="es-ES" sz="1000">
            <a:latin typeface="Arial" panose="020B0604020202020204" pitchFamily="34" charset="0"/>
            <a:cs typeface="Arial" panose="020B0604020202020204" pitchFamily="34" charset="0"/>
          </a:endParaRPr>
        </a:p>
      </dgm:t>
    </dgm:pt>
    <dgm:pt modelId="{A351AF50-C63A-48D1-B88E-8E4185F3C425}" type="sibTrans" cxnId="{C61B237B-08E8-4AE0-824E-816C9EADE6A8}">
      <dgm:prSet/>
      <dgm:spPr/>
      <dgm:t>
        <a:bodyPr/>
        <a:lstStyle/>
        <a:p>
          <a:endParaRPr lang="es-ES" sz="1000">
            <a:latin typeface="Arial" panose="020B0604020202020204" pitchFamily="34" charset="0"/>
            <a:cs typeface="Arial" panose="020B0604020202020204" pitchFamily="34" charset="0"/>
          </a:endParaRPr>
        </a:p>
      </dgm:t>
    </dgm:pt>
    <dgm:pt modelId="{D7B6DA0C-F74F-4D7D-8DDD-01694DC0AC16}">
      <dgm:prSet custT="1"/>
      <dgm:spPr/>
      <dgm:t>
        <a:bodyPr/>
        <a:lstStyle/>
        <a:p>
          <a:pPr algn="just">
            <a:spcAft>
              <a:spcPct val="15000"/>
            </a:spcAft>
          </a:pPr>
          <a:r>
            <a:rPr lang="es-CO" sz="1000">
              <a:latin typeface="Arial" panose="020B0604020202020204" pitchFamily="34" charset="0"/>
              <a:cs typeface="Arial" panose="020B0604020202020204" pitchFamily="34" charset="0"/>
            </a:rPr>
            <a:t>Circular Interna 005 de 2019, </a:t>
          </a:r>
          <a:r>
            <a:rPr lang="es-CO" sz="1000" i="1">
              <a:latin typeface="Arial" panose="020B0604020202020204" pitchFamily="34" charset="0"/>
              <a:cs typeface="Arial" panose="020B0604020202020204" pitchFamily="34" charset="0"/>
            </a:rPr>
            <a:t>«Medida de austeridad para las comisiones de servicio, tiquetes aéreos y viáticos».</a:t>
          </a:r>
          <a:endParaRPr lang="es-CO" sz="1000">
            <a:latin typeface="Arial" panose="020B0604020202020204" pitchFamily="34" charset="0"/>
            <a:cs typeface="Arial" panose="020B0604020202020204" pitchFamily="34" charset="0"/>
          </a:endParaRPr>
        </a:p>
      </dgm:t>
    </dgm:pt>
    <dgm:pt modelId="{358B5B47-127A-44CF-A151-D96AAB3E323B}" type="parTrans" cxnId="{2DCB8F4C-97CF-4AB2-9393-090E62316EB6}">
      <dgm:prSet/>
      <dgm:spPr/>
      <dgm:t>
        <a:bodyPr/>
        <a:lstStyle/>
        <a:p>
          <a:endParaRPr lang="es-ES" sz="1000">
            <a:latin typeface="Arial" panose="020B0604020202020204" pitchFamily="34" charset="0"/>
            <a:cs typeface="Arial" panose="020B0604020202020204" pitchFamily="34" charset="0"/>
          </a:endParaRPr>
        </a:p>
      </dgm:t>
    </dgm:pt>
    <dgm:pt modelId="{643D252F-5441-4B71-B59D-60C90201ADC9}" type="sibTrans" cxnId="{2DCB8F4C-97CF-4AB2-9393-090E62316EB6}">
      <dgm:prSet/>
      <dgm:spPr/>
      <dgm:t>
        <a:bodyPr/>
        <a:lstStyle/>
        <a:p>
          <a:endParaRPr lang="es-ES" sz="1000">
            <a:latin typeface="Arial" panose="020B0604020202020204" pitchFamily="34" charset="0"/>
            <a:cs typeface="Arial" panose="020B0604020202020204" pitchFamily="34" charset="0"/>
          </a:endParaRPr>
        </a:p>
      </dgm:t>
    </dgm:pt>
    <dgm:pt modelId="{0CF14C2B-803A-4A0C-A82D-02761F74421C}" type="pres">
      <dgm:prSet presAssocID="{B84745F0-BB22-43A5-A0B0-61D13F2A8A5B}" presName="linear" presStyleCnt="0">
        <dgm:presLayoutVars>
          <dgm:dir/>
          <dgm:animLvl val="lvl"/>
          <dgm:resizeHandles val="exact"/>
        </dgm:presLayoutVars>
      </dgm:prSet>
      <dgm:spPr/>
      <dgm:t>
        <a:bodyPr/>
        <a:lstStyle/>
        <a:p>
          <a:endParaRPr lang="es-ES"/>
        </a:p>
      </dgm:t>
    </dgm:pt>
    <dgm:pt modelId="{1DBF0429-F09A-43CE-BAC5-5BEF6C3D8A92}" type="pres">
      <dgm:prSet presAssocID="{F96ED639-8441-4891-9482-15BF7BD85A19}" presName="parentLin" presStyleCnt="0"/>
      <dgm:spPr/>
    </dgm:pt>
    <dgm:pt modelId="{B2ECB2E7-7A85-4747-AC1F-4B4E74E47506}" type="pres">
      <dgm:prSet presAssocID="{F96ED639-8441-4891-9482-15BF7BD85A19}" presName="parentLeftMargin" presStyleLbl="node1" presStyleIdx="0" presStyleCnt="3"/>
      <dgm:spPr/>
      <dgm:t>
        <a:bodyPr/>
        <a:lstStyle/>
        <a:p>
          <a:endParaRPr lang="es-ES"/>
        </a:p>
      </dgm:t>
    </dgm:pt>
    <dgm:pt modelId="{7BDE95F1-2793-42D8-8480-0CF47F35DC0B}" type="pres">
      <dgm:prSet presAssocID="{F96ED639-8441-4891-9482-15BF7BD85A19}" presName="parentText" presStyleLbl="node1" presStyleIdx="0" presStyleCnt="3" custScaleY="149157">
        <dgm:presLayoutVars>
          <dgm:chMax val="0"/>
          <dgm:bulletEnabled val="1"/>
        </dgm:presLayoutVars>
      </dgm:prSet>
      <dgm:spPr/>
      <dgm:t>
        <a:bodyPr/>
        <a:lstStyle/>
        <a:p>
          <a:endParaRPr lang="es-ES"/>
        </a:p>
      </dgm:t>
    </dgm:pt>
    <dgm:pt modelId="{2C2AA395-DFC4-461F-9C12-04FBDEE7792B}" type="pres">
      <dgm:prSet presAssocID="{F96ED639-8441-4891-9482-15BF7BD85A19}" presName="negativeSpace" presStyleCnt="0"/>
      <dgm:spPr/>
    </dgm:pt>
    <dgm:pt modelId="{6CFAA8A2-2A72-4BFD-88EF-D896DD6EFA8C}" type="pres">
      <dgm:prSet presAssocID="{F96ED639-8441-4891-9482-15BF7BD85A19}" presName="childText" presStyleLbl="conFgAcc1" presStyleIdx="0" presStyleCnt="3" custScaleY="110211">
        <dgm:presLayoutVars>
          <dgm:bulletEnabled val="1"/>
        </dgm:presLayoutVars>
      </dgm:prSet>
      <dgm:spPr/>
      <dgm:t>
        <a:bodyPr/>
        <a:lstStyle/>
        <a:p>
          <a:endParaRPr lang="es-ES"/>
        </a:p>
      </dgm:t>
    </dgm:pt>
    <dgm:pt modelId="{5E29709C-7E8D-466C-A537-3F9539555770}" type="pres">
      <dgm:prSet presAssocID="{7A38F5C0-F4EF-464A-9FFC-B038651DCDA8}" presName="spaceBetweenRectangles" presStyleCnt="0"/>
      <dgm:spPr/>
    </dgm:pt>
    <dgm:pt modelId="{7CC527C0-0321-4100-8997-F51C8F723F4C}" type="pres">
      <dgm:prSet presAssocID="{A63EA96D-5602-451D-80C1-BCEEBD7B4A66}" presName="parentLin" presStyleCnt="0"/>
      <dgm:spPr/>
    </dgm:pt>
    <dgm:pt modelId="{861851E9-23E2-4A34-8DFE-83C6DE1647DF}" type="pres">
      <dgm:prSet presAssocID="{A63EA96D-5602-451D-80C1-BCEEBD7B4A66}" presName="parentLeftMargin" presStyleLbl="node1" presStyleIdx="0" presStyleCnt="3"/>
      <dgm:spPr/>
      <dgm:t>
        <a:bodyPr/>
        <a:lstStyle/>
        <a:p>
          <a:endParaRPr lang="es-ES"/>
        </a:p>
      </dgm:t>
    </dgm:pt>
    <dgm:pt modelId="{609FE20C-90A0-4B87-A9D3-6A4812801F4A}" type="pres">
      <dgm:prSet presAssocID="{A63EA96D-5602-451D-80C1-BCEEBD7B4A66}" presName="parentText" presStyleLbl="node1" presStyleIdx="1" presStyleCnt="3">
        <dgm:presLayoutVars>
          <dgm:chMax val="0"/>
          <dgm:bulletEnabled val="1"/>
        </dgm:presLayoutVars>
      </dgm:prSet>
      <dgm:spPr/>
      <dgm:t>
        <a:bodyPr/>
        <a:lstStyle/>
        <a:p>
          <a:endParaRPr lang="es-ES"/>
        </a:p>
      </dgm:t>
    </dgm:pt>
    <dgm:pt modelId="{7BD565FB-B074-4DCE-B22D-674838879412}" type="pres">
      <dgm:prSet presAssocID="{A63EA96D-5602-451D-80C1-BCEEBD7B4A66}" presName="negativeSpace" presStyleCnt="0"/>
      <dgm:spPr/>
    </dgm:pt>
    <dgm:pt modelId="{19E00E56-1286-4DC6-968E-BFFB17A991FB}" type="pres">
      <dgm:prSet presAssocID="{A63EA96D-5602-451D-80C1-BCEEBD7B4A66}" presName="childText" presStyleLbl="conFgAcc1" presStyleIdx="1" presStyleCnt="3" custScaleY="101807">
        <dgm:presLayoutVars>
          <dgm:bulletEnabled val="1"/>
        </dgm:presLayoutVars>
      </dgm:prSet>
      <dgm:spPr/>
      <dgm:t>
        <a:bodyPr/>
        <a:lstStyle/>
        <a:p>
          <a:endParaRPr lang="es-ES"/>
        </a:p>
      </dgm:t>
    </dgm:pt>
    <dgm:pt modelId="{D9B470D8-5AB0-4C81-B368-D79B17FFE621}" type="pres">
      <dgm:prSet presAssocID="{7DA7FE73-E872-4EDD-9D4F-8122B503DEC7}" presName="spaceBetweenRectangles" presStyleCnt="0"/>
      <dgm:spPr/>
    </dgm:pt>
    <dgm:pt modelId="{E3E44A13-742F-457E-893E-5C5D9B4701E2}" type="pres">
      <dgm:prSet presAssocID="{751805B3-082D-4A39-ABBF-21C92207C470}" presName="parentLin" presStyleCnt="0"/>
      <dgm:spPr/>
    </dgm:pt>
    <dgm:pt modelId="{705FE4AC-CA8D-4386-B68F-426F04C3FBB7}" type="pres">
      <dgm:prSet presAssocID="{751805B3-082D-4A39-ABBF-21C92207C470}" presName="parentLeftMargin" presStyleLbl="node1" presStyleIdx="1" presStyleCnt="3"/>
      <dgm:spPr/>
      <dgm:t>
        <a:bodyPr/>
        <a:lstStyle/>
        <a:p>
          <a:endParaRPr lang="es-ES"/>
        </a:p>
      </dgm:t>
    </dgm:pt>
    <dgm:pt modelId="{6C58514C-B343-4914-A3B9-51F653E11B2F}" type="pres">
      <dgm:prSet presAssocID="{751805B3-082D-4A39-ABBF-21C92207C470}" presName="parentText" presStyleLbl="node1" presStyleIdx="2" presStyleCnt="3" custScaleY="94760">
        <dgm:presLayoutVars>
          <dgm:chMax val="0"/>
          <dgm:bulletEnabled val="1"/>
        </dgm:presLayoutVars>
      </dgm:prSet>
      <dgm:spPr/>
      <dgm:t>
        <a:bodyPr/>
        <a:lstStyle/>
        <a:p>
          <a:endParaRPr lang="es-ES"/>
        </a:p>
      </dgm:t>
    </dgm:pt>
    <dgm:pt modelId="{F7F601FA-69AC-4D39-9C0E-3F3EE49A8337}" type="pres">
      <dgm:prSet presAssocID="{751805B3-082D-4A39-ABBF-21C92207C470}" presName="negativeSpace" presStyleCnt="0"/>
      <dgm:spPr/>
    </dgm:pt>
    <dgm:pt modelId="{FED6C63D-9A41-4ACF-AD95-9ED1A8C07B5A}" type="pres">
      <dgm:prSet presAssocID="{751805B3-082D-4A39-ABBF-21C92207C470}" presName="childText" presStyleLbl="conFgAcc1" presStyleIdx="2" presStyleCnt="3">
        <dgm:presLayoutVars>
          <dgm:bulletEnabled val="1"/>
        </dgm:presLayoutVars>
      </dgm:prSet>
      <dgm:spPr/>
      <dgm:t>
        <a:bodyPr/>
        <a:lstStyle/>
        <a:p>
          <a:endParaRPr lang="es-ES"/>
        </a:p>
      </dgm:t>
    </dgm:pt>
  </dgm:ptLst>
  <dgm:cxnLst>
    <dgm:cxn modelId="{895C97C3-0FCB-4C73-9833-549E614286C8}" type="presOf" srcId="{1FBCFD2B-9AA4-4F78-B6DC-448A3D117566}" destId="{FED6C63D-9A41-4ACF-AD95-9ED1A8C07B5A}" srcOrd="0" destOrd="5" presId="urn:microsoft.com/office/officeart/2005/8/layout/list1"/>
    <dgm:cxn modelId="{2DCB8F4C-97CF-4AB2-9393-090E62316EB6}" srcId="{751805B3-082D-4A39-ABBF-21C92207C470}" destId="{D7B6DA0C-F74F-4D7D-8DDD-01694DC0AC16}" srcOrd="7" destOrd="0" parTransId="{358B5B47-127A-44CF-A151-D96AAB3E323B}" sibTransId="{643D252F-5441-4B71-B59D-60C90201ADC9}"/>
    <dgm:cxn modelId="{6B203CD1-F270-4AA8-92C2-D34016CC141C}" type="presOf" srcId="{B84745F0-BB22-43A5-A0B0-61D13F2A8A5B}" destId="{0CF14C2B-803A-4A0C-A82D-02761F74421C}" srcOrd="0" destOrd="0" presId="urn:microsoft.com/office/officeart/2005/8/layout/list1"/>
    <dgm:cxn modelId="{7AFF8FD6-2669-4280-9E76-BA3EC3656AFD}" srcId="{751805B3-082D-4A39-ABBF-21C92207C470}" destId="{3C61B7B3-FFBC-49DF-A582-2DC43285288B}" srcOrd="4" destOrd="0" parTransId="{4AF3EFE9-2757-42C1-AC01-84939D7601EE}" sibTransId="{6DD3EFFD-09BE-4E44-A262-8E54B522B1A0}"/>
    <dgm:cxn modelId="{296ACBE0-888A-492B-8317-1D3C60408308}" type="presOf" srcId="{A63EA96D-5602-451D-80C1-BCEEBD7B4A66}" destId="{609FE20C-90A0-4B87-A9D3-6A4812801F4A}" srcOrd="1" destOrd="0" presId="urn:microsoft.com/office/officeart/2005/8/layout/list1"/>
    <dgm:cxn modelId="{F823E9D2-5A54-4DA6-88C7-5786CE0E0615}" srcId="{751805B3-082D-4A39-ABBF-21C92207C470}" destId="{7A477A4F-14C0-427E-AFF0-ED09D66E1F34}" srcOrd="2" destOrd="0" parTransId="{F12FBB56-C547-4044-B826-64D0D8133F8E}" sibTransId="{25EB48C5-C2DB-4E6F-A0B9-BBF712CACBCC}"/>
    <dgm:cxn modelId="{59254AD9-248E-4232-9272-96059B3BBBD1}" type="presOf" srcId="{D7B6DA0C-F74F-4D7D-8DDD-01694DC0AC16}" destId="{FED6C63D-9A41-4ACF-AD95-9ED1A8C07B5A}" srcOrd="0" destOrd="7" presId="urn:microsoft.com/office/officeart/2005/8/layout/list1"/>
    <dgm:cxn modelId="{E0EB0A53-F958-4A34-8644-7E21D4631026}" type="presOf" srcId="{A63EA96D-5602-451D-80C1-BCEEBD7B4A66}" destId="{861851E9-23E2-4A34-8DFE-83C6DE1647DF}" srcOrd="0" destOrd="0" presId="urn:microsoft.com/office/officeart/2005/8/layout/list1"/>
    <dgm:cxn modelId="{2872F252-EE51-4EDA-9E21-9685086663A2}" type="presOf" srcId="{E2E1F23D-E3C6-41FC-875A-201036425F20}" destId="{FED6C63D-9A41-4ACF-AD95-9ED1A8C07B5A}" srcOrd="0" destOrd="3" presId="urn:microsoft.com/office/officeart/2005/8/layout/list1"/>
    <dgm:cxn modelId="{6D0F3378-2660-4A67-9ACC-B3B0E916E89D}" type="presOf" srcId="{C9FC0487-575B-4C4C-91C1-F5C874A36FA1}" destId="{FED6C63D-9A41-4ACF-AD95-9ED1A8C07B5A}" srcOrd="0" destOrd="0" presId="urn:microsoft.com/office/officeart/2005/8/layout/list1"/>
    <dgm:cxn modelId="{918136BC-BEBE-4EC9-BD73-2E44ED3321EE}" srcId="{B84745F0-BB22-43A5-A0B0-61D13F2A8A5B}" destId="{A63EA96D-5602-451D-80C1-BCEEBD7B4A66}" srcOrd="1" destOrd="0" parTransId="{844BBB42-457E-4B14-B24B-1BEEC94912AC}" sibTransId="{7DA7FE73-E872-4EDD-9D4F-8122B503DEC7}"/>
    <dgm:cxn modelId="{8B8C7283-073D-4A23-8066-3F186B8416DB}" srcId="{751805B3-082D-4A39-ABBF-21C92207C470}" destId="{1FBCFD2B-9AA4-4F78-B6DC-448A3D117566}" srcOrd="5" destOrd="0" parTransId="{F2E4585C-83AD-4463-BD91-485DB57C5552}" sibTransId="{2F1A0662-C1A4-4EDD-8F71-A3C46D0375C7}"/>
    <dgm:cxn modelId="{BB0B10B0-9BC4-4161-8270-5DE0D3ED2EC4}" type="presOf" srcId="{0FDE14D4-8956-4949-A5FB-723D433AADE7}" destId="{FED6C63D-9A41-4ACF-AD95-9ED1A8C07B5A}" srcOrd="0" destOrd="6" presId="urn:microsoft.com/office/officeart/2005/8/layout/list1"/>
    <dgm:cxn modelId="{736FADD6-3835-4252-ADDB-6EF04D087800}" srcId="{751805B3-082D-4A39-ABBF-21C92207C470}" destId="{C9FC0487-575B-4C4C-91C1-F5C874A36FA1}" srcOrd="0" destOrd="0" parTransId="{461A4580-2AA9-4DEE-8726-08F73647B127}" sibTransId="{D20B4D97-A21B-4062-8552-331D93684BE1}"/>
    <dgm:cxn modelId="{D4C57A4B-96EA-401D-8CC1-9C45E9976CF8}" type="presOf" srcId="{F96ED639-8441-4891-9482-15BF7BD85A19}" destId="{B2ECB2E7-7A85-4747-AC1F-4B4E74E47506}" srcOrd="0" destOrd="0" presId="urn:microsoft.com/office/officeart/2005/8/layout/list1"/>
    <dgm:cxn modelId="{3B2B4884-97B1-4167-B823-E5C7F105B3A1}" srcId="{B84745F0-BB22-43A5-A0B0-61D13F2A8A5B}" destId="{F96ED639-8441-4891-9482-15BF7BD85A19}" srcOrd="0" destOrd="0" parTransId="{EEE9255B-9009-4FBA-9950-7EDDCCFB10A3}" sibTransId="{7A38F5C0-F4EF-464A-9FFC-B038651DCDA8}"/>
    <dgm:cxn modelId="{BE16D635-C412-4774-BA6F-95E0E1B11CE6}" type="presOf" srcId="{C4F923CD-36EC-49AD-AD8F-45EA7F2BC8A4}" destId="{FED6C63D-9A41-4ACF-AD95-9ED1A8C07B5A}" srcOrd="0" destOrd="1" presId="urn:microsoft.com/office/officeart/2005/8/layout/list1"/>
    <dgm:cxn modelId="{686BB6C7-FA4B-4026-885E-5CAC1D8734EB}" type="presOf" srcId="{751805B3-082D-4A39-ABBF-21C92207C470}" destId="{705FE4AC-CA8D-4386-B68F-426F04C3FBB7}" srcOrd="0" destOrd="0" presId="urn:microsoft.com/office/officeart/2005/8/layout/list1"/>
    <dgm:cxn modelId="{3A2904D4-BBE8-47E6-B48C-95B361124589}" srcId="{B84745F0-BB22-43A5-A0B0-61D13F2A8A5B}" destId="{751805B3-082D-4A39-ABBF-21C92207C470}" srcOrd="2" destOrd="0" parTransId="{32C080C9-02D3-44D2-9962-E0A99AB869AF}" sibTransId="{0A180B88-2F30-4C34-951F-68D8EED40031}"/>
    <dgm:cxn modelId="{A84778BB-409D-49D2-8861-AE0471E52388}" type="presOf" srcId="{A2C93772-D5E3-4FD2-84D0-54D8350C64A8}" destId="{19E00E56-1286-4DC6-968E-BFFB17A991FB}" srcOrd="0" destOrd="0" presId="urn:microsoft.com/office/officeart/2005/8/layout/list1"/>
    <dgm:cxn modelId="{529EE746-F3ED-420E-A585-9213425C7FD8}" srcId="{F96ED639-8441-4891-9482-15BF7BD85A19}" destId="{BB1881BB-9F6B-4CD5-8C49-877D0C96DE54}" srcOrd="0" destOrd="0" parTransId="{936F958B-928B-47E8-807D-43C51B18EB86}" sibTransId="{685241F2-5614-4CA3-8CDB-F1CD4FACF30B}"/>
    <dgm:cxn modelId="{836B0CC6-4787-40D3-97BB-A5916E47BA69}" srcId="{751805B3-082D-4A39-ABBF-21C92207C470}" destId="{C4F923CD-36EC-49AD-AD8F-45EA7F2BC8A4}" srcOrd="1" destOrd="0" parTransId="{D8CA1F0B-14E5-4FCD-A7C4-A56A2CAA8CFA}" sibTransId="{A5C7E117-14AF-4F19-BA48-54B557CFB417}"/>
    <dgm:cxn modelId="{0ABD1F2F-550A-4B82-8792-783A9267B381}" type="presOf" srcId="{7A477A4F-14C0-427E-AFF0-ED09D66E1F34}" destId="{FED6C63D-9A41-4ACF-AD95-9ED1A8C07B5A}" srcOrd="0" destOrd="2" presId="urn:microsoft.com/office/officeart/2005/8/layout/list1"/>
    <dgm:cxn modelId="{3D7A453B-EA91-43EF-A372-E3B64218759B}" type="presOf" srcId="{F96ED639-8441-4891-9482-15BF7BD85A19}" destId="{7BDE95F1-2793-42D8-8480-0CF47F35DC0B}" srcOrd="1" destOrd="0" presId="urn:microsoft.com/office/officeart/2005/8/layout/list1"/>
    <dgm:cxn modelId="{92744693-0190-4A02-B6F1-0E221ACAE2AF}" type="presOf" srcId="{3C61B7B3-FFBC-49DF-A582-2DC43285288B}" destId="{FED6C63D-9A41-4ACF-AD95-9ED1A8C07B5A}" srcOrd="0" destOrd="4" presId="urn:microsoft.com/office/officeart/2005/8/layout/list1"/>
    <dgm:cxn modelId="{1745B8FF-DA8B-4561-B138-87ABBF218503}" srcId="{A63EA96D-5602-451D-80C1-BCEEBD7B4A66}" destId="{A2C93772-D5E3-4FD2-84D0-54D8350C64A8}" srcOrd="0" destOrd="0" parTransId="{82385681-50C5-4E56-B3E6-36875DD56012}" sibTransId="{24203CC4-5304-4A47-AFF9-7D8991A198EC}"/>
    <dgm:cxn modelId="{787CACEE-ED3D-4EC7-A310-F0CACBEB0DEA}" srcId="{751805B3-082D-4A39-ABBF-21C92207C470}" destId="{E2E1F23D-E3C6-41FC-875A-201036425F20}" srcOrd="3" destOrd="0" parTransId="{6D2594E0-9275-4B70-B001-022FEEACF6D8}" sibTransId="{865ADB89-A332-408D-9FA3-E52A33724712}"/>
    <dgm:cxn modelId="{98AD0F9E-E19A-4781-B0F7-07E363171F2C}" type="presOf" srcId="{751805B3-082D-4A39-ABBF-21C92207C470}" destId="{6C58514C-B343-4914-A3B9-51F653E11B2F}" srcOrd="1" destOrd="0" presId="urn:microsoft.com/office/officeart/2005/8/layout/list1"/>
    <dgm:cxn modelId="{C61B237B-08E8-4AE0-824E-816C9EADE6A8}" srcId="{751805B3-082D-4A39-ABBF-21C92207C470}" destId="{0FDE14D4-8956-4949-A5FB-723D433AADE7}" srcOrd="6" destOrd="0" parTransId="{5360D7F8-FBD3-468F-B6FC-A82976DAAC9E}" sibTransId="{A351AF50-C63A-48D1-B88E-8E4185F3C425}"/>
    <dgm:cxn modelId="{991880F5-5D65-4E5D-9E5B-3B19072D4FFD}" type="presOf" srcId="{BB1881BB-9F6B-4CD5-8C49-877D0C96DE54}" destId="{6CFAA8A2-2A72-4BFD-88EF-D896DD6EFA8C}" srcOrd="0" destOrd="0" presId="urn:microsoft.com/office/officeart/2005/8/layout/list1"/>
    <dgm:cxn modelId="{2524E47E-EC52-481C-81DC-0B6A7AC125EE}" type="presParOf" srcId="{0CF14C2B-803A-4A0C-A82D-02761F74421C}" destId="{1DBF0429-F09A-43CE-BAC5-5BEF6C3D8A92}" srcOrd="0" destOrd="0" presId="urn:microsoft.com/office/officeart/2005/8/layout/list1"/>
    <dgm:cxn modelId="{66B9FFC8-EFD9-4091-914C-BAF45FEDDC5D}" type="presParOf" srcId="{1DBF0429-F09A-43CE-BAC5-5BEF6C3D8A92}" destId="{B2ECB2E7-7A85-4747-AC1F-4B4E74E47506}" srcOrd="0" destOrd="0" presId="urn:microsoft.com/office/officeart/2005/8/layout/list1"/>
    <dgm:cxn modelId="{E570F0D5-2AA8-45E4-AF59-CD005AAF74E6}" type="presParOf" srcId="{1DBF0429-F09A-43CE-BAC5-5BEF6C3D8A92}" destId="{7BDE95F1-2793-42D8-8480-0CF47F35DC0B}" srcOrd="1" destOrd="0" presId="urn:microsoft.com/office/officeart/2005/8/layout/list1"/>
    <dgm:cxn modelId="{F615EEEB-6A88-4CD6-B4C4-62867E2ACC96}" type="presParOf" srcId="{0CF14C2B-803A-4A0C-A82D-02761F74421C}" destId="{2C2AA395-DFC4-461F-9C12-04FBDEE7792B}" srcOrd="1" destOrd="0" presId="urn:microsoft.com/office/officeart/2005/8/layout/list1"/>
    <dgm:cxn modelId="{96665C49-5612-40E3-A8EC-551CD5F5B04F}" type="presParOf" srcId="{0CF14C2B-803A-4A0C-A82D-02761F74421C}" destId="{6CFAA8A2-2A72-4BFD-88EF-D896DD6EFA8C}" srcOrd="2" destOrd="0" presId="urn:microsoft.com/office/officeart/2005/8/layout/list1"/>
    <dgm:cxn modelId="{89FECB7D-D3F2-4B8A-A0A7-933E3E3966AF}" type="presParOf" srcId="{0CF14C2B-803A-4A0C-A82D-02761F74421C}" destId="{5E29709C-7E8D-466C-A537-3F9539555770}" srcOrd="3" destOrd="0" presId="urn:microsoft.com/office/officeart/2005/8/layout/list1"/>
    <dgm:cxn modelId="{3E3FE077-893D-4666-9BEF-4AADF818BAF6}" type="presParOf" srcId="{0CF14C2B-803A-4A0C-A82D-02761F74421C}" destId="{7CC527C0-0321-4100-8997-F51C8F723F4C}" srcOrd="4" destOrd="0" presId="urn:microsoft.com/office/officeart/2005/8/layout/list1"/>
    <dgm:cxn modelId="{66EC3356-D95C-43CB-A92F-3E6D996A419B}" type="presParOf" srcId="{7CC527C0-0321-4100-8997-F51C8F723F4C}" destId="{861851E9-23E2-4A34-8DFE-83C6DE1647DF}" srcOrd="0" destOrd="0" presId="urn:microsoft.com/office/officeart/2005/8/layout/list1"/>
    <dgm:cxn modelId="{5C4CF983-A46D-4909-85A7-075FF44BC7AA}" type="presParOf" srcId="{7CC527C0-0321-4100-8997-F51C8F723F4C}" destId="{609FE20C-90A0-4B87-A9D3-6A4812801F4A}" srcOrd="1" destOrd="0" presId="urn:microsoft.com/office/officeart/2005/8/layout/list1"/>
    <dgm:cxn modelId="{03C8BF57-E6E1-4F92-A4E3-1CA51ED6578B}" type="presParOf" srcId="{0CF14C2B-803A-4A0C-A82D-02761F74421C}" destId="{7BD565FB-B074-4DCE-B22D-674838879412}" srcOrd="5" destOrd="0" presId="urn:microsoft.com/office/officeart/2005/8/layout/list1"/>
    <dgm:cxn modelId="{0B99C001-CB91-42D8-862F-AEA1233A2833}" type="presParOf" srcId="{0CF14C2B-803A-4A0C-A82D-02761F74421C}" destId="{19E00E56-1286-4DC6-968E-BFFB17A991FB}" srcOrd="6" destOrd="0" presId="urn:microsoft.com/office/officeart/2005/8/layout/list1"/>
    <dgm:cxn modelId="{26CA8557-8FBA-4195-9DCD-AC8111AFC4C7}" type="presParOf" srcId="{0CF14C2B-803A-4A0C-A82D-02761F74421C}" destId="{D9B470D8-5AB0-4C81-B368-D79B17FFE621}" srcOrd="7" destOrd="0" presId="urn:microsoft.com/office/officeart/2005/8/layout/list1"/>
    <dgm:cxn modelId="{3096050A-39B0-49DD-B8C6-6E5FCBCA1E82}" type="presParOf" srcId="{0CF14C2B-803A-4A0C-A82D-02761F74421C}" destId="{E3E44A13-742F-457E-893E-5C5D9B4701E2}" srcOrd="8" destOrd="0" presId="urn:microsoft.com/office/officeart/2005/8/layout/list1"/>
    <dgm:cxn modelId="{4760D714-4D90-4AFF-89C2-4A79173440F6}" type="presParOf" srcId="{E3E44A13-742F-457E-893E-5C5D9B4701E2}" destId="{705FE4AC-CA8D-4386-B68F-426F04C3FBB7}" srcOrd="0" destOrd="0" presId="urn:microsoft.com/office/officeart/2005/8/layout/list1"/>
    <dgm:cxn modelId="{512735DE-B261-4853-A2BC-1F24C701D704}" type="presParOf" srcId="{E3E44A13-742F-457E-893E-5C5D9B4701E2}" destId="{6C58514C-B343-4914-A3B9-51F653E11B2F}" srcOrd="1" destOrd="0" presId="urn:microsoft.com/office/officeart/2005/8/layout/list1"/>
    <dgm:cxn modelId="{7C24A6D7-22E7-4851-8BEC-B84000EE79DA}" type="presParOf" srcId="{0CF14C2B-803A-4A0C-A82D-02761F74421C}" destId="{F7F601FA-69AC-4D39-9C0E-3F3EE49A8337}" srcOrd="9" destOrd="0" presId="urn:microsoft.com/office/officeart/2005/8/layout/list1"/>
    <dgm:cxn modelId="{EF3FCCC3-87CF-4593-9E59-660182DC7941}" type="presParOf" srcId="{0CF14C2B-803A-4A0C-A82D-02761F74421C}" destId="{FED6C63D-9A41-4ACF-AD95-9ED1A8C07B5A}" srcOrd="1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81946E-5836-4DAE-A856-3C37E91B9513}" type="doc">
      <dgm:prSet loTypeId="urn:microsoft.com/office/officeart/2005/8/layout/hierarchy2" loCatId="hierarchy" qsTypeId="urn:microsoft.com/office/officeart/2005/8/quickstyle/simple2" qsCatId="simple" csTypeId="urn:microsoft.com/office/officeart/2005/8/colors/accent1_2" csCatId="accent1" phldr="1"/>
      <dgm:spPr/>
      <dgm:t>
        <a:bodyPr/>
        <a:lstStyle/>
        <a:p>
          <a:endParaRPr lang="es-CO"/>
        </a:p>
      </dgm:t>
    </dgm:pt>
    <dgm:pt modelId="{E8B3673D-BDA6-4DA9-ABD6-FA4B21C3F72B}">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Vehículos del MHCP - 2019</a:t>
          </a:r>
        </a:p>
      </dgm:t>
    </dgm:pt>
    <dgm:pt modelId="{802AAF5E-F72F-4F65-8466-C97732A840E7}" type="parTrans" cxnId="{9BBAC92C-DE00-46DC-8662-46C7492ED942}">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2DD38211-DBB4-411C-82F3-CD745AD446EA}" type="sibTrans" cxnId="{9BBAC92C-DE00-46DC-8662-46C7492ED942}">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A4059410-9B0F-484F-844F-E93AC4998E66}">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Esquema de Seguridad -Despacho de Ministro </a:t>
          </a:r>
        </a:p>
      </dgm:t>
    </dgm:pt>
    <dgm:pt modelId="{6579F72E-6896-4DBA-8018-36243424E035}" type="parTrans" cxnId="{BBB5BAF8-F592-456F-9A83-54334D11F834}">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2D0820E8-EA0D-4D5C-A9C6-1380776DD15F}" type="sibTrans" cxnId="{BBB5BAF8-F592-456F-9A83-54334D11F834}">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7674FDF5-0174-442F-B729-D51C40AE5E39}">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Directivos </a:t>
          </a:r>
        </a:p>
      </dgm:t>
    </dgm:pt>
    <dgm:pt modelId="{E5627A23-BD4F-4432-935C-CF68F84A7274}" type="parTrans" cxnId="{7012D455-7A68-40FD-A8AE-4DBE6CCB78B3}">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B8098630-DD36-429A-B8EF-C71A9B0C918B}" type="sibTrans" cxnId="{7012D455-7A68-40FD-A8AE-4DBE6CCB78B3}">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C252AD91-BCCD-467D-9A58-DAA8B2CCA638}">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Operativos</a:t>
          </a:r>
        </a:p>
      </dgm:t>
    </dgm:pt>
    <dgm:pt modelId="{51DC8177-94D5-4055-9969-3108DE20B4C3}" type="parTrans" cxnId="{B154E118-1643-49C9-AAB2-BC32FC8D3863}">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C8785E6F-00B7-43E3-B4DF-18BA6EECE080}" type="sibTrans" cxnId="{B154E118-1643-49C9-AAB2-BC32FC8D3863}">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C5B1D6E8-79DF-40F0-9888-E78E36D619CD}">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5</a:t>
          </a:r>
        </a:p>
      </dgm:t>
    </dgm:pt>
    <dgm:pt modelId="{433EB2E6-C581-4752-819E-3317E338113B}" type="parTrans" cxnId="{42CE2B70-7CA9-4DC7-B27E-492B98544031}">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688FBB23-AB0D-4A9A-9E45-93A21FC6BE33}" type="sibTrans" cxnId="{42CE2B70-7CA9-4DC7-B27E-492B98544031}">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23567BB9-A2D9-48AA-AFC3-90BBF23632B3}">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12 </a:t>
          </a:r>
        </a:p>
      </dgm:t>
    </dgm:pt>
    <dgm:pt modelId="{D6218370-2762-4C5D-B6FF-0EDDC3DCAE75}" type="parTrans" cxnId="{D8008E8A-22D5-4272-BA05-9C5DEF3B2B05}">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B7EB28DC-810E-4762-8D55-B95EBF915FDC}" type="sibTrans" cxnId="{D8008E8A-22D5-4272-BA05-9C5DEF3B2B05}">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EF2B6A14-CBB5-4255-86DF-4C0C366D0D28}">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6</a:t>
          </a:r>
        </a:p>
      </dgm:t>
    </dgm:pt>
    <dgm:pt modelId="{9A97888D-6D18-48EC-B903-A8B6FC8AAF2D}" type="parTrans" cxnId="{94163E29-5745-47AB-8E2E-F7207F191ECC}">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AC239E3-A20A-4D63-8FBF-FC0EB0C122D4}" type="sibTrans" cxnId="{94163E29-5745-47AB-8E2E-F7207F191ECC}">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7018968A-8292-46DA-BD71-9F7AEDB10FC2}">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Total: 24</a:t>
          </a:r>
        </a:p>
      </dgm:t>
    </dgm:pt>
    <dgm:pt modelId="{DBC44E3F-3C7B-431B-A780-6BD75620EB3D}" type="parTrans" cxnId="{020C25A9-00CF-47A4-9887-F2F2671D5A34}">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DE7080A-120D-4FB4-836C-F26DAD07CD45}" type="sibTrans" cxnId="{020C25A9-00CF-47A4-9887-F2F2671D5A34}">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0B989E8-5477-416F-B05A-91F6D3CF3A0D}">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2 Motocicletas Susuki</a:t>
          </a:r>
        </a:p>
      </dgm:t>
    </dgm:pt>
    <dgm:pt modelId="{9B725DB8-C047-4580-A01B-247330F9466F}" type="parTrans" cxnId="{17117168-7870-4912-BCEC-AAA8888D95F1}">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5296FC1A-9565-4448-9253-85B8F34C654C}" type="sibTrans" cxnId="{17117168-7870-4912-BCEC-AAA8888D95F1}">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1471DF1C-8B6F-4AF4-B443-DBE2AB698D91}">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 3 Camionetas Toyota Prado</a:t>
          </a:r>
        </a:p>
      </dgm:t>
    </dgm:pt>
    <dgm:pt modelId="{0B53B95D-7D83-47BC-B96A-2119D72B9144}" type="parTrans" cxnId="{1C4802D1-9309-436F-A055-D735B21F849E}">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955468FA-B85C-4176-8B06-81E6B18BB1FE}" type="sibTrans" cxnId="{1C4802D1-9309-436F-A055-D735B21F849E}">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BEEFAD95-6692-4CE3-9EA9-3123CCAE2477}">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  12 Camionetas Renault Koleos</a:t>
          </a:r>
        </a:p>
      </dgm:t>
    </dgm:pt>
    <dgm:pt modelId="{702CCD3F-1F7D-4584-A66D-FB5A6B96C4FA}" type="parTrans" cxnId="{CB1F5CCD-4CB3-481A-B068-86BBDDEB2535}">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D4590E11-79B9-4EB6-BCB4-FBEED887B6BA}" type="sibTrans" cxnId="{CB1F5CCD-4CB3-481A-B068-86BBDDEB2535}">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E50941B1-D4E4-49EF-A108-E125C787E702}">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  Automovil Renault Fluence</a:t>
          </a:r>
        </a:p>
      </dgm:t>
    </dgm:pt>
    <dgm:pt modelId="{15D2D7FF-9390-4CC5-8184-BD5E05D7FEB5}" type="parTrans" cxnId="{BDD9FFFC-B90B-4C8C-8821-B30A0F9F5190}">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16876659-FA83-4A53-93DD-903F78249689}" type="sibTrans" cxnId="{BDD9FFFC-B90B-4C8C-8821-B30A0F9F5190}">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66696AF1-B6BC-4666-B450-4927CB3DE2FF}">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Esquema de Seguridad - Viceministro General </a:t>
          </a:r>
        </a:p>
      </dgm:t>
    </dgm:pt>
    <dgm:pt modelId="{AE15A6D9-B7B4-434D-AE1E-D5A1F40478D3}" type="parTrans" cxnId="{5FB163DE-8115-4924-9589-FC70112B4415}">
      <dgm:prSet/>
      <dgm:spPr/>
      <dgm:t>
        <a:bodyPr/>
        <a:lstStyle/>
        <a:p>
          <a:endParaRPr lang="es-ES"/>
        </a:p>
      </dgm:t>
    </dgm:pt>
    <dgm:pt modelId="{ABE79400-2DE4-4907-8AB2-4BB8674A8C00}" type="sibTrans" cxnId="{5FB163DE-8115-4924-9589-FC70112B4415}">
      <dgm:prSet/>
      <dgm:spPr/>
      <dgm:t>
        <a:bodyPr/>
        <a:lstStyle/>
        <a:p>
          <a:endParaRPr lang="es-ES"/>
        </a:p>
      </dgm:t>
    </dgm:pt>
    <dgm:pt modelId="{A0F228CB-036A-4A65-9606-1BCBD5C831C1}">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Camioneta Toyota Prado</a:t>
          </a:r>
        </a:p>
      </dgm:t>
    </dgm:pt>
    <dgm:pt modelId="{1A81D65E-15FF-46FC-908D-4711AE93C038}" type="parTrans" cxnId="{22D7685D-22A2-4B66-999E-0B31BDCED343}">
      <dgm:prSet/>
      <dgm:spPr/>
      <dgm:t>
        <a:bodyPr/>
        <a:lstStyle/>
        <a:p>
          <a:endParaRPr lang="es-ES"/>
        </a:p>
      </dgm:t>
    </dgm:pt>
    <dgm:pt modelId="{FCBEB68A-89FF-435E-A6E6-2E4D32E7F399}" type="sibTrans" cxnId="{22D7685D-22A2-4B66-999E-0B31BDCED343}">
      <dgm:prSet/>
      <dgm:spPr/>
      <dgm:t>
        <a:bodyPr/>
        <a:lstStyle/>
        <a:p>
          <a:endParaRPr lang="es-ES"/>
        </a:p>
      </dgm:t>
    </dgm:pt>
    <dgm:pt modelId="{A1C18B35-E01D-457A-86D7-8F284070DB31}">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1</a:t>
          </a:r>
        </a:p>
      </dgm:t>
    </dgm:pt>
    <dgm:pt modelId="{AF38406F-0760-412B-9D25-A798DBD2BE1E}" type="parTrans" cxnId="{06735CCB-E606-47FF-8250-B382D1BCCC2F}">
      <dgm:prSet/>
      <dgm:spPr/>
      <dgm:t>
        <a:bodyPr/>
        <a:lstStyle/>
        <a:p>
          <a:endParaRPr lang="es-ES"/>
        </a:p>
      </dgm:t>
    </dgm:pt>
    <dgm:pt modelId="{B96FB483-5A6D-4121-B272-50D7357BC661}" type="sibTrans" cxnId="{06735CCB-E606-47FF-8250-B382D1BCCC2F}">
      <dgm:prSet/>
      <dgm:spPr/>
      <dgm:t>
        <a:bodyPr/>
        <a:lstStyle/>
        <a:p>
          <a:endParaRPr lang="es-ES"/>
        </a:p>
      </dgm:t>
    </dgm:pt>
    <dgm:pt modelId="{3DB22D45-BEBA-4188-A349-CC1912488C63}" type="pres">
      <dgm:prSet presAssocID="{D181946E-5836-4DAE-A856-3C37E91B9513}" presName="diagram" presStyleCnt="0">
        <dgm:presLayoutVars>
          <dgm:chPref val="1"/>
          <dgm:dir/>
          <dgm:animOne val="branch"/>
          <dgm:animLvl val="lvl"/>
          <dgm:resizeHandles val="exact"/>
        </dgm:presLayoutVars>
      </dgm:prSet>
      <dgm:spPr/>
      <dgm:t>
        <a:bodyPr/>
        <a:lstStyle/>
        <a:p>
          <a:endParaRPr lang="es-ES"/>
        </a:p>
      </dgm:t>
    </dgm:pt>
    <dgm:pt modelId="{F6700E2E-D874-4AB8-B024-B140C5BA39E6}" type="pres">
      <dgm:prSet presAssocID="{E8B3673D-BDA6-4DA9-ABD6-FA4B21C3F72B}" presName="root1" presStyleCnt="0"/>
      <dgm:spPr/>
    </dgm:pt>
    <dgm:pt modelId="{9AB0A057-404D-44ED-B8C8-0EC73FECC1CA}" type="pres">
      <dgm:prSet presAssocID="{E8B3673D-BDA6-4DA9-ABD6-FA4B21C3F72B}" presName="LevelOneTextNode" presStyleLbl="node0" presStyleIdx="0" presStyleCnt="1">
        <dgm:presLayoutVars>
          <dgm:chPref val="3"/>
        </dgm:presLayoutVars>
      </dgm:prSet>
      <dgm:spPr/>
      <dgm:t>
        <a:bodyPr/>
        <a:lstStyle/>
        <a:p>
          <a:endParaRPr lang="es-ES"/>
        </a:p>
      </dgm:t>
    </dgm:pt>
    <dgm:pt modelId="{318534C8-1F8E-4EB2-9699-05E2BFE62ABA}" type="pres">
      <dgm:prSet presAssocID="{E8B3673D-BDA6-4DA9-ABD6-FA4B21C3F72B}" presName="level2hierChild" presStyleCnt="0"/>
      <dgm:spPr/>
    </dgm:pt>
    <dgm:pt modelId="{7F7C6921-2333-4E1F-9ADF-F520619CD866}" type="pres">
      <dgm:prSet presAssocID="{6579F72E-6896-4DBA-8018-36243424E035}" presName="conn2-1" presStyleLbl="parChTrans1D2" presStyleIdx="0" presStyleCnt="5"/>
      <dgm:spPr/>
      <dgm:t>
        <a:bodyPr/>
        <a:lstStyle/>
        <a:p>
          <a:endParaRPr lang="es-ES"/>
        </a:p>
      </dgm:t>
    </dgm:pt>
    <dgm:pt modelId="{D6244965-DFD1-4408-96AB-4ED75AACE839}" type="pres">
      <dgm:prSet presAssocID="{6579F72E-6896-4DBA-8018-36243424E035}" presName="connTx" presStyleLbl="parChTrans1D2" presStyleIdx="0" presStyleCnt="5"/>
      <dgm:spPr/>
      <dgm:t>
        <a:bodyPr/>
        <a:lstStyle/>
        <a:p>
          <a:endParaRPr lang="es-ES"/>
        </a:p>
      </dgm:t>
    </dgm:pt>
    <dgm:pt modelId="{710FC179-3739-4738-A0EB-D53FB2094A1B}" type="pres">
      <dgm:prSet presAssocID="{A4059410-9B0F-484F-844F-E93AC4998E66}" presName="root2" presStyleCnt="0"/>
      <dgm:spPr/>
    </dgm:pt>
    <dgm:pt modelId="{67E437F3-6EB8-4120-A49A-103E89594324}" type="pres">
      <dgm:prSet presAssocID="{A4059410-9B0F-484F-844F-E93AC4998E66}" presName="LevelTwoTextNode" presStyleLbl="node2" presStyleIdx="0" presStyleCnt="5" custScaleY="122163">
        <dgm:presLayoutVars>
          <dgm:chPref val="3"/>
        </dgm:presLayoutVars>
      </dgm:prSet>
      <dgm:spPr/>
      <dgm:t>
        <a:bodyPr/>
        <a:lstStyle/>
        <a:p>
          <a:endParaRPr lang="es-ES"/>
        </a:p>
      </dgm:t>
    </dgm:pt>
    <dgm:pt modelId="{AD78B04F-28D8-4C14-80AA-076EB995E093}" type="pres">
      <dgm:prSet presAssocID="{A4059410-9B0F-484F-844F-E93AC4998E66}" presName="level3hierChild" presStyleCnt="0"/>
      <dgm:spPr/>
    </dgm:pt>
    <dgm:pt modelId="{94A3A7FB-26D9-4514-8966-2D0A235C42B4}" type="pres">
      <dgm:prSet presAssocID="{433EB2E6-C581-4752-819E-3317E338113B}" presName="conn2-1" presStyleLbl="parChTrans1D3" presStyleIdx="0" presStyleCnt="4"/>
      <dgm:spPr/>
      <dgm:t>
        <a:bodyPr/>
        <a:lstStyle/>
        <a:p>
          <a:endParaRPr lang="es-ES"/>
        </a:p>
      </dgm:t>
    </dgm:pt>
    <dgm:pt modelId="{AAB5F62B-FFEC-4A5B-AA1B-372381E6ABE7}" type="pres">
      <dgm:prSet presAssocID="{433EB2E6-C581-4752-819E-3317E338113B}" presName="connTx" presStyleLbl="parChTrans1D3" presStyleIdx="0" presStyleCnt="4"/>
      <dgm:spPr/>
      <dgm:t>
        <a:bodyPr/>
        <a:lstStyle/>
        <a:p>
          <a:endParaRPr lang="es-ES"/>
        </a:p>
      </dgm:t>
    </dgm:pt>
    <dgm:pt modelId="{10EB1B9C-DFF0-4F24-843A-B5C89AECF958}" type="pres">
      <dgm:prSet presAssocID="{C5B1D6E8-79DF-40F0-9888-E78E36D619CD}" presName="root2" presStyleCnt="0"/>
      <dgm:spPr/>
    </dgm:pt>
    <dgm:pt modelId="{55A53353-9C56-4E3E-8512-B6480EDB275C}" type="pres">
      <dgm:prSet presAssocID="{C5B1D6E8-79DF-40F0-9888-E78E36D619CD}" presName="LevelTwoTextNode" presStyleLbl="node3" presStyleIdx="0" presStyleCnt="4">
        <dgm:presLayoutVars>
          <dgm:chPref val="3"/>
        </dgm:presLayoutVars>
      </dgm:prSet>
      <dgm:spPr/>
      <dgm:t>
        <a:bodyPr/>
        <a:lstStyle/>
        <a:p>
          <a:endParaRPr lang="es-ES"/>
        </a:p>
      </dgm:t>
    </dgm:pt>
    <dgm:pt modelId="{0484653D-CEC8-4FA4-98A4-CFB4030CF968}" type="pres">
      <dgm:prSet presAssocID="{C5B1D6E8-79DF-40F0-9888-E78E36D619CD}" presName="level3hierChild" presStyleCnt="0"/>
      <dgm:spPr/>
    </dgm:pt>
    <dgm:pt modelId="{8F17284B-5CF5-4426-AC99-C403B0E8C522}" type="pres">
      <dgm:prSet presAssocID="{0B53B95D-7D83-47BC-B96A-2119D72B9144}" presName="conn2-1" presStyleLbl="parChTrans1D4" presStyleIdx="0" presStyleCnt="5"/>
      <dgm:spPr/>
      <dgm:t>
        <a:bodyPr/>
        <a:lstStyle/>
        <a:p>
          <a:endParaRPr lang="es-ES"/>
        </a:p>
      </dgm:t>
    </dgm:pt>
    <dgm:pt modelId="{663BF752-8DD6-444A-B567-11C5897FE1D6}" type="pres">
      <dgm:prSet presAssocID="{0B53B95D-7D83-47BC-B96A-2119D72B9144}" presName="connTx" presStyleLbl="parChTrans1D4" presStyleIdx="0" presStyleCnt="5"/>
      <dgm:spPr/>
      <dgm:t>
        <a:bodyPr/>
        <a:lstStyle/>
        <a:p>
          <a:endParaRPr lang="es-ES"/>
        </a:p>
      </dgm:t>
    </dgm:pt>
    <dgm:pt modelId="{0979D377-1873-46BD-BDD2-A7B607B7A65B}" type="pres">
      <dgm:prSet presAssocID="{1471DF1C-8B6F-4AF4-B443-DBE2AB698D91}" presName="root2" presStyleCnt="0"/>
      <dgm:spPr/>
    </dgm:pt>
    <dgm:pt modelId="{F6BC9A5B-8617-48AE-B0EB-F9DE0357207E}" type="pres">
      <dgm:prSet presAssocID="{1471DF1C-8B6F-4AF4-B443-DBE2AB698D91}" presName="LevelTwoTextNode" presStyleLbl="node4" presStyleIdx="0" presStyleCnt="5">
        <dgm:presLayoutVars>
          <dgm:chPref val="3"/>
        </dgm:presLayoutVars>
      </dgm:prSet>
      <dgm:spPr/>
      <dgm:t>
        <a:bodyPr/>
        <a:lstStyle/>
        <a:p>
          <a:endParaRPr lang="es-ES"/>
        </a:p>
      </dgm:t>
    </dgm:pt>
    <dgm:pt modelId="{837D468A-2D42-41E5-BD7A-FC7CC34B0F6F}" type="pres">
      <dgm:prSet presAssocID="{1471DF1C-8B6F-4AF4-B443-DBE2AB698D91}" presName="level3hierChild" presStyleCnt="0"/>
      <dgm:spPr/>
    </dgm:pt>
    <dgm:pt modelId="{3EA715A4-0E26-431C-B3EE-42DA336EF2A2}" type="pres">
      <dgm:prSet presAssocID="{9B725DB8-C047-4580-A01B-247330F9466F}" presName="conn2-1" presStyleLbl="parChTrans1D4" presStyleIdx="1" presStyleCnt="5"/>
      <dgm:spPr/>
      <dgm:t>
        <a:bodyPr/>
        <a:lstStyle/>
        <a:p>
          <a:endParaRPr lang="es-ES"/>
        </a:p>
      </dgm:t>
    </dgm:pt>
    <dgm:pt modelId="{7B8022E2-16CA-4995-9635-E5F51C2BB726}" type="pres">
      <dgm:prSet presAssocID="{9B725DB8-C047-4580-A01B-247330F9466F}" presName="connTx" presStyleLbl="parChTrans1D4" presStyleIdx="1" presStyleCnt="5"/>
      <dgm:spPr/>
      <dgm:t>
        <a:bodyPr/>
        <a:lstStyle/>
        <a:p>
          <a:endParaRPr lang="es-ES"/>
        </a:p>
      </dgm:t>
    </dgm:pt>
    <dgm:pt modelId="{E6DFE626-AE25-4882-A2C7-C9EF360F80CF}" type="pres">
      <dgm:prSet presAssocID="{30B989E8-5477-416F-B05A-91F6D3CF3A0D}" presName="root2" presStyleCnt="0"/>
      <dgm:spPr/>
    </dgm:pt>
    <dgm:pt modelId="{785F8D0E-17D2-4770-860A-A9649FEC25FC}" type="pres">
      <dgm:prSet presAssocID="{30B989E8-5477-416F-B05A-91F6D3CF3A0D}" presName="LevelTwoTextNode" presStyleLbl="node4" presStyleIdx="1" presStyleCnt="5">
        <dgm:presLayoutVars>
          <dgm:chPref val="3"/>
        </dgm:presLayoutVars>
      </dgm:prSet>
      <dgm:spPr/>
      <dgm:t>
        <a:bodyPr/>
        <a:lstStyle/>
        <a:p>
          <a:endParaRPr lang="es-ES"/>
        </a:p>
      </dgm:t>
    </dgm:pt>
    <dgm:pt modelId="{CB861CAD-8B48-404F-8185-35172B74465C}" type="pres">
      <dgm:prSet presAssocID="{30B989E8-5477-416F-B05A-91F6D3CF3A0D}" presName="level3hierChild" presStyleCnt="0"/>
      <dgm:spPr/>
    </dgm:pt>
    <dgm:pt modelId="{00B325D3-3E7D-436B-A949-3678DA96E419}" type="pres">
      <dgm:prSet presAssocID="{AE15A6D9-B7B4-434D-AE1E-D5A1F40478D3}" presName="conn2-1" presStyleLbl="parChTrans1D2" presStyleIdx="1" presStyleCnt="5"/>
      <dgm:spPr/>
      <dgm:t>
        <a:bodyPr/>
        <a:lstStyle/>
        <a:p>
          <a:endParaRPr lang="es-ES"/>
        </a:p>
      </dgm:t>
    </dgm:pt>
    <dgm:pt modelId="{D8AFC708-BAB9-4512-A823-6ACCC752FAC9}" type="pres">
      <dgm:prSet presAssocID="{AE15A6D9-B7B4-434D-AE1E-D5A1F40478D3}" presName="connTx" presStyleLbl="parChTrans1D2" presStyleIdx="1" presStyleCnt="5"/>
      <dgm:spPr/>
      <dgm:t>
        <a:bodyPr/>
        <a:lstStyle/>
        <a:p>
          <a:endParaRPr lang="es-ES"/>
        </a:p>
      </dgm:t>
    </dgm:pt>
    <dgm:pt modelId="{D082A0E9-72B0-42D9-A662-653C704BF7C5}" type="pres">
      <dgm:prSet presAssocID="{66696AF1-B6BC-4666-B450-4927CB3DE2FF}" presName="root2" presStyleCnt="0"/>
      <dgm:spPr/>
    </dgm:pt>
    <dgm:pt modelId="{2E175CAE-F292-42BE-B328-92CA0A91ABEA}" type="pres">
      <dgm:prSet presAssocID="{66696AF1-B6BC-4666-B450-4927CB3DE2FF}" presName="LevelTwoTextNode" presStyleLbl="node2" presStyleIdx="1" presStyleCnt="5" custScaleY="138894">
        <dgm:presLayoutVars>
          <dgm:chPref val="3"/>
        </dgm:presLayoutVars>
      </dgm:prSet>
      <dgm:spPr/>
      <dgm:t>
        <a:bodyPr/>
        <a:lstStyle/>
        <a:p>
          <a:endParaRPr lang="es-ES"/>
        </a:p>
      </dgm:t>
    </dgm:pt>
    <dgm:pt modelId="{C47917D9-C428-4AC0-A4C4-40F4A3336CE9}" type="pres">
      <dgm:prSet presAssocID="{66696AF1-B6BC-4666-B450-4927CB3DE2FF}" presName="level3hierChild" presStyleCnt="0"/>
      <dgm:spPr/>
    </dgm:pt>
    <dgm:pt modelId="{1093B310-4400-4C48-B632-6C663843789F}" type="pres">
      <dgm:prSet presAssocID="{AF38406F-0760-412B-9D25-A798DBD2BE1E}" presName="conn2-1" presStyleLbl="parChTrans1D3" presStyleIdx="1" presStyleCnt="4"/>
      <dgm:spPr/>
      <dgm:t>
        <a:bodyPr/>
        <a:lstStyle/>
        <a:p>
          <a:endParaRPr lang="es-ES"/>
        </a:p>
      </dgm:t>
    </dgm:pt>
    <dgm:pt modelId="{57892F37-7073-4B46-B58B-A3B73F927437}" type="pres">
      <dgm:prSet presAssocID="{AF38406F-0760-412B-9D25-A798DBD2BE1E}" presName="connTx" presStyleLbl="parChTrans1D3" presStyleIdx="1" presStyleCnt="4"/>
      <dgm:spPr/>
      <dgm:t>
        <a:bodyPr/>
        <a:lstStyle/>
        <a:p>
          <a:endParaRPr lang="es-ES"/>
        </a:p>
      </dgm:t>
    </dgm:pt>
    <dgm:pt modelId="{85363B69-C3C4-42B0-84F2-A5D8F0B1999B}" type="pres">
      <dgm:prSet presAssocID="{A1C18B35-E01D-457A-86D7-8F284070DB31}" presName="root2" presStyleCnt="0"/>
      <dgm:spPr/>
    </dgm:pt>
    <dgm:pt modelId="{1810A46D-A79F-45C9-918C-5562D2BA19C2}" type="pres">
      <dgm:prSet presAssocID="{A1C18B35-E01D-457A-86D7-8F284070DB31}" presName="LevelTwoTextNode" presStyleLbl="node3" presStyleIdx="1" presStyleCnt="4">
        <dgm:presLayoutVars>
          <dgm:chPref val="3"/>
        </dgm:presLayoutVars>
      </dgm:prSet>
      <dgm:spPr/>
      <dgm:t>
        <a:bodyPr/>
        <a:lstStyle/>
        <a:p>
          <a:endParaRPr lang="es-ES"/>
        </a:p>
      </dgm:t>
    </dgm:pt>
    <dgm:pt modelId="{35A0EB12-0628-420F-8CE4-9E5C1AE82868}" type="pres">
      <dgm:prSet presAssocID="{A1C18B35-E01D-457A-86D7-8F284070DB31}" presName="level3hierChild" presStyleCnt="0"/>
      <dgm:spPr/>
    </dgm:pt>
    <dgm:pt modelId="{0D3D2A59-812F-4598-ADE9-4D2B381E7BB1}" type="pres">
      <dgm:prSet presAssocID="{1A81D65E-15FF-46FC-908D-4711AE93C038}" presName="conn2-1" presStyleLbl="parChTrans1D4" presStyleIdx="2" presStyleCnt="5"/>
      <dgm:spPr/>
      <dgm:t>
        <a:bodyPr/>
        <a:lstStyle/>
        <a:p>
          <a:endParaRPr lang="es-ES"/>
        </a:p>
      </dgm:t>
    </dgm:pt>
    <dgm:pt modelId="{215BFE00-D2AE-452C-AEF7-DFC456272A9A}" type="pres">
      <dgm:prSet presAssocID="{1A81D65E-15FF-46FC-908D-4711AE93C038}" presName="connTx" presStyleLbl="parChTrans1D4" presStyleIdx="2" presStyleCnt="5"/>
      <dgm:spPr/>
      <dgm:t>
        <a:bodyPr/>
        <a:lstStyle/>
        <a:p>
          <a:endParaRPr lang="es-ES"/>
        </a:p>
      </dgm:t>
    </dgm:pt>
    <dgm:pt modelId="{ED55B4E2-9EA2-48F8-9A22-B84F1B1ACB50}" type="pres">
      <dgm:prSet presAssocID="{A0F228CB-036A-4A65-9606-1BCBD5C831C1}" presName="root2" presStyleCnt="0"/>
      <dgm:spPr/>
    </dgm:pt>
    <dgm:pt modelId="{54D74AC1-0620-4DEA-A7FE-48761637FDB0}" type="pres">
      <dgm:prSet presAssocID="{A0F228CB-036A-4A65-9606-1BCBD5C831C1}" presName="LevelTwoTextNode" presStyleLbl="node4" presStyleIdx="2" presStyleCnt="5">
        <dgm:presLayoutVars>
          <dgm:chPref val="3"/>
        </dgm:presLayoutVars>
      </dgm:prSet>
      <dgm:spPr/>
      <dgm:t>
        <a:bodyPr/>
        <a:lstStyle/>
        <a:p>
          <a:endParaRPr lang="es-ES"/>
        </a:p>
      </dgm:t>
    </dgm:pt>
    <dgm:pt modelId="{3F4B316B-94BB-4771-8379-41F1B54AF3DE}" type="pres">
      <dgm:prSet presAssocID="{A0F228CB-036A-4A65-9606-1BCBD5C831C1}" presName="level3hierChild" presStyleCnt="0"/>
      <dgm:spPr/>
    </dgm:pt>
    <dgm:pt modelId="{DEAB8D37-D80E-45EF-833C-A3DE0CB240B0}" type="pres">
      <dgm:prSet presAssocID="{E5627A23-BD4F-4432-935C-CF68F84A7274}" presName="conn2-1" presStyleLbl="parChTrans1D2" presStyleIdx="2" presStyleCnt="5"/>
      <dgm:spPr/>
      <dgm:t>
        <a:bodyPr/>
        <a:lstStyle/>
        <a:p>
          <a:endParaRPr lang="es-ES"/>
        </a:p>
      </dgm:t>
    </dgm:pt>
    <dgm:pt modelId="{96DD6FDE-FE80-47CA-AA40-4D4170F2AD9C}" type="pres">
      <dgm:prSet presAssocID="{E5627A23-BD4F-4432-935C-CF68F84A7274}" presName="connTx" presStyleLbl="parChTrans1D2" presStyleIdx="2" presStyleCnt="5"/>
      <dgm:spPr/>
      <dgm:t>
        <a:bodyPr/>
        <a:lstStyle/>
        <a:p>
          <a:endParaRPr lang="es-ES"/>
        </a:p>
      </dgm:t>
    </dgm:pt>
    <dgm:pt modelId="{5CCCE364-04B0-4263-AF11-C94E3595AA54}" type="pres">
      <dgm:prSet presAssocID="{7674FDF5-0174-442F-B729-D51C40AE5E39}" presName="root2" presStyleCnt="0"/>
      <dgm:spPr/>
    </dgm:pt>
    <dgm:pt modelId="{D5C09ED1-F908-4820-AA62-040CA830879B}" type="pres">
      <dgm:prSet presAssocID="{7674FDF5-0174-442F-B729-D51C40AE5E39}" presName="LevelTwoTextNode" presStyleLbl="node2" presStyleIdx="2" presStyleCnt="5">
        <dgm:presLayoutVars>
          <dgm:chPref val="3"/>
        </dgm:presLayoutVars>
      </dgm:prSet>
      <dgm:spPr/>
      <dgm:t>
        <a:bodyPr/>
        <a:lstStyle/>
        <a:p>
          <a:endParaRPr lang="es-ES"/>
        </a:p>
      </dgm:t>
    </dgm:pt>
    <dgm:pt modelId="{1CD85F15-74DD-47F1-A3E2-8F8D7B718566}" type="pres">
      <dgm:prSet presAssocID="{7674FDF5-0174-442F-B729-D51C40AE5E39}" presName="level3hierChild" presStyleCnt="0"/>
      <dgm:spPr/>
    </dgm:pt>
    <dgm:pt modelId="{D1A1E587-5E9F-48EE-9C96-D467C78451FE}" type="pres">
      <dgm:prSet presAssocID="{D6218370-2762-4C5D-B6FF-0EDDC3DCAE75}" presName="conn2-1" presStyleLbl="parChTrans1D3" presStyleIdx="2" presStyleCnt="4"/>
      <dgm:spPr/>
      <dgm:t>
        <a:bodyPr/>
        <a:lstStyle/>
        <a:p>
          <a:endParaRPr lang="es-ES"/>
        </a:p>
      </dgm:t>
    </dgm:pt>
    <dgm:pt modelId="{7903682F-581B-4D19-B02F-9328AA70099A}" type="pres">
      <dgm:prSet presAssocID="{D6218370-2762-4C5D-B6FF-0EDDC3DCAE75}" presName="connTx" presStyleLbl="parChTrans1D3" presStyleIdx="2" presStyleCnt="4"/>
      <dgm:spPr/>
      <dgm:t>
        <a:bodyPr/>
        <a:lstStyle/>
        <a:p>
          <a:endParaRPr lang="es-ES"/>
        </a:p>
      </dgm:t>
    </dgm:pt>
    <dgm:pt modelId="{F107070C-138E-401C-A8A1-02239D438E8A}" type="pres">
      <dgm:prSet presAssocID="{23567BB9-A2D9-48AA-AFC3-90BBF23632B3}" presName="root2" presStyleCnt="0"/>
      <dgm:spPr/>
    </dgm:pt>
    <dgm:pt modelId="{B386E95A-447C-4842-B774-A7BCEF7208DA}" type="pres">
      <dgm:prSet presAssocID="{23567BB9-A2D9-48AA-AFC3-90BBF23632B3}" presName="LevelTwoTextNode" presStyleLbl="node3" presStyleIdx="2" presStyleCnt="4">
        <dgm:presLayoutVars>
          <dgm:chPref val="3"/>
        </dgm:presLayoutVars>
      </dgm:prSet>
      <dgm:spPr/>
      <dgm:t>
        <a:bodyPr/>
        <a:lstStyle/>
        <a:p>
          <a:endParaRPr lang="es-ES"/>
        </a:p>
      </dgm:t>
    </dgm:pt>
    <dgm:pt modelId="{01437E18-B2C2-4C77-97B1-58A55FA3342C}" type="pres">
      <dgm:prSet presAssocID="{23567BB9-A2D9-48AA-AFC3-90BBF23632B3}" presName="level3hierChild" presStyleCnt="0"/>
      <dgm:spPr/>
    </dgm:pt>
    <dgm:pt modelId="{E0A30095-5083-4223-AF1E-06B1C0F54E61}" type="pres">
      <dgm:prSet presAssocID="{702CCD3F-1F7D-4584-A66D-FB5A6B96C4FA}" presName="conn2-1" presStyleLbl="parChTrans1D4" presStyleIdx="3" presStyleCnt="5"/>
      <dgm:spPr/>
      <dgm:t>
        <a:bodyPr/>
        <a:lstStyle/>
        <a:p>
          <a:endParaRPr lang="es-ES"/>
        </a:p>
      </dgm:t>
    </dgm:pt>
    <dgm:pt modelId="{76851009-B220-44C7-8814-E446D02E2AED}" type="pres">
      <dgm:prSet presAssocID="{702CCD3F-1F7D-4584-A66D-FB5A6B96C4FA}" presName="connTx" presStyleLbl="parChTrans1D4" presStyleIdx="3" presStyleCnt="5"/>
      <dgm:spPr/>
      <dgm:t>
        <a:bodyPr/>
        <a:lstStyle/>
        <a:p>
          <a:endParaRPr lang="es-ES"/>
        </a:p>
      </dgm:t>
    </dgm:pt>
    <dgm:pt modelId="{EF35A059-3C17-433B-A838-543EAEA6DE87}" type="pres">
      <dgm:prSet presAssocID="{BEEFAD95-6692-4CE3-9EA9-3123CCAE2477}" presName="root2" presStyleCnt="0"/>
      <dgm:spPr/>
    </dgm:pt>
    <dgm:pt modelId="{5AC33E18-1E9F-47B8-A687-F54A84A23A6A}" type="pres">
      <dgm:prSet presAssocID="{BEEFAD95-6692-4CE3-9EA9-3123CCAE2477}" presName="LevelTwoTextNode" presStyleLbl="node4" presStyleIdx="3" presStyleCnt="5">
        <dgm:presLayoutVars>
          <dgm:chPref val="3"/>
        </dgm:presLayoutVars>
      </dgm:prSet>
      <dgm:spPr/>
      <dgm:t>
        <a:bodyPr/>
        <a:lstStyle/>
        <a:p>
          <a:endParaRPr lang="es-ES"/>
        </a:p>
      </dgm:t>
    </dgm:pt>
    <dgm:pt modelId="{996B1C74-A2BA-413F-AAB1-E5D83726723C}" type="pres">
      <dgm:prSet presAssocID="{BEEFAD95-6692-4CE3-9EA9-3123CCAE2477}" presName="level3hierChild" presStyleCnt="0"/>
      <dgm:spPr/>
    </dgm:pt>
    <dgm:pt modelId="{E57F0BDB-C6D5-49D0-A919-AC71D6602E45}" type="pres">
      <dgm:prSet presAssocID="{51DC8177-94D5-4055-9969-3108DE20B4C3}" presName="conn2-1" presStyleLbl="parChTrans1D2" presStyleIdx="3" presStyleCnt="5"/>
      <dgm:spPr/>
      <dgm:t>
        <a:bodyPr/>
        <a:lstStyle/>
        <a:p>
          <a:endParaRPr lang="es-ES"/>
        </a:p>
      </dgm:t>
    </dgm:pt>
    <dgm:pt modelId="{D5447A8E-B1D7-42CF-82B4-83C2BE55E38C}" type="pres">
      <dgm:prSet presAssocID="{51DC8177-94D5-4055-9969-3108DE20B4C3}" presName="connTx" presStyleLbl="parChTrans1D2" presStyleIdx="3" presStyleCnt="5"/>
      <dgm:spPr/>
      <dgm:t>
        <a:bodyPr/>
        <a:lstStyle/>
        <a:p>
          <a:endParaRPr lang="es-ES"/>
        </a:p>
      </dgm:t>
    </dgm:pt>
    <dgm:pt modelId="{D1FA41A6-07F7-49EE-8A1D-7647304562AF}" type="pres">
      <dgm:prSet presAssocID="{C252AD91-BCCD-467D-9A58-DAA8B2CCA638}" presName="root2" presStyleCnt="0"/>
      <dgm:spPr/>
    </dgm:pt>
    <dgm:pt modelId="{81BBB8D0-5CA6-4BB6-9C3A-095C339BAE1A}" type="pres">
      <dgm:prSet presAssocID="{C252AD91-BCCD-467D-9A58-DAA8B2CCA638}" presName="LevelTwoTextNode" presStyleLbl="node2" presStyleIdx="3" presStyleCnt="5">
        <dgm:presLayoutVars>
          <dgm:chPref val="3"/>
        </dgm:presLayoutVars>
      </dgm:prSet>
      <dgm:spPr/>
      <dgm:t>
        <a:bodyPr/>
        <a:lstStyle/>
        <a:p>
          <a:endParaRPr lang="es-ES"/>
        </a:p>
      </dgm:t>
    </dgm:pt>
    <dgm:pt modelId="{4D0F5A32-A249-43C7-98D7-16CECA780573}" type="pres">
      <dgm:prSet presAssocID="{C252AD91-BCCD-467D-9A58-DAA8B2CCA638}" presName="level3hierChild" presStyleCnt="0"/>
      <dgm:spPr/>
    </dgm:pt>
    <dgm:pt modelId="{3E5040E0-9747-4129-8223-E49134094E90}" type="pres">
      <dgm:prSet presAssocID="{9A97888D-6D18-48EC-B903-A8B6FC8AAF2D}" presName="conn2-1" presStyleLbl="parChTrans1D3" presStyleIdx="3" presStyleCnt="4"/>
      <dgm:spPr/>
      <dgm:t>
        <a:bodyPr/>
        <a:lstStyle/>
        <a:p>
          <a:endParaRPr lang="es-ES"/>
        </a:p>
      </dgm:t>
    </dgm:pt>
    <dgm:pt modelId="{634C0F45-F74A-48B4-A5B0-D92761CEA13C}" type="pres">
      <dgm:prSet presAssocID="{9A97888D-6D18-48EC-B903-A8B6FC8AAF2D}" presName="connTx" presStyleLbl="parChTrans1D3" presStyleIdx="3" presStyleCnt="4"/>
      <dgm:spPr/>
      <dgm:t>
        <a:bodyPr/>
        <a:lstStyle/>
        <a:p>
          <a:endParaRPr lang="es-ES"/>
        </a:p>
      </dgm:t>
    </dgm:pt>
    <dgm:pt modelId="{5460DEF4-4A60-412D-A4A7-181CD44464CA}" type="pres">
      <dgm:prSet presAssocID="{EF2B6A14-CBB5-4255-86DF-4C0C366D0D28}" presName="root2" presStyleCnt="0"/>
      <dgm:spPr/>
    </dgm:pt>
    <dgm:pt modelId="{AF145D7B-9680-4015-8967-73C6EDC35738}" type="pres">
      <dgm:prSet presAssocID="{EF2B6A14-CBB5-4255-86DF-4C0C366D0D28}" presName="LevelTwoTextNode" presStyleLbl="node3" presStyleIdx="3" presStyleCnt="4">
        <dgm:presLayoutVars>
          <dgm:chPref val="3"/>
        </dgm:presLayoutVars>
      </dgm:prSet>
      <dgm:spPr/>
      <dgm:t>
        <a:bodyPr/>
        <a:lstStyle/>
        <a:p>
          <a:endParaRPr lang="es-ES"/>
        </a:p>
      </dgm:t>
    </dgm:pt>
    <dgm:pt modelId="{65207804-3734-4E83-9EFB-9A4D4E4F1F76}" type="pres">
      <dgm:prSet presAssocID="{EF2B6A14-CBB5-4255-86DF-4C0C366D0D28}" presName="level3hierChild" presStyleCnt="0"/>
      <dgm:spPr/>
    </dgm:pt>
    <dgm:pt modelId="{6C93AE69-C967-48BA-9C04-7007F4E5832A}" type="pres">
      <dgm:prSet presAssocID="{15D2D7FF-9390-4CC5-8184-BD5E05D7FEB5}" presName="conn2-1" presStyleLbl="parChTrans1D4" presStyleIdx="4" presStyleCnt="5"/>
      <dgm:spPr/>
      <dgm:t>
        <a:bodyPr/>
        <a:lstStyle/>
        <a:p>
          <a:endParaRPr lang="es-ES"/>
        </a:p>
      </dgm:t>
    </dgm:pt>
    <dgm:pt modelId="{2C82C145-935E-4C1A-90AE-4627769071A3}" type="pres">
      <dgm:prSet presAssocID="{15D2D7FF-9390-4CC5-8184-BD5E05D7FEB5}" presName="connTx" presStyleLbl="parChTrans1D4" presStyleIdx="4" presStyleCnt="5"/>
      <dgm:spPr/>
      <dgm:t>
        <a:bodyPr/>
        <a:lstStyle/>
        <a:p>
          <a:endParaRPr lang="es-ES"/>
        </a:p>
      </dgm:t>
    </dgm:pt>
    <dgm:pt modelId="{226A6EA4-C2F7-4069-BEBF-5C487EC4EA67}" type="pres">
      <dgm:prSet presAssocID="{E50941B1-D4E4-49EF-A108-E125C787E702}" presName="root2" presStyleCnt="0"/>
      <dgm:spPr/>
    </dgm:pt>
    <dgm:pt modelId="{E7C092F8-ABE2-47FE-BA52-C817121FEF25}" type="pres">
      <dgm:prSet presAssocID="{E50941B1-D4E4-49EF-A108-E125C787E702}" presName="LevelTwoTextNode" presStyleLbl="node4" presStyleIdx="4" presStyleCnt="5">
        <dgm:presLayoutVars>
          <dgm:chPref val="3"/>
        </dgm:presLayoutVars>
      </dgm:prSet>
      <dgm:spPr/>
      <dgm:t>
        <a:bodyPr/>
        <a:lstStyle/>
        <a:p>
          <a:endParaRPr lang="es-ES"/>
        </a:p>
      </dgm:t>
    </dgm:pt>
    <dgm:pt modelId="{CF989F30-4CCA-4C9C-BF76-A0A3B3965BC1}" type="pres">
      <dgm:prSet presAssocID="{E50941B1-D4E4-49EF-A108-E125C787E702}" presName="level3hierChild" presStyleCnt="0"/>
      <dgm:spPr/>
    </dgm:pt>
    <dgm:pt modelId="{FEDBD534-22A4-465F-80D2-1F5AB1900591}" type="pres">
      <dgm:prSet presAssocID="{DBC44E3F-3C7B-431B-A780-6BD75620EB3D}" presName="conn2-1" presStyleLbl="parChTrans1D2" presStyleIdx="4" presStyleCnt="5"/>
      <dgm:spPr/>
      <dgm:t>
        <a:bodyPr/>
        <a:lstStyle/>
        <a:p>
          <a:endParaRPr lang="es-ES"/>
        </a:p>
      </dgm:t>
    </dgm:pt>
    <dgm:pt modelId="{CFC78451-16F6-4C55-982B-5046441F8605}" type="pres">
      <dgm:prSet presAssocID="{DBC44E3F-3C7B-431B-A780-6BD75620EB3D}" presName="connTx" presStyleLbl="parChTrans1D2" presStyleIdx="4" presStyleCnt="5"/>
      <dgm:spPr/>
      <dgm:t>
        <a:bodyPr/>
        <a:lstStyle/>
        <a:p>
          <a:endParaRPr lang="es-ES"/>
        </a:p>
      </dgm:t>
    </dgm:pt>
    <dgm:pt modelId="{76A06A81-DE7D-4286-B2F7-23DDB847F2EB}" type="pres">
      <dgm:prSet presAssocID="{7018968A-8292-46DA-BD71-9F7AEDB10FC2}" presName="root2" presStyleCnt="0"/>
      <dgm:spPr/>
    </dgm:pt>
    <dgm:pt modelId="{6CF0A02E-E0AE-4EB4-9155-408A1944215F}" type="pres">
      <dgm:prSet presAssocID="{7018968A-8292-46DA-BD71-9F7AEDB10FC2}" presName="LevelTwoTextNode" presStyleLbl="node2" presStyleIdx="4" presStyleCnt="5">
        <dgm:presLayoutVars>
          <dgm:chPref val="3"/>
        </dgm:presLayoutVars>
      </dgm:prSet>
      <dgm:spPr/>
      <dgm:t>
        <a:bodyPr/>
        <a:lstStyle/>
        <a:p>
          <a:endParaRPr lang="es-ES"/>
        </a:p>
      </dgm:t>
    </dgm:pt>
    <dgm:pt modelId="{A5DDE1CE-6BEF-4795-9B4D-1C2FBABFE79B}" type="pres">
      <dgm:prSet presAssocID="{7018968A-8292-46DA-BD71-9F7AEDB10FC2}" presName="level3hierChild" presStyleCnt="0"/>
      <dgm:spPr/>
    </dgm:pt>
  </dgm:ptLst>
  <dgm:cxnLst>
    <dgm:cxn modelId="{C0C6861E-AE72-4E2A-9E82-68DED8574F3C}" type="presOf" srcId="{15D2D7FF-9390-4CC5-8184-BD5E05D7FEB5}" destId="{6C93AE69-C967-48BA-9C04-7007F4E5832A}" srcOrd="0" destOrd="0" presId="urn:microsoft.com/office/officeart/2005/8/layout/hierarchy2"/>
    <dgm:cxn modelId="{D057A74B-B54E-45DF-ACCE-18FF4A88DAB4}" type="presOf" srcId="{9A97888D-6D18-48EC-B903-A8B6FC8AAF2D}" destId="{3E5040E0-9747-4129-8223-E49134094E90}" srcOrd="0" destOrd="0" presId="urn:microsoft.com/office/officeart/2005/8/layout/hierarchy2"/>
    <dgm:cxn modelId="{03A98F1F-2544-43E4-90A9-A7AB80186C31}" type="presOf" srcId="{51DC8177-94D5-4055-9969-3108DE20B4C3}" destId="{E57F0BDB-C6D5-49D0-A919-AC71D6602E45}" srcOrd="0" destOrd="0" presId="urn:microsoft.com/office/officeart/2005/8/layout/hierarchy2"/>
    <dgm:cxn modelId="{D8008E8A-22D5-4272-BA05-9C5DEF3B2B05}" srcId="{7674FDF5-0174-442F-B729-D51C40AE5E39}" destId="{23567BB9-A2D9-48AA-AFC3-90BBF23632B3}" srcOrd="0" destOrd="0" parTransId="{D6218370-2762-4C5D-B6FF-0EDDC3DCAE75}" sibTransId="{B7EB28DC-810E-4762-8D55-B95EBF915FDC}"/>
    <dgm:cxn modelId="{CB1F5CCD-4CB3-481A-B068-86BBDDEB2535}" srcId="{23567BB9-A2D9-48AA-AFC3-90BBF23632B3}" destId="{BEEFAD95-6692-4CE3-9EA9-3123CCAE2477}" srcOrd="0" destOrd="0" parTransId="{702CCD3F-1F7D-4584-A66D-FB5A6B96C4FA}" sibTransId="{D4590E11-79B9-4EB6-BCB4-FBEED887B6BA}"/>
    <dgm:cxn modelId="{22D7685D-22A2-4B66-999E-0B31BDCED343}" srcId="{A1C18B35-E01D-457A-86D7-8F284070DB31}" destId="{A0F228CB-036A-4A65-9606-1BCBD5C831C1}" srcOrd="0" destOrd="0" parTransId="{1A81D65E-15FF-46FC-908D-4711AE93C038}" sibTransId="{FCBEB68A-89FF-435E-A6E6-2E4D32E7F399}"/>
    <dgm:cxn modelId="{5926FC54-EFDC-4060-8185-3E804EF96772}" type="presOf" srcId="{E5627A23-BD4F-4432-935C-CF68F84A7274}" destId="{96DD6FDE-FE80-47CA-AA40-4D4170F2AD9C}" srcOrd="1" destOrd="0" presId="urn:microsoft.com/office/officeart/2005/8/layout/hierarchy2"/>
    <dgm:cxn modelId="{BB3D2419-4DDA-4AF3-A3F8-A51B2E1DAE06}" type="presOf" srcId="{AE15A6D9-B7B4-434D-AE1E-D5A1F40478D3}" destId="{D8AFC708-BAB9-4512-A823-6ACCC752FAC9}" srcOrd="1" destOrd="0" presId="urn:microsoft.com/office/officeart/2005/8/layout/hierarchy2"/>
    <dgm:cxn modelId="{B72BFB47-242A-4DFA-A22F-623A3D108F69}" type="presOf" srcId="{C252AD91-BCCD-467D-9A58-DAA8B2CCA638}" destId="{81BBB8D0-5CA6-4BB6-9C3A-095C339BAE1A}" srcOrd="0" destOrd="0" presId="urn:microsoft.com/office/officeart/2005/8/layout/hierarchy2"/>
    <dgm:cxn modelId="{9BBAC92C-DE00-46DC-8662-46C7492ED942}" srcId="{D181946E-5836-4DAE-A856-3C37E91B9513}" destId="{E8B3673D-BDA6-4DA9-ABD6-FA4B21C3F72B}" srcOrd="0" destOrd="0" parTransId="{802AAF5E-F72F-4F65-8466-C97732A840E7}" sibTransId="{2DD38211-DBB4-411C-82F3-CD745AD446EA}"/>
    <dgm:cxn modelId="{B20233A4-E350-4DE2-A27D-DFA47DF3E1A1}" type="presOf" srcId="{6579F72E-6896-4DBA-8018-36243424E035}" destId="{D6244965-DFD1-4408-96AB-4ED75AACE839}" srcOrd="1" destOrd="0" presId="urn:microsoft.com/office/officeart/2005/8/layout/hierarchy2"/>
    <dgm:cxn modelId="{35FC335E-AC2F-4248-869F-224714E8227B}" type="presOf" srcId="{EF2B6A14-CBB5-4255-86DF-4C0C366D0D28}" destId="{AF145D7B-9680-4015-8967-73C6EDC35738}" srcOrd="0" destOrd="0" presId="urn:microsoft.com/office/officeart/2005/8/layout/hierarchy2"/>
    <dgm:cxn modelId="{42CE2B70-7CA9-4DC7-B27E-492B98544031}" srcId="{A4059410-9B0F-484F-844F-E93AC4998E66}" destId="{C5B1D6E8-79DF-40F0-9888-E78E36D619CD}" srcOrd="0" destOrd="0" parTransId="{433EB2E6-C581-4752-819E-3317E338113B}" sibTransId="{688FBB23-AB0D-4A9A-9E45-93A21FC6BE33}"/>
    <dgm:cxn modelId="{06735CCB-E606-47FF-8250-B382D1BCCC2F}" srcId="{66696AF1-B6BC-4666-B450-4927CB3DE2FF}" destId="{A1C18B35-E01D-457A-86D7-8F284070DB31}" srcOrd="0" destOrd="0" parTransId="{AF38406F-0760-412B-9D25-A798DBD2BE1E}" sibTransId="{B96FB483-5A6D-4121-B272-50D7357BC661}"/>
    <dgm:cxn modelId="{DF77BBDF-DA08-4BB3-B81F-FDFC99D74582}" type="presOf" srcId="{1471DF1C-8B6F-4AF4-B443-DBE2AB698D91}" destId="{F6BC9A5B-8617-48AE-B0EB-F9DE0357207E}" srcOrd="0" destOrd="0" presId="urn:microsoft.com/office/officeart/2005/8/layout/hierarchy2"/>
    <dgm:cxn modelId="{62E8F41E-0C83-425A-BA46-BA17C8F7B50E}" type="presOf" srcId="{D181946E-5836-4DAE-A856-3C37E91B9513}" destId="{3DB22D45-BEBA-4188-A349-CC1912488C63}" srcOrd="0" destOrd="0" presId="urn:microsoft.com/office/officeart/2005/8/layout/hierarchy2"/>
    <dgm:cxn modelId="{1718B9C4-45FD-4602-8622-A6A4C87F0115}" type="presOf" srcId="{0B53B95D-7D83-47BC-B96A-2119D72B9144}" destId="{8F17284B-5CF5-4426-AC99-C403B0E8C522}" srcOrd="0" destOrd="0" presId="urn:microsoft.com/office/officeart/2005/8/layout/hierarchy2"/>
    <dgm:cxn modelId="{09D3AFBC-5746-4434-861B-AC7A2DE8553B}" type="presOf" srcId="{0B53B95D-7D83-47BC-B96A-2119D72B9144}" destId="{663BF752-8DD6-444A-B567-11C5897FE1D6}" srcOrd="1" destOrd="0" presId="urn:microsoft.com/office/officeart/2005/8/layout/hierarchy2"/>
    <dgm:cxn modelId="{2F6AB68D-1BEB-4740-8D38-090AFEA6C57D}" type="presOf" srcId="{23567BB9-A2D9-48AA-AFC3-90BBF23632B3}" destId="{B386E95A-447C-4842-B774-A7BCEF7208DA}" srcOrd="0" destOrd="0" presId="urn:microsoft.com/office/officeart/2005/8/layout/hierarchy2"/>
    <dgm:cxn modelId="{436C7EA1-57A6-41FB-862D-046C8311E887}" type="presOf" srcId="{7018968A-8292-46DA-BD71-9F7AEDB10FC2}" destId="{6CF0A02E-E0AE-4EB4-9155-408A1944215F}" srcOrd="0" destOrd="0" presId="urn:microsoft.com/office/officeart/2005/8/layout/hierarchy2"/>
    <dgm:cxn modelId="{7422B30D-86FC-450C-93A5-272A3F6F0686}" type="presOf" srcId="{702CCD3F-1F7D-4584-A66D-FB5A6B96C4FA}" destId="{76851009-B220-44C7-8814-E446D02E2AED}" srcOrd="1" destOrd="0" presId="urn:microsoft.com/office/officeart/2005/8/layout/hierarchy2"/>
    <dgm:cxn modelId="{70B60991-EB6A-4C3A-B866-AB20F74ED972}" type="presOf" srcId="{DBC44E3F-3C7B-431B-A780-6BD75620EB3D}" destId="{CFC78451-16F6-4C55-982B-5046441F8605}" srcOrd="1" destOrd="0" presId="urn:microsoft.com/office/officeart/2005/8/layout/hierarchy2"/>
    <dgm:cxn modelId="{992BF0B0-098E-43D8-A8DF-56E30A580E8F}" type="presOf" srcId="{66696AF1-B6BC-4666-B450-4927CB3DE2FF}" destId="{2E175CAE-F292-42BE-B328-92CA0A91ABEA}" srcOrd="0" destOrd="0" presId="urn:microsoft.com/office/officeart/2005/8/layout/hierarchy2"/>
    <dgm:cxn modelId="{02E41AE6-D28C-4862-9728-980137BCCFBF}" type="presOf" srcId="{30B989E8-5477-416F-B05A-91F6D3CF3A0D}" destId="{785F8D0E-17D2-4770-860A-A9649FEC25FC}" srcOrd="0" destOrd="0" presId="urn:microsoft.com/office/officeart/2005/8/layout/hierarchy2"/>
    <dgm:cxn modelId="{341F328B-55D6-429F-9A1E-2E497E10FE2E}" type="presOf" srcId="{D6218370-2762-4C5D-B6FF-0EDDC3DCAE75}" destId="{D1A1E587-5E9F-48EE-9C96-D467C78451FE}" srcOrd="0" destOrd="0" presId="urn:microsoft.com/office/officeart/2005/8/layout/hierarchy2"/>
    <dgm:cxn modelId="{C72C7E47-6985-4A1F-8ADB-941DFEC78E23}" type="presOf" srcId="{BEEFAD95-6692-4CE3-9EA9-3123CCAE2477}" destId="{5AC33E18-1E9F-47B8-A687-F54A84A23A6A}" srcOrd="0" destOrd="0" presId="urn:microsoft.com/office/officeart/2005/8/layout/hierarchy2"/>
    <dgm:cxn modelId="{3EBF6FE0-6C13-485F-ABE5-D068B4D7269A}" type="presOf" srcId="{AE15A6D9-B7B4-434D-AE1E-D5A1F40478D3}" destId="{00B325D3-3E7D-436B-A949-3678DA96E419}" srcOrd="0" destOrd="0" presId="urn:microsoft.com/office/officeart/2005/8/layout/hierarchy2"/>
    <dgm:cxn modelId="{3BC2B7EB-A6F8-45D9-9B1C-73C80850777B}" type="presOf" srcId="{1A81D65E-15FF-46FC-908D-4711AE93C038}" destId="{215BFE00-D2AE-452C-AEF7-DFC456272A9A}" srcOrd="1" destOrd="0" presId="urn:microsoft.com/office/officeart/2005/8/layout/hierarchy2"/>
    <dgm:cxn modelId="{BBB5BAF8-F592-456F-9A83-54334D11F834}" srcId="{E8B3673D-BDA6-4DA9-ABD6-FA4B21C3F72B}" destId="{A4059410-9B0F-484F-844F-E93AC4998E66}" srcOrd="0" destOrd="0" parTransId="{6579F72E-6896-4DBA-8018-36243424E035}" sibTransId="{2D0820E8-EA0D-4D5C-A9C6-1380776DD15F}"/>
    <dgm:cxn modelId="{AF76B856-320B-464C-A7C5-94A6B8210E3B}" type="presOf" srcId="{DBC44E3F-3C7B-431B-A780-6BD75620EB3D}" destId="{FEDBD534-22A4-465F-80D2-1F5AB1900591}" srcOrd="0" destOrd="0" presId="urn:microsoft.com/office/officeart/2005/8/layout/hierarchy2"/>
    <dgm:cxn modelId="{9BADC0A7-CCB8-468F-AF62-DA3D3E8F5048}" type="presOf" srcId="{D6218370-2762-4C5D-B6FF-0EDDC3DCAE75}" destId="{7903682F-581B-4D19-B02F-9328AA70099A}" srcOrd="1" destOrd="0" presId="urn:microsoft.com/office/officeart/2005/8/layout/hierarchy2"/>
    <dgm:cxn modelId="{1BEECAC5-CE0E-462A-99AD-3A18C73F5DDB}" type="presOf" srcId="{9B725DB8-C047-4580-A01B-247330F9466F}" destId="{7B8022E2-16CA-4995-9635-E5F51C2BB726}" srcOrd="1" destOrd="0" presId="urn:microsoft.com/office/officeart/2005/8/layout/hierarchy2"/>
    <dgm:cxn modelId="{17117168-7870-4912-BCEC-AAA8888D95F1}" srcId="{C5B1D6E8-79DF-40F0-9888-E78E36D619CD}" destId="{30B989E8-5477-416F-B05A-91F6D3CF3A0D}" srcOrd="1" destOrd="0" parTransId="{9B725DB8-C047-4580-A01B-247330F9466F}" sibTransId="{5296FC1A-9565-4448-9253-85B8F34C654C}"/>
    <dgm:cxn modelId="{94163E29-5745-47AB-8E2E-F7207F191ECC}" srcId="{C252AD91-BCCD-467D-9A58-DAA8B2CCA638}" destId="{EF2B6A14-CBB5-4255-86DF-4C0C366D0D28}" srcOrd="0" destOrd="0" parTransId="{9A97888D-6D18-48EC-B903-A8B6FC8AAF2D}" sibTransId="{3AC239E3-A20A-4D63-8FBF-FC0EB0C122D4}"/>
    <dgm:cxn modelId="{F7500A98-C77E-4899-8F74-23DA13BB3F42}" type="presOf" srcId="{15D2D7FF-9390-4CC5-8184-BD5E05D7FEB5}" destId="{2C82C145-935E-4C1A-90AE-4627769071A3}" srcOrd="1" destOrd="0" presId="urn:microsoft.com/office/officeart/2005/8/layout/hierarchy2"/>
    <dgm:cxn modelId="{47FE829F-2A4A-40FA-B940-321006970FAC}" type="presOf" srcId="{A1C18B35-E01D-457A-86D7-8F284070DB31}" destId="{1810A46D-A79F-45C9-918C-5562D2BA19C2}" srcOrd="0" destOrd="0" presId="urn:microsoft.com/office/officeart/2005/8/layout/hierarchy2"/>
    <dgm:cxn modelId="{9A7B40BE-7489-4ED5-952D-8AAAB0183C16}" type="presOf" srcId="{9A97888D-6D18-48EC-B903-A8B6FC8AAF2D}" destId="{634C0F45-F74A-48B4-A5B0-D92761CEA13C}" srcOrd="1" destOrd="0" presId="urn:microsoft.com/office/officeart/2005/8/layout/hierarchy2"/>
    <dgm:cxn modelId="{955056E6-28CC-4173-B499-1FC4A776F1C9}" type="presOf" srcId="{A4059410-9B0F-484F-844F-E93AC4998E66}" destId="{67E437F3-6EB8-4120-A49A-103E89594324}" srcOrd="0" destOrd="0" presId="urn:microsoft.com/office/officeart/2005/8/layout/hierarchy2"/>
    <dgm:cxn modelId="{182BE4A9-5B13-4753-AE86-66F56FD80B82}" type="presOf" srcId="{433EB2E6-C581-4752-819E-3317E338113B}" destId="{94A3A7FB-26D9-4514-8966-2D0A235C42B4}" srcOrd="0" destOrd="0" presId="urn:microsoft.com/office/officeart/2005/8/layout/hierarchy2"/>
    <dgm:cxn modelId="{3203DEFE-9544-403A-9518-6B3C2C064496}" type="presOf" srcId="{51DC8177-94D5-4055-9969-3108DE20B4C3}" destId="{D5447A8E-B1D7-42CF-82B4-83C2BE55E38C}" srcOrd="1" destOrd="0" presId="urn:microsoft.com/office/officeart/2005/8/layout/hierarchy2"/>
    <dgm:cxn modelId="{142E7584-69B7-4B42-BF86-5A3E24FE841D}" type="presOf" srcId="{E8B3673D-BDA6-4DA9-ABD6-FA4B21C3F72B}" destId="{9AB0A057-404D-44ED-B8C8-0EC73FECC1CA}" srcOrd="0" destOrd="0" presId="urn:microsoft.com/office/officeart/2005/8/layout/hierarchy2"/>
    <dgm:cxn modelId="{1C4802D1-9309-436F-A055-D735B21F849E}" srcId="{C5B1D6E8-79DF-40F0-9888-E78E36D619CD}" destId="{1471DF1C-8B6F-4AF4-B443-DBE2AB698D91}" srcOrd="0" destOrd="0" parTransId="{0B53B95D-7D83-47BC-B96A-2119D72B9144}" sibTransId="{955468FA-B85C-4176-8B06-81E6B18BB1FE}"/>
    <dgm:cxn modelId="{51221339-2FE9-451A-87FC-54EBD42D2F51}" type="presOf" srcId="{AF38406F-0760-412B-9D25-A798DBD2BE1E}" destId="{57892F37-7073-4B46-B58B-A3B73F927437}" srcOrd="1" destOrd="0" presId="urn:microsoft.com/office/officeart/2005/8/layout/hierarchy2"/>
    <dgm:cxn modelId="{B91F7435-8FB3-4DE8-9F4A-51CE329C3CDE}" type="presOf" srcId="{1A81D65E-15FF-46FC-908D-4711AE93C038}" destId="{0D3D2A59-812F-4598-ADE9-4D2B381E7BB1}" srcOrd="0" destOrd="0" presId="urn:microsoft.com/office/officeart/2005/8/layout/hierarchy2"/>
    <dgm:cxn modelId="{BDD9FFFC-B90B-4C8C-8821-B30A0F9F5190}" srcId="{EF2B6A14-CBB5-4255-86DF-4C0C366D0D28}" destId="{E50941B1-D4E4-49EF-A108-E125C787E702}" srcOrd="0" destOrd="0" parTransId="{15D2D7FF-9390-4CC5-8184-BD5E05D7FEB5}" sibTransId="{16876659-FA83-4A53-93DD-903F78249689}"/>
    <dgm:cxn modelId="{AFD4372D-5071-43D6-91B5-1A37BDB9D59C}" type="presOf" srcId="{C5B1D6E8-79DF-40F0-9888-E78E36D619CD}" destId="{55A53353-9C56-4E3E-8512-B6480EDB275C}" srcOrd="0" destOrd="0" presId="urn:microsoft.com/office/officeart/2005/8/layout/hierarchy2"/>
    <dgm:cxn modelId="{7DFD9CA0-2C1C-4CB8-8C7A-45CEC33805C4}" type="presOf" srcId="{E50941B1-D4E4-49EF-A108-E125C787E702}" destId="{E7C092F8-ABE2-47FE-BA52-C817121FEF25}" srcOrd="0" destOrd="0" presId="urn:microsoft.com/office/officeart/2005/8/layout/hierarchy2"/>
    <dgm:cxn modelId="{0E71572E-0670-4696-A05A-1F4EE1EB94DD}" type="presOf" srcId="{A0F228CB-036A-4A65-9606-1BCBD5C831C1}" destId="{54D74AC1-0620-4DEA-A7FE-48761637FDB0}" srcOrd="0" destOrd="0" presId="urn:microsoft.com/office/officeart/2005/8/layout/hierarchy2"/>
    <dgm:cxn modelId="{5FB163DE-8115-4924-9589-FC70112B4415}" srcId="{E8B3673D-BDA6-4DA9-ABD6-FA4B21C3F72B}" destId="{66696AF1-B6BC-4666-B450-4927CB3DE2FF}" srcOrd="1" destOrd="0" parTransId="{AE15A6D9-B7B4-434D-AE1E-D5A1F40478D3}" sibTransId="{ABE79400-2DE4-4907-8AB2-4BB8674A8C00}"/>
    <dgm:cxn modelId="{B58501F1-AB2D-466D-9181-09CCBA3E887C}" type="presOf" srcId="{433EB2E6-C581-4752-819E-3317E338113B}" destId="{AAB5F62B-FFEC-4A5B-AA1B-372381E6ABE7}" srcOrd="1" destOrd="0" presId="urn:microsoft.com/office/officeart/2005/8/layout/hierarchy2"/>
    <dgm:cxn modelId="{020C25A9-00CF-47A4-9887-F2F2671D5A34}" srcId="{E8B3673D-BDA6-4DA9-ABD6-FA4B21C3F72B}" destId="{7018968A-8292-46DA-BD71-9F7AEDB10FC2}" srcOrd="4" destOrd="0" parTransId="{DBC44E3F-3C7B-431B-A780-6BD75620EB3D}" sibTransId="{3DE7080A-120D-4FB4-836C-F26DAD07CD45}"/>
    <dgm:cxn modelId="{97862CD7-2956-45A1-8ED9-583F15F2E8D6}" type="presOf" srcId="{AF38406F-0760-412B-9D25-A798DBD2BE1E}" destId="{1093B310-4400-4C48-B632-6C663843789F}" srcOrd="0" destOrd="0" presId="urn:microsoft.com/office/officeart/2005/8/layout/hierarchy2"/>
    <dgm:cxn modelId="{F6FA65B8-EE60-4B4A-812B-CA7E9A09B94E}" type="presOf" srcId="{9B725DB8-C047-4580-A01B-247330F9466F}" destId="{3EA715A4-0E26-431C-B3EE-42DA336EF2A2}" srcOrd="0" destOrd="0" presId="urn:microsoft.com/office/officeart/2005/8/layout/hierarchy2"/>
    <dgm:cxn modelId="{B154E118-1643-49C9-AAB2-BC32FC8D3863}" srcId="{E8B3673D-BDA6-4DA9-ABD6-FA4B21C3F72B}" destId="{C252AD91-BCCD-467D-9A58-DAA8B2CCA638}" srcOrd="3" destOrd="0" parTransId="{51DC8177-94D5-4055-9969-3108DE20B4C3}" sibTransId="{C8785E6F-00B7-43E3-B4DF-18BA6EECE080}"/>
    <dgm:cxn modelId="{5426021B-3EBF-4A3F-B9DF-ECF34E71C5D8}" type="presOf" srcId="{702CCD3F-1F7D-4584-A66D-FB5A6B96C4FA}" destId="{E0A30095-5083-4223-AF1E-06B1C0F54E61}" srcOrd="0" destOrd="0" presId="urn:microsoft.com/office/officeart/2005/8/layout/hierarchy2"/>
    <dgm:cxn modelId="{C9E0A858-7B2B-48DB-AF38-7CEAA4BC2E37}" type="presOf" srcId="{E5627A23-BD4F-4432-935C-CF68F84A7274}" destId="{DEAB8D37-D80E-45EF-833C-A3DE0CB240B0}" srcOrd="0" destOrd="0" presId="urn:microsoft.com/office/officeart/2005/8/layout/hierarchy2"/>
    <dgm:cxn modelId="{700FA3F9-850B-4F6F-9385-5AE2E0C4BAE4}" type="presOf" srcId="{7674FDF5-0174-442F-B729-D51C40AE5E39}" destId="{D5C09ED1-F908-4820-AA62-040CA830879B}" srcOrd="0" destOrd="0" presId="urn:microsoft.com/office/officeart/2005/8/layout/hierarchy2"/>
    <dgm:cxn modelId="{7012D455-7A68-40FD-A8AE-4DBE6CCB78B3}" srcId="{E8B3673D-BDA6-4DA9-ABD6-FA4B21C3F72B}" destId="{7674FDF5-0174-442F-B729-D51C40AE5E39}" srcOrd="2" destOrd="0" parTransId="{E5627A23-BD4F-4432-935C-CF68F84A7274}" sibTransId="{B8098630-DD36-429A-B8EF-C71A9B0C918B}"/>
    <dgm:cxn modelId="{9346AC9B-83DE-4E27-89B4-1651BCA45AA9}" type="presOf" srcId="{6579F72E-6896-4DBA-8018-36243424E035}" destId="{7F7C6921-2333-4E1F-9ADF-F520619CD866}" srcOrd="0" destOrd="0" presId="urn:microsoft.com/office/officeart/2005/8/layout/hierarchy2"/>
    <dgm:cxn modelId="{2741D4A4-A0A6-487C-8A1A-53C47E5C32A7}" type="presParOf" srcId="{3DB22D45-BEBA-4188-A349-CC1912488C63}" destId="{F6700E2E-D874-4AB8-B024-B140C5BA39E6}" srcOrd="0" destOrd="0" presId="urn:microsoft.com/office/officeart/2005/8/layout/hierarchy2"/>
    <dgm:cxn modelId="{3A20FB45-98D1-48DD-A8C7-420E37FA3BA7}" type="presParOf" srcId="{F6700E2E-D874-4AB8-B024-B140C5BA39E6}" destId="{9AB0A057-404D-44ED-B8C8-0EC73FECC1CA}" srcOrd="0" destOrd="0" presId="urn:microsoft.com/office/officeart/2005/8/layout/hierarchy2"/>
    <dgm:cxn modelId="{75B1CD86-620B-4D76-8BF1-CE7A0A3C4F3A}" type="presParOf" srcId="{F6700E2E-D874-4AB8-B024-B140C5BA39E6}" destId="{318534C8-1F8E-4EB2-9699-05E2BFE62ABA}" srcOrd="1" destOrd="0" presId="urn:microsoft.com/office/officeart/2005/8/layout/hierarchy2"/>
    <dgm:cxn modelId="{18B0FB69-37F2-4DB7-9DF9-F7B51E580C38}" type="presParOf" srcId="{318534C8-1F8E-4EB2-9699-05E2BFE62ABA}" destId="{7F7C6921-2333-4E1F-9ADF-F520619CD866}" srcOrd="0" destOrd="0" presId="urn:microsoft.com/office/officeart/2005/8/layout/hierarchy2"/>
    <dgm:cxn modelId="{BEF759C8-C343-4586-AEBA-D78F58B50FFF}" type="presParOf" srcId="{7F7C6921-2333-4E1F-9ADF-F520619CD866}" destId="{D6244965-DFD1-4408-96AB-4ED75AACE839}" srcOrd="0" destOrd="0" presId="urn:microsoft.com/office/officeart/2005/8/layout/hierarchy2"/>
    <dgm:cxn modelId="{1BCE02BE-DA0A-4BBB-AD08-4C2176A6C450}" type="presParOf" srcId="{318534C8-1F8E-4EB2-9699-05E2BFE62ABA}" destId="{710FC179-3739-4738-A0EB-D53FB2094A1B}" srcOrd="1" destOrd="0" presId="urn:microsoft.com/office/officeart/2005/8/layout/hierarchy2"/>
    <dgm:cxn modelId="{C301F1A4-5DC7-492F-8B60-1FD44D4D0214}" type="presParOf" srcId="{710FC179-3739-4738-A0EB-D53FB2094A1B}" destId="{67E437F3-6EB8-4120-A49A-103E89594324}" srcOrd="0" destOrd="0" presId="urn:microsoft.com/office/officeart/2005/8/layout/hierarchy2"/>
    <dgm:cxn modelId="{F9F22FFE-0E16-4288-B8A1-D21D47B91A14}" type="presParOf" srcId="{710FC179-3739-4738-A0EB-D53FB2094A1B}" destId="{AD78B04F-28D8-4C14-80AA-076EB995E093}" srcOrd="1" destOrd="0" presId="urn:microsoft.com/office/officeart/2005/8/layout/hierarchy2"/>
    <dgm:cxn modelId="{F2075128-74D8-48A8-ACDC-ED60430A57D5}" type="presParOf" srcId="{AD78B04F-28D8-4C14-80AA-076EB995E093}" destId="{94A3A7FB-26D9-4514-8966-2D0A235C42B4}" srcOrd="0" destOrd="0" presId="urn:microsoft.com/office/officeart/2005/8/layout/hierarchy2"/>
    <dgm:cxn modelId="{370C06BA-2E37-4287-89CF-74B155B1D0C8}" type="presParOf" srcId="{94A3A7FB-26D9-4514-8966-2D0A235C42B4}" destId="{AAB5F62B-FFEC-4A5B-AA1B-372381E6ABE7}" srcOrd="0" destOrd="0" presId="urn:microsoft.com/office/officeart/2005/8/layout/hierarchy2"/>
    <dgm:cxn modelId="{8A71FF76-B25B-4E68-B025-36921EAFB5EC}" type="presParOf" srcId="{AD78B04F-28D8-4C14-80AA-076EB995E093}" destId="{10EB1B9C-DFF0-4F24-843A-B5C89AECF958}" srcOrd="1" destOrd="0" presId="urn:microsoft.com/office/officeart/2005/8/layout/hierarchy2"/>
    <dgm:cxn modelId="{C285CFE3-B535-4C8D-9903-81C55CE9E4CC}" type="presParOf" srcId="{10EB1B9C-DFF0-4F24-843A-B5C89AECF958}" destId="{55A53353-9C56-4E3E-8512-B6480EDB275C}" srcOrd="0" destOrd="0" presId="urn:microsoft.com/office/officeart/2005/8/layout/hierarchy2"/>
    <dgm:cxn modelId="{C28EB7B0-D4A8-4681-B297-584EC9B0657C}" type="presParOf" srcId="{10EB1B9C-DFF0-4F24-843A-B5C89AECF958}" destId="{0484653D-CEC8-4FA4-98A4-CFB4030CF968}" srcOrd="1" destOrd="0" presId="urn:microsoft.com/office/officeart/2005/8/layout/hierarchy2"/>
    <dgm:cxn modelId="{F78366C0-C7B2-4F19-A43B-C11C7FB40F1B}" type="presParOf" srcId="{0484653D-CEC8-4FA4-98A4-CFB4030CF968}" destId="{8F17284B-5CF5-4426-AC99-C403B0E8C522}" srcOrd="0" destOrd="0" presId="urn:microsoft.com/office/officeart/2005/8/layout/hierarchy2"/>
    <dgm:cxn modelId="{E723832F-7C9B-4012-B56A-C085E5B90115}" type="presParOf" srcId="{8F17284B-5CF5-4426-AC99-C403B0E8C522}" destId="{663BF752-8DD6-444A-B567-11C5897FE1D6}" srcOrd="0" destOrd="0" presId="urn:microsoft.com/office/officeart/2005/8/layout/hierarchy2"/>
    <dgm:cxn modelId="{C15A35EB-6A1F-487A-8496-741337D32799}" type="presParOf" srcId="{0484653D-CEC8-4FA4-98A4-CFB4030CF968}" destId="{0979D377-1873-46BD-BDD2-A7B607B7A65B}" srcOrd="1" destOrd="0" presId="urn:microsoft.com/office/officeart/2005/8/layout/hierarchy2"/>
    <dgm:cxn modelId="{777DDF84-CB96-49DD-8D56-87C46E7F0AC2}" type="presParOf" srcId="{0979D377-1873-46BD-BDD2-A7B607B7A65B}" destId="{F6BC9A5B-8617-48AE-B0EB-F9DE0357207E}" srcOrd="0" destOrd="0" presId="urn:microsoft.com/office/officeart/2005/8/layout/hierarchy2"/>
    <dgm:cxn modelId="{D1324099-6368-496D-B233-717053486118}" type="presParOf" srcId="{0979D377-1873-46BD-BDD2-A7B607B7A65B}" destId="{837D468A-2D42-41E5-BD7A-FC7CC34B0F6F}" srcOrd="1" destOrd="0" presId="urn:microsoft.com/office/officeart/2005/8/layout/hierarchy2"/>
    <dgm:cxn modelId="{E2A111EC-0C9E-4356-B87B-0AC372D0FC13}" type="presParOf" srcId="{0484653D-CEC8-4FA4-98A4-CFB4030CF968}" destId="{3EA715A4-0E26-431C-B3EE-42DA336EF2A2}" srcOrd="2" destOrd="0" presId="urn:microsoft.com/office/officeart/2005/8/layout/hierarchy2"/>
    <dgm:cxn modelId="{A0655F1E-41DC-4948-8702-010ED5CDBCB7}" type="presParOf" srcId="{3EA715A4-0E26-431C-B3EE-42DA336EF2A2}" destId="{7B8022E2-16CA-4995-9635-E5F51C2BB726}" srcOrd="0" destOrd="0" presId="urn:microsoft.com/office/officeart/2005/8/layout/hierarchy2"/>
    <dgm:cxn modelId="{770971DF-B5EB-4B4C-A884-B67CD411552F}" type="presParOf" srcId="{0484653D-CEC8-4FA4-98A4-CFB4030CF968}" destId="{E6DFE626-AE25-4882-A2C7-C9EF360F80CF}" srcOrd="3" destOrd="0" presId="urn:microsoft.com/office/officeart/2005/8/layout/hierarchy2"/>
    <dgm:cxn modelId="{ABFF5F1D-E522-4CED-8F06-72E1F1C4AAE0}" type="presParOf" srcId="{E6DFE626-AE25-4882-A2C7-C9EF360F80CF}" destId="{785F8D0E-17D2-4770-860A-A9649FEC25FC}" srcOrd="0" destOrd="0" presId="urn:microsoft.com/office/officeart/2005/8/layout/hierarchy2"/>
    <dgm:cxn modelId="{A5EC4050-8B84-4285-A618-E48F3F961905}" type="presParOf" srcId="{E6DFE626-AE25-4882-A2C7-C9EF360F80CF}" destId="{CB861CAD-8B48-404F-8185-35172B74465C}" srcOrd="1" destOrd="0" presId="urn:microsoft.com/office/officeart/2005/8/layout/hierarchy2"/>
    <dgm:cxn modelId="{5D64FF69-946C-4CF2-9A2D-CDC75F63F67F}" type="presParOf" srcId="{318534C8-1F8E-4EB2-9699-05E2BFE62ABA}" destId="{00B325D3-3E7D-436B-A949-3678DA96E419}" srcOrd="2" destOrd="0" presId="urn:microsoft.com/office/officeart/2005/8/layout/hierarchy2"/>
    <dgm:cxn modelId="{F8F32AEF-9603-47CA-AD88-7E94D733D78F}" type="presParOf" srcId="{00B325D3-3E7D-436B-A949-3678DA96E419}" destId="{D8AFC708-BAB9-4512-A823-6ACCC752FAC9}" srcOrd="0" destOrd="0" presId="urn:microsoft.com/office/officeart/2005/8/layout/hierarchy2"/>
    <dgm:cxn modelId="{96BA41DF-3925-4B7B-B2B0-043D5493B7FC}" type="presParOf" srcId="{318534C8-1F8E-4EB2-9699-05E2BFE62ABA}" destId="{D082A0E9-72B0-42D9-A662-653C704BF7C5}" srcOrd="3" destOrd="0" presId="urn:microsoft.com/office/officeart/2005/8/layout/hierarchy2"/>
    <dgm:cxn modelId="{8C734D62-6C8F-4059-AC74-0797FFB44361}" type="presParOf" srcId="{D082A0E9-72B0-42D9-A662-653C704BF7C5}" destId="{2E175CAE-F292-42BE-B328-92CA0A91ABEA}" srcOrd="0" destOrd="0" presId="urn:microsoft.com/office/officeart/2005/8/layout/hierarchy2"/>
    <dgm:cxn modelId="{C178B46F-6782-4CBA-9702-41BF468ECA20}" type="presParOf" srcId="{D082A0E9-72B0-42D9-A662-653C704BF7C5}" destId="{C47917D9-C428-4AC0-A4C4-40F4A3336CE9}" srcOrd="1" destOrd="0" presId="urn:microsoft.com/office/officeart/2005/8/layout/hierarchy2"/>
    <dgm:cxn modelId="{96CA8F08-1C99-4DEC-9DE0-791F35614F7D}" type="presParOf" srcId="{C47917D9-C428-4AC0-A4C4-40F4A3336CE9}" destId="{1093B310-4400-4C48-B632-6C663843789F}" srcOrd="0" destOrd="0" presId="urn:microsoft.com/office/officeart/2005/8/layout/hierarchy2"/>
    <dgm:cxn modelId="{E6BB29D9-9B46-4747-BEDA-EA5C18BF5B17}" type="presParOf" srcId="{1093B310-4400-4C48-B632-6C663843789F}" destId="{57892F37-7073-4B46-B58B-A3B73F927437}" srcOrd="0" destOrd="0" presId="urn:microsoft.com/office/officeart/2005/8/layout/hierarchy2"/>
    <dgm:cxn modelId="{42DD3D6F-FA7D-40A7-B6D8-9C13ED05A0F8}" type="presParOf" srcId="{C47917D9-C428-4AC0-A4C4-40F4A3336CE9}" destId="{85363B69-C3C4-42B0-84F2-A5D8F0B1999B}" srcOrd="1" destOrd="0" presId="urn:microsoft.com/office/officeart/2005/8/layout/hierarchy2"/>
    <dgm:cxn modelId="{26596D60-F0FA-4482-A235-E5711A42D4D0}" type="presParOf" srcId="{85363B69-C3C4-42B0-84F2-A5D8F0B1999B}" destId="{1810A46D-A79F-45C9-918C-5562D2BA19C2}" srcOrd="0" destOrd="0" presId="urn:microsoft.com/office/officeart/2005/8/layout/hierarchy2"/>
    <dgm:cxn modelId="{0452662E-2A00-4DF2-89D0-00DDDE567619}" type="presParOf" srcId="{85363B69-C3C4-42B0-84F2-A5D8F0B1999B}" destId="{35A0EB12-0628-420F-8CE4-9E5C1AE82868}" srcOrd="1" destOrd="0" presId="urn:microsoft.com/office/officeart/2005/8/layout/hierarchy2"/>
    <dgm:cxn modelId="{625A5BE9-5E4F-44B9-9AF8-4DD16A2BF038}" type="presParOf" srcId="{35A0EB12-0628-420F-8CE4-9E5C1AE82868}" destId="{0D3D2A59-812F-4598-ADE9-4D2B381E7BB1}" srcOrd="0" destOrd="0" presId="urn:microsoft.com/office/officeart/2005/8/layout/hierarchy2"/>
    <dgm:cxn modelId="{2D1A8940-16F7-4F73-81CD-D520D8FBA66C}" type="presParOf" srcId="{0D3D2A59-812F-4598-ADE9-4D2B381E7BB1}" destId="{215BFE00-D2AE-452C-AEF7-DFC456272A9A}" srcOrd="0" destOrd="0" presId="urn:microsoft.com/office/officeart/2005/8/layout/hierarchy2"/>
    <dgm:cxn modelId="{34AEA4D1-53C7-4255-9240-FFEA0D8BEC0B}" type="presParOf" srcId="{35A0EB12-0628-420F-8CE4-9E5C1AE82868}" destId="{ED55B4E2-9EA2-48F8-9A22-B84F1B1ACB50}" srcOrd="1" destOrd="0" presId="urn:microsoft.com/office/officeart/2005/8/layout/hierarchy2"/>
    <dgm:cxn modelId="{C0E947AB-659D-4101-AF1E-201DA3F8FBAE}" type="presParOf" srcId="{ED55B4E2-9EA2-48F8-9A22-B84F1B1ACB50}" destId="{54D74AC1-0620-4DEA-A7FE-48761637FDB0}" srcOrd="0" destOrd="0" presId="urn:microsoft.com/office/officeart/2005/8/layout/hierarchy2"/>
    <dgm:cxn modelId="{B0CB0C4A-99AE-4494-A37E-3443C3AE2050}" type="presParOf" srcId="{ED55B4E2-9EA2-48F8-9A22-B84F1B1ACB50}" destId="{3F4B316B-94BB-4771-8379-41F1B54AF3DE}" srcOrd="1" destOrd="0" presId="urn:microsoft.com/office/officeart/2005/8/layout/hierarchy2"/>
    <dgm:cxn modelId="{CD0B4BA7-33A7-493B-968E-ADB39CBFC133}" type="presParOf" srcId="{318534C8-1F8E-4EB2-9699-05E2BFE62ABA}" destId="{DEAB8D37-D80E-45EF-833C-A3DE0CB240B0}" srcOrd="4" destOrd="0" presId="urn:microsoft.com/office/officeart/2005/8/layout/hierarchy2"/>
    <dgm:cxn modelId="{A44C773F-82D6-4D7D-870F-AB30DCA16AB7}" type="presParOf" srcId="{DEAB8D37-D80E-45EF-833C-A3DE0CB240B0}" destId="{96DD6FDE-FE80-47CA-AA40-4D4170F2AD9C}" srcOrd="0" destOrd="0" presId="urn:microsoft.com/office/officeart/2005/8/layout/hierarchy2"/>
    <dgm:cxn modelId="{3E62897A-4788-4713-B0AD-D212BB167905}" type="presParOf" srcId="{318534C8-1F8E-4EB2-9699-05E2BFE62ABA}" destId="{5CCCE364-04B0-4263-AF11-C94E3595AA54}" srcOrd="5" destOrd="0" presId="urn:microsoft.com/office/officeart/2005/8/layout/hierarchy2"/>
    <dgm:cxn modelId="{6BA7BF0F-6D5B-4623-94CF-F4B0AE8B67EC}" type="presParOf" srcId="{5CCCE364-04B0-4263-AF11-C94E3595AA54}" destId="{D5C09ED1-F908-4820-AA62-040CA830879B}" srcOrd="0" destOrd="0" presId="urn:microsoft.com/office/officeart/2005/8/layout/hierarchy2"/>
    <dgm:cxn modelId="{3AD7F3B0-F54F-4032-B21D-16ED374C6585}" type="presParOf" srcId="{5CCCE364-04B0-4263-AF11-C94E3595AA54}" destId="{1CD85F15-74DD-47F1-A3E2-8F8D7B718566}" srcOrd="1" destOrd="0" presId="urn:microsoft.com/office/officeart/2005/8/layout/hierarchy2"/>
    <dgm:cxn modelId="{D40A309A-9710-4EEC-B0AF-219F828B276B}" type="presParOf" srcId="{1CD85F15-74DD-47F1-A3E2-8F8D7B718566}" destId="{D1A1E587-5E9F-48EE-9C96-D467C78451FE}" srcOrd="0" destOrd="0" presId="urn:microsoft.com/office/officeart/2005/8/layout/hierarchy2"/>
    <dgm:cxn modelId="{4BF31BB0-6FDE-4399-8239-5A60C9F14FE8}" type="presParOf" srcId="{D1A1E587-5E9F-48EE-9C96-D467C78451FE}" destId="{7903682F-581B-4D19-B02F-9328AA70099A}" srcOrd="0" destOrd="0" presId="urn:microsoft.com/office/officeart/2005/8/layout/hierarchy2"/>
    <dgm:cxn modelId="{3B023CB8-91C6-4CC8-9103-E15A13E90AC4}" type="presParOf" srcId="{1CD85F15-74DD-47F1-A3E2-8F8D7B718566}" destId="{F107070C-138E-401C-A8A1-02239D438E8A}" srcOrd="1" destOrd="0" presId="urn:microsoft.com/office/officeart/2005/8/layout/hierarchy2"/>
    <dgm:cxn modelId="{1E07DBD0-4736-476B-89D5-4D124C83CB3E}" type="presParOf" srcId="{F107070C-138E-401C-A8A1-02239D438E8A}" destId="{B386E95A-447C-4842-B774-A7BCEF7208DA}" srcOrd="0" destOrd="0" presId="urn:microsoft.com/office/officeart/2005/8/layout/hierarchy2"/>
    <dgm:cxn modelId="{9531E0E7-CB7B-4D7A-A97F-93DA77D5ECF2}" type="presParOf" srcId="{F107070C-138E-401C-A8A1-02239D438E8A}" destId="{01437E18-B2C2-4C77-97B1-58A55FA3342C}" srcOrd="1" destOrd="0" presId="urn:microsoft.com/office/officeart/2005/8/layout/hierarchy2"/>
    <dgm:cxn modelId="{6E26A24C-93A2-488F-8CCB-7DB53A389E2E}" type="presParOf" srcId="{01437E18-B2C2-4C77-97B1-58A55FA3342C}" destId="{E0A30095-5083-4223-AF1E-06B1C0F54E61}" srcOrd="0" destOrd="0" presId="urn:microsoft.com/office/officeart/2005/8/layout/hierarchy2"/>
    <dgm:cxn modelId="{E7FA0D7B-931A-4525-98A0-73F0CF2617B9}" type="presParOf" srcId="{E0A30095-5083-4223-AF1E-06B1C0F54E61}" destId="{76851009-B220-44C7-8814-E446D02E2AED}" srcOrd="0" destOrd="0" presId="urn:microsoft.com/office/officeart/2005/8/layout/hierarchy2"/>
    <dgm:cxn modelId="{56B34B6D-6FDB-43F3-AC08-CBFA0B309BC6}" type="presParOf" srcId="{01437E18-B2C2-4C77-97B1-58A55FA3342C}" destId="{EF35A059-3C17-433B-A838-543EAEA6DE87}" srcOrd="1" destOrd="0" presId="urn:microsoft.com/office/officeart/2005/8/layout/hierarchy2"/>
    <dgm:cxn modelId="{57D2ED80-B2E9-4B9D-9F48-C044085C9A73}" type="presParOf" srcId="{EF35A059-3C17-433B-A838-543EAEA6DE87}" destId="{5AC33E18-1E9F-47B8-A687-F54A84A23A6A}" srcOrd="0" destOrd="0" presId="urn:microsoft.com/office/officeart/2005/8/layout/hierarchy2"/>
    <dgm:cxn modelId="{5E6A0A25-B9D5-49D1-B1EC-3877AEEC0085}" type="presParOf" srcId="{EF35A059-3C17-433B-A838-543EAEA6DE87}" destId="{996B1C74-A2BA-413F-AAB1-E5D83726723C}" srcOrd="1" destOrd="0" presId="urn:microsoft.com/office/officeart/2005/8/layout/hierarchy2"/>
    <dgm:cxn modelId="{93BDDFB2-674A-4B83-B1CE-ABE1662A3F5E}" type="presParOf" srcId="{318534C8-1F8E-4EB2-9699-05E2BFE62ABA}" destId="{E57F0BDB-C6D5-49D0-A919-AC71D6602E45}" srcOrd="6" destOrd="0" presId="urn:microsoft.com/office/officeart/2005/8/layout/hierarchy2"/>
    <dgm:cxn modelId="{EAA4956F-309C-4155-85BF-4D3B9B767736}" type="presParOf" srcId="{E57F0BDB-C6D5-49D0-A919-AC71D6602E45}" destId="{D5447A8E-B1D7-42CF-82B4-83C2BE55E38C}" srcOrd="0" destOrd="0" presId="urn:microsoft.com/office/officeart/2005/8/layout/hierarchy2"/>
    <dgm:cxn modelId="{768D1BD7-AA9F-4059-8AF2-9AD6CD5ADFBD}" type="presParOf" srcId="{318534C8-1F8E-4EB2-9699-05E2BFE62ABA}" destId="{D1FA41A6-07F7-49EE-8A1D-7647304562AF}" srcOrd="7" destOrd="0" presId="urn:microsoft.com/office/officeart/2005/8/layout/hierarchy2"/>
    <dgm:cxn modelId="{3D676A41-D781-4DBF-8E6A-5CFEAACA33A7}" type="presParOf" srcId="{D1FA41A6-07F7-49EE-8A1D-7647304562AF}" destId="{81BBB8D0-5CA6-4BB6-9C3A-095C339BAE1A}" srcOrd="0" destOrd="0" presId="urn:microsoft.com/office/officeart/2005/8/layout/hierarchy2"/>
    <dgm:cxn modelId="{F930E4A7-4991-4BA4-8FE2-EABD41106C5C}" type="presParOf" srcId="{D1FA41A6-07F7-49EE-8A1D-7647304562AF}" destId="{4D0F5A32-A249-43C7-98D7-16CECA780573}" srcOrd="1" destOrd="0" presId="urn:microsoft.com/office/officeart/2005/8/layout/hierarchy2"/>
    <dgm:cxn modelId="{1BA8C250-A042-4155-B921-420740A0DDDB}" type="presParOf" srcId="{4D0F5A32-A249-43C7-98D7-16CECA780573}" destId="{3E5040E0-9747-4129-8223-E49134094E90}" srcOrd="0" destOrd="0" presId="urn:microsoft.com/office/officeart/2005/8/layout/hierarchy2"/>
    <dgm:cxn modelId="{3385392A-1BCC-4252-9DC1-0E1B8D3C2BB2}" type="presParOf" srcId="{3E5040E0-9747-4129-8223-E49134094E90}" destId="{634C0F45-F74A-48B4-A5B0-D92761CEA13C}" srcOrd="0" destOrd="0" presId="urn:microsoft.com/office/officeart/2005/8/layout/hierarchy2"/>
    <dgm:cxn modelId="{56179E03-EA35-4F7C-B0FA-C0CB40435E6F}" type="presParOf" srcId="{4D0F5A32-A249-43C7-98D7-16CECA780573}" destId="{5460DEF4-4A60-412D-A4A7-181CD44464CA}" srcOrd="1" destOrd="0" presId="urn:microsoft.com/office/officeart/2005/8/layout/hierarchy2"/>
    <dgm:cxn modelId="{F0A1737E-2428-4859-8D8A-A4978E0F8D0F}" type="presParOf" srcId="{5460DEF4-4A60-412D-A4A7-181CD44464CA}" destId="{AF145D7B-9680-4015-8967-73C6EDC35738}" srcOrd="0" destOrd="0" presId="urn:microsoft.com/office/officeart/2005/8/layout/hierarchy2"/>
    <dgm:cxn modelId="{642C4AB0-5B31-4A21-A9DC-BB6F5EF66155}" type="presParOf" srcId="{5460DEF4-4A60-412D-A4A7-181CD44464CA}" destId="{65207804-3734-4E83-9EFB-9A4D4E4F1F76}" srcOrd="1" destOrd="0" presId="urn:microsoft.com/office/officeart/2005/8/layout/hierarchy2"/>
    <dgm:cxn modelId="{ED217264-1342-43E2-A689-00EB194310AC}" type="presParOf" srcId="{65207804-3734-4E83-9EFB-9A4D4E4F1F76}" destId="{6C93AE69-C967-48BA-9C04-7007F4E5832A}" srcOrd="0" destOrd="0" presId="urn:microsoft.com/office/officeart/2005/8/layout/hierarchy2"/>
    <dgm:cxn modelId="{9157B00B-24FA-453D-83A7-4A52602131C5}" type="presParOf" srcId="{6C93AE69-C967-48BA-9C04-7007F4E5832A}" destId="{2C82C145-935E-4C1A-90AE-4627769071A3}" srcOrd="0" destOrd="0" presId="urn:microsoft.com/office/officeart/2005/8/layout/hierarchy2"/>
    <dgm:cxn modelId="{809E2EAA-F44E-4638-8DB4-9872DA879015}" type="presParOf" srcId="{65207804-3734-4E83-9EFB-9A4D4E4F1F76}" destId="{226A6EA4-C2F7-4069-BEBF-5C487EC4EA67}" srcOrd="1" destOrd="0" presId="urn:microsoft.com/office/officeart/2005/8/layout/hierarchy2"/>
    <dgm:cxn modelId="{E0983F43-6292-4AF4-AEA0-7106046C8DD6}" type="presParOf" srcId="{226A6EA4-C2F7-4069-BEBF-5C487EC4EA67}" destId="{E7C092F8-ABE2-47FE-BA52-C817121FEF25}" srcOrd="0" destOrd="0" presId="urn:microsoft.com/office/officeart/2005/8/layout/hierarchy2"/>
    <dgm:cxn modelId="{4A939C7F-6752-493D-ABE1-EC06D5934AB4}" type="presParOf" srcId="{226A6EA4-C2F7-4069-BEBF-5C487EC4EA67}" destId="{CF989F30-4CCA-4C9C-BF76-A0A3B3965BC1}" srcOrd="1" destOrd="0" presId="urn:microsoft.com/office/officeart/2005/8/layout/hierarchy2"/>
    <dgm:cxn modelId="{EC446112-129C-4D19-8977-B561E7726FB6}" type="presParOf" srcId="{318534C8-1F8E-4EB2-9699-05E2BFE62ABA}" destId="{FEDBD534-22A4-465F-80D2-1F5AB1900591}" srcOrd="8" destOrd="0" presId="urn:microsoft.com/office/officeart/2005/8/layout/hierarchy2"/>
    <dgm:cxn modelId="{6DC87833-2F28-48EA-87AE-91E95365F277}" type="presParOf" srcId="{FEDBD534-22A4-465F-80D2-1F5AB1900591}" destId="{CFC78451-16F6-4C55-982B-5046441F8605}" srcOrd="0" destOrd="0" presId="urn:microsoft.com/office/officeart/2005/8/layout/hierarchy2"/>
    <dgm:cxn modelId="{3B4BA765-A98C-4752-B919-1BA399607DAF}" type="presParOf" srcId="{318534C8-1F8E-4EB2-9699-05E2BFE62ABA}" destId="{76A06A81-DE7D-4286-B2F7-23DDB847F2EB}" srcOrd="9" destOrd="0" presId="urn:microsoft.com/office/officeart/2005/8/layout/hierarchy2"/>
    <dgm:cxn modelId="{76A8F4BE-1E58-4AE1-AECB-0EBFE2D492C6}" type="presParOf" srcId="{76A06A81-DE7D-4286-B2F7-23DDB847F2EB}" destId="{6CF0A02E-E0AE-4EB4-9155-408A1944215F}" srcOrd="0" destOrd="0" presId="urn:microsoft.com/office/officeart/2005/8/layout/hierarchy2"/>
    <dgm:cxn modelId="{38018B6D-972B-4FDE-89FB-D7E9AAC1F89D}" type="presParOf" srcId="{76A06A81-DE7D-4286-B2F7-23DDB847F2EB}" destId="{A5DDE1CE-6BEF-4795-9B4D-1C2FBABFE79B}" srcOrd="1" destOrd="0" presId="urn:microsoft.com/office/officeart/2005/8/layout/hierarchy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3406BE-6832-4762-8F23-2756A5FED612}" type="doc">
      <dgm:prSet loTypeId="urn:microsoft.com/office/officeart/2008/layout/HorizontalMultiLevelHierarchy" loCatId="hierarchy" qsTypeId="urn:microsoft.com/office/officeart/2005/8/quickstyle/simple2" qsCatId="simple" csTypeId="urn:microsoft.com/office/officeart/2005/8/colors/accent1_1" csCatId="accent1" phldr="1"/>
      <dgm:spPr/>
      <dgm:t>
        <a:bodyPr/>
        <a:lstStyle/>
        <a:p>
          <a:endParaRPr lang="es-ES"/>
        </a:p>
      </dgm:t>
    </dgm:pt>
    <dgm:pt modelId="{667920FD-8395-4EED-9FC9-9C00BE38A18E}">
      <dgm:prSet phldrT="[Texto]" custT="1"/>
      <dgm:spPr/>
      <dgm:t>
        <a:bodyPr/>
        <a:lstStyle/>
        <a:p>
          <a:r>
            <a:rPr lang="es-ES" sz="1000">
              <a:solidFill>
                <a:schemeClr val="tx2">
                  <a:lumMod val="50000"/>
                </a:schemeClr>
              </a:solidFill>
              <a:latin typeface="Arial" panose="020B0604020202020204" pitchFamily="34" charset="0"/>
              <a:cs typeface="Arial" panose="020B0604020202020204" pitchFamily="34" charset="0"/>
            </a:rPr>
            <a:t>Líneas de Celular  </a:t>
          </a:r>
        </a:p>
      </dgm:t>
    </dgm:pt>
    <dgm:pt modelId="{6CE713DB-ADE5-4245-ADA8-172CA766DE87}" type="parTrans" cxnId="{89096EDC-F72E-4F91-A324-6E0EE2A72A83}">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6D363FD0-2620-4722-BBE0-A4487A745882}" type="sibTrans" cxnId="{89096EDC-F72E-4F91-A324-6E0EE2A72A83}">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D572156E-051B-41F1-8F44-A4C8E651676F}">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Colombia Telecomunicaciones S.A. E.S.P.</a:t>
          </a:r>
        </a:p>
      </dgm:t>
    </dgm:pt>
    <dgm:pt modelId="{F4AF0459-265A-4EED-87EB-EBD75089D025}" type="parTrans" cxnId="{EE51A23D-C612-46B6-9842-F2D1ED95318E}">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19DC6975-5B5B-4E69-B59E-76B0630D4755}" type="sibTrans" cxnId="{EE51A23D-C612-46B6-9842-F2D1ED95318E}">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7CAFB958-2B40-42DE-9D69-B68FB57A20FD}">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Avantel S A S</a:t>
          </a:r>
        </a:p>
      </dgm:t>
    </dgm:pt>
    <dgm:pt modelId="{B5A5ACFE-1062-4635-8245-28AE81E7713E}" type="parTrans" cxnId="{9FC8B245-9272-4968-BFD0-3A23C47384F1}">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2FF574E5-1C6B-4266-AF80-201C2426E9F3}" type="sibTrans" cxnId="{9FC8B245-9272-4968-BFD0-3A23C47384F1}">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B62C4582-1B47-49A3-B1BA-02D15E0FA8C4}">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Comunicación Celular S A Comcel S A</a:t>
          </a:r>
        </a:p>
      </dgm:t>
    </dgm:pt>
    <dgm:pt modelId="{B7D82E41-6B77-4A15-8C0D-82539200E0A1}" type="parTrans" cxnId="{8FBC3AA8-5E49-4193-BC31-81626E7F6414}">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2139B8E6-F5EB-46FF-BD49-746BE353F4A3}" type="sibTrans" cxnId="{8FBC3AA8-5E49-4193-BC31-81626E7F6414}">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D7BD8E43-E757-4A5E-9C4F-727A2BCBF880}">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25 Líneas </a:t>
          </a:r>
        </a:p>
      </dgm:t>
    </dgm:pt>
    <dgm:pt modelId="{2F2E90C0-A12E-473D-9081-A2BC8644E370}" type="parTrans" cxnId="{B86133C6-C9C5-4F28-AAB5-34BE4CB2F6F3}">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22B65023-33F5-4B88-B695-FA5C5FF8A0A9}" type="sibTrans" cxnId="{B86133C6-C9C5-4F28-AAB5-34BE4CB2F6F3}">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84790FFF-0BB7-49C5-B365-E8CE069F577E}">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7 Líneas </a:t>
          </a:r>
        </a:p>
      </dgm:t>
    </dgm:pt>
    <dgm:pt modelId="{DFAF0ED2-C696-4206-AF72-F0588E56A0D4}" type="parTrans" cxnId="{A62267BB-ADC6-4687-BB3A-26FD5D44E584}">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154D83B6-38E4-4797-BA1F-FD11DDD2CC10}" type="sibTrans" cxnId="{A62267BB-ADC6-4687-BB3A-26FD5D44E584}">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243818CD-25D5-426B-A8A5-B17980663A5E}">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7 Asignadas a Planta Telefonica   </a:t>
          </a:r>
        </a:p>
      </dgm:t>
    </dgm:pt>
    <dgm:pt modelId="{28A8C854-4371-460F-B439-34DEEC288791}" type="parTrans" cxnId="{C62C359C-A0DA-4FC5-A510-D957E1B2B3A3}">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701D6A95-82C9-48C5-B04A-3E4F842E892C}" type="sibTrans" cxnId="{C62C359C-A0DA-4FC5-A510-D957E1B2B3A3}">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E09DDB0B-C6EE-4D5F-825F-FB57A6AFA05D}">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17 Asignadas a Directivos </a:t>
          </a:r>
        </a:p>
      </dgm:t>
    </dgm:pt>
    <dgm:pt modelId="{233163F6-44BE-422A-8D6A-F8507C8E09CA}" type="parTrans" cxnId="{5BB43D37-296C-414A-99F1-5BCA14A7314B}">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E23E3173-B672-4A0F-A92F-09DEB9BBE873}" type="sibTrans" cxnId="{5BB43D37-296C-414A-99F1-5BCA14A7314B}">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1714925D-9C8F-4C63-953A-A76AEC6EE8F5}">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1 Pendiente de Asignar</a:t>
          </a:r>
        </a:p>
      </dgm:t>
    </dgm:pt>
    <dgm:pt modelId="{3D6BED4D-BA00-4AB2-9E65-3521BF982681}" type="parTrans" cxnId="{7BA33887-107E-49A0-BA6A-0611B851C2B4}">
      <dgm:prSet custT="1"/>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8FD64C82-7E56-4AB8-BC3F-BBE1E74B5CAF}" type="sibTrans" cxnId="{7BA33887-107E-49A0-BA6A-0611B851C2B4}">
      <dgm:prSet/>
      <dgm:spPr/>
      <dgm:t>
        <a:bodyPr/>
        <a:lstStyle/>
        <a:p>
          <a:endParaRPr lang="es-ES" sz="1050">
            <a:solidFill>
              <a:schemeClr val="tx2">
                <a:lumMod val="50000"/>
              </a:schemeClr>
            </a:solidFill>
            <a:latin typeface="Arial" panose="020B0604020202020204" pitchFamily="34" charset="0"/>
            <a:cs typeface="Arial" panose="020B0604020202020204" pitchFamily="34" charset="0"/>
          </a:endParaRPr>
        </a:p>
      </dgm:t>
    </dgm:pt>
    <dgm:pt modelId="{5BAB3883-C242-4688-8448-A80D24DD35C3}">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Esquema de seguridad del Ministro</a:t>
          </a:r>
        </a:p>
      </dgm:t>
    </dgm:pt>
    <dgm:pt modelId="{D89DB3EF-0F5E-4006-8234-1BEF17527B8E}" type="parTrans" cxnId="{66BED4B1-B1F0-44D9-98F5-DA557EADF341}">
      <dgm:prSet/>
      <dgm:spPr/>
      <dgm:t>
        <a:bodyPr/>
        <a:lstStyle/>
        <a:p>
          <a:endParaRPr lang="es-ES">
            <a:solidFill>
              <a:schemeClr val="tx2">
                <a:lumMod val="50000"/>
              </a:schemeClr>
            </a:solidFill>
          </a:endParaRPr>
        </a:p>
      </dgm:t>
    </dgm:pt>
    <dgm:pt modelId="{B0AF9F34-0647-4E5A-9F2B-1CE270088EA8}" type="sibTrans" cxnId="{66BED4B1-B1F0-44D9-98F5-DA557EADF341}">
      <dgm:prSet/>
      <dgm:spPr/>
      <dgm:t>
        <a:bodyPr/>
        <a:lstStyle/>
        <a:p>
          <a:endParaRPr lang="es-ES">
            <a:solidFill>
              <a:schemeClr val="tx2">
                <a:lumMod val="50000"/>
              </a:schemeClr>
            </a:solidFill>
          </a:endParaRPr>
        </a:p>
      </dgm:t>
    </dgm:pt>
    <dgm:pt modelId="{42CB47A4-9C91-4D5C-99CB-0183D5DFFFBC}">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6 Asignadas a Planta Telefonica</a:t>
          </a:r>
        </a:p>
      </dgm:t>
    </dgm:pt>
    <dgm:pt modelId="{C88AA6EF-3CE5-41DF-B1BE-E66D7BCECE28}" type="parTrans" cxnId="{6FD8A467-B73B-4C07-9A43-91CC7E5D2D41}">
      <dgm:prSet/>
      <dgm:spPr/>
      <dgm:t>
        <a:bodyPr/>
        <a:lstStyle/>
        <a:p>
          <a:endParaRPr lang="es-ES">
            <a:solidFill>
              <a:schemeClr val="tx2">
                <a:lumMod val="50000"/>
              </a:schemeClr>
            </a:solidFill>
          </a:endParaRPr>
        </a:p>
      </dgm:t>
    </dgm:pt>
    <dgm:pt modelId="{37E4A0A7-5526-4C07-96E7-947C0998887A}" type="sibTrans" cxnId="{6FD8A467-B73B-4C07-9A43-91CC7E5D2D41}">
      <dgm:prSet/>
      <dgm:spPr/>
      <dgm:t>
        <a:bodyPr/>
        <a:lstStyle/>
        <a:p>
          <a:endParaRPr lang="es-ES">
            <a:solidFill>
              <a:schemeClr val="tx2">
                <a:lumMod val="50000"/>
              </a:schemeClr>
            </a:solidFill>
          </a:endParaRPr>
        </a:p>
      </dgm:t>
    </dgm:pt>
    <dgm:pt modelId="{E05A5030-7E36-493B-8E53-27BEEFC2FEBD}">
      <dgm:prSet phldrT="[Texto]" custT="1"/>
      <dgm:spPr/>
      <dgm:t>
        <a:bodyPr/>
        <a:lstStyle/>
        <a:p>
          <a:r>
            <a:rPr lang="es-ES" sz="1050">
              <a:solidFill>
                <a:schemeClr val="tx2">
                  <a:lumMod val="50000"/>
                </a:schemeClr>
              </a:solidFill>
              <a:latin typeface="Arial" panose="020B0604020202020204" pitchFamily="34" charset="0"/>
              <a:cs typeface="Arial" panose="020B0604020202020204" pitchFamily="34" charset="0"/>
            </a:rPr>
            <a:t>1 Pendiente por Cancelar </a:t>
          </a:r>
        </a:p>
      </dgm:t>
    </dgm:pt>
    <dgm:pt modelId="{8FB2B934-624E-4916-95BE-2283D14CEA51}" type="parTrans" cxnId="{A2955135-6BD1-4BB5-9192-AE19FA7F2EDB}">
      <dgm:prSet/>
      <dgm:spPr/>
      <dgm:t>
        <a:bodyPr/>
        <a:lstStyle/>
        <a:p>
          <a:endParaRPr lang="es-ES">
            <a:solidFill>
              <a:schemeClr val="tx2">
                <a:lumMod val="50000"/>
              </a:schemeClr>
            </a:solidFill>
          </a:endParaRPr>
        </a:p>
      </dgm:t>
    </dgm:pt>
    <dgm:pt modelId="{8820EDF8-C30A-478D-AED0-773D064CA9E2}" type="sibTrans" cxnId="{A2955135-6BD1-4BB5-9192-AE19FA7F2EDB}">
      <dgm:prSet/>
      <dgm:spPr/>
      <dgm:t>
        <a:bodyPr/>
        <a:lstStyle/>
        <a:p>
          <a:endParaRPr lang="es-ES">
            <a:solidFill>
              <a:schemeClr val="tx2">
                <a:lumMod val="50000"/>
              </a:schemeClr>
            </a:solidFill>
          </a:endParaRPr>
        </a:p>
      </dgm:t>
    </dgm:pt>
    <dgm:pt modelId="{B35597C1-046F-4F0A-91C3-777F7C3CAC4E}" type="pres">
      <dgm:prSet presAssocID="{DC3406BE-6832-4762-8F23-2756A5FED612}" presName="Name0" presStyleCnt="0">
        <dgm:presLayoutVars>
          <dgm:chPref val="1"/>
          <dgm:dir/>
          <dgm:animOne val="branch"/>
          <dgm:animLvl val="lvl"/>
          <dgm:resizeHandles val="exact"/>
        </dgm:presLayoutVars>
      </dgm:prSet>
      <dgm:spPr/>
      <dgm:t>
        <a:bodyPr/>
        <a:lstStyle/>
        <a:p>
          <a:endParaRPr lang="es-ES"/>
        </a:p>
      </dgm:t>
    </dgm:pt>
    <dgm:pt modelId="{803560A2-6582-4343-A7C0-2ED1806FD129}" type="pres">
      <dgm:prSet presAssocID="{667920FD-8395-4EED-9FC9-9C00BE38A18E}" presName="root1" presStyleCnt="0"/>
      <dgm:spPr/>
    </dgm:pt>
    <dgm:pt modelId="{E7FB635D-8A90-4184-8878-E5B808191C1B}" type="pres">
      <dgm:prSet presAssocID="{667920FD-8395-4EED-9FC9-9C00BE38A18E}" presName="LevelOneTextNode" presStyleLbl="node0" presStyleIdx="0" presStyleCnt="1">
        <dgm:presLayoutVars>
          <dgm:chPref val="3"/>
        </dgm:presLayoutVars>
      </dgm:prSet>
      <dgm:spPr/>
      <dgm:t>
        <a:bodyPr/>
        <a:lstStyle/>
        <a:p>
          <a:endParaRPr lang="es-ES"/>
        </a:p>
      </dgm:t>
    </dgm:pt>
    <dgm:pt modelId="{028857F0-8723-4319-A0FD-EA46D3850097}" type="pres">
      <dgm:prSet presAssocID="{667920FD-8395-4EED-9FC9-9C00BE38A18E}" presName="level2hierChild" presStyleCnt="0"/>
      <dgm:spPr/>
    </dgm:pt>
    <dgm:pt modelId="{71C3EB14-BB59-4ECB-B0DB-94D6E6D3D293}" type="pres">
      <dgm:prSet presAssocID="{F4AF0459-265A-4EED-87EB-EBD75089D025}" presName="conn2-1" presStyleLbl="parChTrans1D2" presStyleIdx="0" presStyleCnt="3"/>
      <dgm:spPr/>
      <dgm:t>
        <a:bodyPr/>
        <a:lstStyle/>
        <a:p>
          <a:endParaRPr lang="es-ES"/>
        </a:p>
      </dgm:t>
    </dgm:pt>
    <dgm:pt modelId="{8E8F3966-1709-4424-98BA-787E1E473EDA}" type="pres">
      <dgm:prSet presAssocID="{F4AF0459-265A-4EED-87EB-EBD75089D025}" presName="connTx" presStyleLbl="parChTrans1D2" presStyleIdx="0" presStyleCnt="3"/>
      <dgm:spPr/>
      <dgm:t>
        <a:bodyPr/>
        <a:lstStyle/>
        <a:p>
          <a:endParaRPr lang="es-ES"/>
        </a:p>
      </dgm:t>
    </dgm:pt>
    <dgm:pt modelId="{14D725A6-BACD-409C-AC7D-CBF70BEA0D11}" type="pres">
      <dgm:prSet presAssocID="{D572156E-051B-41F1-8F44-A4C8E651676F}" presName="root2" presStyleCnt="0"/>
      <dgm:spPr/>
    </dgm:pt>
    <dgm:pt modelId="{29585426-42D9-45DD-9270-52CE683DC2AD}" type="pres">
      <dgm:prSet presAssocID="{D572156E-051B-41F1-8F44-A4C8E651676F}" presName="LevelTwoTextNode" presStyleLbl="node2" presStyleIdx="0" presStyleCnt="3">
        <dgm:presLayoutVars>
          <dgm:chPref val="3"/>
        </dgm:presLayoutVars>
      </dgm:prSet>
      <dgm:spPr/>
      <dgm:t>
        <a:bodyPr/>
        <a:lstStyle/>
        <a:p>
          <a:endParaRPr lang="es-ES"/>
        </a:p>
      </dgm:t>
    </dgm:pt>
    <dgm:pt modelId="{1762AC67-0A0E-481A-B926-C68803388A0E}" type="pres">
      <dgm:prSet presAssocID="{D572156E-051B-41F1-8F44-A4C8E651676F}" presName="level3hierChild" presStyleCnt="0"/>
      <dgm:spPr/>
    </dgm:pt>
    <dgm:pt modelId="{6D5211D1-B486-4EA6-9C61-0ABABD207976}" type="pres">
      <dgm:prSet presAssocID="{2F2E90C0-A12E-473D-9081-A2BC8644E370}" presName="conn2-1" presStyleLbl="parChTrans1D3" presStyleIdx="0" presStyleCnt="3"/>
      <dgm:spPr/>
      <dgm:t>
        <a:bodyPr/>
        <a:lstStyle/>
        <a:p>
          <a:endParaRPr lang="es-ES"/>
        </a:p>
      </dgm:t>
    </dgm:pt>
    <dgm:pt modelId="{3E753E52-E478-406A-90C4-036AB39C6AE3}" type="pres">
      <dgm:prSet presAssocID="{2F2E90C0-A12E-473D-9081-A2BC8644E370}" presName="connTx" presStyleLbl="parChTrans1D3" presStyleIdx="0" presStyleCnt="3"/>
      <dgm:spPr/>
      <dgm:t>
        <a:bodyPr/>
        <a:lstStyle/>
        <a:p>
          <a:endParaRPr lang="es-ES"/>
        </a:p>
      </dgm:t>
    </dgm:pt>
    <dgm:pt modelId="{7502342F-7F6B-4F60-92B1-43008C5811FB}" type="pres">
      <dgm:prSet presAssocID="{D7BD8E43-E757-4A5E-9C4F-727A2BCBF880}" presName="root2" presStyleCnt="0"/>
      <dgm:spPr/>
    </dgm:pt>
    <dgm:pt modelId="{A066A57B-55AA-49B2-A827-1C04D3541042}" type="pres">
      <dgm:prSet presAssocID="{D7BD8E43-E757-4A5E-9C4F-727A2BCBF880}" presName="LevelTwoTextNode" presStyleLbl="node3" presStyleIdx="0" presStyleCnt="3">
        <dgm:presLayoutVars>
          <dgm:chPref val="3"/>
        </dgm:presLayoutVars>
      </dgm:prSet>
      <dgm:spPr/>
      <dgm:t>
        <a:bodyPr/>
        <a:lstStyle/>
        <a:p>
          <a:endParaRPr lang="es-ES"/>
        </a:p>
      </dgm:t>
    </dgm:pt>
    <dgm:pt modelId="{DD192244-8434-44C9-BBDA-B18883B6054A}" type="pres">
      <dgm:prSet presAssocID="{D7BD8E43-E757-4A5E-9C4F-727A2BCBF880}" presName="level3hierChild" presStyleCnt="0"/>
      <dgm:spPr/>
    </dgm:pt>
    <dgm:pt modelId="{8544C45B-167C-4524-894D-DB9BE1E27233}" type="pres">
      <dgm:prSet presAssocID="{233163F6-44BE-422A-8D6A-F8507C8E09CA}" presName="conn2-1" presStyleLbl="parChTrans1D4" presStyleIdx="0" presStyleCnt="5"/>
      <dgm:spPr/>
      <dgm:t>
        <a:bodyPr/>
        <a:lstStyle/>
        <a:p>
          <a:endParaRPr lang="es-ES"/>
        </a:p>
      </dgm:t>
    </dgm:pt>
    <dgm:pt modelId="{E1C4CDDB-D717-42C3-87D9-1C008AB44DEA}" type="pres">
      <dgm:prSet presAssocID="{233163F6-44BE-422A-8D6A-F8507C8E09CA}" presName="connTx" presStyleLbl="parChTrans1D4" presStyleIdx="0" presStyleCnt="5"/>
      <dgm:spPr/>
      <dgm:t>
        <a:bodyPr/>
        <a:lstStyle/>
        <a:p>
          <a:endParaRPr lang="es-ES"/>
        </a:p>
      </dgm:t>
    </dgm:pt>
    <dgm:pt modelId="{D35A8F03-F032-420C-BA3B-6971E750D6BD}" type="pres">
      <dgm:prSet presAssocID="{E09DDB0B-C6EE-4D5F-825F-FB57A6AFA05D}" presName="root2" presStyleCnt="0"/>
      <dgm:spPr/>
    </dgm:pt>
    <dgm:pt modelId="{0C9DE918-C12F-45A6-B7CD-3DBC91ABA330}" type="pres">
      <dgm:prSet presAssocID="{E09DDB0B-C6EE-4D5F-825F-FB57A6AFA05D}" presName="LevelTwoTextNode" presStyleLbl="node4" presStyleIdx="0" presStyleCnt="5">
        <dgm:presLayoutVars>
          <dgm:chPref val="3"/>
        </dgm:presLayoutVars>
      </dgm:prSet>
      <dgm:spPr/>
      <dgm:t>
        <a:bodyPr/>
        <a:lstStyle/>
        <a:p>
          <a:endParaRPr lang="es-ES"/>
        </a:p>
      </dgm:t>
    </dgm:pt>
    <dgm:pt modelId="{D795AEEF-9467-4B65-A805-973E4776B9FF}" type="pres">
      <dgm:prSet presAssocID="{E09DDB0B-C6EE-4D5F-825F-FB57A6AFA05D}" presName="level3hierChild" presStyleCnt="0"/>
      <dgm:spPr/>
    </dgm:pt>
    <dgm:pt modelId="{420125B8-E613-4D5F-A844-C5774DA72C3B}" type="pres">
      <dgm:prSet presAssocID="{C88AA6EF-3CE5-41DF-B1BE-E66D7BCECE28}" presName="conn2-1" presStyleLbl="parChTrans1D4" presStyleIdx="1" presStyleCnt="5"/>
      <dgm:spPr/>
      <dgm:t>
        <a:bodyPr/>
        <a:lstStyle/>
        <a:p>
          <a:endParaRPr lang="es-ES"/>
        </a:p>
      </dgm:t>
    </dgm:pt>
    <dgm:pt modelId="{3A91213D-A740-4089-9D65-CB95A6A3145B}" type="pres">
      <dgm:prSet presAssocID="{C88AA6EF-3CE5-41DF-B1BE-E66D7BCECE28}" presName="connTx" presStyleLbl="parChTrans1D4" presStyleIdx="1" presStyleCnt="5"/>
      <dgm:spPr/>
      <dgm:t>
        <a:bodyPr/>
        <a:lstStyle/>
        <a:p>
          <a:endParaRPr lang="es-ES"/>
        </a:p>
      </dgm:t>
    </dgm:pt>
    <dgm:pt modelId="{E7CD9CF4-9C8A-4E94-9F75-B64AE37CE356}" type="pres">
      <dgm:prSet presAssocID="{42CB47A4-9C91-4D5C-99CB-0183D5DFFFBC}" presName="root2" presStyleCnt="0"/>
      <dgm:spPr/>
    </dgm:pt>
    <dgm:pt modelId="{0EF58E61-AA7E-40D2-9EA1-FD10C968E904}" type="pres">
      <dgm:prSet presAssocID="{42CB47A4-9C91-4D5C-99CB-0183D5DFFFBC}" presName="LevelTwoTextNode" presStyleLbl="node4" presStyleIdx="1" presStyleCnt="5">
        <dgm:presLayoutVars>
          <dgm:chPref val="3"/>
        </dgm:presLayoutVars>
      </dgm:prSet>
      <dgm:spPr/>
      <dgm:t>
        <a:bodyPr/>
        <a:lstStyle/>
        <a:p>
          <a:endParaRPr lang="es-ES"/>
        </a:p>
      </dgm:t>
    </dgm:pt>
    <dgm:pt modelId="{A74FC62E-359B-40F6-A7F5-471C0B15CA75}" type="pres">
      <dgm:prSet presAssocID="{42CB47A4-9C91-4D5C-99CB-0183D5DFFFBC}" presName="level3hierChild" presStyleCnt="0"/>
      <dgm:spPr/>
    </dgm:pt>
    <dgm:pt modelId="{1A2119EB-8826-4824-BC97-01F952AD9668}" type="pres">
      <dgm:prSet presAssocID="{3D6BED4D-BA00-4AB2-9E65-3521BF982681}" presName="conn2-1" presStyleLbl="parChTrans1D4" presStyleIdx="2" presStyleCnt="5"/>
      <dgm:spPr/>
      <dgm:t>
        <a:bodyPr/>
        <a:lstStyle/>
        <a:p>
          <a:endParaRPr lang="es-ES"/>
        </a:p>
      </dgm:t>
    </dgm:pt>
    <dgm:pt modelId="{5093D948-5261-4732-A304-28F6D1BA7F49}" type="pres">
      <dgm:prSet presAssocID="{3D6BED4D-BA00-4AB2-9E65-3521BF982681}" presName="connTx" presStyleLbl="parChTrans1D4" presStyleIdx="2" presStyleCnt="5"/>
      <dgm:spPr/>
      <dgm:t>
        <a:bodyPr/>
        <a:lstStyle/>
        <a:p>
          <a:endParaRPr lang="es-ES"/>
        </a:p>
      </dgm:t>
    </dgm:pt>
    <dgm:pt modelId="{611D8C96-6FB5-49A1-9CAD-4A3D10568B73}" type="pres">
      <dgm:prSet presAssocID="{1714925D-9C8F-4C63-953A-A76AEC6EE8F5}" presName="root2" presStyleCnt="0"/>
      <dgm:spPr/>
    </dgm:pt>
    <dgm:pt modelId="{524AB491-D921-4F92-B4CD-A78F81BCC540}" type="pres">
      <dgm:prSet presAssocID="{1714925D-9C8F-4C63-953A-A76AEC6EE8F5}" presName="LevelTwoTextNode" presStyleLbl="node4" presStyleIdx="2" presStyleCnt="5">
        <dgm:presLayoutVars>
          <dgm:chPref val="3"/>
        </dgm:presLayoutVars>
      </dgm:prSet>
      <dgm:spPr/>
      <dgm:t>
        <a:bodyPr/>
        <a:lstStyle/>
        <a:p>
          <a:endParaRPr lang="es-ES"/>
        </a:p>
      </dgm:t>
    </dgm:pt>
    <dgm:pt modelId="{122FE892-4116-452A-8FF5-E6BC6D1FBAFC}" type="pres">
      <dgm:prSet presAssocID="{1714925D-9C8F-4C63-953A-A76AEC6EE8F5}" presName="level3hierChild" presStyleCnt="0"/>
      <dgm:spPr/>
    </dgm:pt>
    <dgm:pt modelId="{696FA222-9BDD-405A-B742-98849FFC3E8A}" type="pres">
      <dgm:prSet presAssocID="{8FB2B934-624E-4916-95BE-2283D14CEA51}" presName="conn2-1" presStyleLbl="parChTrans1D4" presStyleIdx="3" presStyleCnt="5"/>
      <dgm:spPr/>
      <dgm:t>
        <a:bodyPr/>
        <a:lstStyle/>
        <a:p>
          <a:endParaRPr lang="es-ES"/>
        </a:p>
      </dgm:t>
    </dgm:pt>
    <dgm:pt modelId="{5020222F-57BB-45B1-AB86-413B018E47D0}" type="pres">
      <dgm:prSet presAssocID="{8FB2B934-624E-4916-95BE-2283D14CEA51}" presName="connTx" presStyleLbl="parChTrans1D4" presStyleIdx="3" presStyleCnt="5"/>
      <dgm:spPr/>
      <dgm:t>
        <a:bodyPr/>
        <a:lstStyle/>
        <a:p>
          <a:endParaRPr lang="es-ES"/>
        </a:p>
      </dgm:t>
    </dgm:pt>
    <dgm:pt modelId="{CE8B2137-D3D1-490F-8B1B-B54A98A6E962}" type="pres">
      <dgm:prSet presAssocID="{E05A5030-7E36-493B-8E53-27BEEFC2FEBD}" presName="root2" presStyleCnt="0"/>
      <dgm:spPr/>
    </dgm:pt>
    <dgm:pt modelId="{2358BC92-5E5D-4F86-8251-6A1C6523C133}" type="pres">
      <dgm:prSet presAssocID="{E05A5030-7E36-493B-8E53-27BEEFC2FEBD}" presName="LevelTwoTextNode" presStyleLbl="node4" presStyleIdx="3" presStyleCnt="5">
        <dgm:presLayoutVars>
          <dgm:chPref val="3"/>
        </dgm:presLayoutVars>
      </dgm:prSet>
      <dgm:spPr/>
      <dgm:t>
        <a:bodyPr/>
        <a:lstStyle/>
        <a:p>
          <a:endParaRPr lang="es-ES"/>
        </a:p>
      </dgm:t>
    </dgm:pt>
    <dgm:pt modelId="{CFCD87D7-D6FC-4EF9-85EB-344EEFF4AF99}" type="pres">
      <dgm:prSet presAssocID="{E05A5030-7E36-493B-8E53-27BEEFC2FEBD}" presName="level3hierChild" presStyleCnt="0"/>
      <dgm:spPr/>
    </dgm:pt>
    <dgm:pt modelId="{6A06BAA5-A702-4D5C-A34F-87929BC50D95}" type="pres">
      <dgm:prSet presAssocID="{B5A5ACFE-1062-4635-8245-28AE81E7713E}" presName="conn2-1" presStyleLbl="parChTrans1D2" presStyleIdx="1" presStyleCnt="3"/>
      <dgm:spPr/>
      <dgm:t>
        <a:bodyPr/>
        <a:lstStyle/>
        <a:p>
          <a:endParaRPr lang="es-ES"/>
        </a:p>
      </dgm:t>
    </dgm:pt>
    <dgm:pt modelId="{0B33F1A9-1EB5-43AD-9A01-5FAA0F25E6F5}" type="pres">
      <dgm:prSet presAssocID="{B5A5ACFE-1062-4635-8245-28AE81E7713E}" presName="connTx" presStyleLbl="parChTrans1D2" presStyleIdx="1" presStyleCnt="3"/>
      <dgm:spPr/>
      <dgm:t>
        <a:bodyPr/>
        <a:lstStyle/>
        <a:p>
          <a:endParaRPr lang="es-ES"/>
        </a:p>
      </dgm:t>
    </dgm:pt>
    <dgm:pt modelId="{BEE4A7AC-1CB8-4E23-8F47-F576CBD0956F}" type="pres">
      <dgm:prSet presAssocID="{7CAFB958-2B40-42DE-9D69-B68FB57A20FD}" presName="root2" presStyleCnt="0"/>
      <dgm:spPr/>
    </dgm:pt>
    <dgm:pt modelId="{7FE28124-E944-4026-8357-2663DC08B1CF}" type="pres">
      <dgm:prSet presAssocID="{7CAFB958-2B40-42DE-9D69-B68FB57A20FD}" presName="LevelTwoTextNode" presStyleLbl="node2" presStyleIdx="1" presStyleCnt="3">
        <dgm:presLayoutVars>
          <dgm:chPref val="3"/>
        </dgm:presLayoutVars>
      </dgm:prSet>
      <dgm:spPr/>
      <dgm:t>
        <a:bodyPr/>
        <a:lstStyle/>
        <a:p>
          <a:endParaRPr lang="es-ES"/>
        </a:p>
      </dgm:t>
    </dgm:pt>
    <dgm:pt modelId="{4AD4AE24-94B3-4222-96EC-12333AB42892}" type="pres">
      <dgm:prSet presAssocID="{7CAFB958-2B40-42DE-9D69-B68FB57A20FD}" presName="level3hierChild" presStyleCnt="0"/>
      <dgm:spPr/>
    </dgm:pt>
    <dgm:pt modelId="{689646B4-2B28-494C-B0DB-511493D0722D}" type="pres">
      <dgm:prSet presAssocID="{D89DB3EF-0F5E-4006-8234-1BEF17527B8E}" presName="conn2-1" presStyleLbl="parChTrans1D3" presStyleIdx="1" presStyleCnt="3"/>
      <dgm:spPr/>
      <dgm:t>
        <a:bodyPr/>
        <a:lstStyle/>
        <a:p>
          <a:endParaRPr lang="es-ES"/>
        </a:p>
      </dgm:t>
    </dgm:pt>
    <dgm:pt modelId="{304850C4-6EDA-4B26-9956-F2D371E2255E}" type="pres">
      <dgm:prSet presAssocID="{D89DB3EF-0F5E-4006-8234-1BEF17527B8E}" presName="connTx" presStyleLbl="parChTrans1D3" presStyleIdx="1" presStyleCnt="3"/>
      <dgm:spPr/>
      <dgm:t>
        <a:bodyPr/>
        <a:lstStyle/>
        <a:p>
          <a:endParaRPr lang="es-ES"/>
        </a:p>
      </dgm:t>
    </dgm:pt>
    <dgm:pt modelId="{438A8AB9-74A7-4786-9D1C-CABB0C8D5FBA}" type="pres">
      <dgm:prSet presAssocID="{5BAB3883-C242-4688-8448-A80D24DD35C3}" presName="root2" presStyleCnt="0"/>
      <dgm:spPr/>
    </dgm:pt>
    <dgm:pt modelId="{F23E05AC-420C-4A0C-80EF-4E5B7B1FB4D6}" type="pres">
      <dgm:prSet presAssocID="{5BAB3883-C242-4688-8448-A80D24DD35C3}" presName="LevelTwoTextNode" presStyleLbl="node3" presStyleIdx="1" presStyleCnt="3">
        <dgm:presLayoutVars>
          <dgm:chPref val="3"/>
        </dgm:presLayoutVars>
      </dgm:prSet>
      <dgm:spPr/>
      <dgm:t>
        <a:bodyPr/>
        <a:lstStyle/>
        <a:p>
          <a:endParaRPr lang="es-ES"/>
        </a:p>
      </dgm:t>
    </dgm:pt>
    <dgm:pt modelId="{AA41E3F2-F9D9-4569-A211-F608EF766582}" type="pres">
      <dgm:prSet presAssocID="{5BAB3883-C242-4688-8448-A80D24DD35C3}" presName="level3hierChild" presStyleCnt="0"/>
      <dgm:spPr/>
    </dgm:pt>
    <dgm:pt modelId="{530C3156-009D-4CE6-9AC0-CE0D599EA16D}" type="pres">
      <dgm:prSet presAssocID="{B7D82E41-6B77-4A15-8C0D-82539200E0A1}" presName="conn2-1" presStyleLbl="parChTrans1D2" presStyleIdx="2" presStyleCnt="3"/>
      <dgm:spPr/>
      <dgm:t>
        <a:bodyPr/>
        <a:lstStyle/>
        <a:p>
          <a:endParaRPr lang="es-ES"/>
        </a:p>
      </dgm:t>
    </dgm:pt>
    <dgm:pt modelId="{7FD92EFF-DC6D-43A8-9A04-B6349048CEC3}" type="pres">
      <dgm:prSet presAssocID="{B7D82E41-6B77-4A15-8C0D-82539200E0A1}" presName="connTx" presStyleLbl="parChTrans1D2" presStyleIdx="2" presStyleCnt="3"/>
      <dgm:spPr/>
      <dgm:t>
        <a:bodyPr/>
        <a:lstStyle/>
        <a:p>
          <a:endParaRPr lang="es-ES"/>
        </a:p>
      </dgm:t>
    </dgm:pt>
    <dgm:pt modelId="{7469C073-4755-4582-9601-EF73D8A6169B}" type="pres">
      <dgm:prSet presAssocID="{B62C4582-1B47-49A3-B1BA-02D15E0FA8C4}" presName="root2" presStyleCnt="0"/>
      <dgm:spPr/>
    </dgm:pt>
    <dgm:pt modelId="{70B46348-E2A0-428A-B325-5705AA8028B3}" type="pres">
      <dgm:prSet presAssocID="{B62C4582-1B47-49A3-B1BA-02D15E0FA8C4}" presName="LevelTwoTextNode" presStyleLbl="node2" presStyleIdx="2" presStyleCnt="3">
        <dgm:presLayoutVars>
          <dgm:chPref val="3"/>
        </dgm:presLayoutVars>
      </dgm:prSet>
      <dgm:spPr/>
      <dgm:t>
        <a:bodyPr/>
        <a:lstStyle/>
        <a:p>
          <a:endParaRPr lang="es-ES"/>
        </a:p>
      </dgm:t>
    </dgm:pt>
    <dgm:pt modelId="{41957373-FA3D-4D2B-A2AD-9DB2AAC55C3B}" type="pres">
      <dgm:prSet presAssocID="{B62C4582-1B47-49A3-B1BA-02D15E0FA8C4}" presName="level3hierChild" presStyleCnt="0"/>
      <dgm:spPr/>
    </dgm:pt>
    <dgm:pt modelId="{66E88A14-BAB7-413C-8DAC-E4A2B6934F45}" type="pres">
      <dgm:prSet presAssocID="{DFAF0ED2-C696-4206-AF72-F0588E56A0D4}" presName="conn2-1" presStyleLbl="parChTrans1D3" presStyleIdx="2" presStyleCnt="3"/>
      <dgm:spPr/>
      <dgm:t>
        <a:bodyPr/>
        <a:lstStyle/>
        <a:p>
          <a:endParaRPr lang="es-ES"/>
        </a:p>
      </dgm:t>
    </dgm:pt>
    <dgm:pt modelId="{0C2AA6F1-3858-4712-9FA7-3E239E518B92}" type="pres">
      <dgm:prSet presAssocID="{DFAF0ED2-C696-4206-AF72-F0588E56A0D4}" presName="connTx" presStyleLbl="parChTrans1D3" presStyleIdx="2" presStyleCnt="3"/>
      <dgm:spPr/>
      <dgm:t>
        <a:bodyPr/>
        <a:lstStyle/>
        <a:p>
          <a:endParaRPr lang="es-ES"/>
        </a:p>
      </dgm:t>
    </dgm:pt>
    <dgm:pt modelId="{790054D1-F6FA-4783-92AC-10677F3520E3}" type="pres">
      <dgm:prSet presAssocID="{84790FFF-0BB7-49C5-B365-E8CE069F577E}" presName="root2" presStyleCnt="0"/>
      <dgm:spPr/>
    </dgm:pt>
    <dgm:pt modelId="{385CDF54-AC42-405B-8B77-B98AD90F34F1}" type="pres">
      <dgm:prSet presAssocID="{84790FFF-0BB7-49C5-B365-E8CE069F577E}" presName="LevelTwoTextNode" presStyleLbl="node3" presStyleIdx="2" presStyleCnt="3">
        <dgm:presLayoutVars>
          <dgm:chPref val="3"/>
        </dgm:presLayoutVars>
      </dgm:prSet>
      <dgm:spPr/>
      <dgm:t>
        <a:bodyPr/>
        <a:lstStyle/>
        <a:p>
          <a:endParaRPr lang="es-ES"/>
        </a:p>
      </dgm:t>
    </dgm:pt>
    <dgm:pt modelId="{502A8601-632E-4891-9F95-06F310D65287}" type="pres">
      <dgm:prSet presAssocID="{84790FFF-0BB7-49C5-B365-E8CE069F577E}" presName="level3hierChild" presStyleCnt="0"/>
      <dgm:spPr/>
    </dgm:pt>
    <dgm:pt modelId="{34FE3DBE-D76C-46DD-A6A1-AACE07CED360}" type="pres">
      <dgm:prSet presAssocID="{28A8C854-4371-460F-B439-34DEEC288791}" presName="conn2-1" presStyleLbl="parChTrans1D4" presStyleIdx="4" presStyleCnt="5"/>
      <dgm:spPr/>
      <dgm:t>
        <a:bodyPr/>
        <a:lstStyle/>
        <a:p>
          <a:endParaRPr lang="es-ES"/>
        </a:p>
      </dgm:t>
    </dgm:pt>
    <dgm:pt modelId="{56A35FD9-7BE3-41D6-8F1C-1FFEA9910D31}" type="pres">
      <dgm:prSet presAssocID="{28A8C854-4371-460F-B439-34DEEC288791}" presName="connTx" presStyleLbl="parChTrans1D4" presStyleIdx="4" presStyleCnt="5"/>
      <dgm:spPr/>
      <dgm:t>
        <a:bodyPr/>
        <a:lstStyle/>
        <a:p>
          <a:endParaRPr lang="es-ES"/>
        </a:p>
      </dgm:t>
    </dgm:pt>
    <dgm:pt modelId="{6FE882EE-B4ED-48BD-814F-85218F42881F}" type="pres">
      <dgm:prSet presAssocID="{243818CD-25D5-426B-A8A5-B17980663A5E}" presName="root2" presStyleCnt="0"/>
      <dgm:spPr/>
    </dgm:pt>
    <dgm:pt modelId="{C007F74D-D915-4B1D-9926-26ACF676C91F}" type="pres">
      <dgm:prSet presAssocID="{243818CD-25D5-426B-A8A5-B17980663A5E}" presName="LevelTwoTextNode" presStyleLbl="node4" presStyleIdx="4" presStyleCnt="5">
        <dgm:presLayoutVars>
          <dgm:chPref val="3"/>
        </dgm:presLayoutVars>
      </dgm:prSet>
      <dgm:spPr/>
      <dgm:t>
        <a:bodyPr/>
        <a:lstStyle/>
        <a:p>
          <a:endParaRPr lang="es-ES"/>
        </a:p>
      </dgm:t>
    </dgm:pt>
    <dgm:pt modelId="{31DE6F68-7D8C-4ED6-A532-D9EAD1E4466A}" type="pres">
      <dgm:prSet presAssocID="{243818CD-25D5-426B-A8A5-B17980663A5E}" presName="level3hierChild" presStyleCnt="0"/>
      <dgm:spPr/>
    </dgm:pt>
  </dgm:ptLst>
  <dgm:cxnLst>
    <dgm:cxn modelId="{DDF5F349-B995-4F30-9D5E-5DABA74A9EF1}" type="presOf" srcId="{D89DB3EF-0F5E-4006-8234-1BEF17527B8E}" destId="{689646B4-2B28-494C-B0DB-511493D0722D}" srcOrd="0" destOrd="0" presId="urn:microsoft.com/office/officeart/2008/layout/HorizontalMultiLevelHierarchy"/>
    <dgm:cxn modelId="{C5A08FE4-FF43-4049-9D97-09BB69E45668}" type="presOf" srcId="{84790FFF-0BB7-49C5-B365-E8CE069F577E}" destId="{385CDF54-AC42-405B-8B77-B98AD90F34F1}" srcOrd="0" destOrd="0" presId="urn:microsoft.com/office/officeart/2008/layout/HorizontalMultiLevelHierarchy"/>
    <dgm:cxn modelId="{7BA33887-107E-49A0-BA6A-0611B851C2B4}" srcId="{D7BD8E43-E757-4A5E-9C4F-727A2BCBF880}" destId="{1714925D-9C8F-4C63-953A-A76AEC6EE8F5}" srcOrd="2" destOrd="0" parTransId="{3D6BED4D-BA00-4AB2-9E65-3521BF982681}" sibTransId="{8FD64C82-7E56-4AB8-BC3F-BBE1E74B5CAF}"/>
    <dgm:cxn modelId="{B6F9C5C9-73FF-43E4-A188-BED23F86C9A6}" type="presOf" srcId="{3D6BED4D-BA00-4AB2-9E65-3521BF982681}" destId="{1A2119EB-8826-4824-BC97-01F952AD9668}" srcOrd="0" destOrd="0" presId="urn:microsoft.com/office/officeart/2008/layout/HorizontalMultiLevelHierarchy"/>
    <dgm:cxn modelId="{C62C359C-A0DA-4FC5-A510-D957E1B2B3A3}" srcId="{84790FFF-0BB7-49C5-B365-E8CE069F577E}" destId="{243818CD-25D5-426B-A8A5-B17980663A5E}" srcOrd="0" destOrd="0" parTransId="{28A8C854-4371-460F-B439-34DEEC288791}" sibTransId="{701D6A95-82C9-48C5-B04A-3E4F842E892C}"/>
    <dgm:cxn modelId="{0414D64D-526B-45AF-82C2-25B101C53674}" type="presOf" srcId="{F4AF0459-265A-4EED-87EB-EBD75089D025}" destId="{8E8F3966-1709-4424-98BA-787E1E473EDA}" srcOrd="1" destOrd="0" presId="urn:microsoft.com/office/officeart/2008/layout/HorizontalMultiLevelHierarchy"/>
    <dgm:cxn modelId="{9FC8B245-9272-4968-BFD0-3A23C47384F1}" srcId="{667920FD-8395-4EED-9FC9-9C00BE38A18E}" destId="{7CAFB958-2B40-42DE-9D69-B68FB57A20FD}" srcOrd="1" destOrd="0" parTransId="{B5A5ACFE-1062-4635-8245-28AE81E7713E}" sibTransId="{2FF574E5-1C6B-4266-AF80-201C2426E9F3}"/>
    <dgm:cxn modelId="{96108746-0A3A-49D8-8EA2-BE7E4A2B2777}" type="presOf" srcId="{1714925D-9C8F-4C63-953A-A76AEC6EE8F5}" destId="{524AB491-D921-4F92-B4CD-A78F81BCC540}" srcOrd="0" destOrd="0" presId="urn:microsoft.com/office/officeart/2008/layout/HorizontalMultiLevelHierarchy"/>
    <dgm:cxn modelId="{66BED4B1-B1F0-44D9-98F5-DA557EADF341}" srcId="{7CAFB958-2B40-42DE-9D69-B68FB57A20FD}" destId="{5BAB3883-C242-4688-8448-A80D24DD35C3}" srcOrd="0" destOrd="0" parTransId="{D89DB3EF-0F5E-4006-8234-1BEF17527B8E}" sibTransId="{B0AF9F34-0647-4E5A-9F2B-1CE270088EA8}"/>
    <dgm:cxn modelId="{DAAEFA5F-0A10-4D09-825E-CC8B215BBC56}" type="presOf" srcId="{5BAB3883-C242-4688-8448-A80D24DD35C3}" destId="{F23E05AC-420C-4A0C-80EF-4E5B7B1FB4D6}" srcOrd="0" destOrd="0" presId="urn:microsoft.com/office/officeart/2008/layout/HorizontalMultiLevelHierarchy"/>
    <dgm:cxn modelId="{2F2FB000-2231-4A4A-8477-86DAB754DF9D}" type="presOf" srcId="{B62C4582-1B47-49A3-B1BA-02D15E0FA8C4}" destId="{70B46348-E2A0-428A-B325-5705AA8028B3}" srcOrd="0" destOrd="0" presId="urn:microsoft.com/office/officeart/2008/layout/HorizontalMultiLevelHierarchy"/>
    <dgm:cxn modelId="{586D14F0-2CD8-4B17-8E7E-CE3B7280FEBA}" type="presOf" srcId="{E05A5030-7E36-493B-8E53-27BEEFC2FEBD}" destId="{2358BC92-5E5D-4F86-8251-6A1C6523C133}" srcOrd="0" destOrd="0" presId="urn:microsoft.com/office/officeart/2008/layout/HorizontalMultiLevelHierarchy"/>
    <dgm:cxn modelId="{0C9B477A-2511-434A-9BD2-19A2A7284EE5}" type="presOf" srcId="{C88AA6EF-3CE5-41DF-B1BE-E66D7BCECE28}" destId="{420125B8-E613-4D5F-A844-C5774DA72C3B}" srcOrd="0" destOrd="0" presId="urn:microsoft.com/office/officeart/2008/layout/HorizontalMultiLevelHierarchy"/>
    <dgm:cxn modelId="{9152B6FE-4377-474B-B0EF-67CC303CDC15}" type="presOf" srcId="{B5A5ACFE-1062-4635-8245-28AE81E7713E}" destId="{6A06BAA5-A702-4D5C-A34F-87929BC50D95}" srcOrd="0" destOrd="0" presId="urn:microsoft.com/office/officeart/2008/layout/HorizontalMultiLevelHierarchy"/>
    <dgm:cxn modelId="{A2955135-6BD1-4BB5-9192-AE19FA7F2EDB}" srcId="{D7BD8E43-E757-4A5E-9C4F-727A2BCBF880}" destId="{E05A5030-7E36-493B-8E53-27BEEFC2FEBD}" srcOrd="3" destOrd="0" parTransId="{8FB2B934-624E-4916-95BE-2283D14CEA51}" sibTransId="{8820EDF8-C30A-478D-AED0-773D064CA9E2}"/>
    <dgm:cxn modelId="{53E9AD73-53AB-4630-8B09-1429E2836F40}" type="presOf" srcId="{DFAF0ED2-C696-4206-AF72-F0588E56A0D4}" destId="{0C2AA6F1-3858-4712-9FA7-3E239E518B92}" srcOrd="1" destOrd="0" presId="urn:microsoft.com/office/officeart/2008/layout/HorizontalMultiLevelHierarchy"/>
    <dgm:cxn modelId="{29A64261-7C77-4313-B1ED-96D56084371F}" type="presOf" srcId="{233163F6-44BE-422A-8D6A-F8507C8E09CA}" destId="{8544C45B-167C-4524-894D-DB9BE1E27233}" srcOrd="0" destOrd="0" presId="urn:microsoft.com/office/officeart/2008/layout/HorizontalMultiLevelHierarchy"/>
    <dgm:cxn modelId="{5BB43D37-296C-414A-99F1-5BCA14A7314B}" srcId="{D7BD8E43-E757-4A5E-9C4F-727A2BCBF880}" destId="{E09DDB0B-C6EE-4D5F-825F-FB57A6AFA05D}" srcOrd="0" destOrd="0" parTransId="{233163F6-44BE-422A-8D6A-F8507C8E09CA}" sibTransId="{E23E3173-B672-4A0F-A92F-09DEB9BBE873}"/>
    <dgm:cxn modelId="{DFC099F7-6D6E-4DB0-842C-D71F365A0234}" type="presOf" srcId="{667920FD-8395-4EED-9FC9-9C00BE38A18E}" destId="{E7FB635D-8A90-4184-8878-E5B808191C1B}" srcOrd="0" destOrd="0" presId="urn:microsoft.com/office/officeart/2008/layout/HorizontalMultiLevelHierarchy"/>
    <dgm:cxn modelId="{EE51A23D-C612-46B6-9842-F2D1ED95318E}" srcId="{667920FD-8395-4EED-9FC9-9C00BE38A18E}" destId="{D572156E-051B-41F1-8F44-A4C8E651676F}" srcOrd="0" destOrd="0" parTransId="{F4AF0459-265A-4EED-87EB-EBD75089D025}" sibTransId="{19DC6975-5B5B-4E69-B59E-76B0630D4755}"/>
    <dgm:cxn modelId="{824B85F8-A136-43BD-B379-A6506C0DBA15}" type="presOf" srcId="{B5A5ACFE-1062-4635-8245-28AE81E7713E}" destId="{0B33F1A9-1EB5-43AD-9A01-5FAA0F25E6F5}" srcOrd="1" destOrd="0" presId="urn:microsoft.com/office/officeart/2008/layout/HorizontalMultiLevelHierarchy"/>
    <dgm:cxn modelId="{AFD7C75D-83F9-41B3-BDCE-DA0D65E9002D}" type="presOf" srcId="{28A8C854-4371-460F-B439-34DEEC288791}" destId="{34FE3DBE-D76C-46DD-A6A1-AACE07CED360}" srcOrd="0" destOrd="0" presId="urn:microsoft.com/office/officeart/2008/layout/HorizontalMultiLevelHierarchy"/>
    <dgm:cxn modelId="{6DC8D3AD-F6E0-4AA6-B19B-F3A9795C5C91}" type="presOf" srcId="{C88AA6EF-3CE5-41DF-B1BE-E66D7BCECE28}" destId="{3A91213D-A740-4089-9D65-CB95A6A3145B}" srcOrd="1" destOrd="0" presId="urn:microsoft.com/office/officeart/2008/layout/HorizontalMultiLevelHierarchy"/>
    <dgm:cxn modelId="{F6740715-CE7E-4F9B-A0DC-840C5EB29E8F}" type="presOf" srcId="{42CB47A4-9C91-4D5C-99CB-0183D5DFFFBC}" destId="{0EF58E61-AA7E-40D2-9EA1-FD10C968E904}" srcOrd="0" destOrd="0" presId="urn:microsoft.com/office/officeart/2008/layout/HorizontalMultiLevelHierarchy"/>
    <dgm:cxn modelId="{A7E0B560-07D2-4D32-B51D-41C3361B0132}" type="presOf" srcId="{243818CD-25D5-426B-A8A5-B17980663A5E}" destId="{C007F74D-D915-4B1D-9926-26ACF676C91F}" srcOrd="0" destOrd="0" presId="urn:microsoft.com/office/officeart/2008/layout/HorizontalMultiLevelHierarchy"/>
    <dgm:cxn modelId="{AD75F94F-6153-4503-91A1-B8498778B989}" type="presOf" srcId="{B7D82E41-6B77-4A15-8C0D-82539200E0A1}" destId="{530C3156-009D-4CE6-9AC0-CE0D599EA16D}" srcOrd="0" destOrd="0" presId="urn:microsoft.com/office/officeart/2008/layout/HorizontalMultiLevelHierarchy"/>
    <dgm:cxn modelId="{64A9A386-8A68-4E83-AE27-39799B9B22B3}" type="presOf" srcId="{E09DDB0B-C6EE-4D5F-825F-FB57A6AFA05D}" destId="{0C9DE918-C12F-45A6-B7CD-3DBC91ABA330}" srcOrd="0" destOrd="0" presId="urn:microsoft.com/office/officeart/2008/layout/HorizontalMultiLevelHierarchy"/>
    <dgm:cxn modelId="{8FBC3AA8-5E49-4193-BC31-81626E7F6414}" srcId="{667920FD-8395-4EED-9FC9-9C00BE38A18E}" destId="{B62C4582-1B47-49A3-B1BA-02D15E0FA8C4}" srcOrd="2" destOrd="0" parTransId="{B7D82E41-6B77-4A15-8C0D-82539200E0A1}" sibTransId="{2139B8E6-F5EB-46FF-BD49-746BE353F4A3}"/>
    <dgm:cxn modelId="{8495E136-55E5-4E14-A551-1C44BF4EAB7F}" type="presOf" srcId="{DC3406BE-6832-4762-8F23-2756A5FED612}" destId="{B35597C1-046F-4F0A-91C3-777F7C3CAC4E}" srcOrd="0" destOrd="0" presId="urn:microsoft.com/office/officeart/2008/layout/HorizontalMultiLevelHierarchy"/>
    <dgm:cxn modelId="{363D5380-54EC-4B9B-A4DB-222EB140F08F}" type="presOf" srcId="{D89DB3EF-0F5E-4006-8234-1BEF17527B8E}" destId="{304850C4-6EDA-4B26-9956-F2D371E2255E}" srcOrd="1" destOrd="0" presId="urn:microsoft.com/office/officeart/2008/layout/HorizontalMultiLevelHierarchy"/>
    <dgm:cxn modelId="{CF6FFA32-CF38-4E7A-870C-862B93DEFB5B}" type="presOf" srcId="{8FB2B934-624E-4916-95BE-2283D14CEA51}" destId="{696FA222-9BDD-405A-B742-98849FFC3E8A}" srcOrd="0" destOrd="0" presId="urn:microsoft.com/office/officeart/2008/layout/HorizontalMultiLevelHierarchy"/>
    <dgm:cxn modelId="{26476DBB-3253-494D-8481-DC0554495525}" type="presOf" srcId="{D572156E-051B-41F1-8F44-A4C8E651676F}" destId="{29585426-42D9-45DD-9270-52CE683DC2AD}" srcOrd="0" destOrd="0" presId="urn:microsoft.com/office/officeart/2008/layout/HorizontalMultiLevelHierarchy"/>
    <dgm:cxn modelId="{B86133C6-C9C5-4F28-AAB5-34BE4CB2F6F3}" srcId="{D572156E-051B-41F1-8F44-A4C8E651676F}" destId="{D7BD8E43-E757-4A5E-9C4F-727A2BCBF880}" srcOrd="0" destOrd="0" parTransId="{2F2E90C0-A12E-473D-9081-A2BC8644E370}" sibTransId="{22B65023-33F5-4B88-B695-FA5C5FF8A0A9}"/>
    <dgm:cxn modelId="{8B8F924C-2CE5-4E32-A45F-4DA6C9991BBC}" type="presOf" srcId="{8FB2B934-624E-4916-95BE-2283D14CEA51}" destId="{5020222F-57BB-45B1-AB86-413B018E47D0}" srcOrd="1" destOrd="0" presId="urn:microsoft.com/office/officeart/2008/layout/HorizontalMultiLevelHierarchy"/>
    <dgm:cxn modelId="{3DB22392-D226-47F7-A6EA-BAA217B41691}" type="presOf" srcId="{3D6BED4D-BA00-4AB2-9E65-3521BF982681}" destId="{5093D948-5261-4732-A304-28F6D1BA7F49}" srcOrd="1" destOrd="0" presId="urn:microsoft.com/office/officeart/2008/layout/HorizontalMultiLevelHierarchy"/>
    <dgm:cxn modelId="{68293C3C-EBF0-46E5-9D2A-F560CF01C990}" type="presOf" srcId="{2F2E90C0-A12E-473D-9081-A2BC8644E370}" destId="{3E753E52-E478-406A-90C4-036AB39C6AE3}" srcOrd="1" destOrd="0" presId="urn:microsoft.com/office/officeart/2008/layout/HorizontalMultiLevelHierarchy"/>
    <dgm:cxn modelId="{B400FF4C-1C49-4018-BC5D-7E5426536C30}" type="presOf" srcId="{F4AF0459-265A-4EED-87EB-EBD75089D025}" destId="{71C3EB14-BB59-4ECB-B0DB-94D6E6D3D293}" srcOrd="0" destOrd="0" presId="urn:microsoft.com/office/officeart/2008/layout/HorizontalMultiLevelHierarchy"/>
    <dgm:cxn modelId="{1F5F1688-7177-425C-A48B-5479FA91824D}" type="presOf" srcId="{2F2E90C0-A12E-473D-9081-A2BC8644E370}" destId="{6D5211D1-B486-4EA6-9C61-0ABABD207976}" srcOrd="0" destOrd="0" presId="urn:microsoft.com/office/officeart/2008/layout/HorizontalMultiLevelHierarchy"/>
    <dgm:cxn modelId="{3306DF99-14EC-40AF-9AF2-A4D8E394FD63}" type="presOf" srcId="{D7BD8E43-E757-4A5E-9C4F-727A2BCBF880}" destId="{A066A57B-55AA-49B2-A827-1C04D3541042}" srcOrd="0" destOrd="0" presId="urn:microsoft.com/office/officeart/2008/layout/HorizontalMultiLevelHierarchy"/>
    <dgm:cxn modelId="{FA224E64-9EAE-409B-9B2C-6883603A5250}" type="presOf" srcId="{DFAF0ED2-C696-4206-AF72-F0588E56A0D4}" destId="{66E88A14-BAB7-413C-8DAC-E4A2B6934F45}" srcOrd="0" destOrd="0" presId="urn:microsoft.com/office/officeart/2008/layout/HorizontalMultiLevelHierarchy"/>
    <dgm:cxn modelId="{3D5528C0-B818-4E35-8BBE-F687977735E7}" type="presOf" srcId="{B7D82E41-6B77-4A15-8C0D-82539200E0A1}" destId="{7FD92EFF-DC6D-43A8-9A04-B6349048CEC3}" srcOrd="1" destOrd="0" presId="urn:microsoft.com/office/officeart/2008/layout/HorizontalMultiLevelHierarchy"/>
    <dgm:cxn modelId="{F1AB90E8-BC8C-4C07-B44A-8B82A8CC7898}" type="presOf" srcId="{7CAFB958-2B40-42DE-9D69-B68FB57A20FD}" destId="{7FE28124-E944-4026-8357-2663DC08B1CF}" srcOrd="0" destOrd="0" presId="urn:microsoft.com/office/officeart/2008/layout/HorizontalMultiLevelHierarchy"/>
    <dgm:cxn modelId="{847D47D6-8614-45A0-8731-80774C7F9C75}" type="presOf" srcId="{28A8C854-4371-460F-B439-34DEEC288791}" destId="{56A35FD9-7BE3-41D6-8F1C-1FFEA9910D31}" srcOrd="1" destOrd="0" presId="urn:microsoft.com/office/officeart/2008/layout/HorizontalMultiLevelHierarchy"/>
    <dgm:cxn modelId="{89096EDC-F72E-4F91-A324-6E0EE2A72A83}" srcId="{DC3406BE-6832-4762-8F23-2756A5FED612}" destId="{667920FD-8395-4EED-9FC9-9C00BE38A18E}" srcOrd="0" destOrd="0" parTransId="{6CE713DB-ADE5-4245-ADA8-172CA766DE87}" sibTransId="{6D363FD0-2620-4722-BBE0-A4487A745882}"/>
    <dgm:cxn modelId="{6FD8A467-B73B-4C07-9A43-91CC7E5D2D41}" srcId="{D7BD8E43-E757-4A5E-9C4F-727A2BCBF880}" destId="{42CB47A4-9C91-4D5C-99CB-0183D5DFFFBC}" srcOrd="1" destOrd="0" parTransId="{C88AA6EF-3CE5-41DF-B1BE-E66D7BCECE28}" sibTransId="{37E4A0A7-5526-4C07-96E7-947C0998887A}"/>
    <dgm:cxn modelId="{262E4ACE-FF24-4560-B841-1316BFAB8EFF}" type="presOf" srcId="{233163F6-44BE-422A-8D6A-F8507C8E09CA}" destId="{E1C4CDDB-D717-42C3-87D9-1C008AB44DEA}" srcOrd="1" destOrd="0" presId="urn:microsoft.com/office/officeart/2008/layout/HorizontalMultiLevelHierarchy"/>
    <dgm:cxn modelId="{A62267BB-ADC6-4687-BB3A-26FD5D44E584}" srcId="{B62C4582-1B47-49A3-B1BA-02D15E0FA8C4}" destId="{84790FFF-0BB7-49C5-B365-E8CE069F577E}" srcOrd="0" destOrd="0" parTransId="{DFAF0ED2-C696-4206-AF72-F0588E56A0D4}" sibTransId="{154D83B6-38E4-4797-BA1F-FD11DDD2CC10}"/>
    <dgm:cxn modelId="{31D60FDE-9ADE-46A5-87C3-4B6D127ED8BD}" type="presParOf" srcId="{B35597C1-046F-4F0A-91C3-777F7C3CAC4E}" destId="{803560A2-6582-4343-A7C0-2ED1806FD129}" srcOrd="0" destOrd="0" presId="urn:microsoft.com/office/officeart/2008/layout/HorizontalMultiLevelHierarchy"/>
    <dgm:cxn modelId="{97E2DA07-BE3F-47B7-B06C-B99868E7B0CE}" type="presParOf" srcId="{803560A2-6582-4343-A7C0-2ED1806FD129}" destId="{E7FB635D-8A90-4184-8878-E5B808191C1B}" srcOrd="0" destOrd="0" presId="urn:microsoft.com/office/officeart/2008/layout/HorizontalMultiLevelHierarchy"/>
    <dgm:cxn modelId="{E2543BF1-A6E2-48C3-BC6E-2703774C78A1}" type="presParOf" srcId="{803560A2-6582-4343-A7C0-2ED1806FD129}" destId="{028857F0-8723-4319-A0FD-EA46D3850097}" srcOrd="1" destOrd="0" presId="urn:microsoft.com/office/officeart/2008/layout/HorizontalMultiLevelHierarchy"/>
    <dgm:cxn modelId="{6E9A7EBC-CC0C-4ADE-931E-4B1F82BF2380}" type="presParOf" srcId="{028857F0-8723-4319-A0FD-EA46D3850097}" destId="{71C3EB14-BB59-4ECB-B0DB-94D6E6D3D293}" srcOrd="0" destOrd="0" presId="urn:microsoft.com/office/officeart/2008/layout/HorizontalMultiLevelHierarchy"/>
    <dgm:cxn modelId="{7C0573FE-F42E-45D7-A3BA-85A7288C425B}" type="presParOf" srcId="{71C3EB14-BB59-4ECB-B0DB-94D6E6D3D293}" destId="{8E8F3966-1709-4424-98BA-787E1E473EDA}" srcOrd="0" destOrd="0" presId="urn:microsoft.com/office/officeart/2008/layout/HorizontalMultiLevelHierarchy"/>
    <dgm:cxn modelId="{BDC794CA-D95E-45F1-8135-6558379CB581}" type="presParOf" srcId="{028857F0-8723-4319-A0FD-EA46D3850097}" destId="{14D725A6-BACD-409C-AC7D-CBF70BEA0D11}" srcOrd="1" destOrd="0" presId="urn:microsoft.com/office/officeart/2008/layout/HorizontalMultiLevelHierarchy"/>
    <dgm:cxn modelId="{1EC72EA9-8957-4411-A45E-772C61957CDD}" type="presParOf" srcId="{14D725A6-BACD-409C-AC7D-CBF70BEA0D11}" destId="{29585426-42D9-45DD-9270-52CE683DC2AD}" srcOrd="0" destOrd="0" presId="urn:microsoft.com/office/officeart/2008/layout/HorizontalMultiLevelHierarchy"/>
    <dgm:cxn modelId="{FCAA8FDD-25FE-4041-A700-075949719126}" type="presParOf" srcId="{14D725A6-BACD-409C-AC7D-CBF70BEA0D11}" destId="{1762AC67-0A0E-481A-B926-C68803388A0E}" srcOrd="1" destOrd="0" presId="urn:microsoft.com/office/officeart/2008/layout/HorizontalMultiLevelHierarchy"/>
    <dgm:cxn modelId="{B86BA1DF-8171-4F53-AD9F-8741681191F2}" type="presParOf" srcId="{1762AC67-0A0E-481A-B926-C68803388A0E}" destId="{6D5211D1-B486-4EA6-9C61-0ABABD207976}" srcOrd="0" destOrd="0" presId="urn:microsoft.com/office/officeart/2008/layout/HorizontalMultiLevelHierarchy"/>
    <dgm:cxn modelId="{2A2EBAAD-3475-462C-8BAB-0C82FAC67FC4}" type="presParOf" srcId="{6D5211D1-B486-4EA6-9C61-0ABABD207976}" destId="{3E753E52-E478-406A-90C4-036AB39C6AE3}" srcOrd="0" destOrd="0" presId="urn:microsoft.com/office/officeart/2008/layout/HorizontalMultiLevelHierarchy"/>
    <dgm:cxn modelId="{C677D93C-AEF2-4653-A315-360EA7B271AF}" type="presParOf" srcId="{1762AC67-0A0E-481A-B926-C68803388A0E}" destId="{7502342F-7F6B-4F60-92B1-43008C5811FB}" srcOrd="1" destOrd="0" presId="urn:microsoft.com/office/officeart/2008/layout/HorizontalMultiLevelHierarchy"/>
    <dgm:cxn modelId="{EE1B2C0D-EFCE-4A34-B8EB-45472F864C23}" type="presParOf" srcId="{7502342F-7F6B-4F60-92B1-43008C5811FB}" destId="{A066A57B-55AA-49B2-A827-1C04D3541042}" srcOrd="0" destOrd="0" presId="urn:microsoft.com/office/officeart/2008/layout/HorizontalMultiLevelHierarchy"/>
    <dgm:cxn modelId="{0891828A-A8B7-4EEB-BD0A-A3825F182352}" type="presParOf" srcId="{7502342F-7F6B-4F60-92B1-43008C5811FB}" destId="{DD192244-8434-44C9-BBDA-B18883B6054A}" srcOrd="1" destOrd="0" presId="urn:microsoft.com/office/officeart/2008/layout/HorizontalMultiLevelHierarchy"/>
    <dgm:cxn modelId="{DF0F6520-F2EF-410E-9FD6-281C2E6336F5}" type="presParOf" srcId="{DD192244-8434-44C9-BBDA-B18883B6054A}" destId="{8544C45B-167C-4524-894D-DB9BE1E27233}" srcOrd="0" destOrd="0" presId="urn:microsoft.com/office/officeart/2008/layout/HorizontalMultiLevelHierarchy"/>
    <dgm:cxn modelId="{6D7DAB9A-6C3B-4352-AE62-7BB1672237A0}" type="presParOf" srcId="{8544C45B-167C-4524-894D-DB9BE1E27233}" destId="{E1C4CDDB-D717-42C3-87D9-1C008AB44DEA}" srcOrd="0" destOrd="0" presId="urn:microsoft.com/office/officeart/2008/layout/HorizontalMultiLevelHierarchy"/>
    <dgm:cxn modelId="{C9983331-A6AB-48F4-98D0-52F83020B3F1}" type="presParOf" srcId="{DD192244-8434-44C9-BBDA-B18883B6054A}" destId="{D35A8F03-F032-420C-BA3B-6971E750D6BD}" srcOrd="1" destOrd="0" presId="urn:microsoft.com/office/officeart/2008/layout/HorizontalMultiLevelHierarchy"/>
    <dgm:cxn modelId="{CEC37557-422B-4D84-9896-76BAA388C9CA}" type="presParOf" srcId="{D35A8F03-F032-420C-BA3B-6971E750D6BD}" destId="{0C9DE918-C12F-45A6-B7CD-3DBC91ABA330}" srcOrd="0" destOrd="0" presId="urn:microsoft.com/office/officeart/2008/layout/HorizontalMultiLevelHierarchy"/>
    <dgm:cxn modelId="{9DDB1085-6124-4988-8627-048CD7ABD9BB}" type="presParOf" srcId="{D35A8F03-F032-420C-BA3B-6971E750D6BD}" destId="{D795AEEF-9467-4B65-A805-973E4776B9FF}" srcOrd="1" destOrd="0" presId="urn:microsoft.com/office/officeart/2008/layout/HorizontalMultiLevelHierarchy"/>
    <dgm:cxn modelId="{7F3F38CE-D8A7-4B8D-B278-EAE73931FC1B}" type="presParOf" srcId="{DD192244-8434-44C9-BBDA-B18883B6054A}" destId="{420125B8-E613-4D5F-A844-C5774DA72C3B}" srcOrd="2" destOrd="0" presId="urn:microsoft.com/office/officeart/2008/layout/HorizontalMultiLevelHierarchy"/>
    <dgm:cxn modelId="{05D8007D-A64A-434F-8633-032E537C4478}" type="presParOf" srcId="{420125B8-E613-4D5F-A844-C5774DA72C3B}" destId="{3A91213D-A740-4089-9D65-CB95A6A3145B}" srcOrd="0" destOrd="0" presId="urn:microsoft.com/office/officeart/2008/layout/HorizontalMultiLevelHierarchy"/>
    <dgm:cxn modelId="{74FFFFAE-2F51-4257-B8A3-992AA6633303}" type="presParOf" srcId="{DD192244-8434-44C9-BBDA-B18883B6054A}" destId="{E7CD9CF4-9C8A-4E94-9F75-B64AE37CE356}" srcOrd="3" destOrd="0" presId="urn:microsoft.com/office/officeart/2008/layout/HorizontalMultiLevelHierarchy"/>
    <dgm:cxn modelId="{3E34C7B5-4E43-479E-9C45-645C53F81F05}" type="presParOf" srcId="{E7CD9CF4-9C8A-4E94-9F75-B64AE37CE356}" destId="{0EF58E61-AA7E-40D2-9EA1-FD10C968E904}" srcOrd="0" destOrd="0" presId="urn:microsoft.com/office/officeart/2008/layout/HorizontalMultiLevelHierarchy"/>
    <dgm:cxn modelId="{498D60F0-181C-4E5C-B11F-028EECA252AD}" type="presParOf" srcId="{E7CD9CF4-9C8A-4E94-9F75-B64AE37CE356}" destId="{A74FC62E-359B-40F6-A7F5-471C0B15CA75}" srcOrd="1" destOrd="0" presId="urn:microsoft.com/office/officeart/2008/layout/HorizontalMultiLevelHierarchy"/>
    <dgm:cxn modelId="{69260A02-C44A-458E-9829-97E2C1BF9382}" type="presParOf" srcId="{DD192244-8434-44C9-BBDA-B18883B6054A}" destId="{1A2119EB-8826-4824-BC97-01F952AD9668}" srcOrd="4" destOrd="0" presId="urn:microsoft.com/office/officeart/2008/layout/HorizontalMultiLevelHierarchy"/>
    <dgm:cxn modelId="{4C5E697E-6B42-4D3C-B9D1-41A054E2664E}" type="presParOf" srcId="{1A2119EB-8826-4824-BC97-01F952AD9668}" destId="{5093D948-5261-4732-A304-28F6D1BA7F49}" srcOrd="0" destOrd="0" presId="urn:microsoft.com/office/officeart/2008/layout/HorizontalMultiLevelHierarchy"/>
    <dgm:cxn modelId="{39571329-0179-4B8F-81EC-236D569B2924}" type="presParOf" srcId="{DD192244-8434-44C9-BBDA-B18883B6054A}" destId="{611D8C96-6FB5-49A1-9CAD-4A3D10568B73}" srcOrd="5" destOrd="0" presId="urn:microsoft.com/office/officeart/2008/layout/HorizontalMultiLevelHierarchy"/>
    <dgm:cxn modelId="{8938028E-8AB7-4713-ACC3-2D104825375F}" type="presParOf" srcId="{611D8C96-6FB5-49A1-9CAD-4A3D10568B73}" destId="{524AB491-D921-4F92-B4CD-A78F81BCC540}" srcOrd="0" destOrd="0" presId="urn:microsoft.com/office/officeart/2008/layout/HorizontalMultiLevelHierarchy"/>
    <dgm:cxn modelId="{BF3919B9-0EF6-431A-B1C1-3398D09213A7}" type="presParOf" srcId="{611D8C96-6FB5-49A1-9CAD-4A3D10568B73}" destId="{122FE892-4116-452A-8FF5-E6BC6D1FBAFC}" srcOrd="1" destOrd="0" presId="urn:microsoft.com/office/officeart/2008/layout/HorizontalMultiLevelHierarchy"/>
    <dgm:cxn modelId="{745A0E09-46D1-4AE9-B6F9-EAF353008533}" type="presParOf" srcId="{DD192244-8434-44C9-BBDA-B18883B6054A}" destId="{696FA222-9BDD-405A-B742-98849FFC3E8A}" srcOrd="6" destOrd="0" presId="urn:microsoft.com/office/officeart/2008/layout/HorizontalMultiLevelHierarchy"/>
    <dgm:cxn modelId="{64D6BEC6-3F7E-4725-BB4F-C117FEE91BDE}" type="presParOf" srcId="{696FA222-9BDD-405A-B742-98849FFC3E8A}" destId="{5020222F-57BB-45B1-AB86-413B018E47D0}" srcOrd="0" destOrd="0" presId="urn:microsoft.com/office/officeart/2008/layout/HorizontalMultiLevelHierarchy"/>
    <dgm:cxn modelId="{215696AF-DE7B-4E2E-96F6-3A28861A5217}" type="presParOf" srcId="{DD192244-8434-44C9-BBDA-B18883B6054A}" destId="{CE8B2137-D3D1-490F-8B1B-B54A98A6E962}" srcOrd="7" destOrd="0" presId="urn:microsoft.com/office/officeart/2008/layout/HorizontalMultiLevelHierarchy"/>
    <dgm:cxn modelId="{2FD033CF-C2A6-4738-AF25-F8A5B3570225}" type="presParOf" srcId="{CE8B2137-D3D1-490F-8B1B-B54A98A6E962}" destId="{2358BC92-5E5D-4F86-8251-6A1C6523C133}" srcOrd="0" destOrd="0" presId="urn:microsoft.com/office/officeart/2008/layout/HorizontalMultiLevelHierarchy"/>
    <dgm:cxn modelId="{0651DF91-3C8A-40A2-B118-4292A63DB1D6}" type="presParOf" srcId="{CE8B2137-D3D1-490F-8B1B-B54A98A6E962}" destId="{CFCD87D7-D6FC-4EF9-85EB-344EEFF4AF99}" srcOrd="1" destOrd="0" presId="urn:microsoft.com/office/officeart/2008/layout/HorizontalMultiLevelHierarchy"/>
    <dgm:cxn modelId="{B079370A-388A-4FAC-A977-7123A7083358}" type="presParOf" srcId="{028857F0-8723-4319-A0FD-EA46D3850097}" destId="{6A06BAA5-A702-4D5C-A34F-87929BC50D95}" srcOrd="2" destOrd="0" presId="urn:microsoft.com/office/officeart/2008/layout/HorizontalMultiLevelHierarchy"/>
    <dgm:cxn modelId="{EF556F49-640D-42B9-9BA8-7F1E6DC58D4D}" type="presParOf" srcId="{6A06BAA5-A702-4D5C-A34F-87929BC50D95}" destId="{0B33F1A9-1EB5-43AD-9A01-5FAA0F25E6F5}" srcOrd="0" destOrd="0" presId="urn:microsoft.com/office/officeart/2008/layout/HorizontalMultiLevelHierarchy"/>
    <dgm:cxn modelId="{60DA52B4-1D01-46F1-A526-9781D6C8DCE7}" type="presParOf" srcId="{028857F0-8723-4319-A0FD-EA46D3850097}" destId="{BEE4A7AC-1CB8-4E23-8F47-F576CBD0956F}" srcOrd="3" destOrd="0" presId="urn:microsoft.com/office/officeart/2008/layout/HorizontalMultiLevelHierarchy"/>
    <dgm:cxn modelId="{6D4B07F2-ECDD-454E-A008-89D425260550}" type="presParOf" srcId="{BEE4A7AC-1CB8-4E23-8F47-F576CBD0956F}" destId="{7FE28124-E944-4026-8357-2663DC08B1CF}" srcOrd="0" destOrd="0" presId="urn:microsoft.com/office/officeart/2008/layout/HorizontalMultiLevelHierarchy"/>
    <dgm:cxn modelId="{1BD6AF52-96E8-4201-844A-FF5217837272}" type="presParOf" srcId="{BEE4A7AC-1CB8-4E23-8F47-F576CBD0956F}" destId="{4AD4AE24-94B3-4222-96EC-12333AB42892}" srcOrd="1" destOrd="0" presId="urn:microsoft.com/office/officeart/2008/layout/HorizontalMultiLevelHierarchy"/>
    <dgm:cxn modelId="{22DFE95A-425D-45F4-A29E-97955CD29517}" type="presParOf" srcId="{4AD4AE24-94B3-4222-96EC-12333AB42892}" destId="{689646B4-2B28-494C-B0DB-511493D0722D}" srcOrd="0" destOrd="0" presId="urn:microsoft.com/office/officeart/2008/layout/HorizontalMultiLevelHierarchy"/>
    <dgm:cxn modelId="{8BAD0D5F-5FB6-44E1-8184-F78B98CC55DA}" type="presParOf" srcId="{689646B4-2B28-494C-B0DB-511493D0722D}" destId="{304850C4-6EDA-4B26-9956-F2D371E2255E}" srcOrd="0" destOrd="0" presId="urn:microsoft.com/office/officeart/2008/layout/HorizontalMultiLevelHierarchy"/>
    <dgm:cxn modelId="{5DD4C0EA-0977-4DB7-8410-FFD344C2EEF7}" type="presParOf" srcId="{4AD4AE24-94B3-4222-96EC-12333AB42892}" destId="{438A8AB9-74A7-4786-9D1C-CABB0C8D5FBA}" srcOrd="1" destOrd="0" presId="urn:microsoft.com/office/officeart/2008/layout/HorizontalMultiLevelHierarchy"/>
    <dgm:cxn modelId="{468BFE78-F8A1-4D33-B704-E9453945ABF0}" type="presParOf" srcId="{438A8AB9-74A7-4786-9D1C-CABB0C8D5FBA}" destId="{F23E05AC-420C-4A0C-80EF-4E5B7B1FB4D6}" srcOrd="0" destOrd="0" presId="urn:microsoft.com/office/officeart/2008/layout/HorizontalMultiLevelHierarchy"/>
    <dgm:cxn modelId="{93112A3A-E889-48DF-8C47-5C2A696085ED}" type="presParOf" srcId="{438A8AB9-74A7-4786-9D1C-CABB0C8D5FBA}" destId="{AA41E3F2-F9D9-4569-A211-F608EF766582}" srcOrd="1" destOrd="0" presId="urn:microsoft.com/office/officeart/2008/layout/HorizontalMultiLevelHierarchy"/>
    <dgm:cxn modelId="{61B6054D-7CA7-485F-87E5-8D289C4668A0}" type="presParOf" srcId="{028857F0-8723-4319-A0FD-EA46D3850097}" destId="{530C3156-009D-4CE6-9AC0-CE0D599EA16D}" srcOrd="4" destOrd="0" presId="urn:microsoft.com/office/officeart/2008/layout/HorizontalMultiLevelHierarchy"/>
    <dgm:cxn modelId="{DA02890B-2448-4225-9AD7-598363935E87}" type="presParOf" srcId="{530C3156-009D-4CE6-9AC0-CE0D599EA16D}" destId="{7FD92EFF-DC6D-43A8-9A04-B6349048CEC3}" srcOrd="0" destOrd="0" presId="urn:microsoft.com/office/officeart/2008/layout/HorizontalMultiLevelHierarchy"/>
    <dgm:cxn modelId="{644FBF6A-DBE1-4879-A442-C1B5C01104BA}" type="presParOf" srcId="{028857F0-8723-4319-A0FD-EA46D3850097}" destId="{7469C073-4755-4582-9601-EF73D8A6169B}" srcOrd="5" destOrd="0" presId="urn:microsoft.com/office/officeart/2008/layout/HorizontalMultiLevelHierarchy"/>
    <dgm:cxn modelId="{442EF53B-1D93-4C93-A4BF-E0E09E70A2BE}" type="presParOf" srcId="{7469C073-4755-4582-9601-EF73D8A6169B}" destId="{70B46348-E2A0-428A-B325-5705AA8028B3}" srcOrd="0" destOrd="0" presId="urn:microsoft.com/office/officeart/2008/layout/HorizontalMultiLevelHierarchy"/>
    <dgm:cxn modelId="{8A290775-E177-47D0-AA2A-4512099A4422}" type="presParOf" srcId="{7469C073-4755-4582-9601-EF73D8A6169B}" destId="{41957373-FA3D-4D2B-A2AD-9DB2AAC55C3B}" srcOrd="1" destOrd="0" presId="urn:microsoft.com/office/officeart/2008/layout/HorizontalMultiLevelHierarchy"/>
    <dgm:cxn modelId="{C13E73D3-69AE-4A02-8126-F4B94E81A051}" type="presParOf" srcId="{41957373-FA3D-4D2B-A2AD-9DB2AAC55C3B}" destId="{66E88A14-BAB7-413C-8DAC-E4A2B6934F45}" srcOrd="0" destOrd="0" presId="urn:microsoft.com/office/officeart/2008/layout/HorizontalMultiLevelHierarchy"/>
    <dgm:cxn modelId="{9B932BFC-9BB7-4FF3-9575-EB4BB4A2FF58}" type="presParOf" srcId="{66E88A14-BAB7-413C-8DAC-E4A2B6934F45}" destId="{0C2AA6F1-3858-4712-9FA7-3E239E518B92}" srcOrd="0" destOrd="0" presId="urn:microsoft.com/office/officeart/2008/layout/HorizontalMultiLevelHierarchy"/>
    <dgm:cxn modelId="{65AA750C-9AF5-464D-A2D7-F4D144017E72}" type="presParOf" srcId="{41957373-FA3D-4D2B-A2AD-9DB2AAC55C3B}" destId="{790054D1-F6FA-4783-92AC-10677F3520E3}" srcOrd="1" destOrd="0" presId="urn:microsoft.com/office/officeart/2008/layout/HorizontalMultiLevelHierarchy"/>
    <dgm:cxn modelId="{47A02F4F-B2EB-4F6E-907E-26E949272141}" type="presParOf" srcId="{790054D1-F6FA-4783-92AC-10677F3520E3}" destId="{385CDF54-AC42-405B-8B77-B98AD90F34F1}" srcOrd="0" destOrd="0" presId="urn:microsoft.com/office/officeart/2008/layout/HorizontalMultiLevelHierarchy"/>
    <dgm:cxn modelId="{6D6477DF-A895-4ACF-B2E9-B2738954D40B}" type="presParOf" srcId="{790054D1-F6FA-4783-92AC-10677F3520E3}" destId="{502A8601-632E-4891-9F95-06F310D65287}" srcOrd="1" destOrd="0" presId="urn:microsoft.com/office/officeart/2008/layout/HorizontalMultiLevelHierarchy"/>
    <dgm:cxn modelId="{A4D59180-5176-40ED-A72F-B3D97CBA2E74}" type="presParOf" srcId="{502A8601-632E-4891-9F95-06F310D65287}" destId="{34FE3DBE-D76C-46DD-A6A1-AACE07CED360}" srcOrd="0" destOrd="0" presId="urn:microsoft.com/office/officeart/2008/layout/HorizontalMultiLevelHierarchy"/>
    <dgm:cxn modelId="{83D05290-BBB4-4681-A763-4A28CD507522}" type="presParOf" srcId="{34FE3DBE-D76C-46DD-A6A1-AACE07CED360}" destId="{56A35FD9-7BE3-41D6-8F1C-1FFEA9910D31}" srcOrd="0" destOrd="0" presId="urn:microsoft.com/office/officeart/2008/layout/HorizontalMultiLevelHierarchy"/>
    <dgm:cxn modelId="{72C16124-0B83-4AA2-B617-53AB652BCEC7}" type="presParOf" srcId="{502A8601-632E-4891-9F95-06F310D65287}" destId="{6FE882EE-B4ED-48BD-814F-85218F42881F}" srcOrd="1" destOrd="0" presId="urn:microsoft.com/office/officeart/2008/layout/HorizontalMultiLevelHierarchy"/>
    <dgm:cxn modelId="{6770ABC9-409E-479A-9C19-F7B126315B62}" type="presParOf" srcId="{6FE882EE-B4ED-48BD-814F-85218F42881F}" destId="{C007F74D-D915-4B1D-9926-26ACF676C91F}" srcOrd="0" destOrd="0" presId="urn:microsoft.com/office/officeart/2008/layout/HorizontalMultiLevelHierarchy"/>
    <dgm:cxn modelId="{2F2290F2-CE90-4463-A57C-D6E22084352D}" type="presParOf" srcId="{6FE882EE-B4ED-48BD-814F-85218F42881F}" destId="{31DE6F68-7D8C-4ED6-A532-D9EAD1E4466A}" srcOrd="1" destOrd="0" presId="urn:microsoft.com/office/officeart/2008/layout/HorizontalMultiLevelHierarchy"/>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FAA8A2-2A72-4BFD-88EF-D896DD6EFA8C}">
      <dsp:nvSpPr>
        <dsp:cNvPr id="0" name=""/>
        <dsp:cNvSpPr/>
      </dsp:nvSpPr>
      <dsp:spPr>
        <a:xfrm>
          <a:off x="0" y="331692"/>
          <a:ext cx="6124575" cy="1458091"/>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5335" tIns="208280" rIns="475335" bIns="71120" numCol="1" spcCol="1270" anchor="t" anchorCtr="0">
          <a:noAutofit/>
        </a:bodyPr>
        <a:lstStyle/>
        <a:p>
          <a:pPr marL="57150" lvl="1" indent="-57150" algn="just" defTabSz="444500">
            <a:lnSpc>
              <a:spcPct val="100000"/>
            </a:lnSpc>
            <a:spcBef>
              <a:spcPct val="0"/>
            </a:spcBef>
            <a:spcAft>
              <a:spcPct val="15000"/>
            </a:spcAft>
            <a:buChar char="••"/>
          </a:pPr>
          <a:r>
            <a:rPr lang="es-CO" sz="1000" kern="1200">
              <a:latin typeface="Arial" panose="020B0604020202020204" pitchFamily="34" charset="0"/>
              <a:cs typeface="Arial" panose="020B0604020202020204" pitchFamily="34" charset="0"/>
            </a:rPr>
            <a:t>Verificar el cumplimiento razonable de la normatividad y las politicas, en el marco del plan de austeridad y eficiencia en el gasto público direccionado por el Gobierno Nacional. Así mismo, analizar el comportamiento del gasto público y las medidas de austeridad aplicadas por este Ministerio y como resultado, exponer situaciones y hechos, que puedan servir como base para la toma de decisiones y efectuar las respectivas recomendaciones a que haya lugar. Lo anterior, en cumplimiento de lo establecido en el artículo 2.8.4.8.2 del Decreto 1068 de 2015. </a:t>
          </a:r>
          <a:endParaRPr lang="es-ES" sz="1000" kern="1200">
            <a:latin typeface="Arial" panose="020B0604020202020204" pitchFamily="34" charset="0"/>
            <a:cs typeface="Arial" panose="020B0604020202020204" pitchFamily="34" charset="0"/>
          </a:endParaRPr>
        </a:p>
      </dsp:txBody>
      <dsp:txXfrm>
        <a:off x="0" y="331692"/>
        <a:ext cx="6124575" cy="1458091"/>
      </dsp:txXfrm>
    </dsp:sp>
    <dsp:sp modelId="{7BDE95F1-2793-42D8-8480-0CF47F35DC0B}">
      <dsp:nvSpPr>
        <dsp:cNvPr id="0" name=""/>
        <dsp:cNvSpPr/>
      </dsp:nvSpPr>
      <dsp:spPr>
        <a:xfrm>
          <a:off x="306228" y="38981"/>
          <a:ext cx="4287202" cy="44031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2046" tIns="0" rIns="162046" bIns="0" numCol="1" spcCol="1270" anchor="ctr" anchorCtr="0">
          <a:noAutofit/>
        </a:bodyPr>
        <a:lstStyle/>
        <a:p>
          <a:pPr lvl="0" algn="l" defTabSz="488950">
            <a:lnSpc>
              <a:spcPct val="100000"/>
            </a:lnSpc>
            <a:spcBef>
              <a:spcPct val="0"/>
            </a:spcBef>
            <a:spcAft>
              <a:spcPct val="35000"/>
            </a:spcAft>
          </a:pPr>
          <a:r>
            <a:rPr lang="es-ES" sz="1100" b="1" kern="1200">
              <a:latin typeface="Arial" panose="020B0604020202020204" pitchFamily="34" charset="0"/>
              <a:cs typeface="Arial" panose="020B0604020202020204" pitchFamily="34" charset="0"/>
            </a:rPr>
            <a:t>Objetivo</a:t>
          </a:r>
        </a:p>
      </dsp:txBody>
      <dsp:txXfrm>
        <a:off x="327722" y="60475"/>
        <a:ext cx="4244214" cy="397323"/>
      </dsp:txXfrm>
    </dsp:sp>
    <dsp:sp modelId="{19E00E56-1286-4DC6-968E-BFFB17A991FB}">
      <dsp:nvSpPr>
        <dsp:cNvPr id="0" name=""/>
        <dsp:cNvSpPr/>
      </dsp:nvSpPr>
      <dsp:spPr>
        <a:xfrm>
          <a:off x="0" y="1991384"/>
          <a:ext cx="6124575" cy="881903"/>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5335" tIns="208280" rIns="475335" bIns="71120" numCol="1" spcCol="1270" anchor="t" anchorCtr="0">
          <a:noAutofit/>
        </a:bodyPr>
        <a:lstStyle/>
        <a:p>
          <a:pPr marL="57150" lvl="1" indent="-57150" algn="just" defTabSz="444500">
            <a:lnSpc>
              <a:spcPct val="100000"/>
            </a:lnSpc>
            <a:spcBef>
              <a:spcPct val="0"/>
            </a:spcBef>
            <a:spcAft>
              <a:spcPts val="600"/>
            </a:spcAft>
            <a:buChar char="••"/>
          </a:pPr>
          <a:r>
            <a:rPr lang="es-ES_tradnl" sz="1000" kern="1200">
              <a:latin typeface="Arial" panose="020B0604020202020204" pitchFamily="34" charset="0"/>
              <a:cs typeface="Arial" panose="020B0604020202020204" pitchFamily="34" charset="0"/>
            </a:rPr>
            <a:t>El presente informe tendrá como alcance el análisis y comparación de las medidas de austeridad del gasto señaladas en la Ley 1940 de 2018, Directiva 09 de 2018 y Circular Interna 05 de 2019, correspondiente al tercer trimestre de 2019 comparado con el tercer  trimestre de 2018.</a:t>
          </a:r>
          <a:endParaRPr lang="es-ES" sz="1000" kern="1200">
            <a:latin typeface="Arial" panose="020B0604020202020204" pitchFamily="34" charset="0"/>
            <a:cs typeface="Arial" panose="020B0604020202020204" pitchFamily="34" charset="0"/>
          </a:endParaRPr>
        </a:p>
      </dsp:txBody>
      <dsp:txXfrm>
        <a:off x="0" y="1991384"/>
        <a:ext cx="6124575" cy="881903"/>
      </dsp:txXfrm>
    </dsp:sp>
    <dsp:sp modelId="{609FE20C-90A0-4B87-A9D3-6A4812801F4A}">
      <dsp:nvSpPr>
        <dsp:cNvPr id="0" name=""/>
        <dsp:cNvSpPr/>
      </dsp:nvSpPr>
      <dsp:spPr>
        <a:xfrm>
          <a:off x="306228" y="1843784"/>
          <a:ext cx="4287202"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2046" tIns="0" rIns="162046" bIns="0" numCol="1" spcCol="1270" anchor="ctr" anchorCtr="0">
          <a:noAutofit/>
        </a:bodyPr>
        <a:lstStyle/>
        <a:p>
          <a:pPr lvl="0" algn="l" defTabSz="488950">
            <a:lnSpc>
              <a:spcPct val="100000"/>
            </a:lnSpc>
            <a:spcBef>
              <a:spcPct val="0"/>
            </a:spcBef>
            <a:spcAft>
              <a:spcPct val="35000"/>
            </a:spcAft>
          </a:pPr>
          <a:r>
            <a:rPr lang="es-ES" sz="1100" b="1" kern="1200">
              <a:latin typeface="Arial" panose="020B0604020202020204" pitchFamily="34" charset="0"/>
              <a:cs typeface="Arial" panose="020B0604020202020204" pitchFamily="34" charset="0"/>
            </a:rPr>
            <a:t>Alcance </a:t>
          </a:r>
        </a:p>
      </dsp:txBody>
      <dsp:txXfrm>
        <a:off x="320638" y="1858194"/>
        <a:ext cx="4258382" cy="266380"/>
      </dsp:txXfrm>
    </dsp:sp>
    <dsp:sp modelId="{FED6C63D-9A41-4ACF-AD95-9ED1A8C07B5A}">
      <dsp:nvSpPr>
        <dsp:cNvPr id="0" name=""/>
        <dsp:cNvSpPr/>
      </dsp:nvSpPr>
      <dsp:spPr>
        <a:xfrm>
          <a:off x="0" y="3059418"/>
          <a:ext cx="6124575" cy="3150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5335" tIns="208280" rIns="475335" bIns="71120" numCol="1" spcCol="1270" anchor="t" anchorCtr="0">
          <a:noAutofit/>
        </a:bodyPr>
        <a:lstStyle/>
        <a:p>
          <a:pPr marL="57150" lvl="1" indent="-57150" algn="just" defTabSz="444500">
            <a:lnSpc>
              <a:spcPct val="100000"/>
            </a:lnSpc>
            <a:spcBef>
              <a:spcPct val="0"/>
            </a:spcBef>
            <a:spcAft>
              <a:spcPts val="600"/>
            </a:spcAft>
            <a:buChar char="••"/>
          </a:pPr>
          <a:r>
            <a:rPr lang="es-ES" sz="1000" kern="1200">
              <a:latin typeface="Arial" panose="020B0604020202020204" pitchFamily="34" charset="0"/>
              <a:cs typeface="Arial" panose="020B0604020202020204" pitchFamily="34" charset="0"/>
            </a:rPr>
            <a:t>Ley 1940 de 2018, </a:t>
          </a:r>
          <a:r>
            <a:rPr lang="es-ES" sz="1000" i="1" kern="1200">
              <a:latin typeface="Arial" panose="020B0604020202020204" pitchFamily="34" charset="0"/>
              <a:cs typeface="Arial" panose="020B0604020202020204" pitchFamily="34" charset="0"/>
            </a:rPr>
            <a:t>«Por la cual se decreta el Presupuesto de Rentas y Recursos de Capital y Ley de Apropiaciones para la vigencia fiscal del 1° de enero al 31 de diciembre de 2019, artículo 81 y 83».</a:t>
          </a:r>
          <a:endParaRPr lang="es-ES" sz="1000" b="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ES" sz="1000" kern="1200">
              <a:latin typeface="Arial" panose="020B0604020202020204" pitchFamily="34" charset="0"/>
              <a:cs typeface="Arial" panose="020B0604020202020204" pitchFamily="34" charset="0"/>
            </a:rPr>
            <a:t>Decreto 128 de 2019</a:t>
          </a:r>
          <a:r>
            <a:rPr lang="es-ES" sz="1000" i="1" kern="1200">
              <a:latin typeface="Arial" panose="020B0604020202020204" pitchFamily="34" charset="0"/>
              <a:cs typeface="Arial" panose="020B0604020202020204" pitchFamily="34" charset="0"/>
            </a:rPr>
            <a:t>, «Por el cual se modifica el Decreto 333 de 2018». </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ES" sz="1000" kern="1200">
              <a:latin typeface="Arial" panose="020B0604020202020204" pitchFamily="34" charset="0"/>
              <a:cs typeface="Arial" panose="020B0604020202020204" pitchFamily="34" charset="0"/>
            </a:rPr>
            <a:t>Decreto 333 de 2018</a:t>
          </a:r>
          <a:r>
            <a:rPr lang="es-ES" sz="1000" i="1" kern="1200">
              <a:latin typeface="Arial" panose="020B0604020202020204" pitchFamily="34" charset="0"/>
              <a:cs typeface="Arial" panose="020B0604020202020204" pitchFamily="34" charset="0"/>
            </a:rPr>
            <a:t>, «Por el cual se fijan las escalas de viáticos».</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Decreto 1068 de 2015, </a:t>
          </a:r>
          <a:r>
            <a:rPr lang="es-CO" sz="1000" i="1" kern="1200">
              <a:latin typeface="Arial" panose="020B0604020202020204" pitchFamily="34" charset="0"/>
              <a:cs typeface="Arial" panose="020B0604020202020204" pitchFamily="34" charset="0"/>
            </a:rPr>
            <a:t>«Por medio del cual se expide el Decreto Único Reglamentario del Sector Hacienda y Crédito Público, que compiló los Decretos 26, 1737, 1738 y 2209 de 1998 y 984 de 2012, artículo 2.8.4.8.2 y Parte 8, Título 4».</a:t>
          </a:r>
          <a:r>
            <a:rPr lang="es-CO" sz="1000" kern="1200">
              <a:latin typeface="Arial" panose="020B0604020202020204" pitchFamily="34" charset="0"/>
              <a:cs typeface="Arial" panose="020B0604020202020204" pitchFamily="34" charset="0"/>
            </a:rPr>
            <a:t> </a:t>
          </a: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Resolución Interna 1016 de 2019, </a:t>
          </a:r>
          <a:r>
            <a:rPr lang="es-CO" sz="1000" i="1" kern="1200">
              <a:latin typeface="Arial" panose="020B0604020202020204" pitchFamily="34" charset="0"/>
              <a:cs typeface="Arial" panose="020B0604020202020204" pitchFamily="34" charset="0"/>
            </a:rPr>
            <a:t>«Por la cual se modifica la Resolución 2509 de 30 de julio de 2013».</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Resolución Interna 4264 de 2014</a:t>
          </a:r>
          <a:r>
            <a:rPr lang="es-CO" sz="1000" i="1" kern="1200">
              <a:latin typeface="Arial" panose="020B0604020202020204" pitchFamily="34" charset="0"/>
              <a:cs typeface="Arial" panose="020B0604020202020204" pitchFamily="34" charset="0"/>
            </a:rPr>
            <a:t>, «Por la cual se recopila y modifican las normas que regulan algunas situaciones administrativas y se dictan otras disposiciones».</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Directiva Presidencial No. 09 de 2018. </a:t>
          </a:r>
          <a:r>
            <a:rPr lang="es-CO" sz="1000" i="1" kern="1200">
              <a:latin typeface="Arial" panose="020B0604020202020204" pitchFamily="34" charset="0"/>
              <a:cs typeface="Arial" panose="020B0604020202020204" pitchFamily="34" charset="0"/>
            </a:rPr>
            <a:t>«Por la cual se imparten instrucciones </a:t>
          </a:r>
          <a:r>
            <a:rPr lang="es-CO" sz="1000" kern="1200">
              <a:latin typeface="Arial" panose="020B0604020202020204" pitchFamily="34" charset="0"/>
              <a:cs typeface="Arial" panose="020B0604020202020204" pitchFamily="34" charset="0"/>
            </a:rPr>
            <a:t>en el marco del Plan de Austeridad iniciado por el Gobierno Nacional y deroga la Directiva No. 01 del 10 febrero de 2016</a:t>
          </a:r>
          <a:r>
            <a:rPr lang="es-CO" sz="1000" i="1" kern="1200">
              <a:latin typeface="Arial" panose="020B0604020202020204" pitchFamily="34" charset="0"/>
              <a:cs typeface="Arial" panose="020B0604020202020204" pitchFamily="34" charset="0"/>
            </a:rPr>
            <a:t>»</a:t>
          </a:r>
          <a:r>
            <a:rPr lang="es-CO" sz="1000" kern="1200">
              <a:latin typeface="Arial" panose="020B0604020202020204" pitchFamily="34" charset="0"/>
              <a:cs typeface="Arial" panose="020B0604020202020204" pitchFamily="34" charset="0"/>
            </a:rPr>
            <a:t>. </a:t>
          </a:r>
        </a:p>
        <a:p>
          <a:pPr marL="57150" lvl="1" indent="-57150" algn="just" defTabSz="444500">
            <a:lnSpc>
              <a:spcPct val="90000"/>
            </a:lnSpc>
            <a:spcBef>
              <a:spcPct val="0"/>
            </a:spcBef>
            <a:spcAft>
              <a:spcPct val="15000"/>
            </a:spcAft>
            <a:buChar char="••"/>
          </a:pPr>
          <a:r>
            <a:rPr lang="es-CO" sz="1000" kern="1200">
              <a:latin typeface="Arial" panose="020B0604020202020204" pitchFamily="34" charset="0"/>
              <a:cs typeface="Arial" panose="020B0604020202020204" pitchFamily="34" charset="0"/>
            </a:rPr>
            <a:t>Circular Interna 005 de 2019, </a:t>
          </a:r>
          <a:r>
            <a:rPr lang="es-CO" sz="1000" i="1" kern="1200">
              <a:latin typeface="Arial" panose="020B0604020202020204" pitchFamily="34" charset="0"/>
              <a:cs typeface="Arial" panose="020B0604020202020204" pitchFamily="34" charset="0"/>
            </a:rPr>
            <a:t>«Medida de austeridad para las comisiones de servicio, tiquetes aéreos y viáticos».</a:t>
          </a:r>
          <a:endParaRPr lang="es-CO" sz="1000" kern="1200">
            <a:latin typeface="Arial" panose="020B0604020202020204" pitchFamily="34" charset="0"/>
            <a:cs typeface="Arial" panose="020B0604020202020204" pitchFamily="34" charset="0"/>
          </a:endParaRPr>
        </a:p>
      </dsp:txBody>
      <dsp:txXfrm>
        <a:off x="0" y="3059418"/>
        <a:ext cx="6124575" cy="3150000"/>
      </dsp:txXfrm>
    </dsp:sp>
    <dsp:sp modelId="{6C58514C-B343-4914-A3B9-51F653E11B2F}">
      <dsp:nvSpPr>
        <dsp:cNvPr id="0" name=""/>
        <dsp:cNvSpPr/>
      </dsp:nvSpPr>
      <dsp:spPr>
        <a:xfrm>
          <a:off x="306228" y="2927287"/>
          <a:ext cx="4287202" cy="27973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2046" tIns="0" rIns="162046" bIns="0" numCol="1" spcCol="1270" anchor="ctr" anchorCtr="0">
          <a:noAutofit/>
        </a:bodyPr>
        <a:lstStyle/>
        <a:p>
          <a:pPr lvl="0" algn="l" defTabSz="488950">
            <a:lnSpc>
              <a:spcPct val="100000"/>
            </a:lnSpc>
            <a:spcBef>
              <a:spcPct val="0"/>
            </a:spcBef>
            <a:spcAft>
              <a:spcPct val="35000"/>
            </a:spcAft>
          </a:pPr>
          <a:r>
            <a:rPr lang="es-MX" sz="1100" b="1" i="0" kern="1200">
              <a:latin typeface="Arial" panose="020B0604020202020204" pitchFamily="34" charset="0"/>
              <a:cs typeface="Arial" panose="020B0604020202020204" pitchFamily="34" charset="0"/>
            </a:rPr>
            <a:t>Fuente Normativa </a:t>
          </a:r>
          <a:endParaRPr lang="es-ES" sz="1100" b="1" kern="1200">
            <a:latin typeface="Arial" panose="020B0604020202020204" pitchFamily="34" charset="0"/>
            <a:cs typeface="Arial" panose="020B0604020202020204" pitchFamily="34" charset="0"/>
          </a:endParaRPr>
        </a:p>
      </dsp:txBody>
      <dsp:txXfrm>
        <a:off x="319883" y="2940942"/>
        <a:ext cx="4259892" cy="2524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B0A057-404D-44ED-B8C8-0EC73FECC1CA}">
      <dsp:nvSpPr>
        <dsp:cNvPr id="0" name=""/>
        <dsp:cNvSpPr/>
      </dsp:nvSpPr>
      <dsp:spPr>
        <a:xfrm>
          <a:off x="165752" y="1701217"/>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Vehículos del MHCP - 2019</a:t>
          </a:r>
        </a:p>
      </dsp:txBody>
      <dsp:txXfrm>
        <a:off x="181262" y="1716727"/>
        <a:ext cx="1028080" cy="498530"/>
      </dsp:txXfrm>
    </dsp:sp>
    <dsp:sp modelId="{7F7C6921-2333-4E1F-9ADF-F520619CD866}">
      <dsp:nvSpPr>
        <dsp:cNvPr id="0" name=""/>
        <dsp:cNvSpPr/>
      </dsp:nvSpPr>
      <dsp:spPr>
        <a:xfrm rot="17215375">
          <a:off x="708981" y="1256882"/>
          <a:ext cx="1455382" cy="25858"/>
        </a:xfrm>
        <a:custGeom>
          <a:avLst/>
          <a:gdLst/>
          <a:ahLst/>
          <a:cxnLst/>
          <a:rect l="0" t="0" r="0" b="0"/>
          <a:pathLst>
            <a:path>
              <a:moveTo>
                <a:pt x="0" y="12929"/>
              </a:moveTo>
              <a:lnTo>
                <a:pt x="1455382" y="12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1400287" y="1233427"/>
        <a:ext cx="72769" cy="72769"/>
      </dsp:txXfrm>
    </dsp:sp>
    <dsp:sp modelId="{67E437F3-6EB8-4120-A49A-103E89594324}">
      <dsp:nvSpPr>
        <dsp:cNvPr id="0" name=""/>
        <dsp:cNvSpPr/>
      </dsp:nvSpPr>
      <dsp:spPr>
        <a:xfrm>
          <a:off x="1648492" y="250174"/>
          <a:ext cx="1059100" cy="646914"/>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Esquema de Seguridad -Despacho de Ministro </a:t>
          </a:r>
        </a:p>
      </dsp:txBody>
      <dsp:txXfrm>
        <a:off x="1667439" y="269121"/>
        <a:ext cx="1021206" cy="609020"/>
      </dsp:txXfrm>
    </dsp:sp>
    <dsp:sp modelId="{94A3A7FB-26D9-4514-8966-2D0A235C42B4}">
      <dsp:nvSpPr>
        <dsp:cNvPr id="0" name=""/>
        <dsp:cNvSpPr/>
      </dsp:nvSpPr>
      <dsp:spPr>
        <a:xfrm>
          <a:off x="2707592" y="560702"/>
          <a:ext cx="423640" cy="25858"/>
        </a:xfrm>
        <a:custGeom>
          <a:avLst/>
          <a:gdLst/>
          <a:ahLst/>
          <a:cxnLst/>
          <a:rect l="0" t="0" r="0" b="0"/>
          <a:pathLst>
            <a:path>
              <a:moveTo>
                <a:pt x="0" y="12929"/>
              </a:moveTo>
              <a:lnTo>
                <a:pt x="423640"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2908821" y="563040"/>
        <a:ext cx="21182" cy="21182"/>
      </dsp:txXfrm>
    </dsp:sp>
    <dsp:sp modelId="{55A53353-9C56-4E3E-8512-B6480EDB275C}">
      <dsp:nvSpPr>
        <dsp:cNvPr id="0" name=""/>
        <dsp:cNvSpPr/>
      </dsp:nvSpPr>
      <dsp:spPr>
        <a:xfrm>
          <a:off x="3131232" y="308856"/>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5</a:t>
          </a:r>
        </a:p>
      </dsp:txBody>
      <dsp:txXfrm>
        <a:off x="3146742" y="324366"/>
        <a:ext cx="1028080" cy="498530"/>
      </dsp:txXfrm>
    </dsp:sp>
    <dsp:sp modelId="{8F17284B-5CF5-4426-AC99-C403B0E8C522}">
      <dsp:nvSpPr>
        <dsp:cNvPr id="0" name=""/>
        <dsp:cNvSpPr/>
      </dsp:nvSpPr>
      <dsp:spPr>
        <a:xfrm rot="19457599">
          <a:off x="4141295" y="408456"/>
          <a:ext cx="521714" cy="25858"/>
        </a:xfrm>
        <a:custGeom>
          <a:avLst/>
          <a:gdLst/>
          <a:ahLst/>
          <a:cxnLst/>
          <a:rect l="0" t="0" r="0" b="0"/>
          <a:pathLst>
            <a:path>
              <a:moveTo>
                <a:pt x="0" y="12929"/>
              </a:moveTo>
              <a:lnTo>
                <a:pt x="521714"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4389109" y="408343"/>
        <a:ext cx="26085" cy="26085"/>
      </dsp:txXfrm>
    </dsp:sp>
    <dsp:sp modelId="{F6BC9A5B-8617-48AE-B0EB-F9DE0357207E}">
      <dsp:nvSpPr>
        <dsp:cNvPr id="0" name=""/>
        <dsp:cNvSpPr/>
      </dsp:nvSpPr>
      <dsp:spPr>
        <a:xfrm>
          <a:off x="4613972" y="4365"/>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 3 Camionetas Toyota Prado</a:t>
          </a:r>
        </a:p>
      </dsp:txBody>
      <dsp:txXfrm>
        <a:off x="4629482" y="19875"/>
        <a:ext cx="1028080" cy="498530"/>
      </dsp:txXfrm>
    </dsp:sp>
    <dsp:sp modelId="{3EA715A4-0E26-431C-B3EE-42DA336EF2A2}">
      <dsp:nvSpPr>
        <dsp:cNvPr id="0" name=""/>
        <dsp:cNvSpPr/>
      </dsp:nvSpPr>
      <dsp:spPr>
        <a:xfrm rot="2142401">
          <a:off x="4141295" y="712948"/>
          <a:ext cx="521714" cy="25858"/>
        </a:xfrm>
        <a:custGeom>
          <a:avLst/>
          <a:gdLst/>
          <a:ahLst/>
          <a:cxnLst/>
          <a:rect l="0" t="0" r="0" b="0"/>
          <a:pathLst>
            <a:path>
              <a:moveTo>
                <a:pt x="0" y="12929"/>
              </a:moveTo>
              <a:lnTo>
                <a:pt x="521714"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4389109" y="712834"/>
        <a:ext cx="26085" cy="26085"/>
      </dsp:txXfrm>
    </dsp:sp>
    <dsp:sp modelId="{785F8D0E-17D2-4770-860A-A9649FEC25FC}">
      <dsp:nvSpPr>
        <dsp:cNvPr id="0" name=""/>
        <dsp:cNvSpPr/>
      </dsp:nvSpPr>
      <dsp:spPr>
        <a:xfrm>
          <a:off x="4613972" y="613347"/>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2 Motocicletas Susuki</a:t>
          </a:r>
        </a:p>
      </dsp:txBody>
      <dsp:txXfrm>
        <a:off x="4629482" y="628857"/>
        <a:ext cx="1028080" cy="498530"/>
      </dsp:txXfrm>
    </dsp:sp>
    <dsp:sp modelId="{00B325D3-3E7D-436B-A949-3678DA96E419}">
      <dsp:nvSpPr>
        <dsp:cNvPr id="0" name=""/>
        <dsp:cNvSpPr/>
      </dsp:nvSpPr>
      <dsp:spPr>
        <a:xfrm rot="18689826">
          <a:off x="1116983" y="1713619"/>
          <a:ext cx="639377" cy="25858"/>
        </a:xfrm>
        <a:custGeom>
          <a:avLst/>
          <a:gdLst/>
          <a:ahLst/>
          <a:cxnLst/>
          <a:rect l="0" t="0" r="0" b="0"/>
          <a:pathLst>
            <a:path>
              <a:moveTo>
                <a:pt x="0" y="12929"/>
              </a:moveTo>
              <a:lnTo>
                <a:pt x="639377" y="12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1420688" y="1710564"/>
        <a:ext cx="31968" cy="31968"/>
      </dsp:txXfrm>
    </dsp:sp>
    <dsp:sp modelId="{2E175CAE-F292-42BE-B328-92CA0A91ABEA}">
      <dsp:nvSpPr>
        <dsp:cNvPr id="0" name=""/>
        <dsp:cNvSpPr/>
      </dsp:nvSpPr>
      <dsp:spPr>
        <a:xfrm>
          <a:off x="1648492" y="1119348"/>
          <a:ext cx="1059100" cy="73551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Esquema de Seguridad - Viceministro General </a:t>
          </a:r>
        </a:p>
      </dsp:txBody>
      <dsp:txXfrm>
        <a:off x="1670034" y="1140890"/>
        <a:ext cx="1016016" cy="692429"/>
      </dsp:txXfrm>
    </dsp:sp>
    <dsp:sp modelId="{1093B310-4400-4C48-B632-6C663843789F}">
      <dsp:nvSpPr>
        <dsp:cNvPr id="0" name=""/>
        <dsp:cNvSpPr/>
      </dsp:nvSpPr>
      <dsp:spPr>
        <a:xfrm>
          <a:off x="2707592" y="1474176"/>
          <a:ext cx="423640" cy="25858"/>
        </a:xfrm>
        <a:custGeom>
          <a:avLst/>
          <a:gdLst/>
          <a:ahLst/>
          <a:cxnLst/>
          <a:rect l="0" t="0" r="0" b="0"/>
          <a:pathLst>
            <a:path>
              <a:moveTo>
                <a:pt x="0" y="12929"/>
              </a:moveTo>
              <a:lnTo>
                <a:pt x="423640"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2908821" y="1476514"/>
        <a:ext cx="21182" cy="21182"/>
      </dsp:txXfrm>
    </dsp:sp>
    <dsp:sp modelId="{1810A46D-A79F-45C9-918C-5562D2BA19C2}">
      <dsp:nvSpPr>
        <dsp:cNvPr id="0" name=""/>
        <dsp:cNvSpPr/>
      </dsp:nvSpPr>
      <dsp:spPr>
        <a:xfrm>
          <a:off x="3131232" y="1222330"/>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1</a:t>
          </a:r>
        </a:p>
      </dsp:txBody>
      <dsp:txXfrm>
        <a:off x="3146742" y="1237840"/>
        <a:ext cx="1028080" cy="498530"/>
      </dsp:txXfrm>
    </dsp:sp>
    <dsp:sp modelId="{0D3D2A59-812F-4598-ADE9-4D2B381E7BB1}">
      <dsp:nvSpPr>
        <dsp:cNvPr id="0" name=""/>
        <dsp:cNvSpPr/>
      </dsp:nvSpPr>
      <dsp:spPr>
        <a:xfrm>
          <a:off x="4190332" y="1474176"/>
          <a:ext cx="423640" cy="25858"/>
        </a:xfrm>
        <a:custGeom>
          <a:avLst/>
          <a:gdLst/>
          <a:ahLst/>
          <a:cxnLst/>
          <a:rect l="0" t="0" r="0" b="0"/>
          <a:pathLst>
            <a:path>
              <a:moveTo>
                <a:pt x="0" y="12929"/>
              </a:moveTo>
              <a:lnTo>
                <a:pt x="423640"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4391561" y="1476514"/>
        <a:ext cx="21182" cy="21182"/>
      </dsp:txXfrm>
    </dsp:sp>
    <dsp:sp modelId="{54D74AC1-0620-4DEA-A7FE-48761637FDB0}">
      <dsp:nvSpPr>
        <dsp:cNvPr id="0" name=""/>
        <dsp:cNvSpPr/>
      </dsp:nvSpPr>
      <dsp:spPr>
        <a:xfrm>
          <a:off x="4613972" y="1222330"/>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Camioneta Toyota Prado</a:t>
          </a:r>
        </a:p>
      </dsp:txBody>
      <dsp:txXfrm>
        <a:off x="4629482" y="1237840"/>
        <a:ext cx="1028080" cy="498530"/>
      </dsp:txXfrm>
    </dsp:sp>
    <dsp:sp modelId="{DEAB8D37-D80E-45EF-833C-A3DE0CB240B0}">
      <dsp:nvSpPr>
        <dsp:cNvPr id="0" name=""/>
        <dsp:cNvSpPr/>
      </dsp:nvSpPr>
      <dsp:spPr>
        <a:xfrm rot="1729118">
          <a:off x="1194910" y="2069601"/>
          <a:ext cx="483524" cy="25858"/>
        </a:xfrm>
        <a:custGeom>
          <a:avLst/>
          <a:gdLst/>
          <a:ahLst/>
          <a:cxnLst/>
          <a:rect l="0" t="0" r="0" b="0"/>
          <a:pathLst>
            <a:path>
              <a:moveTo>
                <a:pt x="0" y="12929"/>
              </a:moveTo>
              <a:lnTo>
                <a:pt x="483524" y="12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1424584" y="2070442"/>
        <a:ext cx="24176" cy="24176"/>
      </dsp:txXfrm>
    </dsp:sp>
    <dsp:sp modelId="{D5C09ED1-F908-4820-AA62-040CA830879B}">
      <dsp:nvSpPr>
        <dsp:cNvPr id="0" name=""/>
        <dsp:cNvSpPr/>
      </dsp:nvSpPr>
      <dsp:spPr>
        <a:xfrm>
          <a:off x="1648492" y="1934294"/>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Directivos </a:t>
          </a:r>
        </a:p>
      </dsp:txBody>
      <dsp:txXfrm>
        <a:off x="1664002" y="1949804"/>
        <a:ext cx="1028080" cy="498530"/>
      </dsp:txXfrm>
    </dsp:sp>
    <dsp:sp modelId="{D1A1E587-5E9F-48EE-9C96-D467C78451FE}">
      <dsp:nvSpPr>
        <dsp:cNvPr id="0" name=""/>
        <dsp:cNvSpPr/>
      </dsp:nvSpPr>
      <dsp:spPr>
        <a:xfrm>
          <a:off x="2707592" y="2186140"/>
          <a:ext cx="423640" cy="25858"/>
        </a:xfrm>
        <a:custGeom>
          <a:avLst/>
          <a:gdLst/>
          <a:ahLst/>
          <a:cxnLst/>
          <a:rect l="0" t="0" r="0" b="0"/>
          <a:pathLst>
            <a:path>
              <a:moveTo>
                <a:pt x="0" y="12929"/>
              </a:moveTo>
              <a:lnTo>
                <a:pt x="423640"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2908821" y="2188478"/>
        <a:ext cx="21182" cy="21182"/>
      </dsp:txXfrm>
    </dsp:sp>
    <dsp:sp modelId="{B386E95A-447C-4842-B774-A7BCEF7208DA}">
      <dsp:nvSpPr>
        <dsp:cNvPr id="0" name=""/>
        <dsp:cNvSpPr/>
      </dsp:nvSpPr>
      <dsp:spPr>
        <a:xfrm>
          <a:off x="3131232" y="1934294"/>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12 </a:t>
          </a:r>
        </a:p>
      </dsp:txBody>
      <dsp:txXfrm>
        <a:off x="3146742" y="1949804"/>
        <a:ext cx="1028080" cy="498530"/>
      </dsp:txXfrm>
    </dsp:sp>
    <dsp:sp modelId="{E0A30095-5083-4223-AF1E-06B1C0F54E61}">
      <dsp:nvSpPr>
        <dsp:cNvPr id="0" name=""/>
        <dsp:cNvSpPr/>
      </dsp:nvSpPr>
      <dsp:spPr>
        <a:xfrm>
          <a:off x="4190332" y="2186140"/>
          <a:ext cx="423640" cy="25858"/>
        </a:xfrm>
        <a:custGeom>
          <a:avLst/>
          <a:gdLst/>
          <a:ahLst/>
          <a:cxnLst/>
          <a:rect l="0" t="0" r="0" b="0"/>
          <a:pathLst>
            <a:path>
              <a:moveTo>
                <a:pt x="0" y="12929"/>
              </a:moveTo>
              <a:lnTo>
                <a:pt x="423640"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4391561" y="2188478"/>
        <a:ext cx="21182" cy="21182"/>
      </dsp:txXfrm>
    </dsp:sp>
    <dsp:sp modelId="{5AC33E18-1E9F-47B8-A687-F54A84A23A6A}">
      <dsp:nvSpPr>
        <dsp:cNvPr id="0" name=""/>
        <dsp:cNvSpPr/>
      </dsp:nvSpPr>
      <dsp:spPr>
        <a:xfrm>
          <a:off x="4613972" y="1934294"/>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  12 Camionetas Renault Koleos</a:t>
          </a:r>
        </a:p>
      </dsp:txBody>
      <dsp:txXfrm>
        <a:off x="4629482" y="1949804"/>
        <a:ext cx="1028080" cy="498530"/>
      </dsp:txXfrm>
    </dsp:sp>
    <dsp:sp modelId="{E57F0BDB-C6D5-49D0-A919-AC71D6602E45}">
      <dsp:nvSpPr>
        <dsp:cNvPr id="0" name=""/>
        <dsp:cNvSpPr/>
      </dsp:nvSpPr>
      <dsp:spPr>
        <a:xfrm rot="3797583">
          <a:off x="965361" y="2374092"/>
          <a:ext cx="942621" cy="25858"/>
        </a:xfrm>
        <a:custGeom>
          <a:avLst/>
          <a:gdLst/>
          <a:ahLst/>
          <a:cxnLst/>
          <a:rect l="0" t="0" r="0" b="0"/>
          <a:pathLst>
            <a:path>
              <a:moveTo>
                <a:pt x="0" y="12929"/>
              </a:moveTo>
              <a:lnTo>
                <a:pt x="942621" y="12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1413106" y="2363456"/>
        <a:ext cx="47131" cy="47131"/>
      </dsp:txXfrm>
    </dsp:sp>
    <dsp:sp modelId="{81BBB8D0-5CA6-4BB6-9C3A-095C339BAE1A}">
      <dsp:nvSpPr>
        <dsp:cNvPr id="0" name=""/>
        <dsp:cNvSpPr/>
      </dsp:nvSpPr>
      <dsp:spPr>
        <a:xfrm>
          <a:off x="1648492" y="2543277"/>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Operativos</a:t>
          </a:r>
        </a:p>
      </dsp:txBody>
      <dsp:txXfrm>
        <a:off x="1664002" y="2558787"/>
        <a:ext cx="1028080" cy="498530"/>
      </dsp:txXfrm>
    </dsp:sp>
    <dsp:sp modelId="{3E5040E0-9747-4129-8223-E49134094E90}">
      <dsp:nvSpPr>
        <dsp:cNvPr id="0" name=""/>
        <dsp:cNvSpPr/>
      </dsp:nvSpPr>
      <dsp:spPr>
        <a:xfrm>
          <a:off x="2707592" y="2795122"/>
          <a:ext cx="423640" cy="25858"/>
        </a:xfrm>
        <a:custGeom>
          <a:avLst/>
          <a:gdLst/>
          <a:ahLst/>
          <a:cxnLst/>
          <a:rect l="0" t="0" r="0" b="0"/>
          <a:pathLst>
            <a:path>
              <a:moveTo>
                <a:pt x="0" y="12929"/>
              </a:moveTo>
              <a:lnTo>
                <a:pt x="423640"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2908821" y="2797461"/>
        <a:ext cx="21182" cy="21182"/>
      </dsp:txXfrm>
    </dsp:sp>
    <dsp:sp modelId="{AF145D7B-9680-4015-8967-73C6EDC35738}">
      <dsp:nvSpPr>
        <dsp:cNvPr id="0" name=""/>
        <dsp:cNvSpPr/>
      </dsp:nvSpPr>
      <dsp:spPr>
        <a:xfrm>
          <a:off x="3131232" y="2543277"/>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6</a:t>
          </a:r>
        </a:p>
      </dsp:txBody>
      <dsp:txXfrm>
        <a:off x="3146742" y="2558787"/>
        <a:ext cx="1028080" cy="498530"/>
      </dsp:txXfrm>
    </dsp:sp>
    <dsp:sp modelId="{6C93AE69-C967-48BA-9C04-7007F4E5832A}">
      <dsp:nvSpPr>
        <dsp:cNvPr id="0" name=""/>
        <dsp:cNvSpPr/>
      </dsp:nvSpPr>
      <dsp:spPr>
        <a:xfrm>
          <a:off x="4190332" y="2795122"/>
          <a:ext cx="423640" cy="25858"/>
        </a:xfrm>
        <a:custGeom>
          <a:avLst/>
          <a:gdLst/>
          <a:ahLst/>
          <a:cxnLst/>
          <a:rect l="0" t="0" r="0" b="0"/>
          <a:pathLst>
            <a:path>
              <a:moveTo>
                <a:pt x="0" y="12929"/>
              </a:moveTo>
              <a:lnTo>
                <a:pt x="423640" y="129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4391561" y="2797461"/>
        <a:ext cx="21182" cy="21182"/>
      </dsp:txXfrm>
    </dsp:sp>
    <dsp:sp modelId="{E7C092F8-ABE2-47FE-BA52-C817121FEF25}">
      <dsp:nvSpPr>
        <dsp:cNvPr id="0" name=""/>
        <dsp:cNvSpPr/>
      </dsp:nvSpPr>
      <dsp:spPr>
        <a:xfrm>
          <a:off x="4613972" y="2543277"/>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  Automovil Renault Fluence</a:t>
          </a:r>
        </a:p>
      </dsp:txBody>
      <dsp:txXfrm>
        <a:off x="4629482" y="2558787"/>
        <a:ext cx="1028080" cy="498530"/>
      </dsp:txXfrm>
    </dsp:sp>
    <dsp:sp modelId="{FEDBD534-22A4-465F-80D2-1F5AB1900591}">
      <dsp:nvSpPr>
        <dsp:cNvPr id="0" name=""/>
        <dsp:cNvSpPr/>
      </dsp:nvSpPr>
      <dsp:spPr>
        <a:xfrm rot="4423472">
          <a:off x="680862" y="2678584"/>
          <a:ext cx="1511620" cy="25858"/>
        </a:xfrm>
        <a:custGeom>
          <a:avLst/>
          <a:gdLst/>
          <a:ahLst/>
          <a:cxnLst/>
          <a:rect l="0" t="0" r="0" b="0"/>
          <a:pathLst>
            <a:path>
              <a:moveTo>
                <a:pt x="0" y="12929"/>
              </a:moveTo>
              <a:lnTo>
                <a:pt x="1511620" y="12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ts val="0"/>
            </a:spcAft>
          </a:pPr>
          <a:endParaRPr lang="es-CO" sz="1000" kern="1200">
            <a:solidFill>
              <a:schemeClr val="tx1"/>
            </a:solidFill>
            <a:latin typeface="Arial" panose="020B0604020202020204" pitchFamily="34" charset="0"/>
            <a:cs typeface="Arial" panose="020B0604020202020204" pitchFamily="34" charset="0"/>
          </a:endParaRPr>
        </a:p>
      </dsp:txBody>
      <dsp:txXfrm>
        <a:off x="1398881" y="2653722"/>
        <a:ext cx="75581" cy="75581"/>
      </dsp:txXfrm>
    </dsp:sp>
    <dsp:sp modelId="{6CF0A02E-E0AE-4EB4-9155-408A1944215F}">
      <dsp:nvSpPr>
        <dsp:cNvPr id="0" name=""/>
        <dsp:cNvSpPr/>
      </dsp:nvSpPr>
      <dsp:spPr>
        <a:xfrm>
          <a:off x="1648492" y="3152259"/>
          <a:ext cx="1059100" cy="52955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ts val="0"/>
            </a:spcAft>
          </a:pPr>
          <a:r>
            <a:rPr lang="es-CO" sz="1000" kern="1200">
              <a:latin typeface="Arial" panose="020B0604020202020204" pitchFamily="34" charset="0"/>
              <a:cs typeface="Arial" panose="020B0604020202020204" pitchFamily="34" charset="0"/>
            </a:rPr>
            <a:t>Total: 24</a:t>
          </a:r>
        </a:p>
      </dsp:txBody>
      <dsp:txXfrm>
        <a:off x="1664002" y="3167769"/>
        <a:ext cx="1028080" cy="49853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FE3DBE-D76C-46DD-A6A1-AACE07CED360}">
      <dsp:nvSpPr>
        <dsp:cNvPr id="0" name=""/>
        <dsp:cNvSpPr/>
      </dsp:nvSpPr>
      <dsp:spPr>
        <a:xfrm>
          <a:off x="4138900" y="2417991"/>
          <a:ext cx="293761" cy="91440"/>
        </a:xfrm>
        <a:custGeom>
          <a:avLst/>
          <a:gdLst/>
          <a:ahLst/>
          <a:cxnLst/>
          <a:rect l="0" t="0" r="0" b="0"/>
          <a:pathLst>
            <a:path>
              <a:moveTo>
                <a:pt x="0" y="45720"/>
              </a:moveTo>
              <a:lnTo>
                <a:pt x="293761"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4278437" y="2456367"/>
        <a:ext cx="14688" cy="14688"/>
      </dsp:txXfrm>
    </dsp:sp>
    <dsp:sp modelId="{66E88A14-BAB7-413C-8DAC-E4A2B6934F45}">
      <dsp:nvSpPr>
        <dsp:cNvPr id="0" name=""/>
        <dsp:cNvSpPr/>
      </dsp:nvSpPr>
      <dsp:spPr>
        <a:xfrm>
          <a:off x="2376331" y="2417991"/>
          <a:ext cx="293761" cy="91440"/>
        </a:xfrm>
        <a:custGeom>
          <a:avLst/>
          <a:gdLst/>
          <a:ahLst/>
          <a:cxnLst/>
          <a:rect l="0" t="0" r="0" b="0"/>
          <a:pathLst>
            <a:path>
              <a:moveTo>
                <a:pt x="0" y="45720"/>
              </a:moveTo>
              <a:lnTo>
                <a:pt x="293761"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2515868" y="2456367"/>
        <a:ext cx="14688" cy="14688"/>
      </dsp:txXfrm>
    </dsp:sp>
    <dsp:sp modelId="{530C3156-009D-4CE6-9AC0-CE0D599EA16D}">
      <dsp:nvSpPr>
        <dsp:cNvPr id="0" name=""/>
        <dsp:cNvSpPr/>
      </dsp:nvSpPr>
      <dsp:spPr>
        <a:xfrm>
          <a:off x="613763" y="1764012"/>
          <a:ext cx="293761" cy="699698"/>
        </a:xfrm>
        <a:custGeom>
          <a:avLst/>
          <a:gdLst/>
          <a:ahLst/>
          <a:cxnLst/>
          <a:rect l="0" t="0" r="0" b="0"/>
          <a:pathLst>
            <a:path>
              <a:moveTo>
                <a:pt x="0" y="0"/>
              </a:moveTo>
              <a:lnTo>
                <a:pt x="146880" y="0"/>
              </a:lnTo>
              <a:lnTo>
                <a:pt x="146880" y="699698"/>
              </a:lnTo>
              <a:lnTo>
                <a:pt x="293761" y="6996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741672" y="2094890"/>
        <a:ext cx="37943" cy="37943"/>
      </dsp:txXfrm>
    </dsp:sp>
    <dsp:sp modelId="{689646B4-2B28-494C-B0DB-511493D0722D}">
      <dsp:nvSpPr>
        <dsp:cNvPr id="0" name=""/>
        <dsp:cNvSpPr/>
      </dsp:nvSpPr>
      <dsp:spPr>
        <a:xfrm>
          <a:off x="2376331" y="1578353"/>
          <a:ext cx="293761" cy="91440"/>
        </a:xfrm>
        <a:custGeom>
          <a:avLst/>
          <a:gdLst/>
          <a:ahLst/>
          <a:cxnLst/>
          <a:rect l="0" t="0" r="0" b="0"/>
          <a:pathLst>
            <a:path>
              <a:moveTo>
                <a:pt x="0" y="45720"/>
              </a:moveTo>
              <a:lnTo>
                <a:pt x="293761"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chemeClr val="tx2">
                <a:lumMod val="50000"/>
              </a:schemeClr>
            </a:solidFill>
          </a:endParaRPr>
        </a:p>
      </dsp:txBody>
      <dsp:txXfrm>
        <a:off x="2515868" y="1616729"/>
        <a:ext cx="14688" cy="14688"/>
      </dsp:txXfrm>
    </dsp:sp>
    <dsp:sp modelId="{6A06BAA5-A702-4D5C-A34F-87929BC50D95}">
      <dsp:nvSpPr>
        <dsp:cNvPr id="0" name=""/>
        <dsp:cNvSpPr/>
      </dsp:nvSpPr>
      <dsp:spPr>
        <a:xfrm>
          <a:off x="613763" y="1624073"/>
          <a:ext cx="293761" cy="139939"/>
        </a:xfrm>
        <a:custGeom>
          <a:avLst/>
          <a:gdLst/>
          <a:ahLst/>
          <a:cxnLst/>
          <a:rect l="0" t="0" r="0" b="0"/>
          <a:pathLst>
            <a:path>
              <a:moveTo>
                <a:pt x="0" y="139939"/>
              </a:moveTo>
              <a:lnTo>
                <a:pt x="146880" y="139939"/>
              </a:lnTo>
              <a:lnTo>
                <a:pt x="146880" y="0"/>
              </a:lnTo>
              <a:lnTo>
                <a:pt x="29376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752508" y="1685908"/>
        <a:ext cx="16269" cy="16269"/>
      </dsp:txXfrm>
    </dsp:sp>
    <dsp:sp modelId="{696FA222-9BDD-405A-B742-98849FFC3E8A}">
      <dsp:nvSpPr>
        <dsp:cNvPr id="0" name=""/>
        <dsp:cNvSpPr/>
      </dsp:nvSpPr>
      <dsp:spPr>
        <a:xfrm>
          <a:off x="4138900" y="1064314"/>
          <a:ext cx="293761" cy="839638"/>
        </a:xfrm>
        <a:custGeom>
          <a:avLst/>
          <a:gdLst/>
          <a:ahLst/>
          <a:cxnLst/>
          <a:rect l="0" t="0" r="0" b="0"/>
          <a:pathLst>
            <a:path>
              <a:moveTo>
                <a:pt x="0" y="0"/>
              </a:moveTo>
              <a:lnTo>
                <a:pt x="146880" y="0"/>
              </a:lnTo>
              <a:lnTo>
                <a:pt x="146880" y="839638"/>
              </a:lnTo>
              <a:lnTo>
                <a:pt x="293761" y="8396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chemeClr val="tx2">
                <a:lumMod val="50000"/>
              </a:schemeClr>
            </a:solidFill>
          </a:endParaRPr>
        </a:p>
      </dsp:txBody>
      <dsp:txXfrm>
        <a:off x="4263542" y="1461894"/>
        <a:ext cx="44477" cy="44477"/>
      </dsp:txXfrm>
    </dsp:sp>
    <dsp:sp modelId="{1A2119EB-8826-4824-BC97-01F952AD9668}">
      <dsp:nvSpPr>
        <dsp:cNvPr id="0" name=""/>
        <dsp:cNvSpPr/>
      </dsp:nvSpPr>
      <dsp:spPr>
        <a:xfrm>
          <a:off x="4138900" y="1064314"/>
          <a:ext cx="293761" cy="279879"/>
        </a:xfrm>
        <a:custGeom>
          <a:avLst/>
          <a:gdLst/>
          <a:ahLst/>
          <a:cxnLst/>
          <a:rect l="0" t="0" r="0" b="0"/>
          <a:pathLst>
            <a:path>
              <a:moveTo>
                <a:pt x="0" y="0"/>
              </a:moveTo>
              <a:lnTo>
                <a:pt x="146880" y="0"/>
              </a:lnTo>
              <a:lnTo>
                <a:pt x="146880" y="279879"/>
              </a:lnTo>
              <a:lnTo>
                <a:pt x="293761" y="279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4275637" y="1194110"/>
        <a:ext cx="20287" cy="20287"/>
      </dsp:txXfrm>
    </dsp:sp>
    <dsp:sp modelId="{420125B8-E613-4D5F-A844-C5774DA72C3B}">
      <dsp:nvSpPr>
        <dsp:cNvPr id="0" name=""/>
        <dsp:cNvSpPr/>
      </dsp:nvSpPr>
      <dsp:spPr>
        <a:xfrm>
          <a:off x="4138900" y="784434"/>
          <a:ext cx="293761" cy="279879"/>
        </a:xfrm>
        <a:custGeom>
          <a:avLst/>
          <a:gdLst/>
          <a:ahLst/>
          <a:cxnLst/>
          <a:rect l="0" t="0" r="0" b="0"/>
          <a:pathLst>
            <a:path>
              <a:moveTo>
                <a:pt x="0" y="279879"/>
              </a:moveTo>
              <a:lnTo>
                <a:pt x="146880" y="279879"/>
              </a:lnTo>
              <a:lnTo>
                <a:pt x="146880" y="0"/>
              </a:lnTo>
              <a:lnTo>
                <a:pt x="293761"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chemeClr val="tx2">
                <a:lumMod val="50000"/>
              </a:schemeClr>
            </a:solidFill>
          </a:endParaRPr>
        </a:p>
      </dsp:txBody>
      <dsp:txXfrm>
        <a:off x="4275637" y="914230"/>
        <a:ext cx="20287" cy="20287"/>
      </dsp:txXfrm>
    </dsp:sp>
    <dsp:sp modelId="{8544C45B-167C-4524-894D-DB9BE1E27233}">
      <dsp:nvSpPr>
        <dsp:cNvPr id="0" name=""/>
        <dsp:cNvSpPr/>
      </dsp:nvSpPr>
      <dsp:spPr>
        <a:xfrm>
          <a:off x="4138900" y="224675"/>
          <a:ext cx="293761" cy="839638"/>
        </a:xfrm>
        <a:custGeom>
          <a:avLst/>
          <a:gdLst/>
          <a:ahLst/>
          <a:cxnLst/>
          <a:rect l="0" t="0" r="0" b="0"/>
          <a:pathLst>
            <a:path>
              <a:moveTo>
                <a:pt x="0" y="839638"/>
              </a:moveTo>
              <a:lnTo>
                <a:pt x="146880" y="839638"/>
              </a:lnTo>
              <a:lnTo>
                <a:pt x="146880" y="0"/>
              </a:lnTo>
              <a:lnTo>
                <a:pt x="293761"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4263542" y="622256"/>
        <a:ext cx="44477" cy="44477"/>
      </dsp:txXfrm>
    </dsp:sp>
    <dsp:sp modelId="{6D5211D1-B486-4EA6-9C61-0ABABD207976}">
      <dsp:nvSpPr>
        <dsp:cNvPr id="0" name=""/>
        <dsp:cNvSpPr/>
      </dsp:nvSpPr>
      <dsp:spPr>
        <a:xfrm>
          <a:off x="2376331" y="1018594"/>
          <a:ext cx="293761" cy="91440"/>
        </a:xfrm>
        <a:custGeom>
          <a:avLst/>
          <a:gdLst/>
          <a:ahLst/>
          <a:cxnLst/>
          <a:rect l="0" t="0" r="0" b="0"/>
          <a:pathLst>
            <a:path>
              <a:moveTo>
                <a:pt x="0" y="45720"/>
              </a:moveTo>
              <a:lnTo>
                <a:pt x="293761"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2515868" y="1056970"/>
        <a:ext cx="14688" cy="14688"/>
      </dsp:txXfrm>
    </dsp:sp>
    <dsp:sp modelId="{71C3EB14-BB59-4ECB-B0DB-94D6E6D3D293}">
      <dsp:nvSpPr>
        <dsp:cNvPr id="0" name=""/>
        <dsp:cNvSpPr/>
      </dsp:nvSpPr>
      <dsp:spPr>
        <a:xfrm>
          <a:off x="613763" y="1064314"/>
          <a:ext cx="293761" cy="699698"/>
        </a:xfrm>
        <a:custGeom>
          <a:avLst/>
          <a:gdLst/>
          <a:ahLst/>
          <a:cxnLst/>
          <a:rect l="0" t="0" r="0" b="0"/>
          <a:pathLst>
            <a:path>
              <a:moveTo>
                <a:pt x="0" y="699698"/>
              </a:moveTo>
              <a:lnTo>
                <a:pt x="146880" y="699698"/>
              </a:lnTo>
              <a:lnTo>
                <a:pt x="146880" y="0"/>
              </a:lnTo>
              <a:lnTo>
                <a:pt x="29376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es-ES" sz="1050" kern="1200">
            <a:solidFill>
              <a:schemeClr val="tx2">
                <a:lumMod val="50000"/>
              </a:schemeClr>
            </a:solidFill>
            <a:latin typeface="Arial" panose="020B0604020202020204" pitchFamily="34" charset="0"/>
            <a:cs typeface="Arial" panose="020B0604020202020204" pitchFamily="34" charset="0"/>
          </a:endParaRPr>
        </a:p>
      </dsp:txBody>
      <dsp:txXfrm>
        <a:off x="741672" y="1395191"/>
        <a:ext cx="37943" cy="37943"/>
      </dsp:txXfrm>
    </dsp:sp>
    <dsp:sp modelId="{E7FB635D-8A90-4184-8878-E5B808191C1B}">
      <dsp:nvSpPr>
        <dsp:cNvPr id="0" name=""/>
        <dsp:cNvSpPr/>
      </dsp:nvSpPr>
      <dsp:spPr>
        <a:xfrm rot="16200000">
          <a:off x="-788580" y="1540109"/>
          <a:ext cx="2356879" cy="447807"/>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chemeClr val="tx2">
                  <a:lumMod val="50000"/>
                </a:schemeClr>
              </a:solidFill>
              <a:latin typeface="Arial" panose="020B0604020202020204" pitchFamily="34" charset="0"/>
              <a:cs typeface="Arial" panose="020B0604020202020204" pitchFamily="34" charset="0"/>
            </a:rPr>
            <a:t>Líneas de Celular  </a:t>
          </a:r>
        </a:p>
      </dsp:txBody>
      <dsp:txXfrm>
        <a:off x="-788580" y="1540109"/>
        <a:ext cx="2356879" cy="447807"/>
      </dsp:txXfrm>
    </dsp:sp>
    <dsp:sp modelId="{29585426-42D9-45DD-9270-52CE683DC2AD}">
      <dsp:nvSpPr>
        <dsp:cNvPr id="0" name=""/>
        <dsp:cNvSpPr/>
      </dsp:nvSpPr>
      <dsp:spPr>
        <a:xfrm>
          <a:off x="907524" y="840410"/>
          <a:ext cx="1468807" cy="447807"/>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solidFill>
                <a:schemeClr val="tx2">
                  <a:lumMod val="50000"/>
                </a:schemeClr>
              </a:solidFill>
              <a:latin typeface="Arial" panose="020B0604020202020204" pitchFamily="34" charset="0"/>
              <a:cs typeface="Arial" panose="020B0604020202020204" pitchFamily="34" charset="0"/>
            </a:rPr>
            <a:t>Colombia Telecomunicaciones S.A. E.S.P.</a:t>
          </a:r>
        </a:p>
      </dsp:txBody>
      <dsp:txXfrm>
        <a:off x="907524" y="840410"/>
        <a:ext cx="1468807" cy="447807"/>
      </dsp:txXfrm>
    </dsp:sp>
    <dsp:sp modelId="{A066A57B-55AA-49B2-A827-1C04D3541042}">
      <dsp:nvSpPr>
        <dsp:cNvPr id="0" name=""/>
        <dsp:cNvSpPr/>
      </dsp:nvSpPr>
      <dsp:spPr>
        <a:xfrm>
          <a:off x="2670093" y="840410"/>
          <a:ext cx="1468807" cy="447807"/>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solidFill>
                <a:schemeClr val="tx2">
                  <a:lumMod val="50000"/>
                </a:schemeClr>
              </a:solidFill>
              <a:latin typeface="Arial" panose="020B0604020202020204" pitchFamily="34" charset="0"/>
              <a:cs typeface="Arial" panose="020B0604020202020204" pitchFamily="34" charset="0"/>
            </a:rPr>
            <a:t>25 Líneas </a:t>
          </a:r>
        </a:p>
      </dsp:txBody>
      <dsp:txXfrm>
        <a:off x="2670093" y="840410"/>
        <a:ext cx="1468807" cy="447807"/>
      </dsp:txXfrm>
    </dsp:sp>
    <dsp:sp modelId="{0C9DE918-C12F-45A6-B7CD-3DBC91ABA330}">
      <dsp:nvSpPr>
        <dsp:cNvPr id="0" name=""/>
        <dsp:cNvSpPr/>
      </dsp:nvSpPr>
      <dsp:spPr>
        <a:xfrm>
          <a:off x="4432661" y="772"/>
          <a:ext cx="1468807" cy="447807"/>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solidFill>
                <a:schemeClr val="tx2">
                  <a:lumMod val="50000"/>
                </a:schemeClr>
              </a:solidFill>
              <a:latin typeface="Arial" panose="020B0604020202020204" pitchFamily="34" charset="0"/>
              <a:cs typeface="Arial" panose="020B0604020202020204" pitchFamily="34" charset="0"/>
            </a:rPr>
            <a:t>17 Asignadas a Directivos </a:t>
          </a:r>
        </a:p>
      </dsp:txBody>
      <dsp:txXfrm>
        <a:off x="4432661" y="772"/>
        <a:ext cx="1468807" cy="447807"/>
      </dsp:txXfrm>
    </dsp:sp>
    <dsp:sp modelId="{0EF58E61-AA7E-40D2-9EA1-FD10C968E904}">
      <dsp:nvSpPr>
        <dsp:cNvPr id="0" name=""/>
        <dsp:cNvSpPr/>
      </dsp:nvSpPr>
      <dsp:spPr>
        <a:xfrm>
          <a:off x="4432661" y="560531"/>
          <a:ext cx="1468807" cy="447807"/>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solidFill>
                <a:schemeClr val="tx2">
                  <a:lumMod val="50000"/>
                </a:schemeClr>
              </a:solidFill>
              <a:latin typeface="Arial" panose="020B0604020202020204" pitchFamily="34" charset="0"/>
              <a:cs typeface="Arial" panose="020B0604020202020204" pitchFamily="34" charset="0"/>
            </a:rPr>
            <a:t>6 Asignadas a Planta Telefonica</a:t>
          </a:r>
        </a:p>
      </dsp:txBody>
      <dsp:txXfrm>
        <a:off x="4432661" y="560531"/>
        <a:ext cx="1468807" cy="447807"/>
      </dsp:txXfrm>
    </dsp:sp>
    <dsp:sp modelId="{524AB491-D921-4F92-B4CD-A78F81BCC540}">
      <dsp:nvSpPr>
        <dsp:cNvPr id="0" name=""/>
        <dsp:cNvSpPr/>
      </dsp:nvSpPr>
      <dsp:spPr>
        <a:xfrm>
          <a:off x="4432661" y="1120290"/>
          <a:ext cx="1468807" cy="447807"/>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solidFill>
                <a:schemeClr val="tx2">
                  <a:lumMod val="50000"/>
                </a:schemeClr>
              </a:solidFill>
              <a:latin typeface="Arial" panose="020B0604020202020204" pitchFamily="34" charset="0"/>
              <a:cs typeface="Arial" panose="020B0604020202020204" pitchFamily="34" charset="0"/>
            </a:rPr>
            <a:t>1 Pendiente de Asignar</a:t>
          </a:r>
        </a:p>
      </dsp:txBody>
      <dsp:txXfrm>
        <a:off x="4432661" y="1120290"/>
        <a:ext cx="1468807" cy="447807"/>
      </dsp:txXfrm>
    </dsp:sp>
    <dsp:sp modelId="{2358BC92-5E5D-4F86-8251-6A1C6523C133}">
      <dsp:nvSpPr>
        <dsp:cNvPr id="0" name=""/>
        <dsp:cNvSpPr/>
      </dsp:nvSpPr>
      <dsp:spPr>
        <a:xfrm>
          <a:off x="4432661" y="1680049"/>
          <a:ext cx="1468807" cy="447807"/>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solidFill>
                <a:schemeClr val="tx2">
                  <a:lumMod val="50000"/>
                </a:schemeClr>
              </a:solidFill>
              <a:latin typeface="Arial" panose="020B0604020202020204" pitchFamily="34" charset="0"/>
              <a:cs typeface="Arial" panose="020B0604020202020204" pitchFamily="34" charset="0"/>
            </a:rPr>
            <a:t>1 Pendiente por Cancelar </a:t>
          </a:r>
        </a:p>
      </dsp:txBody>
      <dsp:txXfrm>
        <a:off x="4432661" y="1680049"/>
        <a:ext cx="1468807" cy="447807"/>
      </dsp:txXfrm>
    </dsp:sp>
    <dsp:sp modelId="{7FE28124-E944-4026-8357-2663DC08B1CF}">
      <dsp:nvSpPr>
        <dsp:cNvPr id="0" name=""/>
        <dsp:cNvSpPr/>
      </dsp:nvSpPr>
      <dsp:spPr>
        <a:xfrm>
          <a:off x="907524" y="1400169"/>
          <a:ext cx="1468807" cy="447807"/>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solidFill>
                <a:schemeClr val="tx2">
                  <a:lumMod val="50000"/>
                </a:schemeClr>
              </a:solidFill>
              <a:latin typeface="Arial" panose="020B0604020202020204" pitchFamily="34" charset="0"/>
              <a:cs typeface="Arial" panose="020B0604020202020204" pitchFamily="34" charset="0"/>
            </a:rPr>
            <a:t>Avantel S A S</a:t>
          </a:r>
        </a:p>
      </dsp:txBody>
      <dsp:txXfrm>
        <a:off x="907524" y="1400169"/>
        <a:ext cx="1468807" cy="447807"/>
      </dsp:txXfrm>
    </dsp:sp>
    <dsp:sp modelId="{F23E05AC-420C-4A0C-80EF-4E5B7B1FB4D6}">
      <dsp:nvSpPr>
        <dsp:cNvPr id="0" name=""/>
        <dsp:cNvSpPr/>
      </dsp:nvSpPr>
      <dsp:spPr>
        <a:xfrm>
          <a:off x="2670093" y="1400169"/>
          <a:ext cx="1468807" cy="447807"/>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solidFill>
                <a:schemeClr val="tx2">
                  <a:lumMod val="50000"/>
                </a:schemeClr>
              </a:solidFill>
              <a:latin typeface="Arial" panose="020B0604020202020204" pitchFamily="34" charset="0"/>
              <a:cs typeface="Arial" panose="020B0604020202020204" pitchFamily="34" charset="0"/>
            </a:rPr>
            <a:t>Esquema de seguridad del Ministro</a:t>
          </a:r>
        </a:p>
      </dsp:txBody>
      <dsp:txXfrm>
        <a:off x="2670093" y="1400169"/>
        <a:ext cx="1468807" cy="447807"/>
      </dsp:txXfrm>
    </dsp:sp>
    <dsp:sp modelId="{70B46348-E2A0-428A-B325-5705AA8028B3}">
      <dsp:nvSpPr>
        <dsp:cNvPr id="0" name=""/>
        <dsp:cNvSpPr/>
      </dsp:nvSpPr>
      <dsp:spPr>
        <a:xfrm>
          <a:off x="907524" y="2239807"/>
          <a:ext cx="1468807" cy="447807"/>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solidFill>
                <a:schemeClr val="tx2">
                  <a:lumMod val="50000"/>
                </a:schemeClr>
              </a:solidFill>
              <a:latin typeface="Arial" panose="020B0604020202020204" pitchFamily="34" charset="0"/>
              <a:cs typeface="Arial" panose="020B0604020202020204" pitchFamily="34" charset="0"/>
            </a:rPr>
            <a:t>Comunicación Celular S A Comcel S A</a:t>
          </a:r>
        </a:p>
      </dsp:txBody>
      <dsp:txXfrm>
        <a:off x="907524" y="2239807"/>
        <a:ext cx="1468807" cy="447807"/>
      </dsp:txXfrm>
    </dsp:sp>
    <dsp:sp modelId="{385CDF54-AC42-405B-8B77-B98AD90F34F1}">
      <dsp:nvSpPr>
        <dsp:cNvPr id="0" name=""/>
        <dsp:cNvSpPr/>
      </dsp:nvSpPr>
      <dsp:spPr>
        <a:xfrm>
          <a:off x="2670093" y="2239807"/>
          <a:ext cx="1468807" cy="447807"/>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solidFill>
                <a:schemeClr val="tx2">
                  <a:lumMod val="50000"/>
                </a:schemeClr>
              </a:solidFill>
              <a:latin typeface="Arial" panose="020B0604020202020204" pitchFamily="34" charset="0"/>
              <a:cs typeface="Arial" panose="020B0604020202020204" pitchFamily="34" charset="0"/>
            </a:rPr>
            <a:t>7 Líneas </a:t>
          </a:r>
        </a:p>
      </dsp:txBody>
      <dsp:txXfrm>
        <a:off x="2670093" y="2239807"/>
        <a:ext cx="1468807" cy="447807"/>
      </dsp:txXfrm>
    </dsp:sp>
    <dsp:sp modelId="{C007F74D-D915-4B1D-9926-26ACF676C91F}">
      <dsp:nvSpPr>
        <dsp:cNvPr id="0" name=""/>
        <dsp:cNvSpPr/>
      </dsp:nvSpPr>
      <dsp:spPr>
        <a:xfrm>
          <a:off x="4432661" y="2239807"/>
          <a:ext cx="1468807" cy="447807"/>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ES" sz="1050" kern="1200">
              <a:solidFill>
                <a:schemeClr val="tx2">
                  <a:lumMod val="50000"/>
                </a:schemeClr>
              </a:solidFill>
              <a:latin typeface="Arial" panose="020B0604020202020204" pitchFamily="34" charset="0"/>
              <a:cs typeface="Arial" panose="020B0604020202020204" pitchFamily="34" charset="0"/>
            </a:rPr>
            <a:t>7 Asignadas a Planta Telefonica   </a:t>
          </a:r>
        </a:p>
      </dsp:txBody>
      <dsp:txXfrm>
        <a:off x="4432661" y="2239807"/>
        <a:ext cx="1468807" cy="447807"/>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76735-AA69-4F86-98E3-7B8DD01B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18446</Words>
  <Characters>101454</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119661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Milena Sanchez Sanchez</dc:creator>
  <cp:keywords/>
  <dc:description/>
  <cp:lastModifiedBy>Alvaro Mauricio Cortes Castro</cp:lastModifiedBy>
  <cp:revision>2</cp:revision>
  <cp:lastPrinted>2019-11-18T19:39:00Z</cp:lastPrinted>
  <dcterms:created xsi:type="dcterms:W3CDTF">2019-12-09T15:04:00Z</dcterms:created>
  <dcterms:modified xsi:type="dcterms:W3CDTF">2019-12-09T15:04:00Z</dcterms:modified>
</cp:coreProperties>
</file>