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Ex1.xml" ContentType="application/vnd.ms-office.chartex+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3.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2.xml" ContentType="application/vnd.openxmlformats-officedocument.drawingml.chartshapes+xml"/>
  <Override PartName="/word/charts/chart14.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68277" w14:textId="073A5DE9" w:rsidR="003D2C5B" w:rsidRPr="00CA48AF" w:rsidRDefault="00C7012F" w:rsidP="002C7573">
      <w:pPr>
        <w:jc w:val="center"/>
        <w:rPr>
          <w:rFonts w:ascii="Arial" w:hAnsi="Arial" w:cs="Arial"/>
          <w:b/>
        </w:rPr>
      </w:pPr>
      <w:bookmarkStart w:id="0" w:name="_Hlk52298465"/>
      <w:bookmarkEnd w:id="0"/>
      <w:r w:rsidRPr="00CA48AF">
        <w:rPr>
          <w:rFonts w:ascii="Arial" w:hAnsi="Arial" w:cs="Arial"/>
          <w:b/>
        </w:rPr>
        <w:t>INFORME SOBRE AUSTERIDAD Y EFICIENCIA DEL GASTO PÚBLICO DEL MINISTERIO DE HACIENDA Y CRÉDITO PÚBLICO PARA EL TERCER TRIMESTRE DE 2020 COMPARADO CON EL TERCER TRIMESTRE DE 2019 Y EL ANÁLISIS DEL IMPACTO GENERADO POR EL COVID-19</w:t>
      </w:r>
    </w:p>
    <w:p w14:paraId="0439CDFD" w14:textId="77777777" w:rsidR="002C7573" w:rsidRPr="00CA48AF" w:rsidRDefault="002C7573" w:rsidP="002C7573">
      <w:pPr>
        <w:shd w:val="clear" w:color="auto" w:fill="FFFFFF" w:themeFill="background1"/>
        <w:jc w:val="center"/>
        <w:rPr>
          <w:rFonts w:ascii="Arial" w:hAnsi="Arial" w:cs="Arial"/>
          <w:b/>
        </w:rPr>
      </w:pPr>
    </w:p>
    <w:p w14:paraId="622810DB" w14:textId="2B7715C5" w:rsidR="0091412C" w:rsidRPr="00CA48AF" w:rsidRDefault="0091412C" w:rsidP="00D90499">
      <w:pPr>
        <w:pStyle w:val="Prrafodelista"/>
        <w:numPr>
          <w:ilvl w:val="0"/>
          <w:numId w:val="4"/>
        </w:numPr>
        <w:shd w:val="clear" w:color="auto" w:fill="FFFFFF" w:themeFill="background1"/>
        <w:spacing w:before="100" w:beforeAutospacing="1" w:after="100" w:afterAutospacing="1"/>
        <w:ind w:left="284" w:hanging="284"/>
        <w:jc w:val="left"/>
        <w:rPr>
          <w:rFonts w:ascii="Arial" w:hAnsi="Arial" w:cs="Arial"/>
          <w:b/>
          <w:sz w:val="22"/>
          <w:szCs w:val="22"/>
        </w:rPr>
      </w:pPr>
      <w:r w:rsidRPr="00CA48AF">
        <w:rPr>
          <w:rFonts w:ascii="Arial" w:hAnsi="Arial" w:cs="Arial"/>
          <w:b/>
        </w:rPr>
        <w:t>INTRODUCCIÓN</w:t>
      </w:r>
    </w:p>
    <w:p w14:paraId="361B84B1" w14:textId="137067FE" w:rsidR="006C7269" w:rsidRPr="00CA48AF" w:rsidRDefault="00676829" w:rsidP="00DA14FB">
      <w:pPr>
        <w:shd w:val="clear" w:color="auto" w:fill="FFFFFF" w:themeFill="background1"/>
        <w:jc w:val="both"/>
        <w:rPr>
          <w:rFonts w:ascii="Arial" w:hAnsi="Arial" w:cs="Arial"/>
          <w:color w:val="000000" w:themeColor="text1"/>
          <w:sz w:val="22"/>
          <w:szCs w:val="22"/>
        </w:rPr>
      </w:pPr>
      <w:r w:rsidRPr="00CA48AF">
        <w:rPr>
          <w:rFonts w:ascii="Arial" w:hAnsi="Arial" w:cs="Arial"/>
          <w:color w:val="000000" w:themeColor="text1"/>
          <w:sz w:val="22"/>
          <w:szCs w:val="22"/>
        </w:rPr>
        <w:t>La Oficina de Control Interno en atención a la normatividad en materia de Austeridad y Eficiencia del Gasto Público, contemplada</w:t>
      </w:r>
      <w:r w:rsidR="0036147C" w:rsidRPr="00CA48AF">
        <w:rPr>
          <w:rFonts w:ascii="Arial" w:hAnsi="Arial" w:cs="Arial"/>
          <w:color w:val="000000" w:themeColor="text1"/>
          <w:sz w:val="22"/>
          <w:szCs w:val="22"/>
        </w:rPr>
        <w:t>s</w:t>
      </w:r>
      <w:r w:rsidRPr="00CA48AF">
        <w:rPr>
          <w:rFonts w:ascii="Arial" w:hAnsi="Arial" w:cs="Arial"/>
          <w:color w:val="000000" w:themeColor="text1"/>
          <w:sz w:val="22"/>
          <w:szCs w:val="22"/>
        </w:rPr>
        <w:t xml:space="preserve"> en </w:t>
      </w:r>
      <w:r w:rsidR="00802FFB" w:rsidRPr="00CA48AF">
        <w:rPr>
          <w:rFonts w:ascii="Arial" w:hAnsi="Arial" w:cs="Arial"/>
          <w:color w:val="000000" w:themeColor="text1"/>
          <w:sz w:val="22"/>
          <w:szCs w:val="22"/>
        </w:rPr>
        <w:t>la Parte 8° Régimen Presupuestal - T</w:t>
      </w:r>
      <w:r w:rsidRPr="00CA48AF">
        <w:rPr>
          <w:rFonts w:ascii="Arial" w:hAnsi="Arial" w:cs="Arial"/>
          <w:color w:val="000000" w:themeColor="text1"/>
          <w:sz w:val="22"/>
          <w:szCs w:val="22"/>
        </w:rPr>
        <w:t>ítulo 4 Medidas de Austeridad del Gasto Públ</w:t>
      </w:r>
      <w:r w:rsidR="0036147C" w:rsidRPr="00CA48AF">
        <w:rPr>
          <w:rFonts w:ascii="Arial" w:hAnsi="Arial" w:cs="Arial"/>
          <w:color w:val="000000" w:themeColor="text1"/>
          <w:sz w:val="22"/>
          <w:szCs w:val="22"/>
        </w:rPr>
        <w:t xml:space="preserve">ico </w:t>
      </w:r>
      <w:r w:rsidRPr="00CA48AF">
        <w:rPr>
          <w:rFonts w:ascii="Arial" w:hAnsi="Arial" w:cs="Arial"/>
          <w:color w:val="000000" w:themeColor="text1"/>
          <w:sz w:val="22"/>
          <w:szCs w:val="22"/>
        </w:rPr>
        <w:t>del Decreto 1068 de 2015</w:t>
      </w:r>
      <w:r w:rsidR="00AC01C4" w:rsidRPr="00CA48AF">
        <w:rPr>
          <w:rFonts w:ascii="Arial" w:hAnsi="Arial" w:cs="Arial"/>
          <w:color w:val="000000" w:themeColor="text1"/>
          <w:sz w:val="22"/>
          <w:szCs w:val="22"/>
        </w:rPr>
        <w:t xml:space="preserve"> y la</w:t>
      </w:r>
      <w:r w:rsidR="007E1FF3" w:rsidRPr="00CA48AF">
        <w:rPr>
          <w:rFonts w:ascii="Arial" w:hAnsi="Arial" w:cs="Arial"/>
          <w:color w:val="000000" w:themeColor="text1"/>
          <w:sz w:val="22"/>
          <w:szCs w:val="22"/>
        </w:rPr>
        <w:t>s</w:t>
      </w:r>
      <w:r w:rsidR="00AC01C4" w:rsidRPr="00CA48AF">
        <w:rPr>
          <w:rFonts w:ascii="Arial" w:hAnsi="Arial" w:cs="Arial"/>
          <w:color w:val="000000" w:themeColor="text1"/>
          <w:sz w:val="22"/>
          <w:szCs w:val="22"/>
        </w:rPr>
        <w:t xml:space="preserve"> demás normas </w:t>
      </w:r>
      <w:r w:rsidR="004F516F" w:rsidRPr="00CA48AF">
        <w:rPr>
          <w:rFonts w:ascii="Arial" w:hAnsi="Arial" w:cs="Arial"/>
          <w:color w:val="000000" w:themeColor="text1"/>
          <w:sz w:val="22"/>
          <w:szCs w:val="22"/>
        </w:rPr>
        <w:t xml:space="preserve">vigentes </w:t>
      </w:r>
      <w:r w:rsidR="00AC01C4" w:rsidRPr="00CA48AF">
        <w:rPr>
          <w:rFonts w:ascii="Arial" w:hAnsi="Arial" w:cs="Arial"/>
          <w:color w:val="000000" w:themeColor="text1"/>
          <w:sz w:val="22"/>
          <w:szCs w:val="22"/>
        </w:rPr>
        <w:t>que sobre el tema</w:t>
      </w:r>
      <w:r w:rsidR="00C93F4E" w:rsidRPr="00CA48AF">
        <w:rPr>
          <w:rFonts w:ascii="Arial" w:hAnsi="Arial" w:cs="Arial"/>
          <w:color w:val="000000" w:themeColor="text1"/>
          <w:sz w:val="22"/>
          <w:szCs w:val="22"/>
        </w:rPr>
        <w:t xml:space="preserve"> </w:t>
      </w:r>
      <w:r w:rsidR="00AC01C4" w:rsidRPr="00CA48AF">
        <w:rPr>
          <w:rFonts w:ascii="Arial" w:hAnsi="Arial" w:cs="Arial"/>
          <w:color w:val="000000" w:themeColor="text1"/>
          <w:sz w:val="22"/>
          <w:szCs w:val="22"/>
        </w:rPr>
        <w:t>ha impartido el Gobierno Nacional,</w:t>
      </w:r>
      <w:r w:rsidRPr="00CA48AF">
        <w:rPr>
          <w:rFonts w:ascii="Arial" w:hAnsi="Arial" w:cs="Arial"/>
          <w:color w:val="000000" w:themeColor="text1"/>
          <w:sz w:val="22"/>
          <w:szCs w:val="22"/>
        </w:rPr>
        <w:t xml:space="preserve"> presenta el </w:t>
      </w:r>
      <w:r w:rsidR="00BE5587" w:rsidRPr="00CA48AF">
        <w:rPr>
          <w:rFonts w:ascii="Arial" w:hAnsi="Arial" w:cs="Arial"/>
          <w:color w:val="000000" w:themeColor="text1"/>
          <w:sz w:val="22"/>
          <w:szCs w:val="22"/>
        </w:rPr>
        <w:t xml:space="preserve">análisis efectuado </w:t>
      </w:r>
      <w:r w:rsidR="0042333A" w:rsidRPr="00CA48AF">
        <w:rPr>
          <w:rFonts w:ascii="Arial" w:hAnsi="Arial" w:cs="Arial"/>
          <w:color w:val="000000" w:themeColor="text1"/>
          <w:sz w:val="22"/>
          <w:szCs w:val="22"/>
        </w:rPr>
        <w:t>al gasto público del Ministerio de Hacienda y Crédito</w:t>
      </w:r>
      <w:r w:rsidR="00B470D6" w:rsidRPr="00CA48AF">
        <w:rPr>
          <w:rFonts w:ascii="Arial" w:hAnsi="Arial" w:cs="Arial"/>
          <w:color w:val="000000" w:themeColor="text1"/>
          <w:sz w:val="22"/>
          <w:szCs w:val="22"/>
        </w:rPr>
        <w:t xml:space="preserve"> </w:t>
      </w:r>
      <w:r w:rsidR="0042333A" w:rsidRPr="00CA48AF">
        <w:rPr>
          <w:rFonts w:ascii="Arial" w:hAnsi="Arial" w:cs="Arial"/>
          <w:color w:val="000000" w:themeColor="text1"/>
          <w:sz w:val="22"/>
          <w:szCs w:val="22"/>
        </w:rPr>
        <w:t>Público</w:t>
      </w:r>
      <w:r w:rsidR="00B470D6" w:rsidRPr="00CA48AF">
        <w:rPr>
          <w:rFonts w:ascii="Arial" w:hAnsi="Arial" w:cs="Arial"/>
          <w:color w:val="000000" w:themeColor="text1"/>
          <w:sz w:val="22"/>
          <w:szCs w:val="22"/>
        </w:rPr>
        <w:t xml:space="preserve"> [MHCP]</w:t>
      </w:r>
      <w:r w:rsidR="0042333A" w:rsidRPr="00CA48AF">
        <w:rPr>
          <w:rFonts w:ascii="Arial" w:hAnsi="Arial" w:cs="Arial"/>
          <w:color w:val="000000" w:themeColor="text1"/>
          <w:sz w:val="22"/>
          <w:szCs w:val="22"/>
        </w:rPr>
        <w:t xml:space="preserve"> correspondiente al</w:t>
      </w:r>
      <w:r w:rsidR="002C7573" w:rsidRPr="00CA48AF">
        <w:rPr>
          <w:rFonts w:ascii="Arial" w:hAnsi="Arial" w:cs="Arial"/>
          <w:color w:val="000000" w:themeColor="text1"/>
          <w:sz w:val="22"/>
          <w:szCs w:val="22"/>
        </w:rPr>
        <w:t xml:space="preserve"> </w:t>
      </w:r>
      <w:r w:rsidR="00E01552" w:rsidRPr="00CA48AF">
        <w:rPr>
          <w:rFonts w:ascii="Arial" w:hAnsi="Arial" w:cs="Arial"/>
          <w:color w:val="000000" w:themeColor="text1"/>
          <w:sz w:val="22"/>
          <w:szCs w:val="22"/>
        </w:rPr>
        <w:t xml:space="preserve">tercer </w:t>
      </w:r>
      <w:r w:rsidRPr="00CA48AF">
        <w:rPr>
          <w:rFonts w:ascii="Arial" w:hAnsi="Arial" w:cs="Arial"/>
          <w:color w:val="000000" w:themeColor="text1"/>
          <w:sz w:val="22"/>
          <w:szCs w:val="22"/>
        </w:rPr>
        <w:t>trimestre de</w:t>
      </w:r>
      <w:r w:rsidR="000F6C84" w:rsidRPr="00CA48AF">
        <w:rPr>
          <w:rFonts w:ascii="Arial" w:hAnsi="Arial" w:cs="Arial"/>
          <w:color w:val="000000" w:themeColor="text1"/>
          <w:sz w:val="22"/>
          <w:szCs w:val="22"/>
        </w:rPr>
        <w:t>l</w:t>
      </w:r>
      <w:r w:rsidR="00E17B92" w:rsidRPr="00CA48AF">
        <w:rPr>
          <w:rFonts w:ascii="Arial" w:hAnsi="Arial" w:cs="Arial"/>
          <w:color w:val="000000" w:themeColor="text1"/>
          <w:sz w:val="22"/>
          <w:szCs w:val="22"/>
        </w:rPr>
        <w:t xml:space="preserve"> 20</w:t>
      </w:r>
      <w:r w:rsidR="00661AE6" w:rsidRPr="00CA48AF">
        <w:rPr>
          <w:rFonts w:ascii="Arial" w:hAnsi="Arial" w:cs="Arial"/>
          <w:color w:val="000000" w:themeColor="text1"/>
          <w:sz w:val="22"/>
          <w:szCs w:val="22"/>
        </w:rPr>
        <w:t>20</w:t>
      </w:r>
      <w:r w:rsidR="0042333A" w:rsidRPr="00CA48AF">
        <w:rPr>
          <w:rFonts w:ascii="Arial" w:hAnsi="Arial" w:cs="Arial"/>
          <w:color w:val="000000" w:themeColor="text1"/>
          <w:sz w:val="22"/>
          <w:szCs w:val="22"/>
        </w:rPr>
        <w:t xml:space="preserve">. </w:t>
      </w:r>
    </w:p>
    <w:p w14:paraId="4CC92F77" w14:textId="5D2ED540" w:rsidR="009B64ED" w:rsidRPr="00CA48AF" w:rsidRDefault="009B64ED" w:rsidP="002C7573">
      <w:pPr>
        <w:shd w:val="clear" w:color="auto" w:fill="FFFFFF" w:themeFill="background1"/>
        <w:jc w:val="both"/>
        <w:rPr>
          <w:rFonts w:ascii="Arial" w:hAnsi="Arial" w:cs="Arial"/>
          <w:color w:val="000000" w:themeColor="text1"/>
          <w:sz w:val="22"/>
          <w:szCs w:val="22"/>
        </w:rPr>
      </w:pPr>
    </w:p>
    <w:p w14:paraId="68B7DD1A" w14:textId="34C2BA64" w:rsidR="009B64ED" w:rsidRPr="00CA48AF" w:rsidRDefault="009B64ED" w:rsidP="002C7573">
      <w:pPr>
        <w:shd w:val="clear" w:color="auto" w:fill="FFFFFF" w:themeFill="background1"/>
        <w:jc w:val="both"/>
        <w:rPr>
          <w:rFonts w:ascii="Arial" w:hAnsi="Arial" w:cs="Arial"/>
          <w:color w:val="000000" w:themeColor="text1"/>
          <w:sz w:val="22"/>
          <w:szCs w:val="22"/>
        </w:rPr>
      </w:pPr>
      <w:r w:rsidRPr="00CA48AF">
        <w:rPr>
          <w:rFonts w:ascii="Arial" w:hAnsi="Arial" w:cs="Arial"/>
          <w:color w:val="000000" w:themeColor="text1"/>
          <w:sz w:val="22"/>
          <w:szCs w:val="22"/>
        </w:rPr>
        <w:t xml:space="preserve">Para el presente ejercicio, es importante mencionar que, </w:t>
      </w:r>
      <w:r w:rsidR="00C93F4E" w:rsidRPr="00CA48AF">
        <w:rPr>
          <w:rFonts w:ascii="Arial" w:hAnsi="Arial" w:cs="Arial"/>
          <w:color w:val="000000" w:themeColor="text1"/>
          <w:sz w:val="22"/>
          <w:szCs w:val="22"/>
        </w:rPr>
        <w:t xml:space="preserve">con </w:t>
      </w:r>
      <w:r w:rsidRPr="00CA48AF">
        <w:rPr>
          <w:rFonts w:ascii="Arial" w:hAnsi="Arial" w:cs="Arial"/>
          <w:color w:val="000000" w:themeColor="text1"/>
          <w:sz w:val="22"/>
          <w:szCs w:val="22"/>
        </w:rPr>
        <w:t>ocasión a la coyuntura derivada de la Emergenci</w:t>
      </w:r>
      <w:r w:rsidR="00C93F4E" w:rsidRPr="00CA48AF">
        <w:rPr>
          <w:rFonts w:ascii="Arial" w:hAnsi="Arial" w:cs="Arial"/>
          <w:color w:val="000000" w:themeColor="text1"/>
          <w:sz w:val="22"/>
          <w:szCs w:val="22"/>
        </w:rPr>
        <w:t>a Económica, Social y Ecológica [COVID-19]</w:t>
      </w:r>
      <w:r w:rsidR="00031946" w:rsidRPr="00CA48AF">
        <w:rPr>
          <w:rFonts w:ascii="Arial" w:hAnsi="Arial" w:cs="Arial"/>
          <w:color w:val="000000" w:themeColor="text1"/>
          <w:sz w:val="22"/>
          <w:szCs w:val="22"/>
        </w:rPr>
        <w:t xml:space="preserve"> </w:t>
      </w:r>
      <w:r w:rsidRPr="00CA48AF">
        <w:rPr>
          <w:rFonts w:ascii="Arial" w:hAnsi="Arial" w:cs="Arial"/>
          <w:color w:val="000000" w:themeColor="text1"/>
          <w:sz w:val="22"/>
          <w:szCs w:val="22"/>
        </w:rPr>
        <w:t>decretada por el Gobierno Nacional, el análisis y comparación de las variables del periodo actual frente al mismo periodo del año anterior para los conceptos de gasto</w:t>
      </w:r>
      <w:r w:rsidR="00031946" w:rsidRPr="00CA48AF">
        <w:rPr>
          <w:rFonts w:ascii="Arial" w:hAnsi="Arial" w:cs="Arial"/>
          <w:color w:val="000000" w:themeColor="text1"/>
          <w:sz w:val="22"/>
          <w:szCs w:val="22"/>
        </w:rPr>
        <w:t>s</w:t>
      </w:r>
      <w:r w:rsidRPr="00CA48AF">
        <w:rPr>
          <w:rFonts w:ascii="Arial" w:hAnsi="Arial" w:cs="Arial"/>
          <w:color w:val="000000" w:themeColor="text1"/>
          <w:sz w:val="22"/>
          <w:szCs w:val="22"/>
        </w:rPr>
        <w:t xml:space="preserve"> establecidos en la normatividad vigente de austeridad</w:t>
      </w:r>
      <w:r w:rsidR="00563402" w:rsidRPr="00CA48AF">
        <w:rPr>
          <w:rStyle w:val="Refdenotaalpie"/>
          <w:rFonts w:ascii="Arial" w:hAnsi="Arial" w:cs="Arial"/>
          <w:color w:val="000000" w:themeColor="text1"/>
          <w:sz w:val="22"/>
          <w:szCs w:val="22"/>
        </w:rPr>
        <w:footnoteReference w:id="1"/>
      </w:r>
      <w:r w:rsidRPr="00CA48AF">
        <w:rPr>
          <w:rFonts w:ascii="Arial" w:hAnsi="Arial" w:cs="Arial"/>
          <w:color w:val="000000" w:themeColor="text1"/>
          <w:sz w:val="22"/>
          <w:szCs w:val="22"/>
        </w:rPr>
        <w:t xml:space="preserve">, no es aplicable para la totalidad de los mismos, como se había desarrollado en ejercicios anteriores. Por tal motivo, el objetivo y alcance de este seguimiento fueron establecidos así: </w:t>
      </w:r>
    </w:p>
    <w:p w14:paraId="27968A54" w14:textId="77777777" w:rsidR="00514CAE" w:rsidRPr="00CA48AF" w:rsidRDefault="00514CAE" w:rsidP="002C7573">
      <w:pPr>
        <w:shd w:val="clear" w:color="auto" w:fill="FFFFFF" w:themeFill="background1"/>
        <w:jc w:val="both"/>
        <w:rPr>
          <w:rFonts w:ascii="Arial" w:hAnsi="Arial" w:cs="Arial"/>
          <w:sz w:val="22"/>
          <w:szCs w:val="22"/>
        </w:rPr>
      </w:pPr>
    </w:p>
    <w:p w14:paraId="708CAA2E" w14:textId="068239D5" w:rsidR="00514CAE" w:rsidRPr="00CA48AF" w:rsidRDefault="000509F0" w:rsidP="002C7573">
      <w:pPr>
        <w:shd w:val="clear" w:color="auto" w:fill="FFFFFF" w:themeFill="background1"/>
        <w:jc w:val="both"/>
        <w:rPr>
          <w:rFonts w:ascii="Arial" w:hAnsi="Arial" w:cs="Arial"/>
          <w:sz w:val="22"/>
          <w:szCs w:val="22"/>
        </w:rPr>
      </w:pPr>
      <w:r w:rsidRPr="00CA48AF">
        <w:rPr>
          <w:rFonts w:ascii="Arial" w:hAnsi="Arial" w:cs="Arial"/>
          <w:noProof/>
          <w:sz w:val="22"/>
          <w:szCs w:val="22"/>
          <w:lang w:val="en-US" w:eastAsia="en-US"/>
        </w:rPr>
        <mc:AlternateContent>
          <mc:Choice Requires="wps">
            <w:drawing>
              <wp:anchor distT="0" distB="0" distL="114300" distR="114300" simplePos="0" relativeHeight="252293120" behindDoc="0" locked="0" layoutInCell="1" allowOverlap="1" wp14:anchorId="44491C4E" wp14:editId="146891A2">
                <wp:simplePos x="0" y="0"/>
                <wp:positionH relativeFrom="column">
                  <wp:posOffset>280670</wp:posOffset>
                </wp:positionH>
                <wp:positionV relativeFrom="paragraph">
                  <wp:posOffset>60325</wp:posOffset>
                </wp:positionV>
                <wp:extent cx="3514725" cy="3905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3514725" cy="39052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60C9" w14:textId="79AC8926" w:rsidR="001966EF" w:rsidRPr="00514CAE" w:rsidRDefault="001966EF" w:rsidP="002414EF">
                            <w:pPr>
                              <w:shd w:val="clear" w:color="auto" w:fill="4F81BD" w:themeFill="accent1"/>
                              <w:jc w:val="center"/>
                              <w:rPr>
                                <w:color w:val="FFFFFF" w:themeColor="background1"/>
                              </w:rPr>
                            </w:pPr>
                            <w:r w:rsidRPr="00514CAE">
                              <w:rPr>
                                <w:color w:val="FFFFFF" w:themeColor="background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4491C4E" id="Rectángulo 15" o:spid="_x0000_s1026" style="position:absolute;left:0;text-align:left;margin-left:22.1pt;margin-top:4.75pt;width:276.75pt;height:30.75pt;z-index:25229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" fillcolor="#4f81bd [3204]" strokecolor="#4f81bd [3204]" strokeweight="2pt">
                <v:textbox>
                  <w:txbxContent>
                    <w:p w14:paraId="4B8860C9" w14:textId="79AC8926" w:rsidR="001966EF" w:rsidRPr="00514CAE" w:rsidRDefault="001966EF" w:rsidP="002414EF">
                      <w:pPr>
                        <w:shd w:val="clear" w:color="auto" w:fill="4F81BD" w:themeFill="accent1"/>
                        <w:jc w:val="center"/>
                        <w:rPr>
                          <w:color w:val="FFFFFF" w:themeColor="background1"/>
                        </w:rPr>
                      </w:pPr>
                      <w:r w:rsidRPr="00514CAE">
                        <w:rPr>
                          <w:color w:val="FFFFFF" w:themeColor="background1"/>
                        </w:rPr>
                        <w:t>O</w:t>
                      </w:r>
                    </w:p>
                  </w:txbxContent>
                </v:textbox>
              </v:rect>
            </w:pict>
          </mc:Fallback>
        </mc:AlternateContent>
      </w:r>
      <w:r w:rsidRPr="00CA48AF">
        <w:rPr>
          <w:rFonts w:ascii="Arial" w:hAnsi="Arial" w:cs="Arial"/>
          <w:noProof/>
          <w:sz w:val="22"/>
          <w:szCs w:val="22"/>
          <w:lang w:val="en-US" w:eastAsia="en-US"/>
        </w:rPr>
        <mc:AlternateContent>
          <mc:Choice Requires="wps">
            <w:drawing>
              <wp:anchor distT="0" distB="0" distL="114300" distR="114300" simplePos="0" relativeHeight="252294144" behindDoc="0" locked="0" layoutInCell="1" allowOverlap="1" wp14:anchorId="7A8F9EDC" wp14:editId="65674133">
                <wp:simplePos x="0" y="0"/>
                <wp:positionH relativeFrom="column">
                  <wp:posOffset>328295</wp:posOffset>
                </wp:positionH>
                <wp:positionV relativeFrom="paragraph">
                  <wp:posOffset>116205</wp:posOffset>
                </wp:positionV>
                <wp:extent cx="2524125" cy="24765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2524125" cy="247650"/>
                        </a:xfrm>
                        <a:prstGeom prst="rect">
                          <a:avLst/>
                        </a:prstGeom>
                        <a:solidFill>
                          <a:schemeClr val="accent1"/>
                        </a:solidFill>
                        <a:ln w="6350">
                          <a:solidFill>
                            <a:schemeClr val="accent1"/>
                          </a:solidFill>
                        </a:ln>
                      </wps:spPr>
                      <wps:txbx>
                        <w:txbxContent>
                          <w:p w14:paraId="6E2D44AC" w14:textId="40AA40AF" w:rsidR="001966EF" w:rsidRPr="00514CAE" w:rsidRDefault="001966EF" w:rsidP="002414EF">
                            <w:pPr>
                              <w:shd w:val="clear" w:color="auto" w:fill="4F81BD" w:themeFill="accent1"/>
                              <w:rPr>
                                <w:rFonts w:ascii="Arial" w:hAnsi="Arial" w:cs="Arial"/>
                                <w:b/>
                                <w:bCs/>
                                <w:color w:val="FFFFFF" w:themeColor="background1"/>
                              </w:rPr>
                            </w:pPr>
                            <w:r w:rsidRPr="00514CAE">
                              <w:rPr>
                                <w:rFonts w:ascii="Arial" w:hAnsi="Arial" w:cs="Arial"/>
                                <w:b/>
                                <w:bCs/>
                                <w:color w:val="FFFFFF" w:themeColor="background1"/>
                              </w:rPr>
                              <w:t>Objetivo</w:t>
                            </w:r>
                            <w:r>
                              <w:rPr>
                                <w:rFonts w:ascii="Arial" w:hAnsi="Arial" w:cs="Arial"/>
                                <w:b/>
                                <w:bCs/>
                                <w:color w:val="FFFFFF" w:themeColor="background1"/>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A8F9EDC" id="_x0000_t202" coordsize="21600,21600" o:spt="202" path="m,l,21600r21600,l21600,xe">
                <v:stroke joinstyle="miter"/>
                <v:path gradientshapeok="t" o:connecttype="rect"/>
              </v:shapetype>
              <v:shape id="Cuadro de texto 17" o:spid="_x0000_s1027" type="#_x0000_t202" style="position:absolute;left:0;text-align:left;margin-left:25.85pt;margin-top:9.15pt;width:198.75pt;height:19.5pt;z-index:25229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" fillcolor="#4f81bd [3204]" strokecolor="#4f81bd [3204]" strokeweight=".5pt">
                <v:textbox>
                  <w:txbxContent>
                    <w:p w14:paraId="6E2D44AC" w14:textId="40AA40AF" w:rsidR="001966EF" w:rsidRPr="00514CAE" w:rsidRDefault="001966EF" w:rsidP="002414EF">
                      <w:pPr>
                        <w:shd w:val="clear" w:color="auto" w:fill="4F81BD" w:themeFill="accent1"/>
                        <w:rPr>
                          <w:rFonts w:ascii="Arial" w:hAnsi="Arial" w:cs="Arial"/>
                          <w:b/>
                          <w:bCs/>
                          <w:color w:val="FFFFFF" w:themeColor="background1"/>
                        </w:rPr>
                      </w:pPr>
                      <w:r w:rsidRPr="00514CAE">
                        <w:rPr>
                          <w:rFonts w:ascii="Arial" w:hAnsi="Arial" w:cs="Arial"/>
                          <w:b/>
                          <w:bCs/>
                          <w:color w:val="FFFFFF" w:themeColor="background1"/>
                        </w:rPr>
                        <w:t>Objetivo</w:t>
                      </w:r>
                      <w:r>
                        <w:rPr>
                          <w:rFonts w:ascii="Arial" w:hAnsi="Arial" w:cs="Arial"/>
                          <w:b/>
                          <w:bCs/>
                          <w:color w:val="FFFFFF" w:themeColor="background1"/>
                        </w:rPr>
                        <w:t>s</w:t>
                      </w:r>
                    </w:p>
                  </w:txbxContent>
                </v:textbox>
              </v:shape>
            </w:pict>
          </mc:Fallback>
        </mc:AlternateContent>
      </w:r>
    </w:p>
    <w:p w14:paraId="73FB87C1" w14:textId="291F8226" w:rsidR="00514CAE" w:rsidRPr="00CA48AF" w:rsidRDefault="00514CAE" w:rsidP="002C7573">
      <w:pPr>
        <w:shd w:val="clear" w:color="auto" w:fill="FFFFFF" w:themeFill="background1"/>
        <w:jc w:val="both"/>
        <w:rPr>
          <w:rFonts w:ascii="Arial" w:hAnsi="Arial" w:cs="Arial"/>
          <w:sz w:val="22"/>
          <w:szCs w:val="22"/>
        </w:rPr>
      </w:pPr>
      <w:r w:rsidRPr="00CA48AF">
        <w:rPr>
          <w:rFonts w:ascii="Arial" w:hAnsi="Arial" w:cs="Arial"/>
          <w:noProof/>
          <w:sz w:val="22"/>
          <w:szCs w:val="22"/>
          <w:lang w:val="en-US" w:eastAsia="en-US"/>
        </w:rPr>
        <mc:AlternateContent>
          <mc:Choice Requires="wps">
            <w:drawing>
              <wp:anchor distT="0" distB="0" distL="114300" distR="114300" simplePos="0" relativeHeight="252292096" behindDoc="0" locked="0" layoutInCell="1" allowOverlap="1" wp14:anchorId="38D0C160" wp14:editId="20185435">
                <wp:simplePos x="0" y="0"/>
                <wp:positionH relativeFrom="margin">
                  <wp:align>right</wp:align>
                </wp:positionH>
                <wp:positionV relativeFrom="paragraph">
                  <wp:posOffset>29210</wp:posOffset>
                </wp:positionV>
                <wp:extent cx="6096000" cy="20955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6096000" cy="2095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BE481D" w14:textId="083C50D5" w:rsidR="001966EF" w:rsidRDefault="001966EF" w:rsidP="004E1837">
                            <w:pPr>
                              <w:tabs>
                                <w:tab w:val="num" w:pos="284"/>
                              </w:tabs>
                              <w:ind w:left="284" w:hanging="284"/>
                              <w:jc w:val="both"/>
                            </w:pPr>
                          </w:p>
                          <w:p w14:paraId="795A1627" w14:textId="65F2CE6D" w:rsidR="001966EF" w:rsidRPr="00903890" w:rsidRDefault="001966EF" w:rsidP="00D90499">
                            <w:pPr>
                              <w:numPr>
                                <w:ilvl w:val="0"/>
                                <w:numId w:val="17"/>
                              </w:numPr>
                              <w:tabs>
                                <w:tab w:val="clear" w:pos="720"/>
                                <w:tab w:val="num" w:pos="284"/>
                              </w:tabs>
                              <w:ind w:left="284" w:hanging="284"/>
                              <w:jc w:val="both"/>
                              <w:rPr>
                                <w:rFonts w:ascii="Arial" w:hAnsi="Arial" w:cs="Arial"/>
                                <w:color w:val="0F243E" w:themeColor="text2" w:themeShade="80"/>
                                <w:sz w:val="20"/>
                                <w:szCs w:val="20"/>
                              </w:rPr>
                            </w:pPr>
                            <w:r w:rsidRPr="00903890">
                              <w:rPr>
                                <w:rFonts w:ascii="Arial" w:hAnsi="Arial" w:cs="Arial"/>
                                <w:color w:val="0F243E" w:themeColor="text2" w:themeShade="80"/>
                                <w:sz w:val="20"/>
                                <w:szCs w:val="20"/>
                              </w:rPr>
                              <w:t>Verificar el cumplimiento razonable de la normatividad y las políticas,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w:t>
                            </w:r>
                          </w:p>
                          <w:p w14:paraId="3C26C25B" w14:textId="3B5134E4" w:rsidR="001966EF" w:rsidRPr="00903890" w:rsidRDefault="001966EF" w:rsidP="004E1837">
                            <w:pPr>
                              <w:tabs>
                                <w:tab w:val="num" w:pos="284"/>
                              </w:tabs>
                              <w:ind w:hanging="720"/>
                              <w:jc w:val="both"/>
                              <w:rPr>
                                <w:rFonts w:ascii="Arial" w:hAnsi="Arial" w:cs="Arial"/>
                                <w:color w:val="0F243E" w:themeColor="text2" w:themeShade="80"/>
                                <w:sz w:val="20"/>
                                <w:szCs w:val="20"/>
                              </w:rPr>
                            </w:pPr>
                          </w:p>
                          <w:p w14:paraId="6D679EC4" w14:textId="48C57404" w:rsidR="001966EF" w:rsidRPr="00903890" w:rsidRDefault="001966EF" w:rsidP="00D90499">
                            <w:pPr>
                              <w:numPr>
                                <w:ilvl w:val="0"/>
                                <w:numId w:val="18"/>
                              </w:numPr>
                              <w:tabs>
                                <w:tab w:val="clear" w:pos="720"/>
                                <w:tab w:val="num" w:pos="284"/>
                              </w:tabs>
                              <w:ind w:left="284" w:hanging="284"/>
                              <w:jc w:val="both"/>
                              <w:rPr>
                                <w:rFonts w:ascii="Arial" w:hAnsi="Arial" w:cs="Arial"/>
                                <w:color w:val="0F243E" w:themeColor="text2" w:themeShade="80"/>
                                <w:sz w:val="20"/>
                                <w:szCs w:val="20"/>
                              </w:rPr>
                            </w:pPr>
                            <w:r w:rsidRPr="00903890">
                              <w:rPr>
                                <w:rFonts w:ascii="Arial" w:hAnsi="Arial" w:cs="Arial"/>
                                <w:color w:val="0F243E" w:themeColor="text2" w:themeShade="80"/>
                                <w:sz w:val="20"/>
                                <w:szCs w:val="20"/>
                                <w:lang w:val="es-ES_tradnl"/>
                              </w:rPr>
                              <w:t xml:space="preserve">Confirmar las medidas aplicadas por el Ministerio de Hacienda y Crédito Público, </w:t>
                            </w:r>
                            <w:r w:rsidRPr="00903890">
                              <w:rPr>
                                <w:rFonts w:ascii="Arial" w:eastAsiaTheme="minorHAnsi" w:hAnsi="Arial" w:cs="Arial"/>
                                <w:color w:val="0F243E" w:themeColor="text2" w:themeShade="80"/>
                                <w:sz w:val="20"/>
                                <w:szCs w:val="20"/>
                                <w:lang w:eastAsia="en-US"/>
                              </w:rPr>
                              <w:t xml:space="preserve">en concordancia con las disposiciones del Gobierno Nacional </w:t>
                            </w:r>
                            <w:r w:rsidRPr="00903890">
                              <w:rPr>
                                <w:rFonts w:ascii="Arial" w:hAnsi="Arial" w:cs="Arial"/>
                                <w:color w:val="0F243E" w:themeColor="text2" w:themeShade="80"/>
                                <w:sz w:val="20"/>
                                <w:szCs w:val="20"/>
                                <w:lang w:val="es-ES_tradnl"/>
                              </w:rPr>
                              <w:t>en el marco de la Emergencia Económica, Social y Ecológica [COVID-</w:t>
                            </w:r>
                            <w:r w:rsidRPr="00903890">
                              <w:rPr>
                                <w:rFonts w:ascii="Arial" w:eastAsiaTheme="minorHAnsi" w:hAnsi="Arial" w:cs="Arial"/>
                                <w:color w:val="0F243E" w:themeColor="text2" w:themeShade="80"/>
                                <w:sz w:val="20"/>
                                <w:szCs w:val="20"/>
                                <w:lang w:eastAsia="en-US"/>
                              </w:rPr>
                              <w:t>19], con el fin de constatar que los resultados obtenidos en las</w:t>
                            </w:r>
                            <w:r w:rsidRPr="00903890">
                              <w:rPr>
                                <w:rFonts w:ascii="Arial" w:hAnsi="Arial" w:cs="Arial"/>
                                <w:color w:val="0F243E" w:themeColor="text2" w:themeShade="80"/>
                                <w:sz w:val="20"/>
                                <w:szCs w:val="20"/>
                                <w:lang w:val="es-ES_tradnl"/>
                              </w:rPr>
                              <w:t xml:space="preserve"> variables de cada concepto de gasto estén acordes con las directrices instituidas por este Ministerio. </w:t>
                            </w:r>
                            <w:r w:rsidRPr="00903890">
                              <w:rPr>
                                <w:rFonts w:ascii="Arial" w:hAnsi="Arial" w:cs="Arial"/>
                                <w:color w:val="0F243E" w:themeColor="text2" w:themeShade="8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D0C160" id="Rectángulo 13" o:spid="_x0000_s1028" style="position:absolute;left:0;text-align:left;margin-left:428.8pt;margin-top:2.3pt;width:480pt;height:165pt;z-index:25229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" fillcolor="white [3212]" strokecolor="#243f60 [1604]" strokeweight="2pt">
                <v:textbox>
                  <w:txbxContent>
                    <w:p w14:paraId="49BE481D" w14:textId="083C50D5" w:rsidR="001966EF" w:rsidRDefault="001966EF" w:rsidP="004E1837">
                      <w:pPr>
                        <w:tabs>
                          <w:tab w:val="num" w:pos="284"/>
                        </w:tabs>
                        <w:ind w:left="284" w:hanging="284"/>
                        <w:jc w:val="both"/>
                      </w:pPr>
                    </w:p>
                    <w:p w14:paraId="795A1627" w14:textId="65F2CE6D" w:rsidR="001966EF" w:rsidRPr="00903890" w:rsidRDefault="001966EF" w:rsidP="00D90499">
                      <w:pPr>
                        <w:numPr>
                          <w:ilvl w:val="0"/>
                          <w:numId w:val="17"/>
                        </w:numPr>
                        <w:tabs>
                          <w:tab w:val="clear" w:pos="720"/>
                          <w:tab w:val="num" w:pos="284"/>
                        </w:tabs>
                        <w:ind w:left="284" w:hanging="284"/>
                        <w:jc w:val="both"/>
                        <w:rPr>
                          <w:rFonts w:ascii="Arial" w:hAnsi="Arial" w:cs="Arial"/>
                          <w:color w:val="0F243E" w:themeColor="text2" w:themeShade="80"/>
                          <w:sz w:val="20"/>
                          <w:szCs w:val="20"/>
                        </w:rPr>
                      </w:pPr>
                      <w:r w:rsidRPr="00903890">
                        <w:rPr>
                          <w:rFonts w:ascii="Arial" w:hAnsi="Arial" w:cs="Arial"/>
                          <w:color w:val="0F243E" w:themeColor="text2" w:themeShade="80"/>
                          <w:sz w:val="20"/>
                          <w:szCs w:val="20"/>
                        </w:rPr>
                        <w:t>Verificar el cumplimiento razonable de la normatividad y las políticas,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w:t>
                      </w:r>
                    </w:p>
                    <w:p w14:paraId="3C26C25B" w14:textId="3B5134E4" w:rsidR="001966EF" w:rsidRPr="00903890" w:rsidRDefault="001966EF" w:rsidP="004E1837">
                      <w:pPr>
                        <w:tabs>
                          <w:tab w:val="num" w:pos="284"/>
                        </w:tabs>
                        <w:ind w:hanging="720"/>
                        <w:jc w:val="both"/>
                        <w:rPr>
                          <w:rFonts w:ascii="Arial" w:hAnsi="Arial" w:cs="Arial"/>
                          <w:color w:val="0F243E" w:themeColor="text2" w:themeShade="80"/>
                          <w:sz w:val="20"/>
                          <w:szCs w:val="20"/>
                        </w:rPr>
                      </w:pPr>
                    </w:p>
                    <w:p w14:paraId="6D679EC4" w14:textId="48C57404" w:rsidR="001966EF" w:rsidRPr="00903890" w:rsidRDefault="001966EF" w:rsidP="00D90499">
                      <w:pPr>
                        <w:numPr>
                          <w:ilvl w:val="0"/>
                          <w:numId w:val="18"/>
                        </w:numPr>
                        <w:tabs>
                          <w:tab w:val="clear" w:pos="720"/>
                          <w:tab w:val="num" w:pos="284"/>
                        </w:tabs>
                        <w:ind w:left="284" w:hanging="284"/>
                        <w:jc w:val="both"/>
                        <w:rPr>
                          <w:rFonts w:ascii="Arial" w:hAnsi="Arial" w:cs="Arial"/>
                          <w:color w:val="0F243E" w:themeColor="text2" w:themeShade="80"/>
                          <w:sz w:val="20"/>
                          <w:szCs w:val="20"/>
                        </w:rPr>
                      </w:pPr>
                      <w:r w:rsidRPr="00903890">
                        <w:rPr>
                          <w:rFonts w:ascii="Arial" w:hAnsi="Arial" w:cs="Arial"/>
                          <w:color w:val="0F243E" w:themeColor="text2" w:themeShade="80"/>
                          <w:sz w:val="20"/>
                          <w:szCs w:val="20"/>
                          <w:lang w:val="es-ES_tradnl"/>
                        </w:rPr>
                        <w:t xml:space="preserve">Confirmar las medidas aplicadas por el Ministerio de Hacienda y Crédito Público, </w:t>
                      </w:r>
                      <w:r w:rsidRPr="00903890">
                        <w:rPr>
                          <w:rFonts w:ascii="Arial" w:eastAsiaTheme="minorHAnsi" w:hAnsi="Arial" w:cs="Arial"/>
                          <w:color w:val="0F243E" w:themeColor="text2" w:themeShade="80"/>
                          <w:sz w:val="20"/>
                          <w:szCs w:val="20"/>
                          <w:lang w:eastAsia="en-US"/>
                        </w:rPr>
                        <w:t xml:space="preserve">en concordancia con las disposiciones del Gobierno Nacional </w:t>
                      </w:r>
                      <w:r w:rsidRPr="00903890">
                        <w:rPr>
                          <w:rFonts w:ascii="Arial" w:hAnsi="Arial" w:cs="Arial"/>
                          <w:color w:val="0F243E" w:themeColor="text2" w:themeShade="80"/>
                          <w:sz w:val="20"/>
                          <w:szCs w:val="20"/>
                          <w:lang w:val="es-ES_tradnl"/>
                        </w:rPr>
                        <w:t>en el marco de la Emergencia Económica, Social y Ecológica [COVID-</w:t>
                      </w:r>
                      <w:r w:rsidRPr="00903890">
                        <w:rPr>
                          <w:rFonts w:ascii="Arial" w:eastAsiaTheme="minorHAnsi" w:hAnsi="Arial" w:cs="Arial"/>
                          <w:color w:val="0F243E" w:themeColor="text2" w:themeShade="80"/>
                          <w:sz w:val="20"/>
                          <w:szCs w:val="20"/>
                          <w:lang w:eastAsia="en-US"/>
                        </w:rPr>
                        <w:t>19], con el fin de constatar que los resultados obtenidos en las</w:t>
                      </w:r>
                      <w:r w:rsidRPr="00903890">
                        <w:rPr>
                          <w:rFonts w:ascii="Arial" w:hAnsi="Arial" w:cs="Arial"/>
                          <w:color w:val="0F243E" w:themeColor="text2" w:themeShade="80"/>
                          <w:sz w:val="20"/>
                          <w:szCs w:val="20"/>
                          <w:lang w:val="es-ES_tradnl"/>
                        </w:rPr>
                        <w:t xml:space="preserve"> variables de cada concepto de gasto estén acordes con las directrices instituidas por este Ministerio. </w:t>
                      </w:r>
                      <w:r w:rsidRPr="00903890">
                        <w:rPr>
                          <w:rFonts w:ascii="Arial" w:hAnsi="Arial" w:cs="Arial"/>
                          <w:color w:val="0F243E" w:themeColor="text2" w:themeShade="80"/>
                          <w:sz w:val="20"/>
                          <w:szCs w:val="20"/>
                        </w:rPr>
                        <w:t xml:space="preserve"> </w:t>
                      </w:r>
                    </w:p>
                  </w:txbxContent>
                </v:textbox>
                <w10:wrap anchorx="margin"/>
              </v:rect>
            </w:pict>
          </mc:Fallback>
        </mc:AlternateContent>
      </w:r>
    </w:p>
    <w:p w14:paraId="2C13EC50" w14:textId="135D85F1" w:rsidR="00514CAE" w:rsidRPr="00CA48AF" w:rsidRDefault="00514CAE" w:rsidP="002C7573">
      <w:pPr>
        <w:shd w:val="clear" w:color="auto" w:fill="FFFFFF" w:themeFill="background1"/>
        <w:jc w:val="both"/>
        <w:rPr>
          <w:rFonts w:ascii="Arial" w:hAnsi="Arial" w:cs="Arial"/>
          <w:sz w:val="22"/>
          <w:szCs w:val="22"/>
        </w:rPr>
      </w:pPr>
    </w:p>
    <w:p w14:paraId="05E82FF8" w14:textId="3784E029" w:rsidR="00514CAE" w:rsidRPr="00CA48AF" w:rsidRDefault="00514CAE" w:rsidP="002C7573">
      <w:pPr>
        <w:shd w:val="clear" w:color="auto" w:fill="FFFFFF" w:themeFill="background1"/>
        <w:jc w:val="both"/>
        <w:rPr>
          <w:rFonts w:ascii="Arial" w:hAnsi="Arial" w:cs="Arial"/>
          <w:sz w:val="22"/>
          <w:szCs w:val="22"/>
        </w:rPr>
      </w:pPr>
    </w:p>
    <w:p w14:paraId="7F985F08" w14:textId="2C094880" w:rsidR="00514CAE" w:rsidRPr="00CA48AF" w:rsidRDefault="00514CAE" w:rsidP="002C7573">
      <w:pPr>
        <w:shd w:val="clear" w:color="auto" w:fill="FFFFFF" w:themeFill="background1"/>
        <w:jc w:val="both"/>
        <w:rPr>
          <w:rFonts w:ascii="Arial" w:hAnsi="Arial" w:cs="Arial"/>
          <w:sz w:val="22"/>
          <w:szCs w:val="22"/>
        </w:rPr>
      </w:pPr>
    </w:p>
    <w:p w14:paraId="15C56233" w14:textId="5054F5D3" w:rsidR="00514CAE" w:rsidRPr="00CA48AF" w:rsidRDefault="00514CAE" w:rsidP="002C7573">
      <w:pPr>
        <w:shd w:val="clear" w:color="auto" w:fill="FFFFFF" w:themeFill="background1"/>
        <w:jc w:val="both"/>
        <w:rPr>
          <w:rFonts w:ascii="Arial" w:hAnsi="Arial" w:cs="Arial"/>
          <w:sz w:val="22"/>
          <w:szCs w:val="22"/>
        </w:rPr>
      </w:pPr>
    </w:p>
    <w:p w14:paraId="66677B70" w14:textId="2AF76516" w:rsidR="00514CAE" w:rsidRPr="00CA48AF" w:rsidRDefault="00514CAE" w:rsidP="002C7573">
      <w:pPr>
        <w:shd w:val="clear" w:color="auto" w:fill="FFFFFF" w:themeFill="background1"/>
        <w:jc w:val="both"/>
        <w:rPr>
          <w:rFonts w:ascii="Arial" w:hAnsi="Arial" w:cs="Arial"/>
          <w:sz w:val="22"/>
          <w:szCs w:val="22"/>
        </w:rPr>
      </w:pPr>
    </w:p>
    <w:p w14:paraId="6FEDB7F5" w14:textId="084639F5" w:rsidR="00514CAE" w:rsidRPr="00CA48AF" w:rsidRDefault="00514CAE" w:rsidP="002C7573">
      <w:pPr>
        <w:shd w:val="clear" w:color="auto" w:fill="FFFFFF" w:themeFill="background1"/>
        <w:jc w:val="both"/>
        <w:rPr>
          <w:rFonts w:ascii="Arial" w:hAnsi="Arial" w:cs="Arial"/>
          <w:sz w:val="22"/>
          <w:szCs w:val="22"/>
        </w:rPr>
      </w:pPr>
    </w:p>
    <w:p w14:paraId="47C6104F" w14:textId="69136DE0" w:rsidR="00514CAE" w:rsidRPr="00CA48AF" w:rsidRDefault="00514CAE" w:rsidP="002C7573">
      <w:pPr>
        <w:shd w:val="clear" w:color="auto" w:fill="FFFFFF" w:themeFill="background1"/>
        <w:jc w:val="both"/>
        <w:rPr>
          <w:rFonts w:ascii="Arial" w:hAnsi="Arial" w:cs="Arial"/>
          <w:sz w:val="22"/>
          <w:szCs w:val="22"/>
        </w:rPr>
      </w:pPr>
    </w:p>
    <w:p w14:paraId="21C29D5A" w14:textId="77777777" w:rsidR="00514CAE" w:rsidRPr="00CA48AF" w:rsidRDefault="00514CAE" w:rsidP="002C7573">
      <w:pPr>
        <w:shd w:val="clear" w:color="auto" w:fill="FFFFFF" w:themeFill="background1"/>
        <w:jc w:val="both"/>
        <w:rPr>
          <w:rFonts w:ascii="Arial" w:hAnsi="Arial" w:cs="Arial"/>
          <w:sz w:val="22"/>
          <w:szCs w:val="22"/>
        </w:rPr>
      </w:pPr>
    </w:p>
    <w:p w14:paraId="58BE39B0" w14:textId="3675D121" w:rsidR="002732A7" w:rsidRPr="00CA48AF" w:rsidRDefault="002732A7" w:rsidP="003A3B14">
      <w:pPr>
        <w:jc w:val="both"/>
        <w:rPr>
          <w:rFonts w:ascii="Arial" w:hAnsi="Arial" w:cs="Arial"/>
          <w:sz w:val="22"/>
          <w:szCs w:val="22"/>
        </w:rPr>
      </w:pPr>
    </w:p>
    <w:p w14:paraId="1B86786D" w14:textId="2E987020" w:rsidR="00514CAE" w:rsidRPr="00CA48AF" w:rsidRDefault="00514CAE" w:rsidP="003A3B14">
      <w:pPr>
        <w:jc w:val="both"/>
        <w:rPr>
          <w:rFonts w:ascii="Arial" w:hAnsi="Arial" w:cs="Arial"/>
          <w:sz w:val="22"/>
          <w:szCs w:val="22"/>
        </w:rPr>
      </w:pPr>
    </w:p>
    <w:p w14:paraId="30B65536" w14:textId="15B62D31" w:rsidR="00514CAE" w:rsidRPr="00CA48AF" w:rsidRDefault="00514CAE" w:rsidP="003A3B14">
      <w:pPr>
        <w:jc w:val="both"/>
        <w:rPr>
          <w:rFonts w:ascii="Arial" w:hAnsi="Arial" w:cs="Arial"/>
          <w:sz w:val="22"/>
          <w:szCs w:val="22"/>
        </w:rPr>
      </w:pPr>
    </w:p>
    <w:p w14:paraId="52E2B5C3" w14:textId="3AC00B7D" w:rsidR="00514CAE" w:rsidRPr="00CA48AF" w:rsidRDefault="00514CAE" w:rsidP="003A3B14">
      <w:pPr>
        <w:jc w:val="both"/>
        <w:rPr>
          <w:rFonts w:ascii="Arial" w:hAnsi="Arial" w:cs="Arial"/>
          <w:sz w:val="22"/>
          <w:szCs w:val="22"/>
        </w:rPr>
      </w:pPr>
    </w:p>
    <w:p w14:paraId="76BFCF4D" w14:textId="40417523" w:rsidR="009B64ED" w:rsidRPr="00CA48AF" w:rsidRDefault="009B64ED" w:rsidP="003A3B14">
      <w:pPr>
        <w:jc w:val="both"/>
        <w:rPr>
          <w:rFonts w:ascii="Arial" w:hAnsi="Arial" w:cs="Arial"/>
          <w:sz w:val="22"/>
          <w:szCs w:val="22"/>
        </w:rPr>
      </w:pPr>
    </w:p>
    <w:p w14:paraId="2A379177" w14:textId="294C637E" w:rsidR="000509F0" w:rsidRPr="00CA48AF" w:rsidRDefault="000509F0" w:rsidP="003A3B14">
      <w:pPr>
        <w:jc w:val="both"/>
        <w:rPr>
          <w:rFonts w:ascii="Arial" w:hAnsi="Arial" w:cs="Arial"/>
          <w:sz w:val="22"/>
          <w:szCs w:val="22"/>
        </w:rPr>
      </w:pPr>
      <w:r w:rsidRPr="00CA48AF">
        <w:rPr>
          <w:rFonts w:ascii="Arial" w:hAnsi="Arial" w:cs="Arial"/>
          <w:noProof/>
          <w:sz w:val="22"/>
          <w:szCs w:val="22"/>
          <w:lang w:val="en-US" w:eastAsia="en-US"/>
        </w:rPr>
        <mc:AlternateContent>
          <mc:Choice Requires="wps">
            <w:drawing>
              <wp:anchor distT="0" distB="0" distL="114300" distR="114300" simplePos="0" relativeHeight="252298240" behindDoc="0" locked="0" layoutInCell="1" allowOverlap="1" wp14:anchorId="09C91B2C" wp14:editId="0C8562DB">
                <wp:simplePos x="0" y="0"/>
                <wp:positionH relativeFrom="column">
                  <wp:posOffset>304140</wp:posOffset>
                </wp:positionH>
                <wp:positionV relativeFrom="paragraph">
                  <wp:posOffset>153848</wp:posOffset>
                </wp:positionV>
                <wp:extent cx="3495675" cy="4000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3495675" cy="40005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6BDAF" w14:textId="3264BDED" w:rsidR="001966EF" w:rsidRPr="001107F1" w:rsidRDefault="001966EF" w:rsidP="002414EF">
                            <w:pPr>
                              <w:shd w:val="clear" w:color="auto" w:fill="4F81BD" w:themeFill="accent1"/>
                              <w:ind w:left="-142" w:firstLine="142"/>
                              <w:rPr>
                                <w:rFonts w:ascii="Arial" w:hAnsi="Arial" w:cs="Arial"/>
                                <w:b/>
                                <w:bCs/>
                                <w:color w:val="FFFFFF" w:themeColor="background1"/>
                              </w:rPr>
                            </w:pPr>
                            <w:r w:rsidRPr="001107F1">
                              <w:rPr>
                                <w:rFonts w:ascii="Arial" w:hAnsi="Arial" w:cs="Arial"/>
                                <w:b/>
                                <w:bCs/>
                                <w:color w:val="FFFFFF" w:themeColor="background1"/>
                              </w:rPr>
                              <w:t>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9C91B2C" id="Rectángulo 21" o:spid="_x0000_s1029" style="position:absolute;left:0;text-align:left;margin-left:23.95pt;margin-top:12.1pt;width:275.25pt;height:31.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" fillcolor="#4f81bd [3204]" strokecolor="#4f81bd [3204]" strokeweight="2pt">
                <v:textbox>
                  <w:txbxContent>
                    <w:p w14:paraId="5F56BDAF" w14:textId="3264BDED" w:rsidR="001966EF" w:rsidRPr="001107F1" w:rsidRDefault="001966EF" w:rsidP="002414EF">
                      <w:pPr>
                        <w:shd w:val="clear" w:color="auto" w:fill="4F81BD" w:themeFill="accent1"/>
                        <w:ind w:left="-142" w:firstLine="142"/>
                        <w:rPr>
                          <w:rFonts w:ascii="Arial" w:hAnsi="Arial" w:cs="Arial"/>
                          <w:b/>
                          <w:bCs/>
                          <w:color w:val="FFFFFF" w:themeColor="background1"/>
                        </w:rPr>
                      </w:pPr>
                      <w:r w:rsidRPr="001107F1">
                        <w:rPr>
                          <w:rFonts w:ascii="Arial" w:hAnsi="Arial" w:cs="Arial"/>
                          <w:b/>
                          <w:bCs/>
                          <w:color w:val="FFFFFF" w:themeColor="background1"/>
                        </w:rPr>
                        <w:t>Alcance</w:t>
                      </w:r>
                    </w:p>
                  </w:txbxContent>
                </v:textbox>
              </v:rect>
            </w:pict>
          </mc:Fallback>
        </mc:AlternateContent>
      </w:r>
    </w:p>
    <w:p w14:paraId="7E4E4D85" w14:textId="06045F50" w:rsidR="009B64ED" w:rsidRPr="00CA48AF" w:rsidRDefault="000509F0" w:rsidP="003A3B14">
      <w:pPr>
        <w:jc w:val="both"/>
        <w:rPr>
          <w:rFonts w:ascii="Arial" w:hAnsi="Arial" w:cs="Arial"/>
          <w:sz w:val="22"/>
          <w:szCs w:val="22"/>
        </w:rPr>
      </w:pPr>
      <w:r w:rsidRPr="00CA48AF">
        <w:rPr>
          <w:rFonts w:ascii="Arial" w:hAnsi="Arial" w:cs="Arial"/>
          <w:noProof/>
          <w:sz w:val="22"/>
          <w:szCs w:val="22"/>
          <w:lang w:val="en-US" w:eastAsia="en-US"/>
        </w:rPr>
        <mc:AlternateContent>
          <mc:Choice Requires="wps">
            <w:drawing>
              <wp:anchor distT="0" distB="0" distL="114300" distR="114300" simplePos="0" relativeHeight="252296192" behindDoc="0" locked="0" layoutInCell="1" allowOverlap="1" wp14:anchorId="642C53C3" wp14:editId="347C62B2">
                <wp:simplePos x="0" y="0"/>
                <wp:positionH relativeFrom="margin">
                  <wp:align>right</wp:align>
                </wp:positionH>
                <wp:positionV relativeFrom="paragraph">
                  <wp:posOffset>106045</wp:posOffset>
                </wp:positionV>
                <wp:extent cx="6105525" cy="187642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6105525" cy="1876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65E66F" w14:textId="77777777" w:rsidR="001966EF" w:rsidRDefault="001966EF" w:rsidP="004E1837">
                            <w:pPr>
                              <w:rPr>
                                <w:rFonts w:ascii="Arial" w:hAnsi="Arial" w:cs="Arial"/>
                                <w:sz w:val="22"/>
                                <w:szCs w:val="22"/>
                              </w:rPr>
                            </w:pPr>
                          </w:p>
                          <w:p w14:paraId="7E98ECA3" w14:textId="77777777" w:rsidR="001966EF" w:rsidRDefault="001966EF" w:rsidP="004E1837">
                            <w:pPr>
                              <w:rPr>
                                <w:rFonts w:ascii="Arial" w:hAnsi="Arial" w:cs="Arial"/>
                                <w:sz w:val="22"/>
                                <w:szCs w:val="22"/>
                              </w:rPr>
                            </w:pPr>
                          </w:p>
                          <w:p w14:paraId="45A70117" w14:textId="0962BEEB" w:rsidR="001966EF" w:rsidRPr="00952493" w:rsidRDefault="001966EF" w:rsidP="00D90499">
                            <w:pPr>
                              <w:pStyle w:val="Prrafodelista"/>
                              <w:numPr>
                                <w:ilvl w:val="0"/>
                                <w:numId w:val="19"/>
                              </w:numPr>
                              <w:rPr>
                                <w:rFonts w:ascii="Arial" w:hAnsi="Arial" w:cs="Arial"/>
                                <w:color w:val="0F243E" w:themeColor="text2" w:themeShade="80"/>
                                <w:sz w:val="20"/>
                                <w:szCs w:val="20"/>
                              </w:rPr>
                            </w:pPr>
                            <w:r w:rsidRPr="00952493">
                              <w:rPr>
                                <w:rFonts w:ascii="Arial" w:hAnsi="Arial" w:cs="Arial"/>
                                <w:color w:val="0F243E" w:themeColor="text2" w:themeShade="80"/>
                                <w:sz w:val="20"/>
                                <w:szCs w:val="20"/>
                              </w:rPr>
                              <w:t>Para los conceptos que no presentaron impactos en el valor del gasto y el consumo y/o cantidades, toda vez que no fueron objeto de aplicación de las medidas tomadas por este Ministerio derivadas de la Emergencia Económica, Social y Ecológica, el análisis y la comparación se efectuará estableciendo las variaciones del periodo correspondiente al tercer trimestre de 2020 con igual periodo del año 2019.</w:t>
                            </w:r>
                          </w:p>
                          <w:p w14:paraId="6A6E8E5E" w14:textId="31F957B8" w:rsidR="001966EF" w:rsidRPr="00952493" w:rsidRDefault="001966EF" w:rsidP="005F4091">
                            <w:pPr>
                              <w:pStyle w:val="Prrafodelista"/>
                              <w:spacing w:line="168" w:lineRule="auto"/>
                              <w:ind w:left="357"/>
                              <w:rPr>
                                <w:rFonts w:ascii="Arial" w:hAnsi="Arial" w:cs="Arial"/>
                                <w:color w:val="0F243E" w:themeColor="text2" w:themeShade="80"/>
                                <w:sz w:val="20"/>
                                <w:szCs w:val="20"/>
                              </w:rPr>
                            </w:pPr>
                            <w:r w:rsidRPr="00952493">
                              <w:rPr>
                                <w:rFonts w:ascii="Arial" w:hAnsi="Arial" w:cs="Arial"/>
                                <w:color w:val="0F243E" w:themeColor="text2" w:themeShade="80"/>
                                <w:sz w:val="20"/>
                                <w:szCs w:val="20"/>
                              </w:rPr>
                              <w:t xml:space="preserve"> </w:t>
                            </w:r>
                          </w:p>
                          <w:p w14:paraId="02F0C507" w14:textId="16AC799B" w:rsidR="001966EF" w:rsidRPr="00952493" w:rsidRDefault="001966EF" w:rsidP="00D90499">
                            <w:pPr>
                              <w:pStyle w:val="Prrafodelista"/>
                              <w:numPr>
                                <w:ilvl w:val="0"/>
                                <w:numId w:val="19"/>
                              </w:numPr>
                              <w:rPr>
                                <w:rFonts w:ascii="Arial" w:hAnsi="Arial" w:cs="Arial"/>
                                <w:color w:val="0F243E" w:themeColor="text2" w:themeShade="80"/>
                                <w:sz w:val="20"/>
                                <w:szCs w:val="20"/>
                              </w:rPr>
                            </w:pPr>
                            <w:r w:rsidRPr="00952493">
                              <w:rPr>
                                <w:rFonts w:ascii="Arial" w:hAnsi="Arial" w:cs="Arial"/>
                                <w:color w:val="0F243E" w:themeColor="text2" w:themeShade="80"/>
                                <w:sz w:val="20"/>
                                <w:szCs w:val="20"/>
                              </w:rPr>
                              <w:t xml:space="preserve">Con respecto a los conceptos de gastos objeto de revisión bajo el marco de la austeridad del gasto, en los cuales influyeron las medidas adoptadas por este Ministerio en virtud de la Emergencia Económica, Social y Ecológica, el desarrollo de este seguimiento estará orientado a determinar el impacto generado en lo referente a las variables de consumo y/o cantidades y el valor de gasto para dichos conceptos, según cada caso. </w:t>
                            </w:r>
                          </w:p>
                          <w:p w14:paraId="7AD99ECF" w14:textId="77777777" w:rsidR="001966EF" w:rsidRPr="004E1837" w:rsidRDefault="001966EF" w:rsidP="004E1837">
                            <w:pPr>
                              <w:pStyle w:val="Prrafodelista"/>
                              <w:ind w:left="360"/>
                              <w:rPr>
                                <w:rFonts w:ascii="Arial" w:hAnsi="Arial" w:cs="Arial"/>
                                <w:color w:val="000000" w:themeColor="text1"/>
                                <w:sz w:val="20"/>
                                <w:szCs w:val="20"/>
                              </w:rPr>
                            </w:pPr>
                          </w:p>
                          <w:p w14:paraId="354F809A" w14:textId="77777777" w:rsidR="001966EF" w:rsidRPr="004E1837" w:rsidRDefault="001966EF" w:rsidP="001107F1">
                            <w:pPr>
                              <w:pStyle w:val="Prrafodelista"/>
                              <w:ind w:left="360"/>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42C53C3" id="Rectángulo 20" o:spid="_x0000_s1030" style="position:absolute;left:0;text-align:left;margin-left:429.55pt;margin-top:8.35pt;width:480.75pt;height:147.75pt;z-index:25229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" fillcolor="white [3212]" strokecolor="#243f60 [1604]" strokeweight="2pt">
                <v:textbox>
                  <w:txbxContent>
                    <w:p w14:paraId="6B65E66F" w14:textId="77777777" w:rsidR="001966EF" w:rsidRDefault="001966EF" w:rsidP="004E1837">
                      <w:pPr>
                        <w:rPr>
                          <w:rFonts w:ascii="Arial" w:hAnsi="Arial" w:cs="Arial"/>
                          <w:sz w:val="22"/>
                          <w:szCs w:val="22"/>
                        </w:rPr>
                      </w:pPr>
                    </w:p>
                    <w:p w14:paraId="7E98ECA3" w14:textId="77777777" w:rsidR="001966EF" w:rsidRDefault="001966EF" w:rsidP="004E1837">
                      <w:pPr>
                        <w:rPr>
                          <w:rFonts w:ascii="Arial" w:hAnsi="Arial" w:cs="Arial"/>
                          <w:sz w:val="22"/>
                          <w:szCs w:val="22"/>
                        </w:rPr>
                      </w:pPr>
                    </w:p>
                    <w:p w14:paraId="45A70117" w14:textId="0962BEEB" w:rsidR="001966EF" w:rsidRPr="00952493" w:rsidRDefault="001966EF" w:rsidP="00D90499">
                      <w:pPr>
                        <w:pStyle w:val="Prrafodelista"/>
                        <w:numPr>
                          <w:ilvl w:val="0"/>
                          <w:numId w:val="19"/>
                        </w:numPr>
                        <w:rPr>
                          <w:rFonts w:ascii="Arial" w:hAnsi="Arial" w:cs="Arial"/>
                          <w:color w:val="0F243E" w:themeColor="text2" w:themeShade="80"/>
                          <w:sz w:val="20"/>
                          <w:szCs w:val="20"/>
                        </w:rPr>
                      </w:pPr>
                      <w:r w:rsidRPr="00952493">
                        <w:rPr>
                          <w:rFonts w:ascii="Arial" w:hAnsi="Arial" w:cs="Arial"/>
                          <w:color w:val="0F243E" w:themeColor="text2" w:themeShade="80"/>
                          <w:sz w:val="20"/>
                          <w:szCs w:val="20"/>
                        </w:rPr>
                        <w:t>Para los conceptos que no presentaron impactos en el valor del gasto y el consumo y/o cantidades, toda vez que no fueron objeto de aplicación de las medidas tomadas por este Ministerio derivadas de la Emergencia Económica, Social y Ecológica, el análisis y la comparación se efectuará estableciendo las variaciones del periodo correspondiente al tercer trimestre de 2020 con igual periodo del año 2019.</w:t>
                      </w:r>
                    </w:p>
                    <w:p w14:paraId="6A6E8E5E" w14:textId="31F957B8" w:rsidR="001966EF" w:rsidRPr="00952493" w:rsidRDefault="001966EF" w:rsidP="005F4091">
                      <w:pPr>
                        <w:pStyle w:val="Prrafodelista"/>
                        <w:spacing w:line="168" w:lineRule="auto"/>
                        <w:ind w:left="357"/>
                        <w:rPr>
                          <w:rFonts w:ascii="Arial" w:hAnsi="Arial" w:cs="Arial"/>
                          <w:color w:val="0F243E" w:themeColor="text2" w:themeShade="80"/>
                          <w:sz w:val="20"/>
                          <w:szCs w:val="20"/>
                        </w:rPr>
                      </w:pPr>
                      <w:r w:rsidRPr="00952493">
                        <w:rPr>
                          <w:rFonts w:ascii="Arial" w:hAnsi="Arial" w:cs="Arial"/>
                          <w:color w:val="0F243E" w:themeColor="text2" w:themeShade="80"/>
                          <w:sz w:val="20"/>
                          <w:szCs w:val="20"/>
                        </w:rPr>
                        <w:t xml:space="preserve"> </w:t>
                      </w:r>
                    </w:p>
                    <w:p w14:paraId="02F0C507" w14:textId="16AC799B" w:rsidR="001966EF" w:rsidRPr="00952493" w:rsidRDefault="001966EF" w:rsidP="00D90499">
                      <w:pPr>
                        <w:pStyle w:val="Prrafodelista"/>
                        <w:numPr>
                          <w:ilvl w:val="0"/>
                          <w:numId w:val="19"/>
                        </w:numPr>
                        <w:rPr>
                          <w:rFonts w:ascii="Arial" w:hAnsi="Arial" w:cs="Arial"/>
                          <w:color w:val="0F243E" w:themeColor="text2" w:themeShade="80"/>
                          <w:sz w:val="20"/>
                          <w:szCs w:val="20"/>
                        </w:rPr>
                      </w:pPr>
                      <w:r w:rsidRPr="00952493">
                        <w:rPr>
                          <w:rFonts w:ascii="Arial" w:hAnsi="Arial" w:cs="Arial"/>
                          <w:color w:val="0F243E" w:themeColor="text2" w:themeShade="80"/>
                          <w:sz w:val="20"/>
                          <w:szCs w:val="20"/>
                        </w:rPr>
                        <w:t xml:space="preserve">Con respecto a los conceptos de gastos objeto de revisión bajo el marco de la austeridad del gasto, en los cuales influyeron las medidas adoptadas por este Ministerio en virtud de la Emergencia Económica, Social y Ecológica, el desarrollo de este seguimiento estará orientado a determinar el impacto generado en lo referente a las variables de consumo y/o cantidades y el valor de gasto para dichos conceptos, según cada caso. </w:t>
                      </w:r>
                    </w:p>
                    <w:p w14:paraId="7AD99ECF" w14:textId="77777777" w:rsidR="001966EF" w:rsidRPr="004E1837" w:rsidRDefault="001966EF" w:rsidP="004E1837">
                      <w:pPr>
                        <w:pStyle w:val="Prrafodelista"/>
                        <w:ind w:left="360"/>
                        <w:rPr>
                          <w:rFonts w:ascii="Arial" w:hAnsi="Arial" w:cs="Arial"/>
                          <w:color w:val="000000" w:themeColor="text1"/>
                          <w:sz w:val="20"/>
                          <w:szCs w:val="20"/>
                        </w:rPr>
                      </w:pPr>
                    </w:p>
                    <w:p w14:paraId="354F809A" w14:textId="77777777" w:rsidR="001966EF" w:rsidRPr="004E1837" w:rsidRDefault="001966EF" w:rsidP="001107F1">
                      <w:pPr>
                        <w:pStyle w:val="Prrafodelista"/>
                        <w:ind w:left="360"/>
                        <w:rPr>
                          <w:rFonts w:ascii="Arial" w:hAnsi="Arial" w:cs="Arial"/>
                          <w:color w:val="000000" w:themeColor="text1"/>
                          <w:sz w:val="20"/>
                          <w:szCs w:val="20"/>
                        </w:rPr>
                      </w:pPr>
                    </w:p>
                  </w:txbxContent>
                </v:textbox>
                <w10:wrap anchorx="margin"/>
              </v:rect>
            </w:pict>
          </mc:Fallback>
        </mc:AlternateContent>
      </w:r>
    </w:p>
    <w:p w14:paraId="499D182D" w14:textId="08A12671" w:rsidR="009B64ED" w:rsidRPr="00CA48AF" w:rsidRDefault="009B64ED" w:rsidP="003A3B14">
      <w:pPr>
        <w:jc w:val="both"/>
        <w:rPr>
          <w:rFonts w:ascii="Arial" w:hAnsi="Arial" w:cs="Arial"/>
          <w:color w:val="000000" w:themeColor="text1"/>
          <w:sz w:val="22"/>
          <w:szCs w:val="22"/>
        </w:rPr>
      </w:pPr>
    </w:p>
    <w:p w14:paraId="14B80868" w14:textId="3F59ECDC" w:rsidR="001127A6" w:rsidRPr="00CA48AF" w:rsidRDefault="001127A6" w:rsidP="006C7269">
      <w:pPr>
        <w:rPr>
          <w:rFonts w:ascii="Arial" w:hAnsi="Arial" w:cs="Arial"/>
          <w:sz w:val="22"/>
          <w:szCs w:val="22"/>
        </w:rPr>
      </w:pPr>
    </w:p>
    <w:p w14:paraId="3DCB3884" w14:textId="77777777" w:rsidR="00FA256B" w:rsidRPr="00CA48AF" w:rsidRDefault="00FA256B" w:rsidP="00433B40">
      <w:pPr>
        <w:jc w:val="both"/>
        <w:rPr>
          <w:rFonts w:ascii="Arial" w:hAnsi="Arial" w:cs="Arial"/>
          <w:sz w:val="22"/>
          <w:szCs w:val="22"/>
        </w:rPr>
      </w:pPr>
    </w:p>
    <w:p w14:paraId="17C0BE89" w14:textId="47DC32FD" w:rsidR="00040B49" w:rsidRPr="00CA48AF" w:rsidRDefault="00040B49" w:rsidP="00433B40">
      <w:pPr>
        <w:jc w:val="both"/>
        <w:rPr>
          <w:rFonts w:ascii="Arial" w:hAnsi="Arial" w:cs="Arial"/>
          <w:sz w:val="22"/>
          <w:szCs w:val="22"/>
          <w:highlight w:val="yellow"/>
        </w:rPr>
      </w:pPr>
    </w:p>
    <w:p w14:paraId="659CED5F" w14:textId="504B5111" w:rsidR="00040B49" w:rsidRPr="00CA48AF" w:rsidRDefault="00040B49" w:rsidP="00433B40">
      <w:pPr>
        <w:jc w:val="both"/>
        <w:rPr>
          <w:rFonts w:ascii="Arial" w:hAnsi="Arial" w:cs="Arial"/>
          <w:sz w:val="22"/>
          <w:szCs w:val="22"/>
          <w:highlight w:val="yellow"/>
        </w:rPr>
      </w:pPr>
    </w:p>
    <w:p w14:paraId="7471E72B" w14:textId="50BE4F56" w:rsidR="00040B49" w:rsidRPr="00CA48AF" w:rsidRDefault="00040B49" w:rsidP="00433B40">
      <w:pPr>
        <w:jc w:val="both"/>
        <w:rPr>
          <w:rFonts w:ascii="Arial" w:hAnsi="Arial" w:cs="Arial"/>
          <w:sz w:val="22"/>
          <w:szCs w:val="22"/>
          <w:highlight w:val="yellow"/>
        </w:rPr>
      </w:pPr>
    </w:p>
    <w:p w14:paraId="2FF673AE" w14:textId="1CC0A118" w:rsidR="00040B49" w:rsidRPr="00CA48AF" w:rsidRDefault="00040B49" w:rsidP="00433B40">
      <w:pPr>
        <w:jc w:val="both"/>
        <w:rPr>
          <w:rFonts w:ascii="Arial" w:hAnsi="Arial" w:cs="Arial"/>
          <w:sz w:val="22"/>
          <w:szCs w:val="22"/>
          <w:highlight w:val="yellow"/>
        </w:rPr>
      </w:pPr>
    </w:p>
    <w:p w14:paraId="24F0E91E" w14:textId="77777777" w:rsidR="00040B49" w:rsidRPr="00CA48AF" w:rsidRDefault="00040B49" w:rsidP="00433B40">
      <w:pPr>
        <w:jc w:val="both"/>
        <w:rPr>
          <w:rFonts w:ascii="Arial" w:hAnsi="Arial" w:cs="Arial"/>
          <w:sz w:val="22"/>
          <w:szCs w:val="22"/>
          <w:highlight w:val="yellow"/>
        </w:rPr>
      </w:pPr>
    </w:p>
    <w:p w14:paraId="1BCD654F" w14:textId="77777777" w:rsidR="00040B49" w:rsidRPr="00CA48AF" w:rsidRDefault="00040B49" w:rsidP="00433B40">
      <w:pPr>
        <w:jc w:val="both"/>
        <w:rPr>
          <w:rFonts w:ascii="Arial" w:hAnsi="Arial" w:cs="Arial"/>
          <w:sz w:val="22"/>
          <w:szCs w:val="22"/>
          <w:highlight w:val="yellow"/>
        </w:rPr>
      </w:pPr>
    </w:p>
    <w:p w14:paraId="6B5A52FD" w14:textId="77777777" w:rsidR="00040B49" w:rsidRPr="00CA48AF" w:rsidRDefault="00040B49" w:rsidP="00433B40">
      <w:pPr>
        <w:jc w:val="both"/>
        <w:rPr>
          <w:rFonts w:ascii="Arial" w:hAnsi="Arial" w:cs="Arial"/>
          <w:sz w:val="22"/>
          <w:szCs w:val="22"/>
          <w:highlight w:val="yellow"/>
        </w:rPr>
      </w:pPr>
    </w:p>
    <w:p w14:paraId="31BDAE7D" w14:textId="77777777" w:rsidR="00040B49" w:rsidRPr="00CA48AF" w:rsidRDefault="00040B49" w:rsidP="00433B40">
      <w:pPr>
        <w:jc w:val="both"/>
        <w:rPr>
          <w:rFonts w:ascii="Arial" w:hAnsi="Arial" w:cs="Arial"/>
          <w:sz w:val="22"/>
          <w:szCs w:val="22"/>
          <w:highlight w:val="yellow"/>
        </w:rPr>
      </w:pPr>
    </w:p>
    <w:p w14:paraId="299D9D85" w14:textId="4C1E2D79" w:rsidR="00040B49" w:rsidRPr="00CA48AF" w:rsidRDefault="000509F0" w:rsidP="00433B40">
      <w:pPr>
        <w:jc w:val="both"/>
        <w:rPr>
          <w:rFonts w:ascii="Arial" w:hAnsi="Arial" w:cs="Arial"/>
          <w:sz w:val="22"/>
          <w:szCs w:val="22"/>
          <w:highlight w:val="yellow"/>
        </w:rPr>
      </w:pPr>
      <w:r w:rsidRPr="00CA48AF">
        <w:rPr>
          <w:rFonts w:ascii="Arial" w:hAnsi="Arial" w:cs="Arial"/>
          <w:noProof/>
          <w:sz w:val="22"/>
          <w:szCs w:val="22"/>
          <w:lang w:val="en-US" w:eastAsia="en-US"/>
        </w:rPr>
        <w:lastRenderedPageBreak/>
        <mc:AlternateContent>
          <mc:Choice Requires="wps">
            <w:drawing>
              <wp:anchor distT="0" distB="0" distL="114300" distR="114300" simplePos="0" relativeHeight="252302336" behindDoc="0" locked="0" layoutInCell="1" allowOverlap="1" wp14:anchorId="52BC80BD" wp14:editId="0142B9E9">
                <wp:simplePos x="0" y="0"/>
                <wp:positionH relativeFrom="column">
                  <wp:posOffset>457200</wp:posOffset>
                </wp:positionH>
                <wp:positionV relativeFrom="paragraph">
                  <wp:posOffset>0</wp:posOffset>
                </wp:positionV>
                <wp:extent cx="3514725" cy="438150"/>
                <wp:effectExtent l="0" t="0" r="28575" b="19050"/>
                <wp:wrapNone/>
                <wp:docPr id="31" name="Rectángulo 31"/>
                <wp:cNvGraphicFramePr/>
                <a:graphic xmlns:a="http://schemas.openxmlformats.org/drawingml/2006/main">
                  <a:graphicData uri="http://schemas.microsoft.com/office/word/2010/wordprocessingShape">
                    <wps:wsp>
                      <wps:cNvSpPr/>
                      <wps:spPr>
                        <a:xfrm>
                          <a:off x="0" y="0"/>
                          <a:ext cx="3514725" cy="43815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14F07" w14:textId="627912DE" w:rsidR="001966EF" w:rsidRPr="001107F1" w:rsidRDefault="001966EF" w:rsidP="002414EF">
                            <w:pPr>
                              <w:shd w:val="clear" w:color="auto" w:fill="4F81BD" w:themeFill="accent1"/>
                              <w:ind w:left="-142" w:firstLine="142"/>
                              <w:rPr>
                                <w:rFonts w:ascii="Arial" w:hAnsi="Arial" w:cs="Arial"/>
                                <w:b/>
                                <w:bCs/>
                                <w:color w:val="FFFFFF" w:themeColor="background1"/>
                              </w:rPr>
                            </w:pPr>
                            <w:r>
                              <w:rPr>
                                <w:rFonts w:ascii="Arial" w:hAnsi="Arial" w:cs="Arial"/>
                                <w:b/>
                                <w:bCs/>
                                <w:color w:val="FFFFFF" w:themeColor="background1"/>
                              </w:rPr>
                              <w:t>Fuente Normativa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BC80BD" id="Rectángulo 31" o:spid="_x0000_s1031" style="position:absolute;left:0;text-align:left;margin-left:36pt;margin-top:0;width:276.75pt;height:34.5pt;z-index:25230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" fillcolor="#4f81bd [3204]" strokecolor="#4f81bd [3204]" strokeweight="2pt">
                <v:textbox>
                  <w:txbxContent>
                    <w:p w14:paraId="77714F07" w14:textId="627912DE" w:rsidR="001966EF" w:rsidRPr="001107F1" w:rsidRDefault="001966EF" w:rsidP="002414EF">
                      <w:pPr>
                        <w:shd w:val="clear" w:color="auto" w:fill="4F81BD" w:themeFill="accent1"/>
                        <w:ind w:left="-142" w:firstLine="142"/>
                        <w:rPr>
                          <w:rFonts w:ascii="Arial" w:hAnsi="Arial" w:cs="Arial"/>
                          <w:b/>
                          <w:bCs/>
                          <w:color w:val="FFFFFF" w:themeColor="background1"/>
                        </w:rPr>
                      </w:pPr>
                      <w:r>
                        <w:rPr>
                          <w:rFonts w:ascii="Arial" w:hAnsi="Arial" w:cs="Arial"/>
                          <w:b/>
                          <w:bCs/>
                          <w:color w:val="FFFFFF" w:themeColor="background1"/>
                        </w:rPr>
                        <w:t>Fuente Normativa</w:t>
                      </w:r>
                    </w:p>
                  </w:txbxContent>
                </v:textbox>
              </v:rect>
            </w:pict>
          </mc:Fallback>
        </mc:AlternateContent>
      </w:r>
      <w:r w:rsidRPr="00CA48AF">
        <w:rPr>
          <w:rFonts w:ascii="Arial" w:hAnsi="Arial" w:cs="Arial"/>
          <w:sz w:val="22"/>
          <w:szCs w:val="22"/>
          <w:highlight w:val="yellow"/>
        </w:rPr>
        <w:t xml:space="preserve">          </w:t>
      </w:r>
    </w:p>
    <w:p w14:paraId="7CB446F9" w14:textId="3CC35E76" w:rsidR="00040B49" w:rsidRPr="00CA48AF" w:rsidRDefault="00ED19EE" w:rsidP="00433B40">
      <w:pPr>
        <w:jc w:val="both"/>
        <w:rPr>
          <w:rFonts w:ascii="Arial" w:hAnsi="Arial" w:cs="Arial"/>
          <w:sz w:val="22"/>
          <w:szCs w:val="22"/>
          <w:highlight w:val="yellow"/>
        </w:rPr>
      </w:pPr>
      <w:r w:rsidRPr="00CA48AF">
        <w:rPr>
          <w:rFonts w:ascii="Arial" w:hAnsi="Arial" w:cs="Arial"/>
          <w:noProof/>
          <w:sz w:val="22"/>
          <w:szCs w:val="22"/>
          <w:lang w:val="en-US" w:eastAsia="en-US"/>
        </w:rPr>
        <mc:AlternateContent>
          <mc:Choice Requires="wps">
            <w:drawing>
              <wp:anchor distT="0" distB="0" distL="114300" distR="114300" simplePos="0" relativeHeight="252300288" behindDoc="0" locked="0" layoutInCell="1" allowOverlap="1" wp14:anchorId="7000458C" wp14:editId="5B20BA5D">
                <wp:simplePos x="0" y="0"/>
                <wp:positionH relativeFrom="margin">
                  <wp:posOffset>-5080</wp:posOffset>
                </wp:positionH>
                <wp:positionV relativeFrom="paragraph">
                  <wp:posOffset>114935</wp:posOffset>
                </wp:positionV>
                <wp:extent cx="6210300" cy="4457700"/>
                <wp:effectExtent l="0" t="0" r="19050" b="19050"/>
                <wp:wrapNone/>
                <wp:docPr id="26" name="Rectángulo 26"/>
                <wp:cNvGraphicFramePr/>
                <a:graphic xmlns:a="http://schemas.openxmlformats.org/drawingml/2006/main">
                  <a:graphicData uri="http://schemas.microsoft.com/office/word/2010/wordprocessingShape">
                    <wps:wsp>
                      <wps:cNvSpPr/>
                      <wps:spPr>
                        <a:xfrm>
                          <a:off x="0" y="0"/>
                          <a:ext cx="6210300" cy="44577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C5ECEE" w14:textId="77777777" w:rsidR="001966EF" w:rsidRDefault="001966EF" w:rsidP="00D90499">
                            <w:pPr>
                              <w:spacing w:after="120"/>
                              <w:rPr>
                                <w:rFonts w:ascii="Arial" w:hAnsi="Arial" w:cs="Arial"/>
                                <w:color w:val="0F243E" w:themeColor="text2" w:themeShade="80"/>
                                <w:sz w:val="20"/>
                                <w:szCs w:val="20"/>
                              </w:rPr>
                            </w:pPr>
                          </w:p>
                          <w:p w14:paraId="023C499B" w14:textId="7DA1CF7A"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Decreto 417 de 2020, «</w:t>
                            </w:r>
                            <w:r w:rsidRPr="00903890">
                              <w:rPr>
                                <w:rFonts w:ascii="Arial" w:hAnsi="Arial" w:cs="Arial"/>
                                <w:i/>
                                <w:color w:val="0F243E" w:themeColor="text2" w:themeShade="80"/>
                                <w:sz w:val="20"/>
                                <w:szCs w:val="20"/>
                              </w:rPr>
                              <w:t>Por el cual se declara un Estado de Emergencia Económica, Social y Ecológica en todo el territorio Nacional».</w:t>
                            </w:r>
                          </w:p>
                          <w:p w14:paraId="4B8526D8"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Decreto 457 de 2020, «</w:t>
                            </w:r>
                            <w:r w:rsidRPr="00903890">
                              <w:rPr>
                                <w:rFonts w:ascii="Arial" w:hAnsi="Arial" w:cs="Arial"/>
                                <w:i/>
                                <w:color w:val="0F243E" w:themeColor="text2" w:themeShade="80"/>
                                <w:sz w:val="20"/>
                                <w:szCs w:val="20"/>
                              </w:rPr>
                              <w:t>Por el cual se imparten instrucciones en virtud de la emergencia sanitaria generada por la pandemia del Coronavirus COVID-19».</w:t>
                            </w:r>
                            <w:r w:rsidRPr="00903890">
                              <w:rPr>
                                <w:rFonts w:ascii="Arial" w:hAnsi="Arial" w:cs="Arial"/>
                                <w:color w:val="0F243E" w:themeColor="text2" w:themeShade="80"/>
                                <w:sz w:val="20"/>
                                <w:szCs w:val="20"/>
                              </w:rPr>
                              <w:t xml:space="preserve"> y el</w:t>
                            </w:r>
                          </w:p>
                          <w:p w14:paraId="73ACC69C" w14:textId="33D0CC40"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 xml:space="preserve"> Decreto 520 de 2020, «</w:t>
                            </w:r>
                            <w:r w:rsidRPr="00903890">
                              <w:rPr>
                                <w:rFonts w:ascii="Arial" w:hAnsi="Arial" w:cs="Arial"/>
                                <w:i/>
                                <w:color w:val="0F243E" w:themeColor="text2" w:themeShade="80"/>
                                <w:sz w:val="20"/>
                                <w:szCs w:val="20"/>
                              </w:rPr>
                              <w:t>Por el cual se modifican y adicionan artículos de la Sección 2 del Capítulo 13 Título 1 Parte 6 Libro 1 del Decreto 1625 de 2016, Único Reglamentario en Materia Tributaria».</w:t>
                            </w:r>
                          </w:p>
                          <w:p w14:paraId="3A7944B9" w14:textId="3654579C"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Decreto 558 de 2020, «</w:t>
                            </w:r>
                            <w:r w:rsidRPr="00903890">
                              <w:rPr>
                                <w:rFonts w:ascii="Arial" w:hAnsi="Arial" w:cs="Arial"/>
                                <w:i/>
                                <w:color w:val="0F243E" w:themeColor="text2" w:themeShade="80"/>
                                <w:sz w:val="20"/>
                                <w:szCs w:val="20"/>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p>
                          <w:p w14:paraId="792EBDA0" w14:textId="69E76400"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 xml:space="preserve">Decreto 771 de 2020, </w:t>
                            </w:r>
                            <w:r w:rsidRPr="00903890">
                              <w:rPr>
                                <w:rFonts w:ascii="Arial" w:hAnsi="Arial" w:cs="Arial"/>
                                <w:i/>
                                <w:color w:val="0F243E" w:themeColor="text2" w:themeShade="80"/>
                                <w:sz w:val="20"/>
                                <w:szCs w:val="20"/>
                              </w:rPr>
                              <w:t>«Por el cual se dispone una medida para garantizar el acceso a servicios de conectividad en el marco del Estado de Emergencia Económica, Social y Ecológica en todo el territorio nacional».</w:t>
                            </w:r>
                          </w:p>
                          <w:p w14:paraId="43303FDA" w14:textId="3EDB684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Decreto 1009 de 2020, </w:t>
                            </w:r>
                            <w:r w:rsidRPr="00903890">
                              <w:rPr>
                                <w:rFonts w:ascii="Arial" w:hAnsi="Arial" w:cs="Arial"/>
                                <w:i/>
                                <w:iCs/>
                                <w:color w:val="0F243E" w:themeColor="text2" w:themeShade="80"/>
                                <w:sz w:val="20"/>
                                <w:szCs w:val="20"/>
                              </w:rPr>
                              <w:t>«Por el cual se establece el Plan de Austeridad del Gasto».</w:t>
                            </w:r>
                            <w:r w:rsidRPr="00903890">
                              <w:rPr>
                                <w:rFonts w:ascii="Arial" w:hAnsi="Arial" w:cs="Arial"/>
                                <w:color w:val="0F243E" w:themeColor="text2" w:themeShade="80"/>
                                <w:sz w:val="20"/>
                                <w:szCs w:val="20"/>
                              </w:rPr>
                              <w:t xml:space="preserve"> </w:t>
                            </w:r>
                          </w:p>
                          <w:p w14:paraId="14145D7D"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Decreto 1068 de 2015, </w:t>
                            </w:r>
                            <w:r w:rsidRPr="00903890">
                              <w:rPr>
                                <w:rFonts w:ascii="Arial" w:hAnsi="Arial" w:cs="Arial"/>
                                <w:i/>
                                <w:iCs/>
                                <w:color w:val="0F243E" w:themeColor="text2" w:themeShade="80"/>
                                <w:sz w:val="20"/>
                                <w:szCs w:val="20"/>
                              </w:rPr>
                              <w:t>«Por medio del cual se expide el Decreto Único Reglamentario del Sector Hacienda y Crédito Público, que compiló los Decretos 26, 1737, 1738 y 2209 de 1998 y 984 de 2012, artículo 2.8.4.8.2 y Parte 8, Título 4».</w:t>
                            </w:r>
                            <w:r w:rsidRPr="00903890">
                              <w:rPr>
                                <w:rFonts w:ascii="Arial" w:hAnsi="Arial" w:cs="Arial"/>
                                <w:color w:val="0F243E" w:themeColor="text2" w:themeShade="80"/>
                                <w:sz w:val="20"/>
                                <w:szCs w:val="20"/>
                              </w:rPr>
                              <w:t xml:space="preserve"> </w:t>
                            </w:r>
                          </w:p>
                          <w:p w14:paraId="2D0E5EAB" w14:textId="674C16A6" w:rsidR="001966EF" w:rsidRPr="00903890" w:rsidRDefault="001966EF" w:rsidP="003F6634">
                            <w:pPr>
                              <w:pStyle w:val="Prrafodelista"/>
                              <w:numPr>
                                <w:ilvl w:val="0"/>
                                <w:numId w:val="20"/>
                              </w:numPr>
                              <w:tabs>
                                <w:tab w:val="clear" w:pos="720"/>
                                <w:tab w:val="num"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Resolución Interna 1016 de 2019, </w:t>
                            </w:r>
                            <w:r w:rsidRPr="00903890">
                              <w:rPr>
                                <w:rFonts w:ascii="Arial" w:hAnsi="Arial" w:cs="Arial"/>
                                <w:i/>
                                <w:iCs/>
                                <w:color w:val="0F243E" w:themeColor="text2" w:themeShade="80"/>
                                <w:sz w:val="20"/>
                                <w:szCs w:val="20"/>
                              </w:rPr>
                              <w:t>«Por la cual se modifica la Resolución 2509 de 30 de julio de 2013».</w:t>
                            </w:r>
                          </w:p>
                          <w:p w14:paraId="1B52A31C"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Resolución Interna 4264 de 2014</w:t>
                            </w:r>
                            <w:r w:rsidRPr="00903890">
                              <w:rPr>
                                <w:rFonts w:ascii="Arial" w:hAnsi="Arial" w:cs="Arial"/>
                                <w:i/>
                                <w:iCs/>
                                <w:color w:val="0F243E" w:themeColor="text2" w:themeShade="80"/>
                                <w:sz w:val="20"/>
                                <w:szCs w:val="20"/>
                              </w:rPr>
                              <w:t>, «Por la cual se recopila y modifican las normas que regulan algunas situaciones administrativas y se dictan otras disposiciones».</w:t>
                            </w:r>
                          </w:p>
                          <w:p w14:paraId="4C482C9B"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Directiva Presidencial No. 09 de 2018. </w:t>
                            </w:r>
                            <w:r w:rsidRPr="00903890">
                              <w:rPr>
                                <w:rFonts w:ascii="Arial" w:hAnsi="Arial" w:cs="Arial"/>
                                <w:i/>
                                <w:iCs/>
                                <w:color w:val="0F243E" w:themeColor="text2" w:themeShade="80"/>
                                <w:sz w:val="20"/>
                                <w:szCs w:val="20"/>
                              </w:rPr>
                              <w:t xml:space="preserve">«Por la cual se imparten instrucciones </w:t>
                            </w:r>
                            <w:r w:rsidRPr="00903890">
                              <w:rPr>
                                <w:rFonts w:ascii="Arial" w:hAnsi="Arial" w:cs="Arial"/>
                                <w:color w:val="0F243E" w:themeColor="text2" w:themeShade="80"/>
                                <w:sz w:val="20"/>
                                <w:szCs w:val="20"/>
                              </w:rPr>
                              <w:t>en el marco del Plan de Austeridad iniciado por el Gobierno Nacional y deroga la Directiva No. 01 del 10 febrero de 2016</w:t>
                            </w:r>
                            <w:r w:rsidRPr="00903890">
                              <w:rPr>
                                <w:rFonts w:ascii="Arial" w:hAnsi="Arial" w:cs="Arial"/>
                                <w:i/>
                                <w:iCs/>
                                <w:color w:val="0F243E" w:themeColor="text2" w:themeShade="80"/>
                                <w:sz w:val="20"/>
                                <w:szCs w:val="20"/>
                              </w:rPr>
                              <w:t>»</w:t>
                            </w:r>
                            <w:r w:rsidRPr="00903890">
                              <w:rPr>
                                <w:rFonts w:ascii="Arial" w:hAnsi="Arial" w:cs="Arial"/>
                                <w:color w:val="0F243E" w:themeColor="text2" w:themeShade="80"/>
                                <w:sz w:val="20"/>
                                <w:szCs w:val="20"/>
                              </w:rPr>
                              <w:t xml:space="preserve">. </w:t>
                            </w:r>
                          </w:p>
                          <w:p w14:paraId="07E4226F" w14:textId="77777777" w:rsidR="001966EF" w:rsidRPr="00903890" w:rsidRDefault="001966EF" w:rsidP="003F6634">
                            <w:pPr>
                              <w:pStyle w:val="Prrafodelista"/>
                              <w:numPr>
                                <w:ilvl w:val="0"/>
                                <w:numId w:val="20"/>
                              </w:numPr>
                              <w:tabs>
                                <w:tab w:val="clear" w:pos="720"/>
                                <w:tab w:val="left" w:pos="284"/>
                              </w:tabs>
                              <w:ind w:left="284" w:hanging="284"/>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Circular Interna 005 de 2019, </w:t>
                            </w:r>
                            <w:r w:rsidRPr="00903890">
                              <w:rPr>
                                <w:rFonts w:ascii="Arial" w:hAnsi="Arial" w:cs="Arial"/>
                                <w:i/>
                                <w:iCs/>
                                <w:color w:val="0F243E" w:themeColor="text2" w:themeShade="80"/>
                                <w:sz w:val="20"/>
                                <w:szCs w:val="20"/>
                              </w:rPr>
                              <w:t>«Medida de austeridad para las comisiones de servicio, tiquetes aéreos y viáticos».</w:t>
                            </w:r>
                          </w:p>
                          <w:p w14:paraId="548694E1" w14:textId="3794046E" w:rsidR="001966EF" w:rsidRPr="00903890" w:rsidRDefault="001966EF" w:rsidP="003F6634">
                            <w:pPr>
                              <w:pStyle w:val="Prrafodelista"/>
                              <w:tabs>
                                <w:tab w:val="left" w:pos="567"/>
                              </w:tabs>
                              <w:ind w:left="360"/>
                              <w:rPr>
                                <w:rFonts w:ascii="Arial" w:hAnsi="Arial" w:cs="Arial"/>
                                <w:color w:val="0F243E" w:themeColor="text2" w:themeShade="8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000458C" id="Rectángulo 26" o:spid="_x0000_s1032" style="position:absolute;left:0;text-align:left;margin-left:-.4pt;margin-top:9.05pt;width:489pt;height:351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" fillcolor="white [3212]" strokecolor="#243f60 [1604]" strokeweight="2pt">
                <v:textbox>
                  <w:txbxContent>
                    <w:p w14:paraId="17C5ECEE" w14:textId="77777777" w:rsidR="001966EF" w:rsidRDefault="001966EF" w:rsidP="00D90499">
                      <w:pPr>
                        <w:spacing w:after="120"/>
                        <w:rPr>
                          <w:rFonts w:ascii="Arial" w:hAnsi="Arial" w:cs="Arial"/>
                          <w:color w:val="0F243E" w:themeColor="text2" w:themeShade="80"/>
                          <w:sz w:val="20"/>
                          <w:szCs w:val="20"/>
                        </w:rPr>
                      </w:pPr>
                    </w:p>
                    <w:p w14:paraId="023C499B" w14:textId="7DA1CF7A"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Decreto 417 de 2020, «</w:t>
                      </w:r>
                      <w:r w:rsidRPr="00903890">
                        <w:rPr>
                          <w:rFonts w:ascii="Arial" w:hAnsi="Arial" w:cs="Arial"/>
                          <w:i/>
                          <w:color w:val="0F243E" w:themeColor="text2" w:themeShade="80"/>
                          <w:sz w:val="20"/>
                          <w:szCs w:val="20"/>
                        </w:rPr>
                        <w:t>Por el cual se declara un Estado de Emergencia Económica, Social y Ecológica en todo el territorio Nacional».</w:t>
                      </w:r>
                    </w:p>
                    <w:p w14:paraId="4B8526D8"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Decreto 457 de 2020, «</w:t>
                      </w:r>
                      <w:r w:rsidRPr="00903890">
                        <w:rPr>
                          <w:rFonts w:ascii="Arial" w:hAnsi="Arial" w:cs="Arial"/>
                          <w:i/>
                          <w:color w:val="0F243E" w:themeColor="text2" w:themeShade="80"/>
                          <w:sz w:val="20"/>
                          <w:szCs w:val="20"/>
                        </w:rPr>
                        <w:t>Por el cual se imparten instrucciones en virtud de la emergencia sanitaria generada por la pandemia del Coronavirus COVID-19».</w:t>
                      </w:r>
                      <w:r w:rsidRPr="00903890">
                        <w:rPr>
                          <w:rFonts w:ascii="Arial" w:hAnsi="Arial" w:cs="Arial"/>
                          <w:color w:val="0F243E" w:themeColor="text2" w:themeShade="80"/>
                          <w:sz w:val="20"/>
                          <w:szCs w:val="20"/>
                        </w:rPr>
                        <w:t xml:space="preserve"> y el</w:t>
                      </w:r>
                    </w:p>
                    <w:p w14:paraId="73ACC69C" w14:textId="33D0CC40"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 xml:space="preserve"> Decreto 520 de 2020, «</w:t>
                      </w:r>
                      <w:r w:rsidRPr="00903890">
                        <w:rPr>
                          <w:rFonts w:ascii="Arial" w:hAnsi="Arial" w:cs="Arial"/>
                          <w:i/>
                          <w:color w:val="0F243E" w:themeColor="text2" w:themeShade="80"/>
                          <w:sz w:val="20"/>
                          <w:szCs w:val="20"/>
                        </w:rPr>
                        <w:t>Por el cual se modifican y adicionan artículos de la Sección 2 del Capítulo 13 Título 1 Parte 6 Libro 1 del Decreto 1625 de 2016, Único Reglamentario en Materia Tributaria».</w:t>
                      </w:r>
                    </w:p>
                    <w:p w14:paraId="3A7944B9" w14:textId="3654579C"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Decreto 558 de 2020, «</w:t>
                      </w:r>
                      <w:r w:rsidRPr="00903890">
                        <w:rPr>
                          <w:rFonts w:ascii="Arial" w:hAnsi="Arial" w:cs="Arial"/>
                          <w:i/>
                          <w:color w:val="0F243E" w:themeColor="text2" w:themeShade="80"/>
                          <w:sz w:val="20"/>
                          <w:szCs w:val="20"/>
                        </w:rPr>
                        <w:t>Por el cual se implementan medidas para disminuir temporalmente la cotización al Sistema General de Pensiones, proteger a los pensionados bajo la modalidad de retiro programado y se dictan otras disposiciones en el marco del Estado de Emergencia Económica, Social y Ecológica».</w:t>
                      </w:r>
                    </w:p>
                    <w:p w14:paraId="792EBDA0" w14:textId="69E76400"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i/>
                          <w:color w:val="0F243E" w:themeColor="text2" w:themeShade="80"/>
                          <w:sz w:val="20"/>
                          <w:szCs w:val="20"/>
                        </w:rPr>
                      </w:pPr>
                      <w:r w:rsidRPr="00903890">
                        <w:rPr>
                          <w:rFonts w:ascii="Arial" w:hAnsi="Arial" w:cs="Arial"/>
                          <w:color w:val="0F243E" w:themeColor="text2" w:themeShade="80"/>
                          <w:sz w:val="20"/>
                          <w:szCs w:val="20"/>
                        </w:rPr>
                        <w:t xml:space="preserve">Decreto 771 de 2020, </w:t>
                      </w:r>
                      <w:r w:rsidRPr="00903890">
                        <w:rPr>
                          <w:rFonts w:ascii="Arial" w:hAnsi="Arial" w:cs="Arial"/>
                          <w:i/>
                          <w:color w:val="0F243E" w:themeColor="text2" w:themeShade="80"/>
                          <w:sz w:val="20"/>
                          <w:szCs w:val="20"/>
                        </w:rPr>
                        <w:t>«Por el cual se dispone una medida para garantizar el acceso a servicios de conectividad en el marco del Estado de Emergencia Económica, Social y Ecológica en todo el territorio nacional».</w:t>
                      </w:r>
                    </w:p>
                    <w:p w14:paraId="43303FDA" w14:textId="3EDB684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Decreto 1009 de 2020, </w:t>
                      </w:r>
                      <w:r w:rsidRPr="00903890">
                        <w:rPr>
                          <w:rFonts w:ascii="Arial" w:hAnsi="Arial" w:cs="Arial"/>
                          <w:i/>
                          <w:iCs/>
                          <w:color w:val="0F243E" w:themeColor="text2" w:themeShade="80"/>
                          <w:sz w:val="20"/>
                          <w:szCs w:val="20"/>
                        </w:rPr>
                        <w:t>«Por el cual se establece el Plan de Austeridad del Gasto».</w:t>
                      </w:r>
                      <w:r w:rsidRPr="00903890">
                        <w:rPr>
                          <w:rFonts w:ascii="Arial" w:hAnsi="Arial" w:cs="Arial"/>
                          <w:color w:val="0F243E" w:themeColor="text2" w:themeShade="80"/>
                          <w:sz w:val="20"/>
                          <w:szCs w:val="20"/>
                        </w:rPr>
                        <w:t xml:space="preserve"> </w:t>
                      </w:r>
                    </w:p>
                    <w:p w14:paraId="14145D7D"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Decreto 1068 de 2015, </w:t>
                      </w:r>
                      <w:r w:rsidRPr="00903890">
                        <w:rPr>
                          <w:rFonts w:ascii="Arial" w:hAnsi="Arial" w:cs="Arial"/>
                          <w:i/>
                          <w:iCs/>
                          <w:color w:val="0F243E" w:themeColor="text2" w:themeShade="80"/>
                          <w:sz w:val="20"/>
                          <w:szCs w:val="20"/>
                        </w:rPr>
                        <w:t>«Por medio del cual se expide el Decreto Único Reglamentario del Sector Hacienda y Crédito Público, que compiló los Decretos 26, 1737, 1738 y 2209 de 1998 y 984 de 2012, artículo 2.8.4.8.2 y Parte 8, Título 4».</w:t>
                      </w:r>
                      <w:r w:rsidRPr="00903890">
                        <w:rPr>
                          <w:rFonts w:ascii="Arial" w:hAnsi="Arial" w:cs="Arial"/>
                          <w:color w:val="0F243E" w:themeColor="text2" w:themeShade="80"/>
                          <w:sz w:val="20"/>
                          <w:szCs w:val="20"/>
                        </w:rPr>
                        <w:t xml:space="preserve"> </w:t>
                      </w:r>
                    </w:p>
                    <w:p w14:paraId="2D0E5EAB" w14:textId="674C16A6" w:rsidR="001966EF" w:rsidRPr="00903890" w:rsidRDefault="001966EF" w:rsidP="003F6634">
                      <w:pPr>
                        <w:pStyle w:val="Prrafodelista"/>
                        <w:numPr>
                          <w:ilvl w:val="0"/>
                          <w:numId w:val="20"/>
                        </w:numPr>
                        <w:tabs>
                          <w:tab w:val="clear" w:pos="720"/>
                          <w:tab w:val="num"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Resolución Interna 1016 de 2019, </w:t>
                      </w:r>
                      <w:r w:rsidRPr="00903890">
                        <w:rPr>
                          <w:rFonts w:ascii="Arial" w:hAnsi="Arial" w:cs="Arial"/>
                          <w:i/>
                          <w:iCs/>
                          <w:color w:val="0F243E" w:themeColor="text2" w:themeShade="80"/>
                          <w:sz w:val="20"/>
                          <w:szCs w:val="20"/>
                        </w:rPr>
                        <w:t>«Por la cual se modifica la Resolución 2509 de 30 de julio de 2013».</w:t>
                      </w:r>
                    </w:p>
                    <w:p w14:paraId="1B52A31C"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Resolución Interna 4264 de 2014</w:t>
                      </w:r>
                      <w:r w:rsidRPr="00903890">
                        <w:rPr>
                          <w:rFonts w:ascii="Arial" w:hAnsi="Arial" w:cs="Arial"/>
                          <w:i/>
                          <w:iCs/>
                          <w:color w:val="0F243E" w:themeColor="text2" w:themeShade="80"/>
                          <w:sz w:val="20"/>
                          <w:szCs w:val="20"/>
                        </w:rPr>
                        <w:t>, «Por la cual se recopila y modifican las normas que regulan algunas situaciones administrativas y se dictan otras disposiciones».</w:t>
                      </w:r>
                    </w:p>
                    <w:p w14:paraId="4C482C9B" w14:textId="77777777" w:rsidR="001966EF" w:rsidRPr="00903890" w:rsidRDefault="001966EF" w:rsidP="003F6634">
                      <w:pPr>
                        <w:pStyle w:val="Prrafodelista"/>
                        <w:numPr>
                          <w:ilvl w:val="0"/>
                          <w:numId w:val="20"/>
                        </w:numPr>
                        <w:tabs>
                          <w:tab w:val="clear" w:pos="720"/>
                          <w:tab w:val="left" w:pos="284"/>
                        </w:tabs>
                        <w:spacing w:after="120"/>
                        <w:ind w:left="284" w:hanging="284"/>
                        <w:contextualSpacing w:val="0"/>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Directiva Presidencial No. 09 de 2018. </w:t>
                      </w:r>
                      <w:r w:rsidRPr="00903890">
                        <w:rPr>
                          <w:rFonts w:ascii="Arial" w:hAnsi="Arial" w:cs="Arial"/>
                          <w:i/>
                          <w:iCs/>
                          <w:color w:val="0F243E" w:themeColor="text2" w:themeShade="80"/>
                          <w:sz w:val="20"/>
                          <w:szCs w:val="20"/>
                        </w:rPr>
                        <w:t xml:space="preserve">«Por la cual se imparten instrucciones </w:t>
                      </w:r>
                      <w:r w:rsidRPr="00903890">
                        <w:rPr>
                          <w:rFonts w:ascii="Arial" w:hAnsi="Arial" w:cs="Arial"/>
                          <w:color w:val="0F243E" w:themeColor="text2" w:themeShade="80"/>
                          <w:sz w:val="20"/>
                          <w:szCs w:val="20"/>
                        </w:rPr>
                        <w:t>en el marco del Plan de Austeridad iniciado por el Gobierno Nacional y deroga la Directiva No. 01 del 10 febrero de 2016</w:t>
                      </w:r>
                      <w:r w:rsidRPr="00903890">
                        <w:rPr>
                          <w:rFonts w:ascii="Arial" w:hAnsi="Arial" w:cs="Arial"/>
                          <w:i/>
                          <w:iCs/>
                          <w:color w:val="0F243E" w:themeColor="text2" w:themeShade="80"/>
                          <w:sz w:val="20"/>
                          <w:szCs w:val="20"/>
                        </w:rPr>
                        <w:t>»</w:t>
                      </w:r>
                      <w:r w:rsidRPr="00903890">
                        <w:rPr>
                          <w:rFonts w:ascii="Arial" w:hAnsi="Arial" w:cs="Arial"/>
                          <w:color w:val="0F243E" w:themeColor="text2" w:themeShade="80"/>
                          <w:sz w:val="20"/>
                          <w:szCs w:val="20"/>
                        </w:rPr>
                        <w:t xml:space="preserve">. </w:t>
                      </w:r>
                    </w:p>
                    <w:p w14:paraId="07E4226F" w14:textId="77777777" w:rsidR="001966EF" w:rsidRPr="00903890" w:rsidRDefault="001966EF" w:rsidP="003F6634">
                      <w:pPr>
                        <w:pStyle w:val="Prrafodelista"/>
                        <w:numPr>
                          <w:ilvl w:val="0"/>
                          <w:numId w:val="20"/>
                        </w:numPr>
                        <w:tabs>
                          <w:tab w:val="clear" w:pos="720"/>
                          <w:tab w:val="left" w:pos="284"/>
                        </w:tabs>
                        <w:ind w:left="284" w:hanging="284"/>
                        <w:rPr>
                          <w:rFonts w:ascii="Arial" w:hAnsi="Arial" w:cs="Arial"/>
                          <w:color w:val="0F243E" w:themeColor="text2" w:themeShade="80"/>
                          <w:sz w:val="20"/>
                          <w:szCs w:val="20"/>
                        </w:rPr>
                      </w:pPr>
                      <w:r w:rsidRPr="00903890">
                        <w:rPr>
                          <w:rFonts w:ascii="Arial" w:hAnsi="Arial" w:cs="Arial"/>
                          <w:color w:val="0F243E" w:themeColor="text2" w:themeShade="80"/>
                          <w:sz w:val="20"/>
                          <w:szCs w:val="20"/>
                        </w:rPr>
                        <w:t xml:space="preserve">Circular Interna 005 de 2019, </w:t>
                      </w:r>
                      <w:r w:rsidRPr="00903890">
                        <w:rPr>
                          <w:rFonts w:ascii="Arial" w:hAnsi="Arial" w:cs="Arial"/>
                          <w:i/>
                          <w:iCs/>
                          <w:color w:val="0F243E" w:themeColor="text2" w:themeShade="80"/>
                          <w:sz w:val="20"/>
                          <w:szCs w:val="20"/>
                        </w:rPr>
                        <w:t>«Medida de austeridad para las comisiones de servicio, tiquetes aéreos y viáticos».</w:t>
                      </w:r>
                    </w:p>
                    <w:p w14:paraId="548694E1" w14:textId="3794046E" w:rsidR="001966EF" w:rsidRPr="00903890" w:rsidRDefault="001966EF" w:rsidP="003F6634">
                      <w:pPr>
                        <w:pStyle w:val="Prrafodelista"/>
                        <w:tabs>
                          <w:tab w:val="left" w:pos="567"/>
                        </w:tabs>
                        <w:ind w:left="360"/>
                        <w:rPr>
                          <w:rFonts w:ascii="Arial" w:hAnsi="Arial" w:cs="Arial"/>
                          <w:color w:val="0F243E" w:themeColor="text2" w:themeShade="80"/>
                          <w:sz w:val="22"/>
                          <w:szCs w:val="22"/>
                        </w:rPr>
                      </w:pPr>
                    </w:p>
                  </w:txbxContent>
                </v:textbox>
                <w10:wrap anchorx="margin"/>
              </v:rect>
            </w:pict>
          </mc:Fallback>
        </mc:AlternateContent>
      </w:r>
    </w:p>
    <w:p w14:paraId="2DB7600A" w14:textId="77777777" w:rsidR="00040B49" w:rsidRPr="00CA48AF" w:rsidRDefault="00040B49" w:rsidP="00433B40">
      <w:pPr>
        <w:jc w:val="both"/>
        <w:rPr>
          <w:rFonts w:ascii="Arial" w:hAnsi="Arial" w:cs="Arial"/>
          <w:sz w:val="22"/>
          <w:szCs w:val="22"/>
          <w:highlight w:val="yellow"/>
        </w:rPr>
      </w:pPr>
    </w:p>
    <w:p w14:paraId="755D6009" w14:textId="77777777" w:rsidR="00040B49" w:rsidRPr="00CA48AF" w:rsidRDefault="00040B49" w:rsidP="00433B40">
      <w:pPr>
        <w:jc w:val="both"/>
        <w:rPr>
          <w:rFonts w:ascii="Arial" w:hAnsi="Arial" w:cs="Arial"/>
          <w:sz w:val="22"/>
          <w:szCs w:val="22"/>
          <w:highlight w:val="yellow"/>
        </w:rPr>
      </w:pPr>
    </w:p>
    <w:p w14:paraId="437A0E35" w14:textId="60C4B746" w:rsidR="00040B49" w:rsidRPr="00CA48AF" w:rsidRDefault="00040B49" w:rsidP="00433B40">
      <w:pPr>
        <w:jc w:val="both"/>
        <w:rPr>
          <w:rFonts w:ascii="Arial" w:hAnsi="Arial" w:cs="Arial"/>
          <w:sz w:val="22"/>
          <w:szCs w:val="22"/>
          <w:highlight w:val="yellow"/>
        </w:rPr>
      </w:pPr>
    </w:p>
    <w:p w14:paraId="12C5720E" w14:textId="77777777" w:rsidR="00040B49" w:rsidRPr="00CA48AF" w:rsidRDefault="00040B49" w:rsidP="00433B40">
      <w:pPr>
        <w:jc w:val="both"/>
        <w:rPr>
          <w:rFonts w:ascii="Arial" w:hAnsi="Arial" w:cs="Arial"/>
          <w:sz w:val="22"/>
          <w:szCs w:val="22"/>
          <w:highlight w:val="yellow"/>
        </w:rPr>
      </w:pPr>
    </w:p>
    <w:p w14:paraId="337F1287" w14:textId="77777777" w:rsidR="00040B49" w:rsidRPr="00CA48AF" w:rsidRDefault="00040B49" w:rsidP="00433B40">
      <w:pPr>
        <w:jc w:val="both"/>
        <w:rPr>
          <w:rFonts w:ascii="Arial" w:hAnsi="Arial" w:cs="Arial"/>
          <w:sz w:val="22"/>
          <w:szCs w:val="22"/>
          <w:highlight w:val="yellow"/>
        </w:rPr>
      </w:pPr>
    </w:p>
    <w:p w14:paraId="094617CA" w14:textId="77777777" w:rsidR="00040B49" w:rsidRPr="00CA48AF" w:rsidRDefault="00040B49" w:rsidP="00433B40">
      <w:pPr>
        <w:jc w:val="both"/>
        <w:rPr>
          <w:rFonts w:ascii="Arial" w:hAnsi="Arial" w:cs="Arial"/>
          <w:sz w:val="22"/>
          <w:szCs w:val="22"/>
          <w:highlight w:val="yellow"/>
        </w:rPr>
      </w:pPr>
    </w:p>
    <w:p w14:paraId="0BFE80B1" w14:textId="77777777" w:rsidR="00040B49" w:rsidRPr="00CA48AF" w:rsidRDefault="00040B49" w:rsidP="00433B40">
      <w:pPr>
        <w:jc w:val="both"/>
        <w:rPr>
          <w:rFonts w:ascii="Arial" w:hAnsi="Arial" w:cs="Arial"/>
          <w:sz w:val="22"/>
          <w:szCs w:val="22"/>
          <w:highlight w:val="yellow"/>
        </w:rPr>
      </w:pPr>
    </w:p>
    <w:p w14:paraId="18E847D7" w14:textId="77777777" w:rsidR="00040B49" w:rsidRPr="00CA48AF" w:rsidRDefault="00040B49" w:rsidP="00433B40">
      <w:pPr>
        <w:jc w:val="both"/>
        <w:rPr>
          <w:rFonts w:ascii="Arial" w:hAnsi="Arial" w:cs="Arial"/>
          <w:sz w:val="22"/>
          <w:szCs w:val="22"/>
          <w:highlight w:val="yellow"/>
        </w:rPr>
      </w:pPr>
    </w:p>
    <w:p w14:paraId="2B184D2C" w14:textId="77777777" w:rsidR="00040B49" w:rsidRPr="00CA48AF" w:rsidRDefault="00040B49" w:rsidP="00433B40">
      <w:pPr>
        <w:jc w:val="both"/>
        <w:rPr>
          <w:rFonts w:ascii="Arial" w:hAnsi="Arial" w:cs="Arial"/>
          <w:sz w:val="22"/>
          <w:szCs w:val="22"/>
          <w:highlight w:val="yellow"/>
        </w:rPr>
      </w:pPr>
    </w:p>
    <w:p w14:paraId="09470800" w14:textId="77777777" w:rsidR="00040B49" w:rsidRPr="00CA48AF" w:rsidRDefault="00040B49" w:rsidP="00433B40">
      <w:pPr>
        <w:jc w:val="both"/>
        <w:rPr>
          <w:rFonts w:ascii="Arial" w:hAnsi="Arial" w:cs="Arial"/>
          <w:sz w:val="22"/>
          <w:szCs w:val="22"/>
          <w:highlight w:val="yellow"/>
        </w:rPr>
      </w:pPr>
    </w:p>
    <w:p w14:paraId="00802594" w14:textId="77777777" w:rsidR="00040B49" w:rsidRPr="00CA48AF" w:rsidRDefault="00040B49" w:rsidP="00433B40">
      <w:pPr>
        <w:jc w:val="both"/>
        <w:rPr>
          <w:rFonts w:ascii="Arial" w:hAnsi="Arial" w:cs="Arial"/>
          <w:sz w:val="22"/>
          <w:szCs w:val="22"/>
          <w:highlight w:val="yellow"/>
        </w:rPr>
      </w:pPr>
    </w:p>
    <w:p w14:paraId="3D86582C" w14:textId="77777777" w:rsidR="00040B49" w:rsidRPr="00CA48AF" w:rsidRDefault="00040B49" w:rsidP="00433B40">
      <w:pPr>
        <w:jc w:val="both"/>
        <w:rPr>
          <w:rFonts w:ascii="Arial" w:hAnsi="Arial" w:cs="Arial"/>
          <w:sz w:val="22"/>
          <w:szCs w:val="22"/>
          <w:highlight w:val="yellow"/>
        </w:rPr>
      </w:pPr>
    </w:p>
    <w:p w14:paraId="7AB786D6" w14:textId="77777777" w:rsidR="00040B49" w:rsidRPr="00CA48AF" w:rsidRDefault="00040B49" w:rsidP="00433B40">
      <w:pPr>
        <w:jc w:val="both"/>
        <w:rPr>
          <w:rFonts w:ascii="Arial" w:hAnsi="Arial" w:cs="Arial"/>
          <w:sz w:val="22"/>
          <w:szCs w:val="22"/>
          <w:highlight w:val="yellow"/>
        </w:rPr>
      </w:pPr>
    </w:p>
    <w:p w14:paraId="7CDD3B81" w14:textId="77777777" w:rsidR="00040B49" w:rsidRPr="00CA48AF" w:rsidRDefault="00040B49" w:rsidP="00433B40">
      <w:pPr>
        <w:jc w:val="both"/>
        <w:rPr>
          <w:rFonts w:ascii="Arial" w:hAnsi="Arial" w:cs="Arial"/>
          <w:sz w:val="22"/>
          <w:szCs w:val="22"/>
          <w:highlight w:val="yellow"/>
        </w:rPr>
      </w:pPr>
    </w:p>
    <w:p w14:paraId="230270B4" w14:textId="77777777" w:rsidR="00040B49" w:rsidRPr="00CA48AF" w:rsidRDefault="00040B49" w:rsidP="00433B40">
      <w:pPr>
        <w:jc w:val="both"/>
        <w:rPr>
          <w:rFonts w:ascii="Arial" w:hAnsi="Arial" w:cs="Arial"/>
          <w:sz w:val="22"/>
          <w:szCs w:val="22"/>
          <w:highlight w:val="yellow"/>
        </w:rPr>
      </w:pPr>
    </w:p>
    <w:p w14:paraId="39F53191" w14:textId="77777777" w:rsidR="00040B49" w:rsidRPr="00CA48AF" w:rsidRDefault="00040B49" w:rsidP="00433B40">
      <w:pPr>
        <w:jc w:val="both"/>
        <w:rPr>
          <w:rFonts w:ascii="Arial" w:hAnsi="Arial" w:cs="Arial"/>
          <w:sz w:val="22"/>
          <w:szCs w:val="22"/>
          <w:highlight w:val="yellow"/>
        </w:rPr>
      </w:pPr>
    </w:p>
    <w:p w14:paraId="2B6A9861" w14:textId="77777777" w:rsidR="00040B49" w:rsidRPr="00CA48AF" w:rsidRDefault="00040B49" w:rsidP="00433B40">
      <w:pPr>
        <w:jc w:val="both"/>
        <w:rPr>
          <w:rFonts w:ascii="Arial" w:hAnsi="Arial" w:cs="Arial"/>
          <w:sz w:val="22"/>
          <w:szCs w:val="22"/>
          <w:highlight w:val="yellow"/>
        </w:rPr>
      </w:pPr>
    </w:p>
    <w:p w14:paraId="35C37E42" w14:textId="77777777" w:rsidR="00040B49" w:rsidRPr="00CA48AF" w:rsidRDefault="00040B49" w:rsidP="00C979C0">
      <w:pPr>
        <w:spacing w:line="168" w:lineRule="auto"/>
        <w:jc w:val="both"/>
        <w:rPr>
          <w:rFonts w:ascii="Arial" w:hAnsi="Arial" w:cs="Arial"/>
          <w:sz w:val="22"/>
          <w:szCs w:val="22"/>
          <w:highlight w:val="yellow"/>
        </w:rPr>
      </w:pPr>
    </w:p>
    <w:p w14:paraId="5DF3FBD0" w14:textId="77777777" w:rsidR="00010BA6" w:rsidRPr="00CA48AF" w:rsidRDefault="00010BA6" w:rsidP="00433B40">
      <w:pPr>
        <w:jc w:val="both"/>
        <w:rPr>
          <w:rFonts w:ascii="Arial" w:hAnsi="Arial" w:cs="Arial"/>
          <w:sz w:val="22"/>
          <w:szCs w:val="22"/>
        </w:rPr>
      </w:pPr>
    </w:p>
    <w:p w14:paraId="37184233" w14:textId="77777777" w:rsidR="00010BA6" w:rsidRPr="00CA48AF" w:rsidRDefault="00010BA6" w:rsidP="00433B40">
      <w:pPr>
        <w:jc w:val="both"/>
        <w:rPr>
          <w:rFonts w:ascii="Arial" w:hAnsi="Arial" w:cs="Arial"/>
          <w:sz w:val="22"/>
          <w:szCs w:val="22"/>
        </w:rPr>
      </w:pPr>
    </w:p>
    <w:p w14:paraId="29B544E4" w14:textId="77777777" w:rsidR="00010BA6" w:rsidRPr="00CA48AF" w:rsidRDefault="00010BA6" w:rsidP="00433B40">
      <w:pPr>
        <w:jc w:val="both"/>
        <w:rPr>
          <w:rFonts w:ascii="Arial" w:hAnsi="Arial" w:cs="Arial"/>
          <w:sz w:val="22"/>
          <w:szCs w:val="22"/>
        </w:rPr>
      </w:pPr>
    </w:p>
    <w:p w14:paraId="3DE8443B" w14:textId="77777777" w:rsidR="00010BA6" w:rsidRPr="00CA48AF" w:rsidRDefault="00010BA6" w:rsidP="00433B40">
      <w:pPr>
        <w:jc w:val="both"/>
        <w:rPr>
          <w:rFonts w:ascii="Arial" w:hAnsi="Arial" w:cs="Arial"/>
          <w:sz w:val="22"/>
          <w:szCs w:val="22"/>
        </w:rPr>
      </w:pPr>
    </w:p>
    <w:p w14:paraId="6ED1CCC7" w14:textId="77777777" w:rsidR="00010BA6" w:rsidRPr="00CA48AF" w:rsidRDefault="00010BA6" w:rsidP="00433B40">
      <w:pPr>
        <w:jc w:val="both"/>
        <w:rPr>
          <w:rFonts w:ascii="Arial" w:hAnsi="Arial" w:cs="Arial"/>
          <w:sz w:val="22"/>
          <w:szCs w:val="22"/>
        </w:rPr>
      </w:pPr>
    </w:p>
    <w:p w14:paraId="27AAA566" w14:textId="77777777" w:rsidR="003F6634" w:rsidRPr="00CA48AF" w:rsidRDefault="003F6634" w:rsidP="00433B40">
      <w:pPr>
        <w:jc w:val="both"/>
        <w:rPr>
          <w:rFonts w:ascii="Arial" w:hAnsi="Arial" w:cs="Arial"/>
          <w:sz w:val="22"/>
          <w:szCs w:val="22"/>
        </w:rPr>
      </w:pPr>
    </w:p>
    <w:p w14:paraId="4108D4D1" w14:textId="77777777" w:rsidR="003F6634" w:rsidRPr="00CA48AF" w:rsidRDefault="003F6634" w:rsidP="00433B40">
      <w:pPr>
        <w:jc w:val="both"/>
        <w:rPr>
          <w:rFonts w:ascii="Arial" w:hAnsi="Arial" w:cs="Arial"/>
          <w:sz w:val="22"/>
          <w:szCs w:val="22"/>
        </w:rPr>
      </w:pPr>
    </w:p>
    <w:p w14:paraId="69A5BDB5" w14:textId="77777777" w:rsidR="003F6634" w:rsidRPr="00CA48AF" w:rsidRDefault="003F6634" w:rsidP="00433B40">
      <w:pPr>
        <w:jc w:val="both"/>
        <w:rPr>
          <w:rFonts w:ascii="Arial" w:hAnsi="Arial" w:cs="Arial"/>
          <w:sz w:val="22"/>
          <w:szCs w:val="22"/>
        </w:rPr>
      </w:pPr>
    </w:p>
    <w:p w14:paraId="731940C2" w14:textId="77777777" w:rsidR="003F6634" w:rsidRPr="00CA48AF" w:rsidRDefault="003F6634" w:rsidP="00433B40">
      <w:pPr>
        <w:jc w:val="both"/>
        <w:rPr>
          <w:rFonts w:ascii="Arial" w:hAnsi="Arial" w:cs="Arial"/>
          <w:sz w:val="22"/>
          <w:szCs w:val="22"/>
        </w:rPr>
      </w:pPr>
    </w:p>
    <w:p w14:paraId="653627A1" w14:textId="77777777" w:rsidR="003F6634" w:rsidRPr="00CA48AF" w:rsidRDefault="003F6634" w:rsidP="00433B40">
      <w:pPr>
        <w:jc w:val="both"/>
        <w:rPr>
          <w:rFonts w:ascii="Arial" w:hAnsi="Arial" w:cs="Arial"/>
          <w:sz w:val="22"/>
          <w:szCs w:val="22"/>
        </w:rPr>
      </w:pPr>
    </w:p>
    <w:p w14:paraId="38BEAF1C" w14:textId="77777777" w:rsidR="003F6634" w:rsidRPr="00CA48AF" w:rsidRDefault="003F6634" w:rsidP="00433B40">
      <w:pPr>
        <w:jc w:val="both"/>
        <w:rPr>
          <w:rFonts w:ascii="Arial" w:hAnsi="Arial" w:cs="Arial"/>
          <w:sz w:val="22"/>
          <w:szCs w:val="22"/>
        </w:rPr>
      </w:pPr>
    </w:p>
    <w:p w14:paraId="2A410F6D" w14:textId="21A50FA4" w:rsidR="004A6BC1" w:rsidRPr="00CA48AF" w:rsidRDefault="0073297F" w:rsidP="00433B40">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Es </w:t>
      </w:r>
      <w:r w:rsidR="000509F0" w:rsidRPr="00CA48AF">
        <w:rPr>
          <w:rFonts w:ascii="Arial" w:hAnsi="Arial" w:cs="Arial"/>
          <w:color w:val="000000" w:themeColor="text1"/>
          <w:sz w:val="22"/>
          <w:szCs w:val="22"/>
        </w:rPr>
        <w:t xml:space="preserve">de </w:t>
      </w:r>
      <w:r w:rsidRPr="00CA48AF">
        <w:rPr>
          <w:rFonts w:ascii="Arial" w:hAnsi="Arial" w:cs="Arial"/>
          <w:color w:val="000000" w:themeColor="text1"/>
          <w:sz w:val="22"/>
          <w:szCs w:val="22"/>
        </w:rPr>
        <w:t>precisar que, p</w:t>
      </w:r>
      <w:r w:rsidR="005977D3" w:rsidRPr="00CA48AF">
        <w:rPr>
          <w:rFonts w:ascii="Arial" w:hAnsi="Arial" w:cs="Arial"/>
          <w:color w:val="000000" w:themeColor="text1"/>
          <w:sz w:val="22"/>
          <w:szCs w:val="22"/>
        </w:rPr>
        <w:t>ara el desarrollo del</w:t>
      </w:r>
      <w:r w:rsidR="005650D5" w:rsidRPr="00CA48AF">
        <w:rPr>
          <w:rFonts w:ascii="Arial" w:hAnsi="Arial" w:cs="Arial"/>
          <w:color w:val="000000" w:themeColor="text1"/>
          <w:sz w:val="22"/>
          <w:szCs w:val="22"/>
        </w:rPr>
        <w:t xml:space="preserve"> presente</w:t>
      </w:r>
      <w:r w:rsidRPr="00CA48AF">
        <w:rPr>
          <w:rFonts w:ascii="Arial" w:hAnsi="Arial" w:cs="Arial"/>
          <w:color w:val="000000" w:themeColor="text1"/>
          <w:sz w:val="22"/>
          <w:szCs w:val="22"/>
        </w:rPr>
        <w:t xml:space="preserve"> seguimiento</w:t>
      </w:r>
      <w:r w:rsidR="001F0B2A" w:rsidRPr="00CA48AF">
        <w:rPr>
          <w:rFonts w:ascii="Arial" w:hAnsi="Arial" w:cs="Arial"/>
          <w:color w:val="000000" w:themeColor="text1"/>
          <w:sz w:val="22"/>
          <w:szCs w:val="22"/>
        </w:rPr>
        <w:t xml:space="preserve"> </w:t>
      </w:r>
      <w:r w:rsidR="005977D3" w:rsidRPr="00CA48AF">
        <w:rPr>
          <w:rFonts w:ascii="Arial" w:hAnsi="Arial" w:cs="Arial"/>
          <w:color w:val="000000" w:themeColor="text1"/>
          <w:sz w:val="22"/>
          <w:szCs w:val="22"/>
        </w:rPr>
        <w:t>se procedió a revisar y analizar los</w:t>
      </w:r>
      <w:r w:rsidR="00F3113B" w:rsidRPr="00CA48AF">
        <w:rPr>
          <w:rFonts w:ascii="Arial" w:hAnsi="Arial" w:cs="Arial"/>
          <w:color w:val="000000" w:themeColor="text1"/>
          <w:sz w:val="22"/>
          <w:szCs w:val="22"/>
        </w:rPr>
        <w:t xml:space="preserve"> conceptos de gastos de funcionamiento</w:t>
      </w:r>
      <w:r w:rsidRPr="00CA48AF">
        <w:rPr>
          <w:rFonts w:ascii="Arial" w:hAnsi="Arial" w:cs="Arial"/>
          <w:color w:val="000000" w:themeColor="text1"/>
          <w:sz w:val="22"/>
          <w:szCs w:val="22"/>
        </w:rPr>
        <w:t xml:space="preserve"> </w:t>
      </w:r>
      <w:r w:rsidR="00F3113B" w:rsidRPr="00CA48AF">
        <w:rPr>
          <w:rFonts w:ascii="Arial" w:hAnsi="Arial" w:cs="Arial"/>
          <w:color w:val="000000" w:themeColor="text1"/>
          <w:sz w:val="22"/>
          <w:szCs w:val="22"/>
        </w:rPr>
        <w:t xml:space="preserve">señalados en la </w:t>
      </w:r>
      <w:r w:rsidR="002C2B99" w:rsidRPr="00CA48AF">
        <w:rPr>
          <w:rFonts w:ascii="Arial" w:hAnsi="Arial" w:cs="Arial"/>
          <w:color w:val="000000" w:themeColor="text1"/>
          <w:sz w:val="22"/>
          <w:szCs w:val="22"/>
        </w:rPr>
        <w:t>Directiva Presidencial 09 de 2018</w:t>
      </w:r>
      <w:r w:rsidR="000509F0" w:rsidRPr="00CA48AF">
        <w:rPr>
          <w:rFonts w:ascii="Arial" w:hAnsi="Arial" w:cs="Arial"/>
          <w:color w:val="000000" w:themeColor="text1"/>
          <w:sz w:val="22"/>
          <w:szCs w:val="22"/>
        </w:rPr>
        <w:t xml:space="preserve"> y el Decreto 1009 de 2020 Plan de Austeridad, siendo </w:t>
      </w:r>
      <w:r w:rsidR="00324CA0" w:rsidRPr="00CA48AF">
        <w:rPr>
          <w:rFonts w:ascii="Arial" w:hAnsi="Arial" w:cs="Arial"/>
          <w:color w:val="000000" w:themeColor="text1"/>
          <w:sz w:val="22"/>
          <w:szCs w:val="22"/>
        </w:rPr>
        <w:t>este</w:t>
      </w:r>
      <w:r w:rsidR="007C1ECA" w:rsidRPr="00CA48AF">
        <w:rPr>
          <w:rFonts w:ascii="Arial" w:hAnsi="Arial" w:cs="Arial"/>
          <w:color w:val="000000" w:themeColor="text1"/>
          <w:sz w:val="22"/>
          <w:szCs w:val="22"/>
        </w:rPr>
        <w:t xml:space="preserve"> último</w:t>
      </w:r>
      <w:r w:rsidR="00324CA0" w:rsidRPr="00CA48AF">
        <w:rPr>
          <w:rFonts w:ascii="Arial" w:hAnsi="Arial" w:cs="Arial"/>
          <w:color w:val="000000" w:themeColor="text1"/>
          <w:sz w:val="22"/>
          <w:szCs w:val="22"/>
        </w:rPr>
        <w:t xml:space="preserve">, </w:t>
      </w:r>
      <w:r w:rsidR="000509F0" w:rsidRPr="00CA48AF">
        <w:rPr>
          <w:rFonts w:ascii="Arial" w:hAnsi="Arial" w:cs="Arial"/>
          <w:color w:val="000000" w:themeColor="text1"/>
          <w:sz w:val="22"/>
          <w:szCs w:val="22"/>
        </w:rPr>
        <w:t>el</w:t>
      </w:r>
      <w:r w:rsidRPr="00CA48AF">
        <w:rPr>
          <w:rFonts w:ascii="Arial" w:hAnsi="Arial" w:cs="Arial"/>
          <w:color w:val="000000" w:themeColor="text1"/>
          <w:sz w:val="22"/>
          <w:szCs w:val="22"/>
        </w:rPr>
        <w:t xml:space="preserve"> Decreto reglamentario del artículo 69 de la Ley 2008 de 2019</w:t>
      </w:r>
      <w:r w:rsidRPr="00CA48AF">
        <w:rPr>
          <w:rStyle w:val="Refdenotaalpie"/>
          <w:rFonts w:ascii="Arial" w:hAnsi="Arial" w:cs="Arial"/>
          <w:color w:val="000000" w:themeColor="text1"/>
          <w:sz w:val="22"/>
          <w:szCs w:val="22"/>
        </w:rPr>
        <w:footnoteReference w:id="2"/>
      </w:r>
      <w:r w:rsidRPr="00CA48AF">
        <w:rPr>
          <w:rFonts w:ascii="Arial" w:hAnsi="Arial" w:cs="Arial"/>
          <w:color w:val="000000" w:themeColor="text1"/>
          <w:sz w:val="22"/>
          <w:szCs w:val="22"/>
        </w:rPr>
        <w:t xml:space="preserve"> </w:t>
      </w:r>
      <w:r w:rsidRPr="00CA48AF">
        <w:rPr>
          <w:rFonts w:ascii="Arial" w:hAnsi="Arial" w:cs="Arial"/>
          <w:i/>
          <w:iCs/>
          <w:color w:val="000000" w:themeColor="text1"/>
          <w:sz w:val="22"/>
          <w:szCs w:val="22"/>
        </w:rPr>
        <w:t>Plan de Austeridad del Gast</w:t>
      </w:r>
      <w:r w:rsidR="00943794" w:rsidRPr="00CA48AF">
        <w:rPr>
          <w:rFonts w:ascii="Arial" w:hAnsi="Arial" w:cs="Arial"/>
          <w:i/>
          <w:iCs/>
          <w:color w:val="000000" w:themeColor="text1"/>
          <w:sz w:val="22"/>
          <w:szCs w:val="22"/>
        </w:rPr>
        <w:t xml:space="preserve">o. </w:t>
      </w:r>
      <w:r w:rsidR="001F0B2A" w:rsidRPr="00CA48AF">
        <w:rPr>
          <w:rFonts w:ascii="Arial" w:hAnsi="Arial" w:cs="Arial"/>
          <w:color w:val="000000" w:themeColor="text1"/>
          <w:sz w:val="22"/>
          <w:szCs w:val="22"/>
        </w:rPr>
        <w:t xml:space="preserve"> </w:t>
      </w:r>
    </w:p>
    <w:p w14:paraId="2F0D5D8B" w14:textId="77777777" w:rsidR="004A6BC1" w:rsidRPr="00CA48AF" w:rsidRDefault="004A6BC1" w:rsidP="00C979C0">
      <w:pPr>
        <w:spacing w:line="168" w:lineRule="auto"/>
        <w:jc w:val="both"/>
        <w:rPr>
          <w:rFonts w:ascii="Arial" w:hAnsi="Arial" w:cs="Arial"/>
          <w:color w:val="000000" w:themeColor="text1"/>
          <w:sz w:val="22"/>
          <w:szCs w:val="22"/>
        </w:rPr>
      </w:pPr>
    </w:p>
    <w:p w14:paraId="1F9D477C" w14:textId="297F0700" w:rsidR="00554101" w:rsidRPr="00CA48AF" w:rsidRDefault="004A6BC1" w:rsidP="00433B40">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Ahora bien, </w:t>
      </w:r>
      <w:r w:rsidR="000C09C3" w:rsidRPr="00CA48AF">
        <w:rPr>
          <w:rFonts w:ascii="Arial" w:hAnsi="Arial" w:cs="Arial"/>
          <w:color w:val="000000" w:themeColor="text1"/>
          <w:sz w:val="22"/>
          <w:szCs w:val="22"/>
        </w:rPr>
        <w:t>el presente seguimiento se desarrolló con base en la</w:t>
      </w:r>
      <w:r w:rsidR="005977D3" w:rsidRPr="00CA48AF">
        <w:rPr>
          <w:rFonts w:ascii="Arial" w:hAnsi="Arial" w:cs="Arial"/>
          <w:color w:val="000000" w:themeColor="text1"/>
          <w:sz w:val="22"/>
          <w:szCs w:val="22"/>
        </w:rPr>
        <w:t xml:space="preserve"> información</w:t>
      </w:r>
      <w:r w:rsidRPr="00CA48AF">
        <w:rPr>
          <w:rFonts w:ascii="Arial" w:hAnsi="Arial" w:cs="Arial"/>
          <w:color w:val="000000" w:themeColor="text1"/>
          <w:sz w:val="22"/>
          <w:szCs w:val="22"/>
        </w:rPr>
        <w:t xml:space="preserve"> </w:t>
      </w:r>
      <w:r w:rsidR="00190DF3" w:rsidRPr="00CA48AF">
        <w:rPr>
          <w:rFonts w:ascii="Arial" w:hAnsi="Arial" w:cs="Arial"/>
          <w:color w:val="000000" w:themeColor="text1"/>
          <w:sz w:val="22"/>
          <w:szCs w:val="22"/>
        </w:rPr>
        <w:t>suministrada por parte de la Subdirección de Gestión del Talento Humano, la Subdirección de Servicios</w:t>
      </w:r>
      <w:r w:rsidR="00F21F98" w:rsidRPr="00CA48AF">
        <w:rPr>
          <w:rFonts w:ascii="Arial" w:hAnsi="Arial" w:cs="Arial"/>
          <w:color w:val="000000" w:themeColor="text1"/>
          <w:sz w:val="22"/>
          <w:szCs w:val="22"/>
        </w:rPr>
        <w:t xml:space="preserve"> </w:t>
      </w:r>
      <w:r w:rsidR="00190DF3" w:rsidRPr="00CA48AF">
        <w:rPr>
          <w:rFonts w:ascii="Arial" w:hAnsi="Arial" w:cs="Arial"/>
          <w:color w:val="000000" w:themeColor="text1"/>
          <w:sz w:val="22"/>
          <w:szCs w:val="22"/>
        </w:rPr>
        <w:t>y el Grupo de Contratos de la Dirección Administrativa</w:t>
      </w:r>
      <w:r w:rsidR="007C1ECA" w:rsidRPr="00CA48AF">
        <w:rPr>
          <w:rFonts w:ascii="Arial" w:hAnsi="Arial" w:cs="Arial"/>
          <w:color w:val="000000" w:themeColor="text1"/>
          <w:sz w:val="22"/>
          <w:szCs w:val="22"/>
        </w:rPr>
        <w:t xml:space="preserve">, así como, la </w:t>
      </w:r>
      <w:r w:rsidR="00190DF3" w:rsidRPr="00CA48AF">
        <w:rPr>
          <w:rFonts w:ascii="Arial" w:hAnsi="Arial" w:cs="Arial"/>
          <w:color w:val="000000" w:themeColor="text1"/>
          <w:sz w:val="22"/>
          <w:szCs w:val="22"/>
        </w:rPr>
        <w:t>consult</w:t>
      </w:r>
      <w:r w:rsidR="002A396B" w:rsidRPr="00CA48AF">
        <w:rPr>
          <w:rFonts w:ascii="Arial" w:hAnsi="Arial" w:cs="Arial"/>
          <w:color w:val="000000" w:themeColor="text1"/>
          <w:sz w:val="22"/>
          <w:szCs w:val="22"/>
        </w:rPr>
        <w:t>a</w:t>
      </w:r>
      <w:r w:rsidR="007C1ECA" w:rsidRPr="00CA48AF">
        <w:rPr>
          <w:rFonts w:ascii="Arial" w:hAnsi="Arial" w:cs="Arial"/>
          <w:color w:val="000000" w:themeColor="text1"/>
          <w:sz w:val="22"/>
          <w:szCs w:val="22"/>
        </w:rPr>
        <w:t xml:space="preserve"> de las cifras concerniente a los gastos registrados en el Sistema Integrado de Información Financiera (SIIF).</w:t>
      </w:r>
      <w:r w:rsidR="005977D3" w:rsidRPr="00CA48AF">
        <w:rPr>
          <w:rFonts w:ascii="Arial" w:hAnsi="Arial" w:cs="Arial"/>
          <w:color w:val="000000" w:themeColor="text1"/>
          <w:sz w:val="22"/>
          <w:szCs w:val="22"/>
        </w:rPr>
        <w:t xml:space="preserve"> </w:t>
      </w:r>
      <w:r w:rsidR="00135284" w:rsidRPr="00CA48AF">
        <w:rPr>
          <w:rFonts w:ascii="Arial" w:hAnsi="Arial" w:cs="Arial"/>
          <w:color w:val="000000" w:themeColor="text1"/>
          <w:sz w:val="22"/>
          <w:szCs w:val="22"/>
        </w:rPr>
        <w:t xml:space="preserve">Es de aclarar </w:t>
      </w:r>
      <w:r w:rsidR="00B1601E" w:rsidRPr="00CA48AF">
        <w:rPr>
          <w:rFonts w:ascii="Arial" w:hAnsi="Arial" w:cs="Arial"/>
          <w:color w:val="000000" w:themeColor="text1"/>
          <w:sz w:val="22"/>
          <w:szCs w:val="22"/>
        </w:rPr>
        <w:t xml:space="preserve">que, para establecer las respectivas variaciones </w:t>
      </w:r>
      <w:r w:rsidR="00190DF3" w:rsidRPr="00CA48AF">
        <w:rPr>
          <w:rFonts w:ascii="Arial" w:hAnsi="Arial" w:cs="Arial"/>
          <w:color w:val="000000" w:themeColor="text1"/>
          <w:sz w:val="22"/>
          <w:szCs w:val="22"/>
        </w:rPr>
        <w:t>esta Oficina</w:t>
      </w:r>
      <w:r w:rsidR="00B1601E" w:rsidRPr="00CA48AF">
        <w:rPr>
          <w:rFonts w:ascii="Arial" w:hAnsi="Arial" w:cs="Arial"/>
          <w:color w:val="000000" w:themeColor="text1"/>
          <w:sz w:val="22"/>
          <w:szCs w:val="22"/>
        </w:rPr>
        <w:t xml:space="preserve"> tomó </w:t>
      </w:r>
      <w:r w:rsidR="00474645" w:rsidRPr="00CA48AF">
        <w:rPr>
          <w:rFonts w:ascii="Arial" w:hAnsi="Arial" w:cs="Arial"/>
          <w:color w:val="000000" w:themeColor="text1"/>
          <w:sz w:val="22"/>
          <w:szCs w:val="22"/>
        </w:rPr>
        <w:t>las obligaciones reportadas en el SIIF</w:t>
      </w:r>
      <w:r w:rsidR="00190DF3" w:rsidRPr="00CA48AF">
        <w:rPr>
          <w:rFonts w:ascii="Arial" w:hAnsi="Arial" w:cs="Arial"/>
          <w:color w:val="000000" w:themeColor="text1"/>
          <w:sz w:val="22"/>
          <w:szCs w:val="22"/>
        </w:rPr>
        <w:t xml:space="preserve"> </w:t>
      </w:r>
      <w:r w:rsidR="007C1ECA" w:rsidRPr="00CA48AF">
        <w:rPr>
          <w:rFonts w:ascii="Arial" w:hAnsi="Arial" w:cs="Arial"/>
          <w:color w:val="000000" w:themeColor="text1"/>
          <w:sz w:val="22"/>
          <w:szCs w:val="22"/>
        </w:rPr>
        <w:t xml:space="preserve">correspondiente </w:t>
      </w:r>
      <w:r w:rsidR="00190DF3" w:rsidRPr="00CA48AF">
        <w:rPr>
          <w:rFonts w:ascii="Arial" w:hAnsi="Arial" w:cs="Arial"/>
          <w:color w:val="000000" w:themeColor="text1"/>
          <w:sz w:val="22"/>
          <w:szCs w:val="22"/>
        </w:rPr>
        <w:t xml:space="preserve">al </w:t>
      </w:r>
      <w:r w:rsidR="00474645" w:rsidRPr="00CA48AF">
        <w:rPr>
          <w:rFonts w:ascii="Arial" w:hAnsi="Arial" w:cs="Arial"/>
          <w:color w:val="000000" w:themeColor="text1"/>
          <w:sz w:val="22"/>
          <w:szCs w:val="22"/>
        </w:rPr>
        <w:t>periodo causa</w:t>
      </w:r>
      <w:r w:rsidR="00D7149B" w:rsidRPr="00CA48AF">
        <w:rPr>
          <w:rFonts w:ascii="Arial" w:hAnsi="Arial" w:cs="Arial"/>
          <w:color w:val="000000" w:themeColor="text1"/>
          <w:sz w:val="22"/>
          <w:szCs w:val="22"/>
        </w:rPr>
        <w:t>do</w:t>
      </w:r>
      <w:r w:rsidR="00190DF3" w:rsidRPr="00CA48AF">
        <w:rPr>
          <w:rFonts w:ascii="Arial" w:hAnsi="Arial" w:cs="Arial"/>
          <w:color w:val="000000" w:themeColor="text1"/>
          <w:sz w:val="22"/>
          <w:szCs w:val="22"/>
        </w:rPr>
        <w:t xml:space="preserve"> de los gastos analizados. </w:t>
      </w:r>
      <w:r w:rsidR="00474645" w:rsidRPr="00CA48AF">
        <w:rPr>
          <w:rFonts w:ascii="Arial" w:hAnsi="Arial" w:cs="Arial"/>
          <w:color w:val="000000" w:themeColor="text1"/>
          <w:sz w:val="22"/>
          <w:szCs w:val="22"/>
        </w:rPr>
        <w:t xml:space="preserve">Lo anterior, con el fin de evitar sobreestimaciones o subestimaciones de las variaciones, </w:t>
      </w:r>
      <w:r w:rsidR="00B1601E" w:rsidRPr="00CA48AF">
        <w:rPr>
          <w:rFonts w:ascii="Arial" w:hAnsi="Arial" w:cs="Arial"/>
          <w:color w:val="000000" w:themeColor="text1"/>
          <w:sz w:val="22"/>
          <w:szCs w:val="22"/>
        </w:rPr>
        <w:t xml:space="preserve">toda vez </w:t>
      </w:r>
      <w:r w:rsidR="00474645" w:rsidRPr="00CA48AF">
        <w:rPr>
          <w:rFonts w:ascii="Arial" w:hAnsi="Arial" w:cs="Arial"/>
          <w:color w:val="000000" w:themeColor="text1"/>
          <w:sz w:val="22"/>
          <w:szCs w:val="22"/>
        </w:rPr>
        <w:t>que</w:t>
      </w:r>
      <w:r w:rsidR="00190DF3" w:rsidRPr="00CA48AF">
        <w:rPr>
          <w:rFonts w:ascii="Arial" w:hAnsi="Arial" w:cs="Arial"/>
          <w:color w:val="000000" w:themeColor="text1"/>
          <w:sz w:val="22"/>
          <w:szCs w:val="22"/>
        </w:rPr>
        <w:t>,</w:t>
      </w:r>
      <w:r w:rsidR="00474645" w:rsidRPr="00CA48AF">
        <w:rPr>
          <w:rFonts w:ascii="Arial" w:hAnsi="Arial" w:cs="Arial"/>
          <w:color w:val="000000" w:themeColor="text1"/>
          <w:sz w:val="22"/>
          <w:szCs w:val="22"/>
        </w:rPr>
        <w:t xml:space="preserve"> por diferentes circunstancias los pagos, </w:t>
      </w:r>
      <w:r w:rsidR="00224574" w:rsidRPr="00CA48AF">
        <w:rPr>
          <w:rFonts w:ascii="Arial" w:hAnsi="Arial" w:cs="Arial"/>
          <w:color w:val="000000" w:themeColor="text1"/>
          <w:sz w:val="22"/>
          <w:szCs w:val="22"/>
        </w:rPr>
        <w:t xml:space="preserve">tales como, </w:t>
      </w:r>
      <w:r w:rsidR="00474645" w:rsidRPr="00CA48AF">
        <w:rPr>
          <w:rFonts w:ascii="Arial" w:hAnsi="Arial" w:cs="Arial"/>
          <w:color w:val="000000" w:themeColor="text1"/>
          <w:sz w:val="22"/>
          <w:szCs w:val="22"/>
        </w:rPr>
        <w:t xml:space="preserve">servicios públicos </w:t>
      </w:r>
      <w:r w:rsidR="00224574" w:rsidRPr="00CA48AF">
        <w:rPr>
          <w:rFonts w:ascii="Arial" w:hAnsi="Arial" w:cs="Arial"/>
          <w:color w:val="000000" w:themeColor="text1"/>
          <w:sz w:val="22"/>
          <w:szCs w:val="22"/>
        </w:rPr>
        <w:t>y prestación de servicios profesionales</w:t>
      </w:r>
      <w:r w:rsidR="00BB5042" w:rsidRPr="00CA48AF">
        <w:rPr>
          <w:rFonts w:ascii="Arial" w:hAnsi="Arial" w:cs="Arial"/>
          <w:color w:val="000000" w:themeColor="text1"/>
          <w:sz w:val="22"/>
          <w:szCs w:val="22"/>
        </w:rPr>
        <w:t xml:space="preserve"> entre otros,</w:t>
      </w:r>
      <w:r w:rsidR="00224574" w:rsidRPr="00CA48AF">
        <w:rPr>
          <w:rFonts w:ascii="Arial" w:hAnsi="Arial" w:cs="Arial"/>
          <w:color w:val="000000" w:themeColor="text1"/>
          <w:sz w:val="22"/>
          <w:szCs w:val="22"/>
        </w:rPr>
        <w:t xml:space="preserve"> </w:t>
      </w:r>
      <w:r w:rsidR="00474645" w:rsidRPr="00CA48AF">
        <w:rPr>
          <w:rFonts w:ascii="Arial" w:hAnsi="Arial" w:cs="Arial"/>
          <w:color w:val="000000" w:themeColor="text1"/>
          <w:sz w:val="22"/>
          <w:szCs w:val="22"/>
        </w:rPr>
        <w:t xml:space="preserve">no se efectúan en el mismo mes de causación. </w:t>
      </w:r>
    </w:p>
    <w:p w14:paraId="24D4118F" w14:textId="77777777" w:rsidR="00554101" w:rsidRPr="00CA48AF" w:rsidRDefault="00554101" w:rsidP="00C979C0">
      <w:pPr>
        <w:spacing w:line="168" w:lineRule="auto"/>
        <w:jc w:val="both"/>
        <w:rPr>
          <w:rFonts w:ascii="Arial" w:hAnsi="Arial" w:cs="Arial"/>
          <w:color w:val="000000" w:themeColor="text1"/>
          <w:sz w:val="22"/>
          <w:szCs w:val="22"/>
        </w:rPr>
      </w:pPr>
    </w:p>
    <w:p w14:paraId="2EC00E1B" w14:textId="4C3638EA" w:rsidR="00474645" w:rsidRPr="00CA48AF" w:rsidRDefault="00554101" w:rsidP="00433B40">
      <w:pPr>
        <w:jc w:val="both"/>
        <w:rPr>
          <w:rFonts w:ascii="Arial" w:hAnsi="Arial" w:cs="Arial"/>
          <w:color w:val="000000" w:themeColor="text1"/>
          <w:sz w:val="22"/>
          <w:szCs w:val="22"/>
        </w:rPr>
      </w:pPr>
      <w:r w:rsidRPr="00CA48AF">
        <w:rPr>
          <w:rFonts w:ascii="Arial" w:hAnsi="Arial" w:cs="Arial"/>
          <w:color w:val="000000" w:themeColor="text1"/>
          <w:sz w:val="22"/>
          <w:szCs w:val="22"/>
        </w:rPr>
        <w:t>A</w:t>
      </w:r>
      <w:r w:rsidR="00760632" w:rsidRPr="00CA48AF">
        <w:rPr>
          <w:rFonts w:ascii="Arial" w:hAnsi="Arial" w:cs="Arial"/>
          <w:color w:val="000000" w:themeColor="text1"/>
          <w:sz w:val="22"/>
          <w:szCs w:val="22"/>
        </w:rPr>
        <w:t xml:space="preserve"> </w:t>
      </w:r>
      <w:r w:rsidRPr="00CA48AF">
        <w:rPr>
          <w:rFonts w:ascii="Arial" w:hAnsi="Arial" w:cs="Arial"/>
          <w:color w:val="000000" w:themeColor="text1"/>
          <w:sz w:val="22"/>
          <w:szCs w:val="22"/>
        </w:rPr>
        <w:t>continuación,</w:t>
      </w:r>
      <w:r w:rsidR="00760632" w:rsidRPr="00CA48AF">
        <w:rPr>
          <w:rFonts w:ascii="Arial" w:hAnsi="Arial" w:cs="Arial"/>
          <w:color w:val="000000" w:themeColor="text1"/>
          <w:sz w:val="22"/>
          <w:szCs w:val="22"/>
        </w:rPr>
        <w:t xml:space="preserve"> se relacionan los conceptos objeto de verificación y el respectivo análisis efectuado según el alcance definido para este seguimiento</w:t>
      </w:r>
      <w:r w:rsidR="00C979C0" w:rsidRPr="00CA48AF">
        <w:rPr>
          <w:rFonts w:ascii="Arial" w:hAnsi="Arial" w:cs="Arial"/>
          <w:color w:val="000000" w:themeColor="text1"/>
          <w:sz w:val="22"/>
          <w:szCs w:val="22"/>
        </w:rPr>
        <w:t>:</w:t>
      </w:r>
    </w:p>
    <w:p w14:paraId="76E0B572" w14:textId="77777777" w:rsidR="001E1371" w:rsidRPr="00CA48AF" w:rsidRDefault="001E1371" w:rsidP="00D90499">
      <w:pPr>
        <w:pStyle w:val="Default"/>
        <w:numPr>
          <w:ilvl w:val="0"/>
          <w:numId w:val="4"/>
        </w:numPr>
        <w:ind w:left="284" w:hanging="284"/>
        <w:jc w:val="both"/>
        <w:rPr>
          <w:b/>
          <w:sz w:val="22"/>
          <w:szCs w:val="22"/>
        </w:rPr>
      </w:pPr>
      <w:r w:rsidRPr="00CA48AF">
        <w:rPr>
          <w:b/>
          <w:sz w:val="22"/>
          <w:szCs w:val="22"/>
        </w:rPr>
        <w:lastRenderedPageBreak/>
        <w:t xml:space="preserve">MODIFICACIÓN DE LAS PLANTAS DE PERSONAL, ESTRUCTURAS ADMINISTRATIVAS Y GASTOS DE PERSONAL </w:t>
      </w:r>
    </w:p>
    <w:p w14:paraId="259DBDBE" w14:textId="77777777" w:rsidR="001E1371" w:rsidRPr="00CA48AF" w:rsidRDefault="001E1371" w:rsidP="001F3898">
      <w:pPr>
        <w:pStyle w:val="Default"/>
        <w:jc w:val="both"/>
        <w:rPr>
          <w:sz w:val="22"/>
          <w:szCs w:val="22"/>
          <w:highlight w:val="yellow"/>
        </w:rPr>
      </w:pPr>
    </w:p>
    <w:p w14:paraId="5E6AEE6C" w14:textId="6EFB5ED1" w:rsidR="00740B6C" w:rsidRPr="00CA48AF" w:rsidRDefault="00570DD1" w:rsidP="004505FF">
      <w:pPr>
        <w:pStyle w:val="Default"/>
        <w:jc w:val="both"/>
        <w:rPr>
          <w:color w:val="000000" w:themeColor="text1"/>
          <w:sz w:val="22"/>
          <w:szCs w:val="22"/>
        </w:rPr>
      </w:pPr>
      <w:r w:rsidRPr="00CA48AF">
        <w:rPr>
          <w:color w:val="000000" w:themeColor="text1"/>
          <w:sz w:val="22"/>
          <w:szCs w:val="22"/>
        </w:rPr>
        <w:t>Teniendo en cuenta, las directrices expuestas en la Directiva Presidencial 009 de 2018</w:t>
      </w:r>
      <w:r w:rsidR="009901BE" w:rsidRPr="00CA48AF">
        <w:rPr>
          <w:color w:val="000000" w:themeColor="text1"/>
          <w:sz w:val="22"/>
          <w:szCs w:val="22"/>
        </w:rPr>
        <w:t xml:space="preserve"> y el Decreto 1009 de 2020 </w:t>
      </w:r>
      <w:r w:rsidRPr="00CA48AF">
        <w:rPr>
          <w:color w:val="000000" w:themeColor="text1"/>
          <w:sz w:val="22"/>
          <w:szCs w:val="22"/>
        </w:rPr>
        <w:t xml:space="preserve">en lo referente </w:t>
      </w:r>
      <w:r w:rsidR="009901BE" w:rsidRPr="00CA48AF">
        <w:rPr>
          <w:color w:val="000000" w:themeColor="text1"/>
          <w:sz w:val="22"/>
          <w:szCs w:val="22"/>
        </w:rPr>
        <w:t>a</w:t>
      </w:r>
      <w:r w:rsidR="00D0378B" w:rsidRPr="00CA48AF">
        <w:rPr>
          <w:color w:val="000000" w:themeColor="text1"/>
          <w:sz w:val="22"/>
          <w:szCs w:val="22"/>
        </w:rPr>
        <w:t xml:space="preserve">l </w:t>
      </w:r>
      <w:r w:rsidR="00D0378B" w:rsidRPr="00CA48AF">
        <w:rPr>
          <w:i/>
          <w:iCs/>
          <w:color w:val="000000" w:themeColor="text1"/>
          <w:sz w:val="22"/>
          <w:szCs w:val="22"/>
        </w:rPr>
        <w:t>Plan de Austeridad del Gasto</w:t>
      </w:r>
      <w:r w:rsidR="00D0378B" w:rsidRPr="00CA48AF">
        <w:rPr>
          <w:color w:val="000000" w:themeColor="text1"/>
          <w:sz w:val="22"/>
          <w:szCs w:val="22"/>
        </w:rPr>
        <w:t xml:space="preserve"> (</w:t>
      </w:r>
      <w:r w:rsidRPr="00CA48AF">
        <w:rPr>
          <w:iCs/>
          <w:color w:val="000000" w:themeColor="text1"/>
          <w:sz w:val="22"/>
          <w:szCs w:val="22"/>
        </w:rPr>
        <w:t>Modificación de las plantas de personal, estructuras administrativas y gastos de personal</w:t>
      </w:r>
      <w:r w:rsidR="00D0378B" w:rsidRPr="00CA48AF">
        <w:rPr>
          <w:iCs/>
          <w:color w:val="000000" w:themeColor="text1"/>
          <w:sz w:val="22"/>
          <w:szCs w:val="22"/>
        </w:rPr>
        <w:t>)</w:t>
      </w:r>
      <w:r w:rsidR="00740B6C" w:rsidRPr="00CA48AF">
        <w:rPr>
          <w:color w:val="000000" w:themeColor="text1"/>
          <w:sz w:val="22"/>
          <w:szCs w:val="22"/>
        </w:rPr>
        <w:t xml:space="preserve">, </w:t>
      </w:r>
      <w:r w:rsidRPr="00CA48AF">
        <w:rPr>
          <w:color w:val="000000" w:themeColor="text1"/>
          <w:sz w:val="22"/>
          <w:szCs w:val="22"/>
        </w:rPr>
        <w:t>e</w:t>
      </w:r>
      <w:r w:rsidR="001E1371" w:rsidRPr="00CA48AF">
        <w:rPr>
          <w:color w:val="000000" w:themeColor="text1"/>
          <w:sz w:val="22"/>
          <w:szCs w:val="22"/>
        </w:rPr>
        <w:t>n este punto</w:t>
      </w:r>
      <w:r w:rsidR="00D0378B" w:rsidRPr="00CA48AF">
        <w:rPr>
          <w:color w:val="000000" w:themeColor="text1"/>
          <w:sz w:val="22"/>
          <w:szCs w:val="22"/>
        </w:rPr>
        <w:t>,</w:t>
      </w:r>
      <w:r w:rsidR="00740B6C" w:rsidRPr="00CA48AF">
        <w:rPr>
          <w:color w:val="000000" w:themeColor="text1"/>
          <w:sz w:val="22"/>
          <w:szCs w:val="22"/>
        </w:rPr>
        <w:t xml:space="preserve"> </w:t>
      </w:r>
      <w:r w:rsidR="001E1371" w:rsidRPr="00CA48AF">
        <w:rPr>
          <w:color w:val="000000" w:themeColor="text1"/>
          <w:sz w:val="22"/>
          <w:szCs w:val="22"/>
        </w:rPr>
        <w:t>se analizaron las variaciones</w:t>
      </w:r>
      <w:r w:rsidR="00740B6C" w:rsidRPr="00CA48AF">
        <w:rPr>
          <w:color w:val="000000" w:themeColor="text1"/>
          <w:sz w:val="22"/>
          <w:szCs w:val="22"/>
        </w:rPr>
        <w:t xml:space="preserve"> presentadas para el </w:t>
      </w:r>
      <w:r w:rsidR="00860328" w:rsidRPr="00CA48AF">
        <w:rPr>
          <w:color w:val="000000" w:themeColor="text1"/>
          <w:sz w:val="22"/>
          <w:szCs w:val="22"/>
        </w:rPr>
        <w:t xml:space="preserve">tercer </w:t>
      </w:r>
      <w:r w:rsidR="00740B6C" w:rsidRPr="00CA48AF">
        <w:rPr>
          <w:color w:val="000000" w:themeColor="text1"/>
          <w:sz w:val="22"/>
          <w:szCs w:val="22"/>
        </w:rPr>
        <w:t xml:space="preserve"> trimestre de 2020 comparado con el mismo periodo de 2019, correspondiente a l</w:t>
      </w:r>
      <w:r w:rsidR="00431B56" w:rsidRPr="00CA48AF">
        <w:rPr>
          <w:color w:val="000000" w:themeColor="text1"/>
          <w:sz w:val="22"/>
          <w:szCs w:val="22"/>
        </w:rPr>
        <w:t xml:space="preserve">os </w:t>
      </w:r>
      <w:r w:rsidR="009901BE" w:rsidRPr="00CA48AF">
        <w:rPr>
          <w:color w:val="000000" w:themeColor="text1"/>
          <w:sz w:val="22"/>
          <w:szCs w:val="22"/>
        </w:rPr>
        <w:t>concepto</w:t>
      </w:r>
      <w:r w:rsidR="00431B56" w:rsidRPr="00CA48AF">
        <w:rPr>
          <w:color w:val="000000" w:themeColor="text1"/>
          <w:sz w:val="22"/>
          <w:szCs w:val="22"/>
        </w:rPr>
        <w:t>s</w:t>
      </w:r>
      <w:r w:rsidR="009901BE" w:rsidRPr="00CA48AF">
        <w:rPr>
          <w:color w:val="000000" w:themeColor="text1"/>
          <w:sz w:val="22"/>
          <w:szCs w:val="22"/>
        </w:rPr>
        <w:t xml:space="preserve"> de </w:t>
      </w:r>
      <w:r w:rsidR="00D0378B" w:rsidRPr="00CA48AF">
        <w:rPr>
          <w:color w:val="000000" w:themeColor="text1"/>
          <w:sz w:val="22"/>
          <w:szCs w:val="22"/>
        </w:rPr>
        <w:t>p</w:t>
      </w:r>
      <w:r w:rsidR="009901BE" w:rsidRPr="00CA48AF">
        <w:rPr>
          <w:color w:val="000000" w:themeColor="text1"/>
          <w:sz w:val="22"/>
          <w:szCs w:val="22"/>
        </w:rPr>
        <w:t xml:space="preserve">lanta de </w:t>
      </w:r>
      <w:r w:rsidR="00D0378B" w:rsidRPr="00CA48AF">
        <w:rPr>
          <w:color w:val="000000" w:themeColor="text1"/>
          <w:sz w:val="22"/>
          <w:szCs w:val="22"/>
        </w:rPr>
        <w:t>p</w:t>
      </w:r>
      <w:r w:rsidR="009901BE" w:rsidRPr="00CA48AF">
        <w:rPr>
          <w:color w:val="000000" w:themeColor="text1"/>
          <w:sz w:val="22"/>
          <w:szCs w:val="22"/>
        </w:rPr>
        <w:t>ersonal</w:t>
      </w:r>
      <w:r w:rsidR="00431B56" w:rsidRPr="00CA48AF">
        <w:rPr>
          <w:color w:val="000000" w:themeColor="text1"/>
          <w:sz w:val="22"/>
          <w:szCs w:val="22"/>
        </w:rPr>
        <w:t xml:space="preserve"> y contratación de personal para la prestación de servicios profesionales.</w:t>
      </w:r>
      <w:r w:rsidR="00740B6C" w:rsidRPr="00CA48AF">
        <w:rPr>
          <w:color w:val="000000" w:themeColor="text1"/>
          <w:sz w:val="22"/>
          <w:szCs w:val="22"/>
        </w:rPr>
        <w:t xml:space="preserve"> </w:t>
      </w:r>
    </w:p>
    <w:p w14:paraId="6907544C" w14:textId="77777777" w:rsidR="00740B6C" w:rsidRPr="00CA48AF" w:rsidRDefault="00740B6C" w:rsidP="00700A1E">
      <w:pPr>
        <w:pStyle w:val="Default"/>
        <w:spacing w:line="168" w:lineRule="auto"/>
        <w:jc w:val="both"/>
        <w:rPr>
          <w:color w:val="000000" w:themeColor="text1"/>
          <w:sz w:val="22"/>
          <w:szCs w:val="22"/>
        </w:rPr>
      </w:pPr>
    </w:p>
    <w:p w14:paraId="6012D5EA" w14:textId="7E533AFC" w:rsidR="009901BE" w:rsidRPr="00CA48AF" w:rsidRDefault="00740B6C" w:rsidP="00740B6C">
      <w:pPr>
        <w:pStyle w:val="Default"/>
        <w:jc w:val="both"/>
        <w:rPr>
          <w:color w:val="000000" w:themeColor="text1"/>
          <w:sz w:val="22"/>
          <w:szCs w:val="22"/>
        </w:rPr>
      </w:pPr>
      <w:r w:rsidRPr="00CA48AF">
        <w:rPr>
          <w:color w:val="000000" w:themeColor="text1"/>
          <w:sz w:val="22"/>
          <w:szCs w:val="22"/>
        </w:rPr>
        <w:t xml:space="preserve">Referente a los conceptos de </w:t>
      </w:r>
      <w:r w:rsidR="00C90A1E" w:rsidRPr="00CA48AF">
        <w:rPr>
          <w:i/>
          <w:iCs/>
          <w:color w:val="000000" w:themeColor="text1"/>
          <w:sz w:val="22"/>
          <w:szCs w:val="22"/>
        </w:rPr>
        <w:t>V</w:t>
      </w:r>
      <w:r w:rsidR="008B39F8" w:rsidRPr="00CA48AF">
        <w:rPr>
          <w:i/>
          <w:iCs/>
          <w:color w:val="000000" w:themeColor="text1"/>
          <w:sz w:val="22"/>
          <w:szCs w:val="22"/>
        </w:rPr>
        <w:t>alor del G</w:t>
      </w:r>
      <w:r w:rsidRPr="00CA48AF">
        <w:rPr>
          <w:i/>
          <w:iCs/>
          <w:color w:val="000000" w:themeColor="text1"/>
          <w:sz w:val="22"/>
          <w:szCs w:val="22"/>
        </w:rPr>
        <w:t xml:space="preserve">astos de </w:t>
      </w:r>
      <w:r w:rsidR="008B39F8" w:rsidRPr="00CA48AF">
        <w:rPr>
          <w:i/>
          <w:iCs/>
          <w:color w:val="000000" w:themeColor="text1"/>
          <w:sz w:val="22"/>
          <w:szCs w:val="22"/>
        </w:rPr>
        <w:t>N</w:t>
      </w:r>
      <w:r w:rsidRPr="00CA48AF">
        <w:rPr>
          <w:i/>
          <w:iCs/>
          <w:color w:val="000000" w:themeColor="text1"/>
          <w:sz w:val="22"/>
          <w:szCs w:val="22"/>
        </w:rPr>
        <w:t xml:space="preserve">ómina </w:t>
      </w:r>
      <w:r w:rsidR="0046459D" w:rsidRPr="00CA48AF">
        <w:rPr>
          <w:i/>
          <w:iCs/>
          <w:color w:val="000000" w:themeColor="text1"/>
          <w:sz w:val="22"/>
          <w:szCs w:val="22"/>
        </w:rPr>
        <w:t>y Horas</w:t>
      </w:r>
      <w:r w:rsidR="008B39F8" w:rsidRPr="00CA48AF">
        <w:rPr>
          <w:i/>
          <w:iCs/>
          <w:color w:val="000000" w:themeColor="text1"/>
          <w:sz w:val="22"/>
          <w:szCs w:val="22"/>
        </w:rPr>
        <w:t xml:space="preserve"> Extras</w:t>
      </w:r>
      <w:r w:rsidR="008B39F8" w:rsidRPr="00CA48AF">
        <w:rPr>
          <w:color w:val="000000" w:themeColor="text1"/>
          <w:sz w:val="22"/>
          <w:szCs w:val="22"/>
        </w:rPr>
        <w:t xml:space="preserve">, </w:t>
      </w:r>
      <w:r w:rsidRPr="00CA48AF">
        <w:rPr>
          <w:color w:val="000000" w:themeColor="text1"/>
          <w:sz w:val="22"/>
          <w:szCs w:val="22"/>
        </w:rPr>
        <w:t>el seguimiento estuvo orientado a determinar el impacto generado</w:t>
      </w:r>
      <w:r w:rsidR="008B39F8" w:rsidRPr="00CA48AF">
        <w:rPr>
          <w:color w:val="000000" w:themeColor="text1"/>
          <w:sz w:val="22"/>
          <w:szCs w:val="22"/>
        </w:rPr>
        <w:t xml:space="preserve"> </w:t>
      </w:r>
      <w:r w:rsidR="00BB5042" w:rsidRPr="00CA48AF">
        <w:rPr>
          <w:color w:val="000000" w:themeColor="text1"/>
          <w:sz w:val="22"/>
          <w:szCs w:val="22"/>
        </w:rPr>
        <w:t xml:space="preserve">en la variable </w:t>
      </w:r>
      <w:r w:rsidR="00BB5042" w:rsidRPr="00CA48AF">
        <w:rPr>
          <w:i/>
          <w:color w:val="000000" w:themeColor="text1"/>
          <w:sz w:val="22"/>
          <w:szCs w:val="22"/>
        </w:rPr>
        <w:t>valor de los gastos</w:t>
      </w:r>
      <w:r w:rsidR="00BB5042" w:rsidRPr="00CA48AF">
        <w:rPr>
          <w:color w:val="000000" w:themeColor="text1"/>
          <w:sz w:val="22"/>
          <w:szCs w:val="22"/>
        </w:rPr>
        <w:t xml:space="preserve"> asociados a la nómina,</w:t>
      </w:r>
      <w:r w:rsidR="00860328" w:rsidRPr="00CA48AF">
        <w:rPr>
          <w:color w:val="000000" w:themeColor="text1"/>
          <w:sz w:val="22"/>
          <w:szCs w:val="22"/>
        </w:rPr>
        <w:t xml:space="preserve"> así como, la variable </w:t>
      </w:r>
      <w:r w:rsidR="00BB5042" w:rsidRPr="00CA48AF">
        <w:rPr>
          <w:i/>
          <w:color w:val="000000" w:themeColor="text1"/>
          <w:sz w:val="22"/>
          <w:szCs w:val="22"/>
        </w:rPr>
        <w:t>cantidad de horas extras</w:t>
      </w:r>
      <w:r w:rsidR="00BB5042" w:rsidRPr="00CA48AF">
        <w:rPr>
          <w:color w:val="000000" w:themeColor="text1"/>
          <w:sz w:val="22"/>
          <w:szCs w:val="22"/>
        </w:rPr>
        <w:t xml:space="preserve">, derivado </w:t>
      </w:r>
      <w:r w:rsidR="008B39F8" w:rsidRPr="00CA48AF">
        <w:rPr>
          <w:color w:val="000000" w:themeColor="text1"/>
          <w:sz w:val="22"/>
          <w:szCs w:val="22"/>
        </w:rPr>
        <w:t xml:space="preserve">por las medidas adoptadas por este Ministerio en virtud de </w:t>
      </w:r>
      <w:r w:rsidR="00FE136A" w:rsidRPr="00CA48AF">
        <w:rPr>
          <w:color w:val="000000" w:themeColor="text1"/>
          <w:sz w:val="22"/>
          <w:szCs w:val="22"/>
        </w:rPr>
        <w:t>la Emergencia</w:t>
      </w:r>
      <w:r w:rsidR="008B39F8" w:rsidRPr="00CA48AF">
        <w:rPr>
          <w:color w:val="000000" w:themeColor="text1"/>
          <w:sz w:val="22"/>
          <w:szCs w:val="22"/>
        </w:rPr>
        <w:t xml:space="preserve"> Económica, Social y Ecológica</w:t>
      </w:r>
      <w:r w:rsidR="00F46C4E" w:rsidRPr="00CA48AF">
        <w:rPr>
          <w:color w:val="000000" w:themeColor="text1"/>
          <w:sz w:val="22"/>
          <w:szCs w:val="22"/>
        </w:rPr>
        <w:t xml:space="preserve"> [COVID-19]</w:t>
      </w:r>
      <w:r w:rsidR="00BB5042" w:rsidRPr="00CA48AF">
        <w:rPr>
          <w:color w:val="000000" w:themeColor="text1"/>
          <w:sz w:val="22"/>
          <w:szCs w:val="22"/>
        </w:rPr>
        <w:t xml:space="preserve">. </w:t>
      </w:r>
    </w:p>
    <w:p w14:paraId="59B7915D" w14:textId="77777777" w:rsidR="009901BE" w:rsidRPr="00CA48AF" w:rsidRDefault="009901BE" w:rsidP="00700A1E">
      <w:pPr>
        <w:pStyle w:val="Default"/>
        <w:spacing w:line="168" w:lineRule="auto"/>
        <w:jc w:val="both"/>
        <w:rPr>
          <w:color w:val="000000" w:themeColor="text1"/>
          <w:sz w:val="22"/>
          <w:szCs w:val="22"/>
        </w:rPr>
      </w:pPr>
    </w:p>
    <w:p w14:paraId="3374A55B" w14:textId="77777777" w:rsidR="00767F01" w:rsidRPr="00CA48AF" w:rsidRDefault="00767F01" w:rsidP="004505FF">
      <w:pPr>
        <w:pStyle w:val="Default"/>
        <w:jc w:val="both"/>
        <w:rPr>
          <w:color w:val="000000" w:themeColor="text1"/>
          <w:sz w:val="22"/>
          <w:szCs w:val="22"/>
        </w:rPr>
      </w:pPr>
    </w:p>
    <w:p w14:paraId="18C8411A" w14:textId="5BFE5720" w:rsidR="00571A39" w:rsidRPr="00CA48AF" w:rsidRDefault="00571A39" w:rsidP="002C7841">
      <w:pPr>
        <w:rPr>
          <w:rFonts w:ascii="Arial" w:hAnsi="Arial" w:cs="Arial"/>
          <w:b/>
          <w:color w:val="000000" w:themeColor="text1"/>
          <w:sz w:val="22"/>
          <w:szCs w:val="22"/>
        </w:rPr>
      </w:pPr>
      <w:r w:rsidRPr="00CA48AF">
        <w:rPr>
          <w:rFonts w:ascii="Arial" w:hAnsi="Arial" w:cs="Arial"/>
          <w:b/>
          <w:color w:val="000000" w:themeColor="text1"/>
          <w:sz w:val="22"/>
          <w:szCs w:val="22"/>
        </w:rPr>
        <w:t xml:space="preserve">2.1. </w:t>
      </w:r>
      <w:r w:rsidR="003F3B7E" w:rsidRPr="00CA48AF">
        <w:rPr>
          <w:rFonts w:ascii="Arial" w:hAnsi="Arial" w:cs="Arial"/>
          <w:b/>
          <w:color w:val="000000" w:themeColor="text1"/>
          <w:sz w:val="22"/>
          <w:szCs w:val="22"/>
        </w:rPr>
        <w:t>PLANTA DE PERSONAL</w:t>
      </w:r>
    </w:p>
    <w:p w14:paraId="55764342" w14:textId="77777777" w:rsidR="002C7841" w:rsidRPr="00CA48AF" w:rsidRDefault="002C7841" w:rsidP="00700A1E">
      <w:pPr>
        <w:pStyle w:val="Default"/>
        <w:spacing w:line="168" w:lineRule="auto"/>
        <w:jc w:val="both"/>
        <w:rPr>
          <w:b/>
          <w:color w:val="000000" w:themeColor="text1"/>
          <w:sz w:val="22"/>
          <w:szCs w:val="22"/>
        </w:rPr>
      </w:pPr>
    </w:p>
    <w:p w14:paraId="34FF1963" w14:textId="2AE2B7D0" w:rsidR="008852B6" w:rsidRPr="00CA48AF" w:rsidRDefault="00065B73" w:rsidP="002C7841">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Según </w:t>
      </w:r>
      <w:r w:rsidR="008852B6" w:rsidRPr="00CA48AF">
        <w:rPr>
          <w:rFonts w:ascii="Arial" w:hAnsi="Arial" w:cs="Arial"/>
          <w:color w:val="000000" w:themeColor="text1"/>
          <w:sz w:val="22"/>
          <w:szCs w:val="22"/>
        </w:rPr>
        <w:t xml:space="preserve">lo </w:t>
      </w:r>
      <w:r w:rsidR="006678FB" w:rsidRPr="00CA48AF">
        <w:rPr>
          <w:rFonts w:ascii="Arial" w:hAnsi="Arial" w:cs="Arial"/>
          <w:color w:val="000000" w:themeColor="text1"/>
          <w:sz w:val="22"/>
          <w:szCs w:val="22"/>
        </w:rPr>
        <w:t xml:space="preserve">establecido </w:t>
      </w:r>
      <w:r w:rsidR="008852B6" w:rsidRPr="00CA48AF">
        <w:rPr>
          <w:rFonts w:ascii="Arial" w:hAnsi="Arial" w:cs="Arial"/>
          <w:color w:val="000000" w:themeColor="text1"/>
          <w:sz w:val="22"/>
          <w:szCs w:val="22"/>
        </w:rPr>
        <w:t xml:space="preserve">en el </w:t>
      </w:r>
      <w:r w:rsidRPr="00CA48AF">
        <w:rPr>
          <w:rFonts w:ascii="Arial" w:hAnsi="Arial" w:cs="Arial"/>
          <w:color w:val="000000" w:themeColor="text1"/>
          <w:sz w:val="22"/>
          <w:szCs w:val="22"/>
        </w:rPr>
        <w:t>numeral 1.1</w:t>
      </w:r>
      <w:r w:rsidR="008852B6" w:rsidRPr="00CA48AF">
        <w:rPr>
          <w:rFonts w:ascii="Arial" w:hAnsi="Arial" w:cs="Arial"/>
          <w:color w:val="000000" w:themeColor="text1"/>
          <w:sz w:val="22"/>
          <w:szCs w:val="22"/>
        </w:rPr>
        <w:t xml:space="preserve"> de la Directiva Presidencial 09 de 2018</w:t>
      </w:r>
      <w:r w:rsidR="00A553CB" w:rsidRPr="00CA48AF">
        <w:rPr>
          <w:rFonts w:ascii="Arial" w:hAnsi="Arial" w:cs="Arial"/>
          <w:color w:val="000000" w:themeColor="text1"/>
          <w:sz w:val="22"/>
          <w:szCs w:val="22"/>
        </w:rPr>
        <w:t xml:space="preserve"> y el artículo 2° del Decreto 1009 de 2020</w:t>
      </w:r>
      <w:r w:rsidR="008852B6" w:rsidRPr="00CA48AF">
        <w:rPr>
          <w:rFonts w:ascii="Arial" w:hAnsi="Arial" w:cs="Arial"/>
          <w:color w:val="000000" w:themeColor="text1"/>
          <w:sz w:val="22"/>
          <w:szCs w:val="22"/>
        </w:rPr>
        <w:t>, «Las plantas de personal y las estructuras administrativas de las entidades de la rama ejecutiva del orden nacional, solamente se podrán modificar cuando dicha reforma sea a costo cero o se generen ahorros en los gastos de funcionamiento de la entidad».</w:t>
      </w:r>
      <w:r w:rsidRPr="00CA48AF">
        <w:rPr>
          <w:rFonts w:ascii="Arial" w:hAnsi="Arial" w:cs="Arial"/>
          <w:color w:val="000000" w:themeColor="text1"/>
          <w:sz w:val="22"/>
          <w:szCs w:val="22"/>
        </w:rPr>
        <w:t xml:space="preserve"> Por lo anterior, con base en la información reportada por la Subdirección de Gesti</w:t>
      </w:r>
      <w:r w:rsidR="00DD1F61" w:rsidRPr="00CA48AF">
        <w:rPr>
          <w:rFonts w:ascii="Arial" w:hAnsi="Arial" w:cs="Arial"/>
          <w:color w:val="000000" w:themeColor="text1"/>
          <w:sz w:val="22"/>
          <w:szCs w:val="22"/>
        </w:rPr>
        <w:t>ón del Talento</w:t>
      </w:r>
      <w:r w:rsidR="006678FB" w:rsidRPr="00CA48AF">
        <w:rPr>
          <w:rFonts w:ascii="Arial" w:hAnsi="Arial" w:cs="Arial"/>
          <w:color w:val="000000" w:themeColor="text1"/>
          <w:sz w:val="22"/>
          <w:szCs w:val="22"/>
        </w:rPr>
        <w:t xml:space="preserve"> Humano se aplicaron las pruebas de comparación </w:t>
      </w:r>
      <w:r w:rsidR="00DD1F61" w:rsidRPr="00CA48AF">
        <w:rPr>
          <w:rFonts w:ascii="Arial" w:hAnsi="Arial" w:cs="Arial"/>
          <w:color w:val="000000" w:themeColor="text1"/>
          <w:sz w:val="22"/>
          <w:szCs w:val="22"/>
        </w:rPr>
        <w:t>r</w:t>
      </w:r>
      <w:r w:rsidR="006678FB" w:rsidRPr="00CA48AF">
        <w:rPr>
          <w:rFonts w:ascii="Arial" w:hAnsi="Arial" w:cs="Arial"/>
          <w:color w:val="000000" w:themeColor="text1"/>
          <w:sz w:val="22"/>
          <w:szCs w:val="22"/>
        </w:rPr>
        <w:t>especto a la planta de personal</w:t>
      </w:r>
      <w:r w:rsidR="00C42DF3" w:rsidRPr="00CA48AF">
        <w:rPr>
          <w:rFonts w:ascii="Arial" w:hAnsi="Arial" w:cs="Arial"/>
          <w:color w:val="000000" w:themeColor="text1"/>
          <w:sz w:val="22"/>
          <w:szCs w:val="22"/>
        </w:rPr>
        <w:t xml:space="preserve"> para los periodos objeto de verificación</w:t>
      </w:r>
      <w:r w:rsidR="006678FB" w:rsidRPr="00CA48AF">
        <w:rPr>
          <w:rFonts w:ascii="Arial" w:hAnsi="Arial" w:cs="Arial"/>
          <w:color w:val="000000" w:themeColor="text1"/>
          <w:sz w:val="22"/>
          <w:szCs w:val="22"/>
        </w:rPr>
        <w:t xml:space="preserve">. El análisis se presenta a continuación: </w:t>
      </w:r>
    </w:p>
    <w:p w14:paraId="397DBFB6" w14:textId="77777777" w:rsidR="004505FF" w:rsidRPr="00CA48AF" w:rsidRDefault="004505FF" w:rsidP="00700A1E">
      <w:pPr>
        <w:pStyle w:val="Default"/>
        <w:spacing w:line="168" w:lineRule="auto"/>
        <w:jc w:val="both"/>
        <w:rPr>
          <w:color w:val="000000" w:themeColor="text1"/>
          <w:sz w:val="22"/>
          <w:szCs w:val="22"/>
        </w:rPr>
      </w:pPr>
    </w:p>
    <w:p w14:paraId="28306D4E" w14:textId="4A577CBB" w:rsidR="006C0D16" w:rsidRPr="00CA48AF" w:rsidRDefault="00DC4BA3" w:rsidP="002C7841">
      <w:pPr>
        <w:jc w:val="both"/>
        <w:rPr>
          <w:rFonts w:ascii="Arial" w:hAnsi="Arial" w:cs="Arial"/>
          <w:color w:val="000000" w:themeColor="text1"/>
          <w:sz w:val="22"/>
          <w:szCs w:val="22"/>
        </w:rPr>
      </w:pPr>
      <w:r w:rsidRPr="00CA48AF">
        <w:rPr>
          <w:rFonts w:ascii="Arial" w:hAnsi="Arial" w:cs="Arial"/>
          <w:color w:val="000000" w:themeColor="text1"/>
          <w:sz w:val="22"/>
          <w:szCs w:val="22"/>
        </w:rPr>
        <w:t>Con c</w:t>
      </w:r>
      <w:r w:rsidR="005F7E32" w:rsidRPr="00CA48AF">
        <w:rPr>
          <w:rFonts w:ascii="Arial" w:hAnsi="Arial" w:cs="Arial"/>
          <w:color w:val="000000" w:themeColor="text1"/>
          <w:sz w:val="22"/>
          <w:szCs w:val="22"/>
        </w:rPr>
        <w:t xml:space="preserve">orte a </w:t>
      </w:r>
      <w:r w:rsidR="00B818F5" w:rsidRPr="00CA48AF">
        <w:rPr>
          <w:rFonts w:ascii="Arial" w:hAnsi="Arial" w:cs="Arial"/>
          <w:color w:val="000000" w:themeColor="text1"/>
          <w:sz w:val="22"/>
          <w:szCs w:val="22"/>
        </w:rPr>
        <w:t>3</w:t>
      </w:r>
      <w:r w:rsidR="00700A1E" w:rsidRPr="00CA48AF">
        <w:rPr>
          <w:rFonts w:ascii="Arial" w:hAnsi="Arial" w:cs="Arial"/>
          <w:color w:val="000000" w:themeColor="text1"/>
          <w:sz w:val="22"/>
          <w:szCs w:val="22"/>
        </w:rPr>
        <w:t>0</w:t>
      </w:r>
      <w:r w:rsidR="005F7E32" w:rsidRPr="00CA48AF">
        <w:rPr>
          <w:rFonts w:ascii="Arial" w:hAnsi="Arial" w:cs="Arial"/>
          <w:color w:val="000000" w:themeColor="text1"/>
          <w:sz w:val="22"/>
          <w:szCs w:val="22"/>
        </w:rPr>
        <w:t xml:space="preserve"> de</w:t>
      </w:r>
      <w:r w:rsidR="007F5A8B" w:rsidRPr="00CA48AF">
        <w:rPr>
          <w:rFonts w:ascii="Arial" w:hAnsi="Arial" w:cs="Arial"/>
          <w:color w:val="000000" w:themeColor="text1"/>
          <w:sz w:val="22"/>
          <w:szCs w:val="22"/>
        </w:rPr>
        <w:t xml:space="preserve"> </w:t>
      </w:r>
      <w:r w:rsidR="00860328" w:rsidRPr="00CA48AF">
        <w:rPr>
          <w:rFonts w:ascii="Arial" w:hAnsi="Arial" w:cs="Arial"/>
          <w:color w:val="000000" w:themeColor="text1"/>
          <w:sz w:val="22"/>
          <w:szCs w:val="22"/>
        </w:rPr>
        <w:t xml:space="preserve">septiembre </w:t>
      </w:r>
      <w:r w:rsidR="00441672" w:rsidRPr="00CA48AF">
        <w:rPr>
          <w:rFonts w:ascii="Arial" w:hAnsi="Arial" w:cs="Arial"/>
          <w:color w:val="000000" w:themeColor="text1"/>
          <w:sz w:val="22"/>
          <w:szCs w:val="22"/>
        </w:rPr>
        <w:t>de</w:t>
      </w:r>
      <w:r w:rsidR="005F7E32" w:rsidRPr="00CA48AF">
        <w:rPr>
          <w:rFonts w:ascii="Arial" w:hAnsi="Arial" w:cs="Arial"/>
          <w:color w:val="000000" w:themeColor="text1"/>
          <w:sz w:val="22"/>
          <w:szCs w:val="22"/>
        </w:rPr>
        <w:t xml:space="preserve"> 20</w:t>
      </w:r>
      <w:r w:rsidR="00B073B3" w:rsidRPr="00CA48AF">
        <w:rPr>
          <w:rFonts w:ascii="Arial" w:hAnsi="Arial" w:cs="Arial"/>
          <w:color w:val="000000" w:themeColor="text1"/>
          <w:sz w:val="22"/>
          <w:szCs w:val="22"/>
        </w:rPr>
        <w:t>20</w:t>
      </w:r>
      <w:r w:rsidR="00860328" w:rsidRPr="00CA48AF">
        <w:rPr>
          <w:rFonts w:ascii="Arial" w:hAnsi="Arial" w:cs="Arial"/>
          <w:color w:val="000000" w:themeColor="text1"/>
          <w:sz w:val="22"/>
          <w:szCs w:val="22"/>
        </w:rPr>
        <w:t>,</w:t>
      </w:r>
      <w:r w:rsidR="005F7E32" w:rsidRPr="00CA48AF">
        <w:rPr>
          <w:rFonts w:ascii="Arial" w:hAnsi="Arial" w:cs="Arial"/>
          <w:color w:val="000000" w:themeColor="text1"/>
          <w:sz w:val="22"/>
          <w:szCs w:val="22"/>
        </w:rPr>
        <w:t xml:space="preserve"> </w:t>
      </w:r>
      <w:r w:rsidRPr="00CA48AF">
        <w:rPr>
          <w:rFonts w:ascii="Arial" w:hAnsi="Arial" w:cs="Arial"/>
          <w:color w:val="000000" w:themeColor="text1"/>
          <w:sz w:val="22"/>
          <w:szCs w:val="22"/>
        </w:rPr>
        <w:t>la planta de perso</w:t>
      </w:r>
      <w:r w:rsidR="005F7E32" w:rsidRPr="00CA48AF">
        <w:rPr>
          <w:rFonts w:ascii="Arial" w:hAnsi="Arial" w:cs="Arial"/>
          <w:color w:val="000000" w:themeColor="text1"/>
          <w:sz w:val="22"/>
          <w:szCs w:val="22"/>
        </w:rPr>
        <w:t>nal</w:t>
      </w:r>
      <w:r w:rsidR="0037128B" w:rsidRPr="00CA48AF">
        <w:rPr>
          <w:rFonts w:ascii="Arial" w:hAnsi="Arial" w:cs="Arial"/>
          <w:color w:val="000000" w:themeColor="text1"/>
          <w:sz w:val="22"/>
          <w:szCs w:val="22"/>
        </w:rPr>
        <w:t xml:space="preserve"> [</w:t>
      </w:r>
      <w:r w:rsidR="00FA0DBB" w:rsidRPr="00CA48AF">
        <w:rPr>
          <w:rFonts w:ascii="Arial" w:hAnsi="Arial" w:cs="Arial"/>
          <w:color w:val="000000" w:themeColor="text1"/>
          <w:sz w:val="22"/>
          <w:szCs w:val="22"/>
        </w:rPr>
        <w:t>permanente</w:t>
      </w:r>
      <w:r w:rsidR="0037128B" w:rsidRPr="00CA48AF">
        <w:rPr>
          <w:rFonts w:ascii="Arial" w:hAnsi="Arial" w:cs="Arial"/>
          <w:color w:val="000000" w:themeColor="text1"/>
          <w:sz w:val="22"/>
          <w:szCs w:val="22"/>
        </w:rPr>
        <w:t>]</w:t>
      </w:r>
      <w:r w:rsidR="00FA0DBB" w:rsidRPr="00CA48AF">
        <w:rPr>
          <w:rFonts w:ascii="Arial" w:hAnsi="Arial" w:cs="Arial"/>
          <w:color w:val="000000" w:themeColor="text1"/>
          <w:sz w:val="22"/>
          <w:szCs w:val="22"/>
        </w:rPr>
        <w:t xml:space="preserve"> del Ministerio de Hacienda y Crédito Público </w:t>
      </w:r>
      <w:r w:rsidR="00B818F5" w:rsidRPr="00CA48AF">
        <w:rPr>
          <w:rFonts w:ascii="Arial" w:hAnsi="Arial" w:cs="Arial"/>
          <w:color w:val="000000" w:themeColor="text1"/>
          <w:sz w:val="22"/>
          <w:szCs w:val="22"/>
        </w:rPr>
        <w:t>ascendió</w:t>
      </w:r>
      <w:r w:rsidR="00DC228A" w:rsidRPr="00CA48AF">
        <w:rPr>
          <w:rFonts w:ascii="Arial" w:hAnsi="Arial" w:cs="Arial"/>
          <w:color w:val="000000" w:themeColor="text1"/>
          <w:sz w:val="22"/>
          <w:szCs w:val="22"/>
        </w:rPr>
        <w:t xml:space="preserve"> a </w:t>
      </w:r>
      <w:r w:rsidR="005F7E32" w:rsidRPr="00CA48AF">
        <w:rPr>
          <w:rFonts w:ascii="Arial" w:hAnsi="Arial" w:cs="Arial"/>
          <w:color w:val="000000" w:themeColor="text1"/>
          <w:sz w:val="22"/>
          <w:szCs w:val="22"/>
        </w:rPr>
        <w:t>6</w:t>
      </w:r>
      <w:r w:rsidR="00E15012" w:rsidRPr="00CA48AF">
        <w:rPr>
          <w:rFonts w:ascii="Arial" w:hAnsi="Arial" w:cs="Arial"/>
          <w:color w:val="000000" w:themeColor="text1"/>
          <w:sz w:val="22"/>
          <w:szCs w:val="22"/>
        </w:rPr>
        <w:t>8</w:t>
      </w:r>
      <w:r w:rsidR="001912D7" w:rsidRPr="00CA48AF">
        <w:rPr>
          <w:rFonts w:ascii="Arial" w:hAnsi="Arial" w:cs="Arial"/>
          <w:color w:val="000000" w:themeColor="text1"/>
          <w:sz w:val="22"/>
          <w:szCs w:val="22"/>
        </w:rPr>
        <w:t>9</w:t>
      </w:r>
      <w:r w:rsidR="005F7E32" w:rsidRPr="00CA48AF">
        <w:rPr>
          <w:rFonts w:ascii="Arial" w:hAnsi="Arial" w:cs="Arial"/>
          <w:color w:val="000000" w:themeColor="text1"/>
          <w:sz w:val="22"/>
          <w:szCs w:val="22"/>
        </w:rPr>
        <w:t xml:space="preserve"> funcionarios, </w:t>
      </w:r>
      <w:r w:rsidR="00E64645" w:rsidRPr="00CA48AF">
        <w:rPr>
          <w:rFonts w:ascii="Arial" w:hAnsi="Arial" w:cs="Arial"/>
          <w:color w:val="000000" w:themeColor="text1"/>
          <w:sz w:val="22"/>
          <w:szCs w:val="22"/>
        </w:rPr>
        <w:t xml:space="preserve">de </w:t>
      </w:r>
      <w:r w:rsidR="005F7E32" w:rsidRPr="00CA48AF">
        <w:rPr>
          <w:rFonts w:ascii="Arial" w:hAnsi="Arial" w:cs="Arial"/>
          <w:color w:val="000000" w:themeColor="text1"/>
          <w:sz w:val="22"/>
          <w:szCs w:val="22"/>
        </w:rPr>
        <w:t xml:space="preserve">los cuales, la mayor representatividad se encuentra </w:t>
      </w:r>
      <w:r w:rsidR="00FA0DBB" w:rsidRPr="00CA48AF">
        <w:rPr>
          <w:rFonts w:ascii="Arial" w:hAnsi="Arial" w:cs="Arial"/>
          <w:color w:val="000000" w:themeColor="text1"/>
          <w:sz w:val="22"/>
          <w:szCs w:val="22"/>
        </w:rPr>
        <w:t xml:space="preserve">distribuida en </w:t>
      </w:r>
      <w:r w:rsidR="005F7E32" w:rsidRPr="00CA48AF">
        <w:rPr>
          <w:rFonts w:ascii="Arial" w:hAnsi="Arial" w:cs="Arial"/>
          <w:color w:val="000000" w:themeColor="text1"/>
          <w:sz w:val="22"/>
          <w:szCs w:val="22"/>
        </w:rPr>
        <w:t>los cargos de asesores [4</w:t>
      </w:r>
      <w:r w:rsidR="00834216" w:rsidRPr="00CA48AF">
        <w:rPr>
          <w:rFonts w:ascii="Arial" w:hAnsi="Arial" w:cs="Arial"/>
          <w:color w:val="000000" w:themeColor="text1"/>
          <w:sz w:val="22"/>
          <w:szCs w:val="22"/>
        </w:rPr>
        <w:t>3</w:t>
      </w:r>
      <w:r w:rsidR="006B1A84" w:rsidRPr="00CA48AF">
        <w:rPr>
          <w:rFonts w:ascii="Arial" w:hAnsi="Arial" w:cs="Arial"/>
          <w:color w:val="000000" w:themeColor="text1"/>
          <w:sz w:val="22"/>
          <w:szCs w:val="22"/>
        </w:rPr>
        <w:t xml:space="preserve"> </w:t>
      </w:r>
      <w:r w:rsidR="005F7E32" w:rsidRPr="00CA48AF">
        <w:rPr>
          <w:rFonts w:ascii="Arial" w:hAnsi="Arial" w:cs="Arial"/>
          <w:color w:val="000000" w:themeColor="text1"/>
          <w:sz w:val="22"/>
          <w:szCs w:val="22"/>
        </w:rPr>
        <w:t>%] y profesionales [</w:t>
      </w:r>
      <w:r w:rsidR="00834216" w:rsidRPr="00CA48AF">
        <w:rPr>
          <w:rFonts w:ascii="Arial" w:hAnsi="Arial" w:cs="Arial"/>
          <w:color w:val="000000" w:themeColor="text1"/>
          <w:sz w:val="22"/>
          <w:szCs w:val="22"/>
        </w:rPr>
        <w:t>23</w:t>
      </w:r>
      <w:r w:rsidR="005F7E32" w:rsidRPr="00CA48AF">
        <w:rPr>
          <w:rFonts w:ascii="Arial" w:hAnsi="Arial" w:cs="Arial"/>
          <w:color w:val="000000" w:themeColor="text1"/>
          <w:sz w:val="22"/>
          <w:szCs w:val="22"/>
        </w:rPr>
        <w:t xml:space="preserve">%]. </w:t>
      </w:r>
    </w:p>
    <w:p w14:paraId="64DE080D" w14:textId="0E745070" w:rsidR="006C0D16" w:rsidRPr="00CA48AF" w:rsidRDefault="00527CBE" w:rsidP="002C7841">
      <w:pPr>
        <w:jc w:val="both"/>
        <w:rPr>
          <w:rFonts w:ascii="Arial" w:hAnsi="Arial" w:cs="Arial"/>
          <w:color w:val="000000" w:themeColor="text1"/>
          <w:sz w:val="22"/>
          <w:szCs w:val="22"/>
        </w:rPr>
      </w:pPr>
      <w:r w:rsidRPr="00CA48AF">
        <w:rPr>
          <w:rFonts w:ascii="Calibri" w:hAnsi="Calibri" w:cs="Calibri"/>
          <w:noProof/>
          <w:color w:val="000000"/>
          <w:sz w:val="22"/>
          <w:szCs w:val="22"/>
          <w:lang w:val="en-US" w:eastAsia="en-US"/>
        </w:rPr>
        <w:drawing>
          <wp:anchor distT="0" distB="0" distL="114300" distR="114300" simplePos="0" relativeHeight="252367872" behindDoc="0" locked="0" layoutInCell="1" allowOverlap="1" wp14:anchorId="1BEDC117" wp14:editId="5E406C8B">
            <wp:simplePos x="0" y="0"/>
            <wp:positionH relativeFrom="column">
              <wp:posOffset>1898015</wp:posOffset>
            </wp:positionH>
            <wp:positionV relativeFrom="paragraph">
              <wp:posOffset>120650</wp:posOffset>
            </wp:positionV>
            <wp:extent cx="4371975" cy="3810000"/>
            <wp:effectExtent l="0" t="0" r="0" b="0"/>
            <wp:wrapNone/>
            <wp:docPr id="18" name="Gráfico 18">
              <a:extLst xmlns:a="http://schemas.openxmlformats.org/drawingml/2006/main">
                <a:ext uri="{FF2B5EF4-FFF2-40B4-BE49-F238E27FC236}">
                  <a16:creationId xmlns:a16="http://schemas.microsoft.com/office/drawing/2014/main" id="{FD9CF3FC-6E59-4CD9-AD02-23603CD0D691}"/>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18644" w:type="dxa"/>
        <w:tblInd w:w="-10" w:type="dxa"/>
        <w:tblLook w:val="04A0" w:firstRow="1" w:lastRow="0" w:firstColumn="1" w:lastColumn="0" w:noHBand="0" w:noVBand="1"/>
      </w:tblPr>
      <w:tblGrid>
        <w:gridCol w:w="1560"/>
        <w:gridCol w:w="1347"/>
        <w:gridCol w:w="3421"/>
        <w:gridCol w:w="1536"/>
        <w:gridCol w:w="1200"/>
        <w:gridCol w:w="1200"/>
        <w:gridCol w:w="1200"/>
        <w:gridCol w:w="1180"/>
        <w:gridCol w:w="1200"/>
        <w:gridCol w:w="1200"/>
        <w:gridCol w:w="1200"/>
        <w:gridCol w:w="1200"/>
        <w:gridCol w:w="1200"/>
      </w:tblGrid>
      <w:tr w:rsidR="00FF65ED" w:rsidRPr="00CA48AF" w14:paraId="2CADA09A" w14:textId="77777777" w:rsidTr="00A275A9">
        <w:trPr>
          <w:trHeight w:val="480"/>
        </w:trPr>
        <w:tc>
          <w:tcPr>
            <w:tcW w:w="1560" w:type="dxa"/>
            <w:tcBorders>
              <w:top w:val="single" w:sz="8" w:space="0" w:color="B8CCE4"/>
              <w:left w:val="single" w:sz="8" w:space="0" w:color="B8CCE4"/>
              <w:bottom w:val="nil"/>
              <w:right w:val="single" w:sz="8" w:space="0" w:color="B8CCE4"/>
            </w:tcBorders>
            <w:shd w:val="clear" w:color="000000" w:fill="4F81BD"/>
            <w:vAlign w:val="center"/>
            <w:hideMark/>
          </w:tcPr>
          <w:p w14:paraId="0B155052" w14:textId="77777777" w:rsidR="00CD0A2D" w:rsidRPr="00CA48AF" w:rsidRDefault="00CD0A2D" w:rsidP="00FF65ED">
            <w:pPr>
              <w:spacing w:before="60" w:after="60"/>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Cargo</w:t>
            </w:r>
          </w:p>
        </w:tc>
        <w:tc>
          <w:tcPr>
            <w:tcW w:w="1347" w:type="dxa"/>
            <w:tcBorders>
              <w:top w:val="single" w:sz="8" w:space="0" w:color="B8CCE4"/>
              <w:left w:val="nil"/>
              <w:bottom w:val="nil"/>
            </w:tcBorders>
            <w:shd w:val="clear" w:color="000000" w:fill="4F81BD"/>
            <w:vAlign w:val="center"/>
            <w:hideMark/>
          </w:tcPr>
          <w:p w14:paraId="4BB71FC6" w14:textId="77777777" w:rsidR="00CD0A2D" w:rsidRPr="00CA48AF" w:rsidRDefault="00CD0A2D" w:rsidP="00FF65ED">
            <w:pPr>
              <w:spacing w:before="60" w:after="60"/>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Cantidad Funcionarios</w:t>
            </w:r>
          </w:p>
        </w:tc>
        <w:tc>
          <w:tcPr>
            <w:tcW w:w="3421" w:type="dxa"/>
            <w:shd w:val="clear" w:color="auto" w:fill="FFFFFF" w:themeFill="background1"/>
            <w:vAlign w:val="center"/>
            <w:hideMark/>
          </w:tcPr>
          <w:p w14:paraId="4B4ABB6E" w14:textId="3BC84E65"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Porcentaje</w:t>
            </w:r>
          </w:p>
        </w:tc>
        <w:tc>
          <w:tcPr>
            <w:tcW w:w="1536" w:type="dxa"/>
            <w:tcBorders>
              <w:top w:val="nil"/>
              <w:left w:val="nil"/>
              <w:bottom w:val="nil"/>
              <w:right w:val="nil"/>
            </w:tcBorders>
            <w:shd w:val="clear" w:color="auto" w:fill="auto"/>
            <w:noWrap/>
            <w:vAlign w:val="bottom"/>
            <w:hideMark/>
          </w:tcPr>
          <w:p w14:paraId="0D055643" w14:textId="04928213" w:rsidR="00CD0A2D" w:rsidRPr="00CA48AF" w:rsidRDefault="00CD0A2D" w:rsidP="00CD0A2D">
            <w:pPr>
              <w:rPr>
                <w:rFonts w:ascii="Calibri" w:hAnsi="Calibri" w:cs="Calibri"/>
                <w:color w:val="000000"/>
                <w:sz w:val="22"/>
                <w:szCs w:val="22"/>
                <w:lang w:eastAsia="en-US"/>
              </w:rPr>
            </w:pPr>
          </w:p>
          <w:tbl>
            <w:tblPr>
              <w:tblW w:w="0" w:type="auto"/>
              <w:tblCellSpacing w:w="0" w:type="dxa"/>
              <w:tblCellMar>
                <w:left w:w="0" w:type="dxa"/>
                <w:right w:w="0" w:type="dxa"/>
              </w:tblCellMar>
              <w:tblLook w:val="04A0" w:firstRow="1" w:lastRow="0" w:firstColumn="1" w:lastColumn="0" w:noHBand="0" w:noVBand="1"/>
            </w:tblPr>
            <w:tblGrid>
              <w:gridCol w:w="1320"/>
            </w:tblGrid>
            <w:tr w:rsidR="00CD0A2D" w:rsidRPr="00CA48AF" w14:paraId="26CC4B5B" w14:textId="77777777">
              <w:trPr>
                <w:trHeight w:val="480"/>
                <w:tblCellSpacing w:w="0" w:type="dxa"/>
              </w:trPr>
              <w:tc>
                <w:tcPr>
                  <w:tcW w:w="1320" w:type="dxa"/>
                  <w:tcBorders>
                    <w:top w:val="nil"/>
                    <w:left w:val="nil"/>
                    <w:bottom w:val="nil"/>
                    <w:right w:val="nil"/>
                  </w:tcBorders>
                  <w:shd w:val="clear" w:color="auto" w:fill="auto"/>
                  <w:noWrap/>
                  <w:vAlign w:val="bottom"/>
                  <w:hideMark/>
                </w:tcPr>
                <w:p w14:paraId="20CB0004" w14:textId="6A54BBF8" w:rsidR="00CD0A2D" w:rsidRPr="00CA48AF" w:rsidRDefault="00CD0A2D" w:rsidP="00CD0A2D">
                  <w:pPr>
                    <w:rPr>
                      <w:rFonts w:ascii="Calibri" w:hAnsi="Calibri" w:cs="Calibri"/>
                      <w:color w:val="000000"/>
                      <w:sz w:val="22"/>
                      <w:szCs w:val="22"/>
                      <w:lang w:eastAsia="en-US"/>
                    </w:rPr>
                  </w:pPr>
                </w:p>
              </w:tc>
            </w:tr>
          </w:tbl>
          <w:p w14:paraId="0673BADA" w14:textId="77777777" w:rsidR="00CD0A2D" w:rsidRPr="00CA48AF" w:rsidRDefault="00CD0A2D" w:rsidP="00CD0A2D">
            <w:pP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20D3FA0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F2C17F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9A13441"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185E7875"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B3FE7FB"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DB39353"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D27BCD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883FD8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AA16507" w14:textId="77777777" w:rsidR="00CD0A2D" w:rsidRPr="00CA48AF" w:rsidRDefault="00CD0A2D" w:rsidP="00CD0A2D">
            <w:pPr>
              <w:rPr>
                <w:sz w:val="20"/>
                <w:szCs w:val="20"/>
                <w:lang w:eastAsia="en-US"/>
              </w:rPr>
            </w:pPr>
          </w:p>
        </w:tc>
      </w:tr>
      <w:tr w:rsidR="00A275A9" w:rsidRPr="00CA48AF" w14:paraId="4257FFAA" w14:textId="77777777" w:rsidTr="00A275A9">
        <w:trPr>
          <w:trHeight w:val="300"/>
        </w:trPr>
        <w:tc>
          <w:tcPr>
            <w:tcW w:w="1560" w:type="dxa"/>
            <w:tcBorders>
              <w:top w:val="nil"/>
              <w:left w:val="nil"/>
              <w:bottom w:val="nil"/>
              <w:right w:val="nil"/>
            </w:tcBorders>
            <w:shd w:val="clear" w:color="auto" w:fill="auto"/>
            <w:vAlign w:val="center"/>
            <w:hideMark/>
          </w:tcPr>
          <w:p w14:paraId="1BF6EC5E"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Asesores</w:t>
            </w:r>
          </w:p>
        </w:tc>
        <w:tc>
          <w:tcPr>
            <w:tcW w:w="1347" w:type="dxa"/>
            <w:tcBorders>
              <w:top w:val="nil"/>
              <w:left w:val="nil"/>
              <w:bottom w:val="nil"/>
            </w:tcBorders>
            <w:shd w:val="clear" w:color="auto" w:fill="auto"/>
            <w:vAlign w:val="center"/>
            <w:hideMark/>
          </w:tcPr>
          <w:p w14:paraId="6AD6A35E"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295</w:t>
            </w:r>
          </w:p>
        </w:tc>
        <w:tc>
          <w:tcPr>
            <w:tcW w:w="3421" w:type="dxa"/>
            <w:tcBorders>
              <w:top w:val="nil"/>
            </w:tcBorders>
            <w:shd w:val="clear" w:color="auto" w:fill="FFFFFF" w:themeFill="background1"/>
            <w:vAlign w:val="center"/>
            <w:hideMark/>
          </w:tcPr>
          <w:p w14:paraId="47464974"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43%</w:t>
            </w:r>
          </w:p>
        </w:tc>
        <w:tc>
          <w:tcPr>
            <w:tcW w:w="1536" w:type="dxa"/>
            <w:tcBorders>
              <w:top w:val="nil"/>
              <w:left w:val="nil"/>
              <w:bottom w:val="nil"/>
              <w:right w:val="nil"/>
            </w:tcBorders>
            <w:shd w:val="clear" w:color="auto" w:fill="auto"/>
            <w:noWrap/>
            <w:vAlign w:val="bottom"/>
            <w:hideMark/>
          </w:tcPr>
          <w:p w14:paraId="6E7CCE2A" w14:textId="4A956A7E"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44FE181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2EF2DD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CBEFBEF"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15D3BD5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713915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4BA9AAE"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5CCDF5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FA146E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928EEA5" w14:textId="77777777" w:rsidR="00CD0A2D" w:rsidRPr="00CA48AF" w:rsidRDefault="00CD0A2D" w:rsidP="00CD0A2D">
            <w:pPr>
              <w:rPr>
                <w:sz w:val="20"/>
                <w:szCs w:val="20"/>
                <w:lang w:eastAsia="en-US"/>
              </w:rPr>
            </w:pPr>
          </w:p>
        </w:tc>
      </w:tr>
      <w:tr w:rsidR="00A275A9" w:rsidRPr="00CA48AF" w14:paraId="247C0375" w14:textId="77777777" w:rsidTr="00A275A9">
        <w:trPr>
          <w:trHeight w:val="300"/>
        </w:trPr>
        <w:tc>
          <w:tcPr>
            <w:tcW w:w="1560" w:type="dxa"/>
            <w:tcBorders>
              <w:top w:val="nil"/>
              <w:left w:val="nil"/>
              <w:bottom w:val="nil"/>
              <w:right w:val="nil"/>
            </w:tcBorders>
            <w:shd w:val="clear" w:color="auto" w:fill="auto"/>
            <w:vAlign w:val="center"/>
            <w:hideMark/>
          </w:tcPr>
          <w:p w14:paraId="44F800C9"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Profesionales</w:t>
            </w:r>
          </w:p>
        </w:tc>
        <w:tc>
          <w:tcPr>
            <w:tcW w:w="1347" w:type="dxa"/>
            <w:tcBorders>
              <w:top w:val="nil"/>
              <w:left w:val="nil"/>
              <w:bottom w:val="nil"/>
            </w:tcBorders>
            <w:shd w:val="clear" w:color="auto" w:fill="auto"/>
            <w:vAlign w:val="center"/>
            <w:hideMark/>
          </w:tcPr>
          <w:p w14:paraId="79430BAA"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159</w:t>
            </w:r>
          </w:p>
        </w:tc>
        <w:tc>
          <w:tcPr>
            <w:tcW w:w="3421" w:type="dxa"/>
            <w:tcBorders>
              <w:top w:val="nil"/>
            </w:tcBorders>
            <w:shd w:val="clear" w:color="auto" w:fill="FFFFFF" w:themeFill="background1"/>
            <w:vAlign w:val="center"/>
            <w:hideMark/>
          </w:tcPr>
          <w:p w14:paraId="1C236123"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23%</w:t>
            </w:r>
          </w:p>
        </w:tc>
        <w:tc>
          <w:tcPr>
            <w:tcW w:w="1536" w:type="dxa"/>
            <w:tcBorders>
              <w:top w:val="nil"/>
              <w:left w:val="nil"/>
              <w:bottom w:val="nil"/>
              <w:right w:val="nil"/>
            </w:tcBorders>
            <w:shd w:val="clear" w:color="auto" w:fill="auto"/>
            <w:noWrap/>
            <w:vAlign w:val="bottom"/>
            <w:hideMark/>
          </w:tcPr>
          <w:p w14:paraId="1452303E"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30117AA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99B91D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035D265"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3BD553DE"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1FF4A1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9C8F63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D99A059"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9A9726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4971E8E" w14:textId="77777777" w:rsidR="00CD0A2D" w:rsidRPr="00CA48AF" w:rsidRDefault="00CD0A2D" w:rsidP="00CD0A2D">
            <w:pPr>
              <w:rPr>
                <w:sz w:val="20"/>
                <w:szCs w:val="20"/>
                <w:lang w:eastAsia="en-US"/>
              </w:rPr>
            </w:pPr>
          </w:p>
        </w:tc>
      </w:tr>
      <w:tr w:rsidR="00A275A9" w:rsidRPr="00CA48AF" w14:paraId="2DF6AAA9" w14:textId="77777777" w:rsidTr="00A275A9">
        <w:trPr>
          <w:trHeight w:val="300"/>
        </w:trPr>
        <w:tc>
          <w:tcPr>
            <w:tcW w:w="1560" w:type="dxa"/>
            <w:tcBorders>
              <w:top w:val="nil"/>
              <w:left w:val="nil"/>
              <w:bottom w:val="nil"/>
              <w:right w:val="nil"/>
            </w:tcBorders>
            <w:shd w:val="clear" w:color="auto" w:fill="auto"/>
            <w:vAlign w:val="center"/>
            <w:hideMark/>
          </w:tcPr>
          <w:p w14:paraId="449D5920"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Secretarios</w:t>
            </w:r>
          </w:p>
        </w:tc>
        <w:tc>
          <w:tcPr>
            <w:tcW w:w="1347" w:type="dxa"/>
            <w:tcBorders>
              <w:top w:val="nil"/>
              <w:left w:val="nil"/>
              <w:bottom w:val="nil"/>
            </w:tcBorders>
            <w:shd w:val="clear" w:color="auto" w:fill="auto"/>
            <w:vAlign w:val="center"/>
            <w:hideMark/>
          </w:tcPr>
          <w:p w14:paraId="6370EE40"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69</w:t>
            </w:r>
          </w:p>
        </w:tc>
        <w:tc>
          <w:tcPr>
            <w:tcW w:w="3421" w:type="dxa"/>
            <w:tcBorders>
              <w:top w:val="nil"/>
            </w:tcBorders>
            <w:shd w:val="clear" w:color="auto" w:fill="FFFFFF" w:themeFill="background1"/>
            <w:vAlign w:val="center"/>
            <w:hideMark/>
          </w:tcPr>
          <w:p w14:paraId="7E70EDFB"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10,0%</w:t>
            </w:r>
          </w:p>
        </w:tc>
        <w:tc>
          <w:tcPr>
            <w:tcW w:w="1536" w:type="dxa"/>
            <w:tcBorders>
              <w:top w:val="nil"/>
              <w:left w:val="nil"/>
              <w:bottom w:val="nil"/>
              <w:right w:val="nil"/>
            </w:tcBorders>
            <w:shd w:val="clear" w:color="auto" w:fill="auto"/>
            <w:noWrap/>
            <w:vAlign w:val="bottom"/>
            <w:hideMark/>
          </w:tcPr>
          <w:p w14:paraId="4D66A321"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758D0705"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E53497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C35735B"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499734D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8D2DA39"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C0A866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AD44657"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C9B2E4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84C30BD" w14:textId="77777777" w:rsidR="00CD0A2D" w:rsidRPr="00CA48AF" w:rsidRDefault="00CD0A2D" w:rsidP="00CD0A2D">
            <w:pPr>
              <w:rPr>
                <w:sz w:val="20"/>
                <w:szCs w:val="20"/>
                <w:lang w:eastAsia="en-US"/>
              </w:rPr>
            </w:pPr>
          </w:p>
        </w:tc>
      </w:tr>
      <w:tr w:rsidR="00A275A9" w:rsidRPr="00CA48AF" w14:paraId="513D9EF7" w14:textId="77777777" w:rsidTr="00A275A9">
        <w:trPr>
          <w:trHeight w:val="300"/>
        </w:trPr>
        <w:tc>
          <w:tcPr>
            <w:tcW w:w="1560" w:type="dxa"/>
            <w:tcBorders>
              <w:top w:val="nil"/>
              <w:left w:val="nil"/>
              <w:bottom w:val="nil"/>
              <w:right w:val="nil"/>
            </w:tcBorders>
            <w:shd w:val="clear" w:color="auto" w:fill="auto"/>
            <w:vAlign w:val="center"/>
            <w:hideMark/>
          </w:tcPr>
          <w:p w14:paraId="6AFDF3BA"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Técnicos</w:t>
            </w:r>
          </w:p>
        </w:tc>
        <w:tc>
          <w:tcPr>
            <w:tcW w:w="1347" w:type="dxa"/>
            <w:tcBorders>
              <w:top w:val="nil"/>
              <w:left w:val="nil"/>
              <w:bottom w:val="nil"/>
            </w:tcBorders>
            <w:shd w:val="clear" w:color="auto" w:fill="auto"/>
            <w:vAlign w:val="center"/>
            <w:hideMark/>
          </w:tcPr>
          <w:p w14:paraId="2B7C1AB6"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53</w:t>
            </w:r>
          </w:p>
        </w:tc>
        <w:tc>
          <w:tcPr>
            <w:tcW w:w="3421" w:type="dxa"/>
            <w:tcBorders>
              <w:top w:val="nil"/>
            </w:tcBorders>
            <w:shd w:val="clear" w:color="auto" w:fill="FFFFFF" w:themeFill="background1"/>
            <w:vAlign w:val="center"/>
            <w:hideMark/>
          </w:tcPr>
          <w:p w14:paraId="53198092"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8%</w:t>
            </w:r>
          </w:p>
        </w:tc>
        <w:tc>
          <w:tcPr>
            <w:tcW w:w="1536" w:type="dxa"/>
            <w:tcBorders>
              <w:top w:val="nil"/>
              <w:left w:val="nil"/>
              <w:bottom w:val="nil"/>
              <w:right w:val="nil"/>
            </w:tcBorders>
            <w:shd w:val="clear" w:color="auto" w:fill="auto"/>
            <w:noWrap/>
            <w:vAlign w:val="bottom"/>
            <w:hideMark/>
          </w:tcPr>
          <w:p w14:paraId="146653AF"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34A5109B"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B7ACE5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14ADD1C"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60115E8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564357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064CB1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5CFDA3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1F2636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ADCBCA4" w14:textId="77777777" w:rsidR="00CD0A2D" w:rsidRPr="00CA48AF" w:rsidRDefault="00CD0A2D" w:rsidP="00CD0A2D">
            <w:pPr>
              <w:rPr>
                <w:sz w:val="20"/>
                <w:szCs w:val="20"/>
                <w:lang w:eastAsia="en-US"/>
              </w:rPr>
            </w:pPr>
          </w:p>
        </w:tc>
      </w:tr>
      <w:tr w:rsidR="00A275A9" w:rsidRPr="00CA48AF" w14:paraId="260BD698" w14:textId="77777777" w:rsidTr="00A275A9">
        <w:trPr>
          <w:trHeight w:val="300"/>
        </w:trPr>
        <w:tc>
          <w:tcPr>
            <w:tcW w:w="1560" w:type="dxa"/>
            <w:tcBorders>
              <w:top w:val="nil"/>
              <w:left w:val="nil"/>
              <w:bottom w:val="nil"/>
              <w:right w:val="nil"/>
            </w:tcBorders>
            <w:shd w:val="clear" w:color="auto" w:fill="auto"/>
            <w:vAlign w:val="center"/>
            <w:hideMark/>
          </w:tcPr>
          <w:p w14:paraId="44085D32"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Auxiliares</w:t>
            </w:r>
          </w:p>
        </w:tc>
        <w:tc>
          <w:tcPr>
            <w:tcW w:w="1347" w:type="dxa"/>
            <w:tcBorders>
              <w:top w:val="nil"/>
              <w:left w:val="nil"/>
              <w:bottom w:val="nil"/>
            </w:tcBorders>
            <w:shd w:val="clear" w:color="auto" w:fill="auto"/>
            <w:vAlign w:val="center"/>
            <w:hideMark/>
          </w:tcPr>
          <w:p w14:paraId="0FEC1D7C"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53</w:t>
            </w:r>
          </w:p>
        </w:tc>
        <w:tc>
          <w:tcPr>
            <w:tcW w:w="3421" w:type="dxa"/>
            <w:tcBorders>
              <w:top w:val="nil"/>
            </w:tcBorders>
            <w:shd w:val="clear" w:color="auto" w:fill="FFFFFF" w:themeFill="background1"/>
            <w:vAlign w:val="center"/>
            <w:hideMark/>
          </w:tcPr>
          <w:p w14:paraId="7033DB1C"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7,7%</w:t>
            </w:r>
          </w:p>
        </w:tc>
        <w:tc>
          <w:tcPr>
            <w:tcW w:w="1536" w:type="dxa"/>
            <w:tcBorders>
              <w:top w:val="nil"/>
              <w:left w:val="nil"/>
              <w:bottom w:val="nil"/>
              <w:right w:val="nil"/>
            </w:tcBorders>
            <w:shd w:val="clear" w:color="auto" w:fill="auto"/>
            <w:noWrap/>
            <w:vAlign w:val="bottom"/>
            <w:hideMark/>
          </w:tcPr>
          <w:p w14:paraId="1069C2CD"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4462EF3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280DCE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4A7CA1C"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74016A7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55F20D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D7BB37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D9FE01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964139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F4F736B" w14:textId="77777777" w:rsidR="00CD0A2D" w:rsidRPr="00CA48AF" w:rsidRDefault="00CD0A2D" w:rsidP="00CD0A2D">
            <w:pPr>
              <w:rPr>
                <w:sz w:val="20"/>
                <w:szCs w:val="20"/>
                <w:lang w:eastAsia="en-US"/>
              </w:rPr>
            </w:pPr>
          </w:p>
        </w:tc>
      </w:tr>
      <w:tr w:rsidR="00A275A9" w:rsidRPr="00CA48AF" w14:paraId="2605BF92" w14:textId="77777777" w:rsidTr="00A275A9">
        <w:trPr>
          <w:trHeight w:val="300"/>
        </w:trPr>
        <w:tc>
          <w:tcPr>
            <w:tcW w:w="1560" w:type="dxa"/>
            <w:tcBorders>
              <w:top w:val="nil"/>
              <w:left w:val="nil"/>
              <w:bottom w:val="nil"/>
              <w:right w:val="nil"/>
            </w:tcBorders>
            <w:shd w:val="clear" w:color="auto" w:fill="auto"/>
            <w:vAlign w:val="center"/>
            <w:hideMark/>
          </w:tcPr>
          <w:p w14:paraId="2F344F79"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Subdirectores</w:t>
            </w:r>
          </w:p>
        </w:tc>
        <w:tc>
          <w:tcPr>
            <w:tcW w:w="1347" w:type="dxa"/>
            <w:tcBorders>
              <w:top w:val="nil"/>
              <w:left w:val="nil"/>
              <w:bottom w:val="nil"/>
            </w:tcBorders>
            <w:shd w:val="clear" w:color="auto" w:fill="auto"/>
            <w:vAlign w:val="center"/>
            <w:hideMark/>
          </w:tcPr>
          <w:p w14:paraId="04D9AF06"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24</w:t>
            </w:r>
          </w:p>
        </w:tc>
        <w:tc>
          <w:tcPr>
            <w:tcW w:w="3421" w:type="dxa"/>
            <w:tcBorders>
              <w:top w:val="nil"/>
            </w:tcBorders>
            <w:shd w:val="clear" w:color="auto" w:fill="FFFFFF" w:themeFill="background1"/>
            <w:vAlign w:val="center"/>
            <w:hideMark/>
          </w:tcPr>
          <w:p w14:paraId="2E1C3965"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3%</w:t>
            </w:r>
          </w:p>
        </w:tc>
        <w:tc>
          <w:tcPr>
            <w:tcW w:w="1536" w:type="dxa"/>
            <w:tcBorders>
              <w:top w:val="nil"/>
              <w:left w:val="nil"/>
              <w:bottom w:val="nil"/>
              <w:right w:val="nil"/>
            </w:tcBorders>
            <w:shd w:val="clear" w:color="auto" w:fill="auto"/>
            <w:noWrap/>
            <w:vAlign w:val="bottom"/>
            <w:hideMark/>
          </w:tcPr>
          <w:p w14:paraId="0BD2A4B9"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2B05F63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EC29D5B"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B1B6096"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54551AA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FEB7EE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870841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F8933B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D91AB8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86E2ECA" w14:textId="77777777" w:rsidR="00CD0A2D" w:rsidRPr="00CA48AF" w:rsidRDefault="00CD0A2D" w:rsidP="00CD0A2D">
            <w:pPr>
              <w:rPr>
                <w:sz w:val="20"/>
                <w:szCs w:val="20"/>
                <w:lang w:eastAsia="en-US"/>
              </w:rPr>
            </w:pPr>
          </w:p>
        </w:tc>
      </w:tr>
      <w:tr w:rsidR="00A275A9" w:rsidRPr="00CA48AF" w14:paraId="113E3EB9" w14:textId="77777777" w:rsidTr="00A275A9">
        <w:trPr>
          <w:trHeight w:val="300"/>
        </w:trPr>
        <w:tc>
          <w:tcPr>
            <w:tcW w:w="1560" w:type="dxa"/>
            <w:tcBorders>
              <w:top w:val="nil"/>
              <w:left w:val="nil"/>
              <w:bottom w:val="nil"/>
              <w:right w:val="nil"/>
            </w:tcBorders>
            <w:shd w:val="clear" w:color="auto" w:fill="auto"/>
            <w:vAlign w:val="center"/>
            <w:hideMark/>
          </w:tcPr>
          <w:p w14:paraId="459302C1"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Conductores</w:t>
            </w:r>
          </w:p>
        </w:tc>
        <w:tc>
          <w:tcPr>
            <w:tcW w:w="1347" w:type="dxa"/>
            <w:tcBorders>
              <w:top w:val="nil"/>
              <w:left w:val="nil"/>
              <w:bottom w:val="nil"/>
            </w:tcBorders>
            <w:shd w:val="clear" w:color="auto" w:fill="auto"/>
            <w:vAlign w:val="center"/>
            <w:hideMark/>
          </w:tcPr>
          <w:p w14:paraId="33DD813A"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20</w:t>
            </w:r>
          </w:p>
        </w:tc>
        <w:tc>
          <w:tcPr>
            <w:tcW w:w="3421" w:type="dxa"/>
            <w:tcBorders>
              <w:top w:val="nil"/>
            </w:tcBorders>
            <w:shd w:val="clear" w:color="auto" w:fill="FFFFFF" w:themeFill="background1"/>
            <w:vAlign w:val="center"/>
            <w:hideMark/>
          </w:tcPr>
          <w:p w14:paraId="53B3631D"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2,9%</w:t>
            </w:r>
          </w:p>
        </w:tc>
        <w:tc>
          <w:tcPr>
            <w:tcW w:w="1536" w:type="dxa"/>
            <w:tcBorders>
              <w:top w:val="nil"/>
              <w:left w:val="nil"/>
              <w:bottom w:val="nil"/>
              <w:right w:val="nil"/>
            </w:tcBorders>
            <w:shd w:val="clear" w:color="auto" w:fill="auto"/>
            <w:noWrap/>
            <w:vAlign w:val="bottom"/>
            <w:hideMark/>
          </w:tcPr>
          <w:p w14:paraId="23EE2F98"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03A4AED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FD33E2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6050B4E"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4A8F89B3"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FA2741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64D5F7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15342E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23A4B0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15CD402" w14:textId="77777777" w:rsidR="00CD0A2D" w:rsidRPr="00CA48AF" w:rsidRDefault="00CD0A2D" w:rsidP="00CD0A2D">
            <w:pPr>
              <w:rPr>
                <w:sz w:val="20"/>
                <w:szCs w:val="20"/>
                <w:lang w:eastAsia="en-US"/>
              </w:rPr>
            </w:pPr>
          </w:p>
        </w:tc>
      </w:tr>
      <w:tr w:rsidR="00A275A9" w:rsidRPr="00CA48AF" w14:paraId="5B9FD9F6" w14:textId="77777777" w:rsidTr="00A275A9">
        <w:trPr>
          <w:trHeight w:val="300"/>
        </w:trPr>
        <w:tc>
          <w:tcPr>
            <w:tcW w:w="1560" w:type="dxa"/>
            <w:tcBorders>
              <w:top w:val="nil"/>
              <w:left w:val="nil"/>
              <w:bottom w:val="nil"/>
              <w:right w:val="nil"/>
            </w:tcBorders>
            <w:shd w:val="clear" w:color="auto" w:fill="auto"/>
            <w:vAlign w:val="center"/>
            <w:hideMark/>
          </w:tcPr>
          <w:p w14:paraId="1BF90B90"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Directores</w:t>
            </w:r>
          </w:p>
        </w:tc>
        <w:tc>
          <w:tcPr>
            <w:tcW w:w="1347" w:type="dxa"/>
            <w:tcBorders>
              <w:top w:val="nil"/>
              <w:left w:val="nil"/>
              <w:bottom w:val="nil"/>
            </w:tcBorders>
            <w:shd w:val="clear" w:color="auto" w:fill="auto"/>
            <w:vAlign w:val="center"/>
            <w:hideMark/>
          </w:tcPr>
          <w:p w14:paraId="3C3D4A4F"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8</w:t>
            </w:r>
          </w:p>
        </w:tc>
        <w:tc>
          <w:tcPr>
            <w:tcW w:w="3421" w:type="dxa"/>
            <w:tcBorders>
              <w:top w:val="nil"/>
            </w:tcBorders>
            <w:shd w:val="clear" w:color="auto" w:fill="FFFFFF" w:themeFill="background1"/>
            <w:vAlign w:val="center"/>
            <w:hideMark/>
          </w:tcPr>
          <w:p w14:paraId="16589EFB"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1%</w:t>
            </w:r>
          </w:p>
        </w:tc>
        <w:tc>
          <w:tcPr>
            <w:tcW w:w="1536" w:type="dxa"/>
            <w:tcBorders>
              <w:top w:val="nil"/>
              <w:left w:val="nil"/>
              <w:bottom w:val="nil"/>
              <w:right w:val="nil"/>
            </w:tcBorders>
            <w:shd w:val="clear" w:color="auto" w:fill="auto"/>
            <w:noWrap/>
            <w:vAlign w:val="bottom"/>
            <w:hideMark/>
          </w:tcPr>
          <w:p w14:paraId="60D7B456"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4E2E2713"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B9DE9F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4251E9D"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2F14593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AB0115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F96E9F7"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B9A5FA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C5468F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D4C1A76" w14:textId="77777777" w:rsidR="00CD0A2D" w:rsidRPr="00CA48AF" w:rsidRDefault="00CD0A2D" w:rsidP="00CD0A2D">
            <w:pPr>
              <w:rPr>
                <w:sz w:val="20"/>
                <w:szCs w:val="20"/>
                <w:lang w:eastAsia="en-US"/>
              </w:rPr>
            </w:pPr>
          </w:p>
        </w:tc>
      </w:tr>
      <w:tr w:rsidR="00A275A9" w:rsidRPr="00CA48AF" w14:paraId="1DADAACE" w14:textId="77777777" w:rsidTr="00A275A9">
        <w:trPr>
          <w:trHeight w:val="300"/>
        </w:trPr>
        <w:tc>
          <w:tcPr>
            <w:tcW w:w="1560" w:type="dxa"/>
            <w:tcBorders>
              <w:top w:val="nil"/>
              <w:left w:val="nil"/>
              <w:bottom w:val="nil"/>
              <w:right w:val="nil"/>
            </w:tcBorders>
            <w:shd w:val="clear" w:color="auto" w:fill="auto"/>
            <w:vAlign w:val="center"/>
            <w:hideMark/>
          </w:tcPr>
          <w:p w14:paraId="1E799BF2"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Jefes de Oficina</w:t>
            </w:r>
          </w:p>
        </w:tc>
        <w:tc>
          <w:tcPr>
            <w:tcW w:w="1347" w:type="dxa"/>
            <w:tcBorders>
              <w:top w:val="nil"/>
              <w:left w:val="nil"/>
              <w:bottom w:val="nil"/>
            </w:tcBorders>
            <w:shd w:val="clear" w:color="auto" w:fill="auto"/>
            <w:vAlign w:val="center"/>
            <w:hideMark/>
          </w:tcPr>
          <w:p w14:paraId="3A6043C5"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4</w:t>
            </w:r>
          </w:p>
        </w:tc>
        <w:tc>
          <w:tcPr>
            <w:tcW w:w="3421" w:type="dxa"/>
            <w:tcBorders>
              <w:top w:val="nil"/>
            </w:tcBorders>
            <w:shd w:val="clear" w:color="auto" w:fill="FFFFFF" w:themeFill="background1"/>
            <w:vAlign w:val="center"/>
            <w:hideMark/>
          </w:tcPr>
          <w:p w14:paraId="1A14A087"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1%</w:t>
            </w:r>
          </w:p>
        </w:tc>
        <w:tc>
          <w:tcPr>
            <w:tcW w:w="1536" w:type="dxa"/>
            <w:tcBorders>
              <w:top w:val="nil"/>
              <w:left w:val="nil"/>
              <w:bottom w:val="nil"/>
              <w:right w:val="nil"/>
            </w:tcBorders>
            <w:shd w:val="clear" w:color="auto" w:fill="auto"/>
            <w:noWrap/>
            <w:vAlign w:val="bottom"/>
            <w:hideMark/>
          </w:tcPr>
          <w:p w14:paraId="245F2B38"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7209C47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BC2906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22B69DB"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0688E2A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C6D0B3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E55482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8BDD8F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639123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67C67F9" w14:textId="77777777" w:rsidR="00CD0A2D" w:rsidRPr="00CA48AF" w:rsidRDefault="00CD0A2D" w:rsidP="00CD0A2D">
            <w:pPr>
              <w:rPr>
                <w:sz w:val="20"/>
                <w:szCs w:val="20"/>
                <w:lang w:eastAsia="en-US"/>
              </w:rPr>
            </w:pPr>
          </w:p>
        </w:tc>
      </w:tr>
      <w:tr w:rsidR="00A275A9" w:rsidRPr="00CA48AF" w14:paraId="6B88BEC5" w14:textId="77777777" w:rsidTr="00A275A9">
        <w:trPr>
          <w:trHeight w:val="300"/>
        </w:trPr>
        <w:tc>
          <w:tcPr>
            <w:tcW w:w="1560" w:type="dxa"/>
            <w:tcBorders>
              <w:top w:val="nil"/>
              <w:left w:val="nil"/>
              <w:bottom w:val="nil"/>
              <w:right w:val="nil"/>
            </w:tcBorders>
            <w:shd w:val="clear" w:color="auto" w:fill="auto"/>
            <w:vAlign w:val="center"/>
            <w:hideMark/>
          </w:tcPr>
          <w:p w14:paraId="2A7E5151"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Viceministros</w:t>
            </w:r>
          </w:p>
        </w:tc>
        <w:tc>
          <w:tcPr>
            <w:tcW w:w="1347" w:type="dxa"/>
            <w:tcBorders>
              <w:top w:val="nil"/>
              <w:left w:val="nil"/>
              <w:bottom w:val="nil"/>
            </w:tcBorders>
            <w:shd w:val="clear" w:color="auto" w:fill="auto"/>
            <w:vAlign w:val="center"/>
            <w:hideMark/>
          </w:tcPr>
          <w:p w14:paraId="4B0257E8"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2</w:t>
            </w:r>
          </w:p>
        </w:tc>
        <w:tc>
          <w:tcPr>
            <w:tcW w:w="3421" w:type="dxa"/>
            <w:tcBorders>
              <w:top w:val="nil"/>
            </w:tcBorders>
            <w:shd w:val="clear" w:color="auto" w:fill="FFFFFF" w:themeFill="background1"/>
            <w:vAlign w:val="center"/>
            <w:hideMark/>
          </w:tcPr>
          <w:p w14:paraId="33F34410"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0,3%</w:t>
            </w:r>
          </w:p>
        </w:tc>
        <w:tc>
          <w:tcPr>
            <w:tcW w:w="1536" w:type="dxa"/>
            <w:tcBorders>
              <w:top w:val="nil"/>
              <w:left w:val="nil"/>
              <w:bottom w:val="nil"/>
              <w:right w:val="nil"/>
            </w:tcBorders>
            <w:shd w:val="clear" w:color="auto" w:fill="auto"/>
            <w:noWrap/>
            <w:vAlign w:val="bottom"/>
            <w:hideMark/>
          </w:tcPr>
          <w:p w14:paraId="1686D90E"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4E41AD4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8A04EC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8FC3DE1"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0FDEC30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FED62D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0F50CBA"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3F5E78D"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BC0FDF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5DBC7B1" w14:textId="77777777" w:rsidR="00CD0A2D" w:rsidRPr="00CA48AF" w:rsidRDefault="00CD0A2D" w:rsidP="00CD0A2D">
            <w:pPr>
              <w:rPr>
                <w:sz w:val="20"/>
                <w:szCs w:val="20"/>
                <w:lang w:eastAsia="en-US"/>
              </w:rPr>
            </w:pPr>
          </w:p>
        </w:tc>
      </w:tr>
      <w:tr w:rsidR="00A275A9" w:rsidRPr="00CA48AF" w14:paraId="27B5FC4B" w14:textId="77777777" w:rsidTr="00A275A9">
        <w:trPr>
          <w:trHeight w:val="300"/>
        </w:trPr>
        <w:tc>
          <w:tcPr>
            <w:tcW w:w="1560" w:type="dxa"/>
            <w:tcBorders>
              <w:top w:val="nil"/>
              <w:left w:val="nil"/>
              <w:bottom w:val="nil"/>
              <w:right w:val="nil"/>
            </w:tcBorders>
            <w:shd w:val="clear" w:color="auto" w:fill="auto"/>
            <w:vAlign w:val="center"/>
            <w:hideMark/>
          </w:tcPr>
          <w:p w14:paraId="780B73DD"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Ministro</w:t>
            </w:r>
          </w:p>
        </w:tc>
        <w:tc>
          <w:tcPr>
            <w:tcW w:w="1347" w:type="dxa"/>
            <w:tcBorders>
              <w:top w:val="nil"/>
              <w:left w:val="nil"/>
              <w:bottom w:val="nil"/>
            </w:tcBorders>
            <w:shd w:val="clear" w:color="auto" w:fill="auto"/>
            <w:vAlign w:val="center"/>
            <w:hideMark/>
          </w:tcPr>
          <w:p w14:paraId="6A68DF7E"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1</w:t>
            </w:r>
          </w:p>
        </w:tc>
        <w:tc>
          <w:tcPr>
            <w:tcW w:w="3421" w:type="dxa"/>
            <w:tcBorders>
              <w:top w:val="nil"/>
            </w:tcBorders>
            <w:shd w:val="clear" w:color="auto" w:fill="FFFFFF" w:themeFill="background1"/>
            <w:vAlign w:val="center"/>
            <w:hideMark/>
          </w:tcPr>
          <w:p w14:paraId="5452C881"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0,1%</w:t>
            </w:r>
          </w:p>
        </w:tc>
        <w:tc>
          <w:tcPr>
            <w:tcW w:w="1536" w:type="dxa"/>
            <w:tcBorders>
              <w:top w:val="nil"/>
              <w:left w:val="nil"/>
              <w:bottom w:val="nil"/>
              <w:right w:val="nil"/>
            </w:tcBorders>
            <w:shd w:val="clear" w:color="auto" w:fill="auto"/>
            <w:noWrap/>
            <w:vAlign w:val="bottom"/>
            <w:hideMark/>
          </w:tcPr>
          <w:p w14:paraId="06E2CDA4"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45F7B8B6"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4B75F76E"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7A22496"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7262380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D0B49F7"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5216D35"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E677A59"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2CD77FC"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F80B53F" w14:textId="77777777" w:rsidR="00CD0A2D" w:rsidRPr="00CA48AF" w:rsidRDefault="00CD0A2D" w:rsidP="00CD0A2D">
            <w:pPr>
              <w:rPr>
                <w:sz w:val="20"/>
                <w:szCs w:val="20"/>
                <w:lang w:eastAsia="en-US"/>
              </w:rPr>
            </w:pPr>
          </w:p>
        </w:tc>
      </w:tr>
      <w:tr w:rsidR="00A275A9" w:rsidRPr="00CA48AF" w14:paraId="0D5AEFD3" w14:textId="77777777" w:rsidTr="00A275A9">
        <w:trPr>
          <w:trHeight w:val="315"/>
        </w:trPr>
        <w:tc>
          <w:tcPr>
            <w:tcW w:w="1560" w:type="dxa"/>
            <w:tcBorders>
              <w:top w:val="nil"/>
              <w:left w:val="nil"/>
              <w:bottom w:val="single" w:sz="12" w:space="0" w:color="4F81BD"/>
              <w:right w:val="nil"/>
            </w:tcBorders>
            <w:shd w:val="clear" w:color="auto" w:fill="auto"/>
            <w:vAlign w:val="center"/>
            <w:hideMark/>
          </w:tcPr>
          <w:p w14:paraId="0B9CA1E4"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Secretario General</w:t>
            </w:r>
          </w:p>
        </w:tc>
        <w:tc>
          <w:tcPr>
            <w:tcW w:w="1347" w:type="dxa"/>
            <w:tcBorders>
              <w:top w:val="nil"/>
              <w:left w:val="nil"/>
              <w:bottom w:val="single" w:sz="12" w:space="0" w:color="4F81BD"/>
            </w:tcBorders>
            <w:shd w:val="clear" w:color="auto" w:fill="auto"/>
            <w:vAlign w:val="center"/>
            <w:hideMark/>
          </w:tcPr>
          <w:p w14:paraId="12FB56BC" w14:textId="77777777" w:rsidR="00CD0A2D" w:rsidRPr="00CA48AF" w:rsidRDefault="00CD0A2D" w:rsidP="00FF65ED">
            <w:pPr>
              <w:spacing w:before="60" w:after="60"/>
              <w:jc w:val="center"/>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1</w:t>
            </w:r>
          </w:p>
        </w:tc>
        <w:tc>
          <w:tcPr>
            <w:tcW w:w="3421" w:type="dxa"/>
            <w:tcBorders>
              <w:top w:val="nil"/>
            </w:tcBorders>
            <w:shd w:val="clear" w:color="auto" w:fill="FFFFFF" w:themeFill="background1"/>
            <w:vAlign w:val="center"/>
            <w:hideMark/>
          </w:tcPr>
          <w:p w14:paraId="4F3B38E5"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0,1%</w:t>
            </w:r>
          </w:p>
        </w:tc>
        <w:tc>
          <w:tcPr>
            <w:tcW w:w="1536" w:type="dxa"/>
            <w:tcBorders>
              <w:top w:val="nil"/>
              <w:left w:val="nil"/>
              <w:bottom w:val="nil"/>
              <w:right w:val="nil"/>
            </w:tcBorders>
            <w:shd w:val="clear" w:color="auto" w:fill="auto"/>
            <w:noWrap/>
            <w:vAlign w:val="bottom"/>
            <w:hideMark/>
          </w:tcPr>
          <w:p w14:paraId="2E0297C9" w14:textId="77777777" w:rsidR="00CD0A2D" w:rsidRPr="00CA48AF" w:rsidRDefault="00CD0A2D" w:rsidP="00CD0A2D">
            <w:pPr>
              <w:jc w:val="center"/>
              <w:rPr>
                <w:rFonts w:ascii="Calibri" w:hAnsi="Calibri" w:cs="Calibri"/>
                <w:color w:val="000000"/>
                <w:sz w:val="22"/>
                <w:szCs w:val="22"/>
                <w:lang w:eastAsia="en-US"/>
              </w:rPr>
            </w:pPr>
          </w:p>
        </w:tc>
        <w:tc>
          <w:tcPr>
            <w:tcW w:w="1200" w:type="dxa"/>
            <w:tcBorders>
              <w:top w:val="nil"/>
              <w:left w:val="nil"/>
              <w:bottom w:val="nil"/>
              <w:right w:val="nil"/>
            </w:tcBorders>
            <w:shd w:val="clear" w:color="auto" w:fill="auto"/>
            <w:noWrap/>
            <w:vAlign w:val="bottom"/>
            <w:hideMark/>
          </w:tcPr>
          <w:p w14:paraId="3485D7C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0DB2E9D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23C2D2ED"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0422897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BFF887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5243EC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6A8A80C2"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E7A9274"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F514F46" w14:textId="77777777" w:rsidR="00CD0A2D" w:rsidRPr="00CA48AF" w:rsidRDefault="00CD0A2D" w:rsidP="00CD0A2D">
            <w:pPr>
              <w:rPr>
                <w:sz w:val="20"/>
                <w:szCs w:val="20"/>
                <w:lang w:eastAsia="en-US"/>
              </w:rPr>
            </w:pPr>
          </w:p>
        </w:tc>
      </w:tr>
      <w:tr w:rsidR="00FF65ED" w:rsidRPr="00CA48AF" w14:paraId="12DBF9F0" w14:textId="77777777" w:rsidTr="00EA188D">
        <w:trPr>
          <w:trHeight w:val="330"/>
        </w:trPr>
        <w:tc>
          <w:tcPr>
            <w:tcW w:w="1560" w:type="dxa"/>
            <w:tcBorders>
              <w:top w:val="nil"/>
              <w:left w:val="nil"/>
              <w:bottom w:val="single" w:sz="12" w:space="0" w:color="4F81BD" w:themeColor="accent1"/>
              <w:right w:val="nil"/>
            </w:tcBorders>
            <w:shd w:val="clear" w:color="auto" w:fill="auto"/>
            <w:vAlign w:val="center"/>
            <w:hideMark/>
          </w:tcPr>
          <w:p w14:paraId="74AF1863" w14:textId="77777777" w:rsidR="00CD0A2D" w:rsidRPr="00CA48AF" w:rsidRDefault="00CD0A2D" w:rsidP="00FF65ED">
            <w:pPr>
              <w:spacing w:before="60" w:after="60"/>
              <w:jc w:val="center"/>
              <w:rPr>
                <w:rFonts w:ascii="Arial" w:hAnsi="Arial" w:cs="Arial"/>
                <w:b/>
                <w:bCs/>
                <w:color w:val="0F243E" w:themeColor="text2" w:themeShade="80"/>
                <w:sz w:val="20"/>
                <w:szCs w:val="20"/>
                <w:lang w:eastAsia="en-US"/>
              </w:rPr>
            </w:pPr>
            <w:r w:rsidRPr="00CA48AF">
              <w:rPr>
                <w:rFonts w:ascii="Arial" w:hAnsi="Arial" w:cs="Arial"/>
                <w:b/>
                <w:bCs/>
                <w:color w:val="0F243E" w:themeColor="text2" w:themeShade="80"/>
                <w:sz w:val="20"/>
                <w:szCs w:val="20"/>
                <w:lang w:eastAsia="en-US"/>
              </w:rPr>
              <w:t>Total</w:t>
            </w:r>
          </w:p>
        </w:tc>
        <w:tc>
          <w:tcPr>
            <w:tcW w:w="1347" w:type="dxa"/>
            <w:tcBorders>
              <w:top w:val="nil"/>
              <w:left w:val="nil"/>
              <w:bottom w:val="single" w:sz="12" w:space="0" w:color="4F81BD" w:themeColor="accent1"/>
            </w:tcBorders>
            <w:shd w:val="clear" w:color="auto" w:fill="auto"/>
            <w:vAlign w:val="center"/>
            <w:hideMark/>
          </w:tcPr>
          <w:p w14:paraId="7C478AA4" w14:textId="77777777" w:rsidR="00CD0A2D" w:rsidRPr="00CA48AF" w:rsidRDefault="00CD0A2D" w:rsidP="00FF65ED">
            <w:pPr>
              <w:spacing w:before="60" w:after="60"/>
              <w:jc w:val="center"/>
              <w:rPr>
                <w:rFonts w:ascii="Arial" w:hAnsi="Arial" w:cs="Arial"/>
                <w:b/>
                <w:bCs/>
                <w:color w:val="0F243E" w:themeColor="text2" w:themeShade="80"/>
                <w:sz w:val="20"/>
                <w:szCs w:val="20"/>
                <w:lang w:eastAsia="en-US"/>
              </w:rPr>
            </w:pPr>
            <w:r w:rsidRPr="00CA48AF">
              <w:rPr>
                <w:rFonts w:ascii="Arial" w:hAnsi="Arial" w:cs="Arial"/>
                <w:b/>
                <w:bCs/>
                <w:color w:val="0F243E" w:themeColor="text2" w:themeShade="80"/>
                <w:sz w:val="20"/>
                <w:szCs w:val="20"/>
                <w:lang w:eastAsia="en-US"/>
              </w:rPr>
              <w:t>689</w:t>
            </w:r>
          </w:p>
        </w:tc>
        <w:tc>
          <w:tcPr>
            <w:tcW w:w="3421" w:type="dxa"/>
            <w:tcBorders>
              <w:top w:val="nil"/>
            </w:tcBorders>
            <w:shd w:val="clear" w:color="auto" w:fill="FFFFFF" w:themeFill="background1"/>
            <w:vAlign w:val="center"/>
            <w:hideMark/>
          </w:tcPr>
          <w:p w14:paraId="5F9EBF5F" w14:textId="77777777" w:rsidR="00CD0A2D" w:rsidRPr="00CA48AF" w:rsidRDefault="00CD0A2D" w:rsidP="00CD0A2D">
            <w:pPr>
              <w:jc w:val="center"/>
              <w:rPr>
                <w:rFonts w:ascii="Arial" w:hAnsi="Arial" w:cs="Arial"/>
                <w:b/>
                <w:bCs/>
                <w:color w:val="FFFFFF"/>
                <w:sz w:val="18"/>
                <w:szCs w:val="18"/>
                <w:lang w:eastAsia="en-US"/>
              </w:rPr>
            </w:pPr>
            <w:r w:rsidRPr="00CA48AF">
              <w:rPr>
                <w:rFonts w:ascii="Arial" w:hAnsi="Arial" w:cs="Arial"/>
                <w:b/>
                <w:bCs/>
                <w:color w:val="FFFFFF"/>
                <w:sz w:val="18"/>
                <w:szCs w:val="18"/>
                <w:lang w:eastAsia="en-US"/>
              </w:rPr>
              <w:t>100%</w:t>
            </w:r>
          </w:p>
        </w:tc>
        <w:tc>
          <w:tcPr>
            <w:tcW w:w="1536" w:type="dxa"/>
            <w:tcBorders>
              <w:top w:val="nil"/>
              <w:left w:val="nil"/>
              <w:bottom w:val="nil"/>
              <w:right w:val="nil"/>
            </w:tcBorders>
            <w:shd w:val="clear" w:color="auto" w:fill="auto"/>
            <w:noWrap/>
            <w:vAlign w:val="bottom"/>
            <w:hideMark/>
          </w:tcPr>
          <w:p w14:paraId="68207AD9" w14:textId="77777777" w:rsidR="00CD0A2D" w:rsidRPr="00CA48AF" w:rsidRDefault="00CD0A2D" w:rsidP="00CD0A2D">
            <w:pPr>
              <w:jc w:val="center"/>
              <w:rPr>
                <w:rFonts w:ascii="Arial" w:hAnsi="Arial" w:cs="Arial"/>
                <w:b/>
                <w:bCs/>
                <w:color w:val="000000"/>
                <w:sz w:val="20"/>
                <w:szCs w:val="20"/>
                <w:lang w:eastAsia="en-US"/>
              </w:rPr>
            </w:pPr>
          </w:p>
        </w:tc>
        <w:tc>
          <w:tcPr>
            <w:tcW w:w="1200" w:type="dxa"/>
            <w:tcBorders>
              <w:top w:val="nil"/>
              <w:left w:val="nil"/>
              <w:bottom w:val="nil"/>
              <w:right w:val="nil"/>
            </w:tcBorders>
            <w:shd w:val="clear" w:color="auto" w:fill="auto"/>
            <w:noWrap/>
            <w:vAlign w:val="bottom"/>
            <w:hideMark/>
          </w:tcPr>
          <w:p w14:paraId="4115C0C8"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A918C59"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3CC22E6A" w14:textId="77777777" w:rsidR="00CD0A2D" w:rsidRPr="00CA48AF" w:rsidRDefault="00CD0A2D" w:rsidP="00CD0A2D">
            <w:pPr>
              <w:rPr>
                <w:sz w:val="20"/>
                <w:szCs w:val="20"/>
                <w:lang w:eastAsia="en-US"/>
              </w:rPr>
            </w:pPr>
          </w:p>
        </w:tc>
        <w:tc>
          <w:tcPr>
            <w:tcW w:w="1180" w:type="dxa"/>
            <w:tcBorders>
              <w:top w:val="nil"/>
              <w:left w:val="nil"/>
              <w:bottom w:val="nil"/>
              <w:right w:val="nil"/>
            </w:tcBorders>
            <w:shd w:val="clear" w:color="auto" w:fill="auto"/>
            <w:noWrap/>
            <w:vAlign w:val="bottom"/>
            <w:hideMark/>
          </w:tcPr>
          <w:p w14:paraId="007B6A8F"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9B39F75"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1AF9052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E4675C0"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50203621" w14:textId="77777777" w:rsidR="00CD0A2D" w:rsidRPr="00CA48AF" w:rsidRDefault="00CD0A2D" w:rsidP="00CD0A2D">
            <w:pPr>
              <w:rPr>
                <w:sz w:val="20"/>
                <w:szCs w:val="20"/>
                <w:lang w:eastAsia="en-US"/>
              </w:rPr>
            </w:pPr>
          </w:p>
        </w:tc>
        <w:tc>
          <w:tcPr>
            <w:tcW w:w="1200" w:type="dxa"/>
            <w:tcBorders>
              <w:top w:val="nil"/>
              <w:left w:val="nil"/>
              <w:bottom w:val="nil"/>
              <w:right w:val="nil"/>
            </w:tcBorders>
            <w:shd w:val="clear" w:color="auto" w:fill="auto"/>
            <w:noWrap/>
            <w:vAlign w:val="bottom"/>
            <w:hideMark/>
          </w:tcPr>
          <w:p w14:paraId="7EC97D61" w14:textId="77777777" w:rsidR="00CD0A2D" w:rsidRPr="00CA48AF" w:rsidRDefault="00CD0A2D" w:rsidP="00CD0A2D">
            <w:pPr>
              <w:rPr>
                <w:sz w:val="20"/>
                <w:szCs w:val="20"/>
                <w:lang w:eastAsia="en-US"/>
              </w:rPr>
            </w:pPr>
          </w:p>
        </w:tc>
      </w:tr>
    </w:tbl>
    <w:p w14:paraId="3BE0D5E4" w14:textId="4A4E8F32" w:rsidR="00A275A9" w:rsidRPr="00CA48AF" w:rsidRDefault="00A275A9" w:rsidP="00A275A9">
      <w:pPr>
        <w:pStyle w:val="Prrafodelista"/>
        <w:ind w:left="0"/>
        <w:contextualSpacing w:val="0"/>
        <w:rPr>
          <w:rFonts w:ascii="Arial" w:hAnsi="Arial" w:cs="Arial"/>
          <w:color w:val="000000" w:themeColor="text1"/>
          <w:sz w:val="22"/>
          <w:szCs w:val="22"/>
        </w:rPr>
      </w:pPr>
      <w:r w:rsidRPr="00CA48AF">
        <w:rPr>
          <w:rFonts w:ascii="Arial" w:hAnsi="Arial" w:cs="Arial"/>
          <w:color w:val="000000" w:themeColor="text1"/>
          <w:sz w:val="22"/>
          <w:szCs w:val="22"/>
        </w:rPr>
        <w:lastRenderedPageBreak/>
        <w:t xml:space="preserve">Con base en el listado de funcionarios enviado por el Grupo de Administración de Personal de la Subdirección de Gestión del Talento Humano, se realizó la comparación de la planta de personal del Ministerio de Hacienda y Crédito Público, distribuida a nivel de cargos para el </w:t>
      </w:r>
      <w:r w:rsidR="00D16ECA">
        <w:rPr>
          <w:rFonts w:ascii="Arial" w:hAnsi="Arial" w:cs="Arial"/>
          <w:color w:val="000000" w:themeColor="text1"/>
          <w:sz w:val="22"/>
          <w:szCs w:val="22"/>
        </w:rPr>
        <w:t xml:space="preserve">tercer </w:t>
      </w:r>
      <w:r w:rsidRPr="00CA48AF">
        <w:rPr>
          <w:rFonts w:ascii="Arial" w:hAnsi="Arial" w:cs="Arial"/>
          <w:color w:val="000000" w:themeColor="text1"/>
          <w:sz w:val="22"/>
          <w:szCs w:val="22"/>
        </w:rPr>
        <w:t xml:space="preserve">trimestre de 2020-2019. A continuación, se presenta el resultado: </w:t>
      </w:r>
    </w:p>
    <w:p w14:paraId="45D8D9D6" w14:textId="07327195" w:rsidR="00EF78DB" w:rsidRPr="00CA48AF" w:rsidRDefault="00EF78DB" w:rsidP="00CA1AFC">
      <w:pPr>
        <w:pStyle w:val="Prrafodelista"/>
        <w:ind w:left="0"/>
        <w:contextualSpacing w:val="0"/>
        <w:rPr>
          <w:rFonts w:ascii="Arial" w:hAnsi="Arial" w:cs="Arial"/>
          <w:sz w:val="22"/>
          <w:szCs w:val="22"/>
          <w:highlight w:val="yellow"/>
        </w:rPr>
      </w:pPr>
    </w:p>
    <w:tbl>
      <w:tblPr>
        <w:tblStyle w:val="Tabladecuadrcula1clara-nfasis1"/>
        <w:tblW w:w="9634" w:type="dxa"/>
        <w:tblLayout w:type="fixed"/>
        <w:tblLook w:val="04A0" w:firstRow="1" w:lastRow="0" w:firstColumn="1" w:lastColumn="0" w:noHBand="0" w:noVBand="1"/>
      </w:tblPr>
      <w:tblGrid>
        <w:gridCol w:w="1696"/>
        <w:gridCol w:w="709"/>
        <w:gridCol w:w="709"/>
        <w:gridCol w:w="709"/>
        <w:gridCol w:w="567"/>
        <w:gridCol w:w="708"/>
        <w:gridCol w:w="709"/>
        <w:gridCol w:w="425"/>
        <w:gridCol w:w="709"/>
        <w:gridCol w:w="567"/>
        <w:gridCol w:w="709"/>
        <w:gridCol w:w="567"/>
        <w:gridCol w:w="850"/>
      </w:tblGrid>
      <w:tr w:rsidR="009801CD" w:rsidRPr="00CA48AF" w14:paraId="326885FC" w14:textId="77777777" w:rsidTr="00083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4F81BD" w:themeFill="accent1"/>
            <w:noWrap/>
            <w:vAlign w:val="center"/>
            <w:hideMark/>
          </w:tcPr>
          <w:p w14:paraId="25BF46DA" w14:textId="77777777" w:rsidR="009801CD" w:rsidRPr="00CA48AF" w:rsidRDefault="009801CD" w:rsidP="00F866D0">
            <w:pPr>
              <w:widowControl w:val="0"/>
              <w:spacing w:before="40" w:after="40"/>
              <w:jc w:val="center"/>
              <w:rPr>
                <w:rFonts w:ascii="Arial" w:hAnsi="Arial" w:cs="Arial"/>
                <w:color w:val="FFFFFF" w:themeColor="background1"/>
                <w:sz w:val="20"/>
                <w:szCs w:val="20"/>
              </w:rPr>
            </w:pPr>
            <w:r w:rsidRPr="00CA48AF">
              <w:rPr>
                <w:rFonts w:ascii="Arial" w:hAnsi="Arial" w:cs="Arial"/>
                <w:color w:val="FFFFFF" w:themeColor="background1"/>
                <w:sz w:val="20"/>
                <w:szCs w:val="20"/>
              </w:rPr>
              <w:t>Cargo</w:t>
            </w:r>
          </w:p>
        </w:tc>
        <w:tc>
          <w:tcPr>
            <w:tcW w:w="2127" w:type="dxa"/>
            <w:gridSpan w:val="3"/>
            <w:shd w:val="clear" w:color="auto" w:fill="4F81BD" w:themeFill="accent1"/>
            <w:noWrap/>
            <w:vAlign w:val="center"/>
            <w:hideMark/>
          </w:tcPr>
          <w:p w14:paraId="360DE865" w14:textId="0B0BF0C5" w:rsidR="009801CD" w:rsidRPr="00CA48AF" w:rsidRDefault="00660270"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A48AF">
              <w:rPr>
                <w:rFonts w:ascii="Arial" w:hAnsi="Arial" w:cs="Arial"/>
                <w:color w:val="FFFFFF" w:themeColor="background1"/>
                <w:sz w:val="20"/>
                <w:szCs w:val="20"/>
              </w:rPr>
              <w:t xml:space="preserve"> I</w:t>
            </w:r>
            <w:r w:rsidR="002C3D94" w:rsidRPr="00CA48AF">
              <w:rPr>
                <w:rFonts w:ascii="Arial" w:hAnsi="Arial" w:cs="Arial"/>
                <w:color w:val="FFFFFF" w:themeColor="background1"/>
                <w:sz w:val="20"/>
                <w:szCs w:val="20"/>
              </w:rPr>
              <w:t>I</w:t>
            </w:r>
            <w:r w:rsidR="00186015" w:rsidRPr="00CA48AF">
              <w:rPr>
                <w:rFonts w:ascii="Arial" w:hAnsi="Arial" w:cs="Arial"/>
                <w:color w:val="FFFFFF" w:themeColor="background1"/>
                <w:sz w:val="20"/>
                <w:szCs w:val="20"/>
              </w:rPr>
              <w:t>I</w:t>
            </w:r>
            <w:r w:rsidR="009801CD" w:rsidRPr="00CA48AF">
              <w:rPr>
                <w:rFonts w:ascii="Arial" w:hAnsi="Arial" w:cs="Arial"/>
                <w:color w:val="FFFFFF" w:themeColor="background1"/>
                <w:sz w:val="20"/>
                <w:szCs w:val="20"/>
              </w:rPr>
              <w:t xml:space="preserve"> Trimestre 20</w:t>
            </w:r>
            <w:r w:rsidR="002F390B" w:rsidRPr="00CA48AF">
              <w:rPr>
                <w:rFonts w:ascii="Arial" w:hAnsi="Arial" w:cs="Arial"/>
                <w:color w:val="FFFFFF" w:themeColor="background1"/>
                <w:sz w:val="20"/>
                <w:szCs w:val="20"/>
              </w:rPr>
              <w:t>20</w:t>
            </w:r>
          </w:p>
        </w:tc>
        <w:tc>
          <w:tcPr>
            <w:tcW w:w="1984" w:type="dxa"/>
            <w:gridSpan w:val="3"/>
            <w:shd w:val="clear" w:color="auto" w:fill="4F81BD" w:themeFill="accent1"/>
            <w:noWrap/>
            <w:vAlign w:val="center"/>
            <w:hideMark/>
          </w:tcPr>
          <w:p w14:paraId="4E99444E" w14:textId="3ACF18D7" w:rsidR="009801CD" w:rsidRPr="00CA48AF" w:rsidRDefault="00186015"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A48AF">
              <w:rPr>
                <w:rFonts w:ascii="Arial" w:hAnsi="Arial" w:cs="Arial"/>
                <w:color w:val="FFFFFF" w:themeColor="background1"/>
                <w:sz w:val="20"/>
                <w:szCs w:val="20"/>
              </w:rPr>
              <w:t>I</w:t>
            </w:r>
            <w:r w:rsidR="002C3D94" w:rsidRPr="00CA48AF">
              <w:rPr>
                <w:rFonts w:ascii="Arial" w:hAnsi="Arial" w:cs="Arial"/>
                <w:color w:val="FFFFFF" w:themeColor="background1"/>
                <w:sz w:val="20"/>
                <w:szCs w:val="20"/>
              </w:rPr>
              <w:t>I</w:t>
            </w:r>
            <w:r w:rsidR="00660270" w:rsidRPr="00CA48AF">
              <w:rPr>
                <w:rFonts w:ascii="Arial" w:hAnsi="Arial" w:cs="Arial"/>
                <w:color w:val="FFFFFF" w:themeColor="background1"/>
                <w:sz w:val="20"/>
                <w:szCs w:val="20"/>
              </w:rPr>
              <w:t>I</w:t>
            </w:r>
            <w:r w:rsidR="009801CD" w:rsidRPr="00CA48AF">
              <w:rPr>
                <w:rFonts w:ascii="Arial" w:hAnsi="Arial" w:cs="Arial"/>
                <w:color w:val="FFFFFF" w:themeColor="background1"/>
                <w:sz w:val="20"/>
                <w:szCs w:val="20"/>
              </w:rPr>
              <w:t xml:space="preserve"> Trimestre 20</w:t>
            </w:r>
            <w:r w:rsidR="002F390B" w:rsidRPr="00CA48AF">
              <w:rPr>
                <w:rFonts w:ascii="Arial" w:hAnsi="Arial" w:cs="Arial"/>
                <w:color w:val="FFFFFF" w:themeColor="background1"/>
                <w:sz w:val="20"/>
                <w:szCs w:val="20"/>
              </w:rPr>
              <w:t>19</w:t>
            </w:r>
          </w:p>
        </w:tc>
        <w:tc>
          <w:tcPr>
            <w:tcW w:w="3827" w:type="dxa"/>
            <w:gridSpan w:val="6"/>
            <w:shd w:val="clear" w:color="auto" w:fill="4F81BD" w:themeFill="accent1"/>
            <w:vAlign w:val="center"/>
            <w:hideMark/>
          </w:tcPr>
          <w:p w14:paraId="68DE4777" w14:textId="2D9A205D" w:rsidR="009801CD" w:rsidRPr="00CA48AF" w:rsidRDefault="009801CD" w:rsidP="00F866D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A48AF">
              <w:rPr>
                <w:rFonts w:ascii="Arial" w:hAnsi="Arial" w:cs="Arial"/>
                <w:color w:val="FFFFFF" w:themeColor="background1"/>
                <w:sz w:val="20"/>
                <w:szCs w:val="20"/>
              </w:rPr>
              <w:t>Variación Mensual</w:t>
            </w:r>
            <w:r w:rsidR="00C135A2" w:rsidRPr="00CA48AF">
              <w:rPr>
                <w:rStyle w:val="Refdenotaalpie"/>
                <w:rFonts w:ascii="Arial" w:hAnsi="Arial" w:cs="Arial"/>
                <w:color w:val="FFFFFF" w:themeColor="background1"/>
                <w:sz w:val="20"/>
                <w:szCs w:val="20"/>
              </w:rPr>
              <w:footnoteReference w:id="3"/>
            </w:r>
          </w:p>
        </w:tc>
      </w:tr>
      <w:tr w:rsidR="002C3D94" w:rsidRPr="00CA48AF" w14:paraId="02485C7B" w14:textId="77777777" w:rsidTr="00083494">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6EE8E1A5" w14:textId="77777777" w:rsidR="002C3D94" w:rsidRPr="00CA48AF" w:rsidRDefault="002C3D94" w:rsidP="002C3D94">
            <w:pPr>
              <w:widowControl w:val="0"/>
              <w:spacing w:before="40" w:after="40"/>
              <w:jc w:val="center"/>
              <w:rPr>
                <w:rFonts w:ascii="Arial" w:hAnsi="Arial" w:cs="Arial"/>
                <w:color w:val="FFFFFF" w:themeColor="background1"/>
                <w:sz w:val="20"/>
                <w:szCs w:val="20"/>
              </w:rPr>
            </w:pPr>
          </w:p>
        </w:tc>
        <w:tc>
          <w:tcPr>
            <w:tcW w:w="709" w:type="dxa"/>
            <w:vMerge w:val="restart"/>
            <w:shd w:val="clear" w:color="auto" w:fill="4F81BD" w:themeFill="accent1"/>
            <w:vAlign w:val="center"/>
            <w:hideMark/>
          </w:tcPr>
          <w:p w14:paraId="7725739E" w14:textId="104FE0F8"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bCs/>
                <w:color w:val="FFFFFF" w:themeColor="background1"/>
                <w:sz w:val="20"/>
                <w:szCs w:val="20"/>
              </w:rPr>
              <w:t xml:space="preserve">Jul </w:t>
            </w:r>
          </w:p>
        </w:tc>
        <w:tc>
          <w:tcPr>
            <w:tcW w:w="709" w:type="dxa"/>
            <w:vMerge w:val="restart"/>
            <w:shd w:val="clear" w:color="auto" w:fill="4F81BD" w:themeFill="accent1"/>
            <w:vAlign w:val="center"/>
            <w:hideMark/>
          </w:tcPr>
          <w:p w14:paraId="72D17E30" w14:textId="125386C7"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bCs/>
                <w:color w:val="FFFFFF" w:themeColor="background1"/>
                <w:sz w:val="20"/>
                <w:szCs w:val="20"/>
              </w:rPr>
              <w:t>Ago</w:t>
            </w:r>
            <w:proofErr w:type="spellEnd"/>
          </w:p>
        </w:tc>
        <w:tc>
          <w:tcPr>
            <w:tcW w:w="709" w:type="dxa"/>
            <w:vMerge w:val="restart"/>
            <w:shd w:val="clear" w:color="auto" w:fill="4F81BD" w:themeFill="accent1"/>
            <w:vAlign w:val="center"/>
            <w:hideMark/>
          </w:tcPr>
          <w:p w14:paraId="69E2F923" w14:textId="0FD8B676"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color w:val="FFFFFF" w:themeColor="background1"/>
                <w:sz w:val="20"/>
                <w:szCs w:val="20"/>
              </w:rPr>
              <w:t>Sep</w:t>
            </w:r>
            <w:proofErr w:type="spellEnd"/>
          </w:p>
        </w:tc>
        <w:tc>
          <w:tcPr>
            <w:tcW w:w="567" w:type="dxa"/>
            <w:vMerge w:val="restart"/>
            <w:shd w:val="clear" w:color="auto" w:fill="4F81BD" w:themeFill="accent1"/>
            <w:vAlign w:val="center"/>
            <w:hideMark/>
          </w:tcPr>
          <w:p w14:paraId="437C9DBD" w14:textId="0E8FABC6"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bCs/>
                <w:color w:val="FFFFFF" w:themeColor="background1"/>
                <w:sz w:val="20"/>
                <w:szCs w:val="20"/>
              </w:rPr>
              <w:t xml:space="preserve">Jul </w:t>
            </w:r>
          </w:p>
        </w:tc>
        <w:tc>
          <w:tcPr>
            <w:tcW w:w="708" w:type="dxa"/>
            <w:vMerge w:val="restart"/>
            <w:shd w:val="clear" w:color="auto" w:fill="4F81BD" w:themeFill="accent1"/>
            <w:vAlign w:val="center"/>
            <w:hideMark/>
          </w:tcPr>
          <w:p w14:paraId="1EBC3653" w14:textId="5B05B22A"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bCs/>
                <w:color w:val="FFFFFF" w:themeColor="background1"/>
                <w:sz w:val="20"/>
                <w:szCs w:val="20"/>
              </w:rPr>
              <w:t>Ago</w:t>
            </w:r>
            <w:proofErr w:type="spellEnd"/>
          </w:p>
        </w:tc>
        <w:tc>
          <w:tcPr>
            <w:tcW w:w="709" w:type="dxa"/>
            <w:vMerge w:val="restart"/>
            <w:shd w:val="clear" w:color="auto" w:fill="4F81BD" w:themeFill="accent1"/>
            <w:vAlign w:val="center"/>
            <w:hideMark/>
          </w:tcPr>
          <w:p w14:paraId="357CDFC0" w14:textId="44400E6A"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color w:val="FFFFFF" w:themeColor="background1"/>
                <w:sz w:val="20"/>
                <w:szCs w:val="20"/>
              </w:rPr>
              <w:t>Sep</w:t>
            </w:r>
            <w:proofErr w:type="spellEnd"/>
          </w:p>
        </w:tc>
        <w:tc>
          <w:tcPr>
            <w:tcW w:w="1134" w:type="dxa"/>
            <w:gridSpan w:val="2"/>
            <w:shd w:val="clear" w:color="auto" w:fill="4F81BD" w:themeFill="accent1"/>
            <w:vAlign w:val="center"/>
            <w:hideMark/>
          </w:tcPr>
          <w:p w14:paraId="12A09B2D" w14:textId="1C6BCE8C"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bCs/>
                <w:color w:val="FFFFFF" w:themeColor="background1"/>
                <w:sz w:val="20"/>
                <w:szCs w:val="20"/>
              </w:rPr>
              <w:t xml:space="preserve">Jul </w:t>
            </w:r>
          </w:p>
        </w:tc>
        <w:tc>
          <w:tcPr>
            <w:tcW w:w="1276" w:type="dxa"/>
            <w:gridSpan w:val="2"/>
            <w:shd w:val="clear" w:color="auto" w:fill="4F81BD" w:themeFill="accent1"/>
            <w:vAlign w:val="center"/>
            <w:hideMark/>
          </w:tcPr>
          <w:p w14:paraId="366DB955" w14:textId="12391E15"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bCs/>
                <w:color w:val="FFFFFF" w:themeColor="background1"/>
                <w:sz w:val="20"/>
                <w:szCs w:val="20"/>
              </w:rPr>
              <w:t>Ago</w:t>
            </w:r>
            <w:proofErr w:type="spellEnd"/>
          </w:p>
        </w:tc>
        <w:tc>
          <w:tcPr>
            <w:tcW w:w="1417" w:type="dxa"/>
            <w:gridSpan w:val="2"/>
            <w:shd w:val="clear" w:color="auto" w:fill="4F81BD" w:themeFill="accent1"/>
            <w:vAlign w:val="center"/>
            <w:hideMark/>
          </w:tcPr>
          <w:p w14:paraId="2A6BBD42" w14:textId="272C734B" w:rsidR="002C3D94" w:rsidRPr="00CA48AF" w:rsidRDefault="002C3D94" w:rsidP="002C3D94">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roofErr w:type="spellStart"/>
            <w:r w:rsidRPr="00CA48AF">
              <w:rPr>
                <w:rFonts w:ascii="Arial" w:hAnsi="Arial" w:cs="Arial"/>
                <w:b/>
                <w:color w:val="FFFFFF" w:themeColor="background1"/>
                <w:sz w:val="20"/>
                <w:szCs w:val="20"/>
              </w:rPr>
              <w:t>Sep</w:t>
            </w:r>
            <w:proofErr w:type="spellEnd"/>
          </w:p>
        </w:tc>
      </w:tr>
      <w:tr w:rsidR="00083494" w:rsidRPr="00CA48AF" w14:paraId="23F3A13F" w14:textId="77777777" w:rsidTr="00083494">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2D108372" w14:textId="77777777" w:rsidR="009801CD" w:rsidRPr="00CA48AF" w:rsidRDefault="009801CD" w:rsidP="00F866D0">
            <w:pPr>
              <w:widowControl w:val="0"/>
              <w:spacing w:before="40" w:after="40"/>
              <w:jc w:val="center"/>
              <w:rPr>
                <w:rFonts w:ascii="Arial" w:hAnsi="Arial" w:cs="Arial"/>
                <w:color w:val="FFFFFF" w:themeColor="background1"/>
                <w:sz w:val="20"/>
                <w:szCs w:val="20"/>
              </w:rPr>
            </w:pPr>
          </w:p>
        </w:tc>
        <w:tc>
          <w:tcPr>
            <w:tcW w:w="709" w:type="dxa"/>
            <w:vMerge/>
            <w:shd w:val="clear" w:color="auto" w:fill="4F81BD" w:themeFill="accent1"/>
            <w:vAlign w:val="center"/>
            <w:hideMark/>
          </w:tcPr>
          <w:p w14:paraId="6D8F7F0F"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350A60B4"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6A2CB5C6"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567" w:type="dxa"/>
            <w:vMerge/>
            <w:shd w:val="clear" w:color="auto" w:fill="4F81BD" w:themeFill="accent1"/>
            <w:vAlign w:val="center"/>
            <w:hideMark/>
          </w:tcPr>
          <w:p w14:paraId="50466BB5"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8" w:type="dxa"/>
            <w:vMerge/>
            <w:shd w:val="clear" w:color="auto" w:fill="4F81BD" w:themeFill="accent1"/>
            <w:vAlign w:val="center"/>
            <w:hideMark/>
          </w:tcPr>
          <w:p w14:paraId="389EE57B"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709" w:type="dxa"/>
            <w:vMerge/>
            <w:shd w:val="clear" w:color="auto" w:fill="4F81BD" w:themeFill="accent1"/>
            <w:vAlign w:val="center"/>
            <w:hideMark/>
          </w:tcPr>
          <w:p w14:paraId="42D67AA6"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p>
        </w:tc>
        <w:tc>
          <w:tcPr>
            <w:tcW w:w="425" w:type="dxa"/>
            <w:shd w:val="clear" w:color="auto" w:fill="4F81BD" w:themeFill="accent1"/>
            <w:vAlign w:val="center"/>
            <w:hideMark/>
          </w:tcPr>
          <w:p w14:paraId="392BF96A"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c>
          <w:tcPr>
            <w:tcW w:w="709" w:type="dxa"/>
            <w:shd w:val="clear" w:color="auto" w:fill="4F81BD" w:themeFill="accent1"/>
            <w:vAlign w:val="center"/>
            <w:hideMark/>
          </w:tcPr>
          <w:p w14:paraId="670C1971"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c>
          <w:tcPr>
            <w:tcW w:w="567" w:type="dxa"/>
            <w:shd w:val="clear" w:color="auto" w:fill="4F81BD" w:themeFill="accent1"/>
            <w:vAlign w:val="center"/>
            <w:hideMark/>
          </w:tcPr>
          <w:p w14:paraId="5638FE42"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c>
          <w:tcPr>
            <w:tcW w:w="709" w:type="dxa"/>
            <w:shd w:val="clear" w:color="auto" w:fill="4F81BD" w:themeFill="accent1"/>
            <w:vAlign w:val="center"/>
            <w:hideMark/>
          </w:tcPr>
          <w:p w14:paraId="637F0DA1"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c>
          <w:tcPr>
            <w:tcW w:w="567" w:type="dxa"/>
            <w:shd w:val="clear" w:color="auto" w:fill="4F81BD" w:themeFill="accent1"/>
            <w:vAlign w:val="center"/>
            <w:hideMark/>
          </w:tcPr>
          <w:p w14:paraId="1C3AC9A9"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c>
          <w:tcPr>
            <w:tcW w:w="850" w:type="dxa"/>
            <w:shd w:val="clear" w:color="auto" w:fill="4F81BD" w:themeFill="accent1"/>
            <w:vAlign w:val="center"/>
            <w:hideMark/>
          </w:tcPr>
          <w:p w14:paraId="165708A7" w14:textId="77777777" w:rsidR="009801CD" w:rsidRPr="00CA48AF" w:rsidRDefault="009801CD" w:rsidP="00F866D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CA48AF">
              <w:rPr>
                <w:rFonts w:ascii="Arial" w:hAnsi="Arial" w:cs="Arial"/>
                <w:b/>
                <w:color w:val="FFFFFF" w:themeColor="background1"/>
                <w:sz w:val="20"/>
                <w:szCs w:val="20"/>
              </w:rPr>
              <w:t>%</w:t>
            </w:r>
          </w:p>
        </w:tc>
      </w:tr>
      <w:tr w:rsidR="00AB05F0" w:rsidRPr="00CA48AF" w14:paraId="665E870C"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547DB8AA"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Ministro</w:t>
            </w:r>
          </w:p>
        </w:tc>
        <w:tc>
          <w:tcPr>
            <w:tcW w:w="709" w:type="dxa"/>
            <w:shd w:val="clear" w:color="auto" w:fill="auto"/>
            <w:noWrap/>
            <w:vAlign w:val="bottom"/>
          </w:tcPr>
          <w:p w14:paraId="7622363C" w14:textId="68A43C6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center"/>
          </w:tcPr>
          <w:p w14:paraId="19878BE4" w14:textId="7FAE284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bottom"/>
          </w:tcPr>
          <w:p w14:paraId="000E797B" w14:textId="574C75C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567" w:type="dxa"/>
            <w:shd w:val="clear" w:color="auto" w:fill="auto"/>
            <w:noWrap/>
            <w:vAlign w:val="center"/>
          </w:tcPr>
          <w:p w14:paraId="46571A62" w14:textId="4FAC9F8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8" w:type="dxa"/>
            <w:shd w:val="clear" w:color="auto" w:fill="auto"/>
            <w:noWrap/>
            <w:vAlign w:val="center"/>
          </w:tcPr>
          <w:p w14:paraId="169BEC02" w14:textId="2C718C7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center"/>
          </w:tcPr>
          <w:p w14:paraId="76B9D7FF" w14:textId="1B26531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425" w:type="dxa"/>
            <w:shd w:val="clear" w:color="auto" w:fill="auto"/>
            <w:noWrap/>
            <w:vAlign w:val="center"/>
          </w:tcPr>
          <w:p w14:paraId="52A05895" w14:textId="6D70F9E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6C732B36" w14:textId="222FC53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noWrap/>
            <w:vAlign w:val="center"/>
          </w:tcPr>
          <w:p w14:paraId="194DA3B7" w14:textId="1DACE48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528E68F0" w14:textId="0CC724C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3C5CA7A3" w14:textId="4EDB6A3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4997F9FF" w14:textId="5286C47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1F3E3902"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536FC847"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Viceministros</w:t>
            </w:r>
          </w:p>
        </w:tc>
        <w:tc>
          <w:tcPr>
            <w:tcW w:w="709" w:type="dxa"/>
            <w:shd w:val="clear" w:color="auto" w:fill="auto"/>
            <w:noWrap/>
            <w:vAlign w:val="bottom"/>
          </w:tcPr>
          <w:p w14:paraId="02631B5F" w14:textId="2B5007E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709" w:type="dxa"/>
            <w:shd w:val="clear" w:color="auto" w:fill="auto"/>
            <w:noWrap/>
            <w:vAlign w:val="center"/>
          </w:tcPr>
          <w:p w14:paraId="2F1DBB3E" w14:textId="384CC96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709" w:type="dxa"/>
            <w:shd w:val="clear" w:color="auto" w:fill="auto"/>
            <w:noWrap/>
            <w:vAlign w:val="bottom"/>
          </w:tcPr>
          <w:p w14:paraId="22A5080E" w14:textId="74D6E74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567" w:type="dxa"/>
            <w:shd w:val="clear" w:color="auto" w:fill="auto"/>
            <w:noWrap/>
            <w:vAlign w:val="center"/>
          </w:tcPr>
          <w:p w14:paraId="3032B2FD" w14:textId="284EC3D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708" w:type="dxa"/>
            <w:shd w:val="clear" w:color="auto" w:fill="auto"/>
            <w:noWrap/>
            <w:vAlign w:val="center"/>
          </w:tcPr>
          <w:p w14:paraId="24096CB4" w14:textId="70BB0BA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709" w:type="dxa"/>
            <w:shd w:val="clear" w:color="auto" w:fill="auto"/>
            <w:noWrap/>
            <w:vAlign w:val="center"/>
          </w:tcPr>
          <w:p w14:paraId="189BF23C" w14:textId="52BBFB7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425" w:type="dxa"/>
            <w:shd w:val="clear" w:color="auto" w:fill="auto"/>
            <w:noWrap/>
            <w:vAlign w:val="center"/>
          </w:tcPr>
          <w:p w14:paraId="31A8AE28" w14:textId="172B756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2F2DFD83" w14:textId="7942B88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noWrap/>
            <w:vAlign w:val="center"/>
          </w:tcPr>
          <w:p w14:paraId="12636149" w14:textId="0FAE901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0997E711" w14:textId="36DA122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23883DD6" w14:textId="66F82A0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3CB8F93C" w14:textId="59722F8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3A58771E"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311DBCC5"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Secretario General</w:t>
            </w:r>
          </w:p>
        </w:tc>
        <w:tc>
          <w:tcPr>
            <w:tcW w:w="709" w:type="dxa"/>
            <w:shd w:val="clear" w:color="auto" w:fill="auto"/>
            <w:noWrap/>
            <w:vAlign w:val="bottom"/>
          </w:tcPr>
          <w:p w14:paraId="5CDFB080" w14:textId="73747D5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center"/>
          </w:tcPr>
          <w:p w14:paraId="0C82FDAA" w14:textId="56F962E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bottom"/>
          </w:tcPr>
          <w:p w14:paraId="184A0A19" w14:textId="3854DC5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567" w:type="dxa"/>
            <w:shd w:val="clear" w:color="auto" w:fill="auto"/>
            <w:noWrap/>
            <w:vAlign w:val="center"/>
          </w:tcPr>
          <w:p w14:paraId="6B72226B" w14:textId="10ABA5D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8" w:type="dxa"/>
            <w:shd w:val="clear" w:color="auto" w:fill="auto"/>
            <w:noWrap/>
            <w:vAlign w:val="center"/>
          </w:tcPr>
          <w:p w14:paraId="149F4BB3" w14:textId="2405916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noWrap/>
            <w:vAlign w:val="center"/>
          </w:tcPr>
          <w:p w14:paraId="3E27CA00" w14:textId="04A8F38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425" w:type="dxa"/>
            <w:shd w:val="clear" w:color="auto" w:fill="auto"/>
            <w:noWrap/>
            <w:vAlign w:val="center"/>
          </w:tcPr>
          <w:p w14:paraId="177D2FC7" w14:textId="0C96431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389EAD99" w14:textId="7B984BD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noWrap/>
            <w:vAlign w:val="center"/>
          </w:tcPr>
          <w:p w14:paraId="3A76AB49" w14:textId="1CA1DDA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7595EE27" w14:textId="08C04C9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13DE37D2" w14:textId="54482F2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4F102B43" w14:textId="7045B84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467AA485"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6EDE8234"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Directores</w:t>
            </w:r>
          </w:p>
        </w:tc>
        <w:tc>
          <w:tcPr>
            <w:tcW w:w="709" w:type="dxa"/>
            <w:shd w:val="clear" w:color="auto" w:fill="auto"/>
            <w:noWrap/>
            <w:vAlign w:val="bottom"/>
          </w:tcPr>
          <w:p w14:paraId="6935E998" w14:textId="2A96B37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709" w:type="dxa"/>
            <w:shd w:val="clear" w:color="auto" w:fill="auto"/>
            <w:noWrap/>
            <w:vAlign w:val="center"/>
          </w:tcPr>
          <w:p w14:paraId="544F4ADA" w14:textId="726F308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709" w:type="dxa"/>
            <w:shd w:val="clear" w:color="auto" w:fill="auto"/>
            <w:noWrap/>
            <w:vAlign w:val="bottom"/>
          </w:tcPr>
          <w:p w14:paraId="00F776D9" w14:textId="2EA648A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567" w:type="dxa"/>
            <w:shd w:val="clear" w:color="auto" w:fill="auto"/>
            <w:noWrap/>
            <w:vAlign w:val="center"/>
          </w:tcPr>
          <w:p w14:paraId="30971AA8" w14:textId="6092DE8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708" w:type="dxa"/>
            <w:shd w:val="clear" w:color="auto" w:fill="auto"/>
            <w:noWrap/>
            <w:vAlign w:val="center"/>
          </w:tcPr>
          <w:p w14:paraId="2FE65EDF" w14:textId="7D6FB72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709" w:type="dxa"/>
            <w:shd w:val="clear" w:color="auto" w:fill="auto"/>
            <w:noWrap/>
            <w:vAlign w:val="center"/>
          </w:tcPr>
          <w:p w14:paraId="33D26D10" w14:textId="41D1883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425" w:type="dxa"/>
            <w:shd w:val="clear" w:color="auto" w:fill="auto"/>
            <w:noWrap/>
            <w:vAlign w:val="center"/>
          </w:tcPr>
          <w:p w14:paraId="2AAECB0E" w14:textId="3DBB056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0EB097D1" w14:textId="4ACA640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noWrap/>
            <w:vAlign w:val="center"/>
          </w:tcPr>
          <w:p w14:paraId="27BCDFD7" w14:textId="516C622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13E41210" w14:textId="45FEEE9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2F95AE91" w14:textId="601461C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1C56BC18" w14:textId="08F74B3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77E9DAED"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6A06628F"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Subdirectores</w:t>
            </w:r>
          </w:p>
        </w:tc>
        <w:tc>
          <w:tcPr>
            <w:tcW w:w="709" w:type="dxa"/>
            <w:shd w:val="clear" w:color="auto" w:fill="auto"/>
            <w:noWrap/>
            <w:vAlign w:val="bottom"/>
          </w:tcPr>
          <w:p w14:paraId="12000130" w14:textId="3C3EB1D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24</w:t>
            </w:r>
          </w:p>
        </w:tc>
        <w:tc>
          <w:tcPr>
            <w:tcW w:w="709" w:type="dxa"/>
            <w:shd w:val="clear" w:color="auto" w:fill="auto"/>
            <w:noWrap/>
            <w:vAlign w:val="center"/>
          </w:tcPr>
          <w:p w14:paraId="253A3DDE" w14:textId="4C39909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24</w:t>
            </w:r>
          </w:p>
        </w:tc>
        <w:tc>
          <w:tcPr>
            <w:tcW w:w="709" w:type="dxa"/>
            <w:shd w:val="clear" w:color="auto" w:fill="auto"/>
            <w:noWrap/>
            <w:vAlign w:val="bottom"/>
          </w:tcPr>
          <w:p w14:paraId="466446AA" w14:textId="576E05D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24</w:t>
            </w:r>
          </w:p>
        </w:tc>
        <w:tc>
          <w:tcPr>
            <w:tcW w:w="567" w:type="dxa"/>
            <w:shd w:val="clear" w:color="auto" w:fill="auto"/>
            <w:noWrap/>
            <w:vAlign w:val="center"/>
          </w:tcPr>
          <w:p w14:paraId="0FF7B982" w14:textId="1E6473C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23</w:t>
            </w:r>
          </w:p>
        </w:tc>
        <w:tc>
          <w:tcPr>
            <w:tcW w:w="708" w:type="dxa"/>
            <w:shd w:val="clear" w:color="auto" w:fill="auto"/>
            <w:noWrap/>
            <w:vAlign w:val="center"/>
          </w:tcPr>
          <w:p w14:paraId="2D946A39" w14:textId="0EBAC7E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24</w:t>
            </w:r>
          </w:p>
        </w:tc>
        <w:tc>
          <w:tcPr>
            <w:tcW w:w="709" w:type="dxa"/>
            <w:shd w:val="clear" w:color="auto" w:fill="auto"/>
            <w:noWrap/>
            <w:vAlign w:val="center"/>
          </w:tcPr>
          <w:p w14:paraId="31BBD6D0" w14:textId="2E92BEC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24</w:t>
            </w:r>
          </w:p>
        </w:tc>
        <w:tc>
          <w:tcPr>
            <w:tcW w:w="425" w:type="dxa"/>
            <w:shd w:val="clear" w:color="auto" w:fill="auto"/>
            <w:noWrap/>
            <w:vAlign w:val="center"/>
          </w:tcPr>
          <w:p w14:paraId="0E2CB5B1" w14:textId="120C1FA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vAlign w:val="center"/>
          </w:tcPr>
          <w:p w14:paraId="64430FC1" w14:textId="7626C10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567" w:type="dxa"/>
            <w:shd w:val="clear" w:color="auto" w:fill="auto"/>
            <w:noWrap/>
            <w:vAlign w:val="center"/>
          </w:tcPr>
          <w:p w14:paraId="7BC051C0" w14:textId="47C8EDD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1C0D2F82" w14:textId="0258E39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40E45256" w14:textId="2720D2B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12378B5B" w14:textId="314026F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0E44BC0A"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6180B121"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Jefes de Oficina</w:t>
            </w:r>
          </w:p>
        </w:tc>
        <w:tc>
          <w:tcPr>
            <w:tcW w:w="709" w:type="dxa"/>
            <w:shd w:val="clear" w:color="auto" w:fill="auto"/>
            <w:noWrap/>
            <w:vAlign w:val="bottom"/>
          </w:tcPr>
          <w:p w14:paraId="211822B8" w14:textId="32E3006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noWrap/>
            <w:vAlign w:val="center"/>
          </w:tcPr>
          <w:p w14:paraId="35F8BD9E" w14:textId="4992DCC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noWrap/>
            <w:vAlign w:val="bottom"/>
          </w:tcPr>
          <w:p w14:paraId="228F28E6" w14:textId="222BF5E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567" w:type="dxa"/>
            <w:shd w:val="clear" w:color="auto" w:fill="auto"/>
            <w:noWrap/>
            <w:vAlign w:val="center"/>
          </w:tcPr>
          <w:p w14:paraId="6920B281" w14:textId="4EACDEE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8" w:type="dxa"/>
            <w:shd w:val="clear" w:color="auto" w:fill="auto"/>
            <w:noWrap/>
            <w:vAlign w:val="center"/>
          </w:tcPr>
          <w:p w14:paraId="266CEC7C" w14:textId="58F0609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noWrap/>
            <w:vAlign w:val="center"/>
          </w:tcPr>
          <w:p w14:paraId="3BB920EC" w14:textId="18B679C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425" w:type="dxa"/>
            <w:shd w:val="clear" w:color="auto" w:fill="auto"/>
            <w:noWrap/>
            <w:vAlign w:val="center"/>
          </w:tcPr>
          <w:p w14:paraId="4830C956" w14:textId="0523F84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12A8CCA6" w14:textId="4FF94D4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noWrap/>
            <w:vAlign w:val="center"/>
          </w:tcPr>
          <w:p w14:paraId="70BFBF10" w14:textId="2A169C8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0711C2F3" w14:textId="4080751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4F709AC0" w14:textId="1B1898B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2DED939D" w14:textId="19A8A35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5559FD87" w14:textId="77777777" w:rsidTr="006A2FB2">
        <w:trPr>
          <w:trHeight w:val="277"/>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7DEE827A"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Asesores</w:t>
            </w:r>
          </w:p>
        </w:tc>
        <w:tc>
          <w:tcPr>
            <w:tcW w:w="709" w:type="dxa"/>
            <w:shd w:val="clear" w:color="auto" w:fill="auto"/>
            <w:noWrap/>
            <w:vAlign w:val="bottom"/>
          </w:tcPr>
          <w:p w14:paraId="42108106" w14:textId="0B85DA0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296</w:t>
            </w:r>
          </w:p>
        </w:tc>
        <w:tc>
          <w:tcPr>
            <w:tcW w:w="709" w:type="dxa"/>
            <w:shd w:val="clear" w:color="auto" w:fill="auto"/>
            <w:noWrap/>
            <w:vAlign w:val="center"/>
          </w:tcPr>
          <w:p w14:paraId="0E32A304" w14:textId="2909944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294</w:t>
            </w:r>
          </w:p>
        </w:tc>
        <w:tc>
          <w:tcPr>
            <w:tcW w:w="709" w:type="dxa"/>
            <w:shd w:val="clear" w:color="auto" w:fill="auto"/>
            <w:noWrap/>
            <w:vAlign w:val="bottom"/>
          </w:tcPr>
          <w:p w14:paraId="47A49024" w14:textId="6F8A7D4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295</w:t>
            </w:r>
          </w:p>
        </w:tc>
        <w:tc>
          <w:tcPr>
            <w:tcW w:w="567" w:type="dxa"/>
            <w:shd w:val="clear" w:color="auto" w:fill="auto"/>
            <w:noWrap/>
            <w:vAlign w:val="center"/>
          </w:tcPr>
          <w:p w14:paraId="0F3A9E0E" w14:textId="2B6B1AA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292</w:t>
            </w:r>
          </w:p>
        </w:tc>
        <w:tc>
          <w:tcPr>
            <w:tcW w:w="708" w:type="dxa"/>
            <w:shd w:val="clear" w:color="auto" w:fill="auto"/>
            <w:noWrap/>
            <w:vAlign w:val="center"/>
          </w:tcPr>
          <w:p w14:paraId="56CE44EB" w14:textId="46EAD54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294</w:t>
            </w:r>
          </w:p>
        </w:tc>
        <w:tc>
          <w:tcPr>
            <w:tcW w:w="709" w:type="dxa"/>
            <w:shd w:val="clear" w:color="auto" w:fill="auto"/>
            <w:noWrap/>
            <w:vAlign w:val="center"/>
          </w:tcPr>
          <w:p w14:paraId="4236D04D" w14:textId="3A04153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293</w:t>
            </w:r>
          </w:p>
        </w:tc>
        <w:tc>
          <w:tcPr>
            <w:tcW w:w="425" w:type="dxa"/>
            <w:shd w:val="clear" w:color="auto" w:fill="auto"/>
            <w:noWrap/>
            <w:vAlign w:val="center"/>
          </w:tcPr>
          <w:p w14:paraId="4BE1E726" w14:textId="759007A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vAlign w:val="center"/>
          </w:tcPr>
          <w:p w14:paraId="346D7A17" w14:textId="3182FFA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567" w:type="dxa"/>
            <w:shd w:val="clear" w:color="auto" w:fill="auto"/>
            <w:noWrap/>
            <w:vAlign w:val="center"/>
          </w:tcPr>
          <w:p w14:paraId="66F1A3AA" w14:textId="09960C3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shd w:val="clear" w:color="auto" w:fill="auto"/>
            <w:vAlign w:val="center"/>
          </w:tcPr>
          <w:p w14:paraId="5F208C65" w14:textId="5C5FB1C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shd w:val="clear" w:color="auto" w:fill="auto"/>
            <w:vAlign w:val="center"/>
          </w:tcPr>
          <w:p w14:paraId="7EB6DE26" w14:textId="5E34460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850" w:type="dxa"/>
            <w:shd w:val="clear" w:color="auto" w:fill="auto"/>
            <w:vAlign w:val="center"/>
          </w:tcPr>
          <w:p w14:paraId="48754161" w14:textId="166E9A5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r>
      <w:tr w:rsidR="00AB05F0" w:rsidRPr="00CA48AF" w14:paraId="4E7CF8FD"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78601555"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Profesionales</w:t>
            </w:r>
          </w:p>
        </w:tc>
        <w:tc>
          <w:tcPr>
            <w:tcW w:w="709" w:type="dxa"/>
            <w:shd w:val="clear" w:color="auto" w:fill="auto"/>
            <w:noWrap/>
            <w:vAlign w:val="bottom"/>
          </w:tcPr>
          <w:p w14:paraId="191F504C" w14:textId="2EF4CE9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160</w:t>
            </w:r>
          </w:p>
        </w:tc>
        <w:tc>
          <w:tcPr>
            <w:tcW w:w="709" w:type="dxa"/>
            <w:shd w:val="clear" w:color="auto" w:fill="auto"/>
            <w:noWrap/>
            <w:vAlign w:val="center"/>
          </w:tcPr>
          <w:p w14:paraId="6158352C" w14:textId="00A5F03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161</w:t>
            </w:r>
          </w:p>
        </w:tc>
        <w:tc>
          <w:tcPr>
            <w:tcW w:w="709" w:type="dxa"/>
            <w:shd w:val="clear" w:color="auto" w:fill="auto"/>
            <w:noWrap/>
            <w:vAlign w:val="bottom"/>
          </w:tcPr>
          <w:p w14:paraId="0FFCB05B" w14:textId="78FC34E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159</w:t>
            </w:r>
          </w:p>
        </w:tc>
        <w:tc>
          <w:tcPr>
            <w:tcW w:w="567" w:type="dxa"/>
            <w:shd w:val="clear" w:color="auto" w:fill="auto"/>
            <w:noWrap/>
            <w:vAlign w:val="center"/>
          </w:tcPr>
          <w:p w14:paraId="6C063E97" w14:textId="49AF1A2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156</w:t>
            </w:r>
          </w:p>
        </w:tc>
        <w:tc>
          <w:tcPr>
            <w:tcW w:w="708" w:type="dxa"/>
            <w:shd w:val="clear" w:color="auto" w:fill="auto"/>
            <w:noWrap/>
            <w:vAlign w:val="center"/>
          </w:tcPr>
          <w:p w14:paraId="469C1526" w14:textId="5D8B19F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156</w:t>
            </w:r>
          </w:p>
        </w:tc>
        <w:tc>
          <w:tcPr>
            <w:tcW w:w="709" w:type="dxa"/>
            <w:shd w:val="clear" w:color="auto" w:fill="auto"/>
            <w:noWrap/>
            <w:vAlign w:val="center"/>
          </w:tcPr>
          <w:p w14:paraId="6CE43B07" w14:textId="3C7003B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157</w:t>
            </w:r>
          </w:p>
        </w:tc>
        <w:tc>
          <w:tcPr>
            <w:tcW w:w="425" w:type="dxa"/>
            <w:shd w:val="clear" w:color="auto" w:fill="auto"/>
            <w:noWrap/>
            <w:vAlign w:val="center"/>
          </w:tcPr>
          <w:p w14:paraId="0AB96EC9" w14:textId="2C23A66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vAlign w:val="center"/>
          </w:tcPr>
          <w:p w14:paraId="06DBD696" w14:textId="6EB3194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3%</w:t>
            </w:r>
          </w:p>
        </w:tc>
        <w:tc>
          <w:tcPr>
            <w:tcW w:w="567" w:type="dxa"/>
            <w:shd w:val="clear" w:color="auto" w:fill="auto"/>
            <w:noWrap/>
            <w:vAlign w:val="center"/>
          </w:tcPr>
          <w:p w14:paraId="3AC3E97F" w14:textId="67DE8A0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w:t>
            </w:r>
          </w:p>
        </w:tc>
        <w:tc>
          <w:tcPr>
            <w:tcW w:w="709" w:type="dxa"/>
            <w:shd w:val="clear" w:color="auto" w:fill="auto"/>
            <w:vAlign w:val="center"/>
          </w:tcPr>
          <w:p w14:paraId="08E17F09" w14:textId="5F62B79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3%</w:t>
            </w:r>
          </w:p>
        </w:tc>
        <w:tc>
          <w:tcPr>
            <w:tcW w:w="567" w:type="dxa"/>
            <w:shd w:val="clear" w:color="auto" w:fill="auto"/>
            <w:vAlign w:val="center"/>
          </w:tcPr>
          <w:p w14:paraId="4DD34433" w14:textId="6928FAE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850" w:type="dxa"/>
            <w:shd w:val="clear" w:color="auto" w:fill="auto"/>
            <w:vAlign w:val="center"/>
          </w:tcPr>
          <w:p w14:paraId="3CEC40C1" w14:textId="642E903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r>
      <w:tr w:rsidR="00AB05F0" w:rsidRPr="00CA48AF" w14:paraId="7184B4ED"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2B68E9B0"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Técnicos</w:t>
            </w:r>
          </w:p>
        </w:tc>
        <w:tc>
          <w:tcPr>
            <w:tcW w:w="709" w:type="dxa"/>
            <w:shd w:val="clear" w:color="auto" w:fill="auto"/>
            <w:noWrap/>
            <w:vAlign w:val="bottom"/>
          </w:tcPr>
          <w:p w14:paraId="72D9CE5D" w14:textId="7E868F7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51</w:t>
            </w:r>
          </w:p>
        </w:tc>
        <w:tc>
          <w:tcPr>
            <w:tcW w:w="709" w:type="dxa"/>
            <w:shd w:val="clear" w:color="auto" w:fill="auto"/>
            <w:noWrap/>
            <w:vAlign w:val="center"/>
          </w:tcPr>
          <w:p w14:paraId="28CEC64A" w14:textId="0B3A658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52</w:t>
            </w:r>
          </w:p>
        </w:tc>
        <w:tc>
          <w:tcPr>
            <w:tcW w:w="709" w:type="dxa"/>
            <w:shd w:val="clear" w:color="auto" w:fill="auto"/>
            <w:noWrap/>
            <w:vAlign w:val="bottom"/>
          </w:tcPr>
          <w:p w14:paraId="1F99CC24" w14:textId="5A55C6C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53</w:t>
            </w:r>
          </w:p>
        </w:tc>
        <w:tc>
          <w:tcPr>
            <w:tcW w:w="567" w:type="dxa"/>
            <w:shd w:val="clear" w:color="auto" w:fill="auto"/>
            <w:noWrap/>
            <w:vAlign w:val="center"/>
          </w:tcPr>
          <w:p w14:paraId="6A3950F3" w14:textId="304BDF1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48</w:t>
            </w:r>
          </w:p>
        </w:tc>
        <w:tc>
          <w:tcPr>
            <w:tcW w:w="708" w:type="dxa"/>
            <w:shd w:val="clear" w:color="auto" w:fill="auto"/>
            <w:noWrap/>
            <w:vAlign w:val="center"/>
          </w:tcPr>
          <w:p w14:paraId="33E36C3F" w14:textId="69BA847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48</w:t>
            </w:r>
          </w:p>
        </w:tc>
        <w:tc>
          <w:tcPr>
            <w:tcW w:w="709" w:type="dxa"/>
            <w:shd w:val="clear" w:color="auto" w:fill="auto"/>
            <w:noWrap/>
            <w:vAlign w:val="center"/>
          </w:tcPr>
          <w:p w14:paraId="36BC6AEE" w14:textId="3378C6E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48</w:t>
            </w:r>
          </w:p>
        </w:tc>
        <w:tc>
          <w:tcPr>
            <w:tcW w:w="425" w:type="dxa"/>
            <w:shd w:val="clear" w:color="auto" w:fill="auto"/>
            <w:noWrap/>
            <w:vAlign w:val="center"/>
          </w:tcPr>
          <w:p w14:paraId="755EEF38" w14:textId="695E6F9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3</w:t>
            </w:r>
          </w:p>
        </w:tc>
        <w:tc>
          <w:tcPr>
            <w:tcW w:w="709" w:type="dxa"/>
            <w:shd w:val="clear" w:color="auto" w:fill="auto"/>
            <w:vAlign w:val="center"/>
          </w:tcPr>
          <w:p w14:paraId="560C317A" w14:textId="66EB816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6%</w:t>
            </w:r>
          </w:p>
        </w:tc>
        <w:tc>
          <w:tcPr>
            <w:tcW w:w="567" w:type="dxa"/>
            <w:shd w:val="clear" w:color="auto" w:fill="auto"/>
            <w:noWrap/>
            <w:vAlign w:val="center"/>
          </w:tcPr>
          <w:p w14:paraId="2CD2F228" w14:textId="73D0BAF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709" w:type="dxa"/>
            <w:shd w:val="clear" w:color="auto" w:fill="auto"/>
            <w:vAlign w:val="center"/>
          </w:tcPr>
          <w:p w14:paraId="33A0C465" w14:textId="29A262F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8%</w:t>
            </w:r>
          </w:p>
        </w:tc>
        <w:tc>
          <w:tcPr>
            <w:tcW w:w="567" w:type="dxa"/>
            <w:shd w:val="clear" w:color="auto" w:fill="auto"/>
            <w:vAlign w:val="center"/>
          </w:tcPr>
          <w:p w14:paraId="399B24B1" w14:textId="55BA61B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w:t>
            </w:r>
          </w:p>
        </w:tc>
        <w:tc>
          <w:tcPr>
            <w:tcW w:w="850" w:type="dxa"/>
            <w:shd w:val="clear" w:color="auto" w:fill="auto"/>
            <w:vAlign w:val="center"/>
          </w:tcPr>
          <w:p w14:paraId="0FDB7784" w14:textId="6A444D4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10%</w:t>
            </w:r>
          </w:p>
        </w:tc>
      </w:tr>
      <w:tr w:rsidR="00AB05F0" w:rsidRPr="00CA48AF" w14:paraId="64CBC8A4" w14:textId="77777777" w:rsidTr="006A2FB2">
        <w:tc>
          <w:tcPr>
            <w:cnfStyle w:val="001000000000" w:firstRow="0" w:lastRow="0" w:firstColumn="1" w:lastColumn="0" w:oddVBand="0" w:evenVBand="0" w:oddHBand="0" w:evenHBand="0" w:firstRowFirstColumn="0" w:firstRowLastColumn="0" w:lastRowFirstColumn="0" w:lastRowLastColumn="0"/>
            <w:tcW w:w="1696" w:type="dxa"/>
            <w:shd w:val="clear" w:color="auto" w:fill="auto"/>
            <w:noWrap/>
            <w:hideMark/>
          </w:tcPr>
          <w:p w14:paraId="0B1DEE39"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Auxiliares</w:t>
            </w:r>
          </w:p>
        </w:tc>
        <w:tc>
          <w:tcPr>
            <w:tcW w:w="709" w:type="dxa"/>
            <w:shd w:val="clear" w:color="auto" w:fill="auto"/>
            <w:noWrap/>
            <w:vAlign w:val="bottom"/>
          </w:tcPr>
          <w:p w14:paraId="1648B995" w14:textId="27B7BF3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54</w:t>
            </w:r>
          </w:p>
        </w:tc>
        <w:tc>
          <w:tcPr>
            <w:tcW w:w="709" w:type="dxa"/>
            <w:shd w:val="clear" w:color="auto" w:fill="auto"/>
            <w:noWrap/>
            <w:vAlign w:val="center"/>
          </w:tcPr>
          <w:p w14:paraId="7F04376E" w14:textId="4F2FBC0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54</w:t>
            </w:r>
          </w:p>
        </w:tc>
        <w:tc>
          <w:tcPr>
            <w:tcW w:w="709" w:type="dxa"/>
            <w:shd w:val="clear" w:color="auto" w:fill="auto"/>
            <w:noWrap/>
            <w:vAlign w:val="bottom"/>
          </w:tcPr>
          <w:p w14:paraId="5FCF80E7" w14:textId="754C6B7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53</w:t>
            </w:r>
          </w:p>
        </w:tc>
        <w:tc>
          <w:tcPr>
            <w:tcW w:w="567" w:type="dxa"/>
            <w:shd w:val="clear" w:color="auto" w:fill="auto"/>
            <w:noWrap/>
            <w:vAlign w:val="center"/>
          </w:tcPr>
          <w:p w14:paraId="36910731" w14:textId="3B72BD6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55</w:t>
            </w:r>
          </w:p>
        </w:tc>
        <w:tc>
          <w:tcPr>
            <w:tcW w:w="708" w:type="dxa"/>
            <w:shd w:val="clear" w:color="auto" w:fill="auto"/>
            <w:noWrap/>
            <w:vAlign w:val="center"/>
          </w:tcPr>
          <w:p w14:paraId="74CDC481" w14:textId="3BD897B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52</w:t>
            </w:r>
          </w:p>
        </w:tc>
        <w:tc>
          <w:tcPr>
            <w:tcW w:w="709" w:type="dxa"/>
            <w:shd w:val="clear" w:color="auto" w:fill="auto"/>
            <w:noWrap/>
            <w:vAlign w:val="center"/>
          </w:tcPr>
          <w:p w14:paraId="14F883AC" w14:textId="7F423BD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53</w:t>
            </w:r>
          </w:p>
        </w:tc>
        <w:tc>
          <w:tcPr>
            <w:tcW w:w="425" w:type="dxa"/>
            <w:shd w:val="clear" w:color="auto" w:fill="auto"/>
            <w:noWrap/>
            <w:vAlign w:val="center"/>
          </w:tcPr>
          <w:p w14:paraId="1CE02C3D" w14:textId="595475E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shd w:val="clear" w:color="auto" w:fill="auto"/>
            <w:vAlign w:val="center"/>
          </w:tcPr>
          <w:p w14:paraId="5F0DCFF6" w14:textId="183CF19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567" w:type="dxa"/>
            <w:shd w:val="clear" w:color="auto" w:fill="auto"/>
            <w:noWrap/>
            <w:vAlign w:val="center"/>
          </w:tcPr>
          <w:p w14:paraId="2FF00C3A" w14:textId="750D2EA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w:t>
            </w:r>
          </w:p>
        </w:tc>
        <w:tc>
          <w:tcPr>
            <w:tcW w:w="709" w:type="dxa"/>
            <w:shd w:val="clear" w:color="auto" w:fill="auto"/>
            <w:vAlign w:val="center"/>
          </w:tcPr>
          <w:p w14:paraId="2711CA37" w14:textId="15C3C61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4%</w:t>
            </w:r>
          </w:p>
        </w:tc>
        <w:tc>
          <w:tcPr>
            <w:tcW w:w="567" w:type="dxa"/>
            <w:shd w:val="clear" w:color="auto" w:fill="auto"/>
            <w:vAlign w:val="center"/>
          </w:tcPr>
          <w:p w14:paraId="70875BD8" w14:textId="129318E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shd w:val="clear" w:color="auto" w:fill="auto"/>
            <w:vAlign w:val="center"/>
          </w:tcPr>
          <w:p w14:paraId="13DB72B2" w14:textId="30301B4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5999AB5F" w14:textId="77777777" w:rsidTr="006A2FB2">
        <w:tc>
          <w:tcPr>
            <w:cnfStyle w:val="001000000000" w:firstRow="0" w:lastRow="0" w:firstColumn="1" w:lastColumn="0" w:oddVBand="0" w:evenVBand="0" w:oddHBand="0" w:evenHBand="0" w:firstRowFirstColumn="0" w:firstRowLastColumn="0" w:lastRowFirstColumn="0" w:lastRowLastColumn="0"/>
            <w:tcW w:w="1696" w:type="dxa"/>
            <w:noWrap/>
            <w:hideMark/>
          </w:tcPr>
          <w:p w14:paraId="78DD1B55"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Secretarios</w:t>
            </w:r>
          </w:p>
        </w:tc>
        <w:tc>
          <w:tcPr>
            <w:tcW w:w="709" w:type="dxa"/>
            <w:noWrap/>
            <w:vAlign w:val="bottom"/>
          </w:tcPr>
          <w:p w14:paraId="556E9153" w14:textId="0FC2E2A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69</w:t>
            </w:r>
          </w:p>
        </w:tc>
        <w:tc>
          <w:tcPr>
            <w:tcW w:w="709" w:type="dxa"/>
            <w:noWrap/>
            <w:vAlign w:val="center"/>
          </w:tcPr>
          <w:p w14:paraId="0DCA0A54" w14:textId="427D422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69</w:t>
            </w:r>
          </w:p>
        </w:tc>
        <w:tc>
          <w:tcPr>
            <w:tcW w:w="709" w:type="dxa"/>
            <w:noWrap/>
            <w:vAlign w:val="bottom"/>
          </w:tcPr>
          <w:p w14:paraId="1AFADE95" w14:textId="5A60DD0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69</w:t>
            </w:r>
          </w:p>
        </w:tc>
        <w:tc>
          <w:tcPr>
            <w:tcW w:w="567" w:type="dxa"/>
            <w:noWrap/>
            <w:vAlign w:val="center"/>
          </w:tcPr>
          <w:p w14:paraId="2539B819" w14:textId="2AFFD0C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70</w:t>
            </w:r>
          </w:p>
        </w:tc>
        <w:tc>
          <w:tcPr>
            <w:tcW w:w="708" w:type="dxa"/>
            <w:noWrap/>
            <w:vAlign w:val="center"/>
          </w:tcPr>
          <w:p w14:paraId="325852E0" w14:textId="32F9120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70</w:t>
            </w:r>
          </w:p>
        </w:tc>
        <w:tc>
          <w:tcPr>
            <w:tcW w:w="709" w:type="dxa"/>
            <w:noWrap/>
            <w:vAlign w:val="center"/>
          </w:tcPr>
          <w:p w14:paraId="01703345" w14:textId="18353EB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70</w:t>
            </w:r>
          </w:p>
        </w:tc>
        <w:tc>
          <w:tcPr>
            <w:tcW w:w="425" w:type="dxa"/>
            <w:noWrap/>
            <w:vAlign w:val="center"/>
          </w:tcPr>
          <w:p w14:paraId="486B9404" w14:textId="409280A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vAlign w:val="center"/>
          </w:tcPr>
          <w:p w14:paraId="621A2EE6" w14:textId="4F5F548C"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567" w:type="dxa"/>
            <w:noWrap/>
            <w:vAlign w:val="center"/>
          </w:tcPr>
          <w:p w14:paraId="218623DE" w14:textId="173B67B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vAlign w:val="center"/>
          </w:tcPr>
          <w:p w14:paraId="321ACE38" w14:textId="5D0582D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567" w:type="dxa"/>
            <w:vAlign w:val="center"/>
          </w:tcPr>
          <w:p w14:paraId="49661AA0" w14:textId="3779128D"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850" w:type="dxa"/>
            <w:vAlign w:val="center"/>
          </w:tcPr>
          <w:p w14:paraId="6D18559F" w14:textId="3AC977A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r>
      <w:tr w:rsidR="00AB05F0" w:rsidRPr="00CA48AF" w14:paraId="4977011E" w14:textId="77777777" w:rsidTr="006A2FB2">
        <w:tc>
          <w:tcPr>
            <w:cnfStyle w:val="001000000000" w:firstRow="0" w:lastRow="0" w:firstColumn="1" w:lastColumn="0" w:oddVBand="0" w:evenVBand="0" w:oddHBand="0" w:evenHBand="0" w:firstRowFirstColumn="0" w:firstRowLastColumn="0" w:lastRowFirstColumn="0" w:lastRowLastColumn="0"/>
            <w:tcW w:w="1696" w:type="dxa"/>
            <w:noWrap/>
            <w:hideMark/>
          </w:tcPr>
          <w:p w14:paraId="36867E54" w14:textId="77777777" w:rsidR="00AB05F0" w:rsidRPr="00CA48AF" w:rsidRDefault="00AB05F0" w:rsidP="00AB05F0">
            <w:pPr>
              <w:widowControl w:val="0"/>
              <w:spacing w:before="40" w:after="40"/>
              <w:jc w:val="center"/>
              <w:rPr>
                <w:rFonts w:ascii="Arial" w:hAnsi="Arial" w:cs="Arial"/>
                <w:b w:val="0"/>
                <w:bCs w:val="0"/>
                <w:color w:val="0F243E" w:themeColor="text2" w:themeShade="80"/>
                <w:sz w:val="18"/>
                <w:szCs w:val="18"/>
              </w:rPr>
            </w:pPr>
            <w:r w:rsidRPr="00CA48AF">
              <w:rPr>
                <w:rFonts w:ascii="Arial" w:hAnsi="Arial" w:cs="Arial"/>
                <w:b w:val="0"/>
                <w:bCs w:val="0"/>
                <w:color w:val="0F243E" w:themeColor="text2" w:themeShade="80"/>
                <w:sz w:val="18"/>
                <w:szCs w:val="18"/>
              </w:rPr>
              <w:t>Conductores</w:t>
            </w:r>
          </w:p>
        </w:tc>
        <w:tc>
          <w:tcPr>
            <w:tcW w:w="709" w:type="dxa"/>
            <w:noWrap/>
            <w:vAlign w:val="bottom"/>
          </w:tcPr>
          <w:p w14:paraId="60A926EB" w14:textId="510CABE9"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19</w:t>
            </w:r>
          </w:p>
        </w:tc>
        <w:tc>
          <w:tcPr>
            <w:tcW w:w="709" w:type="dxa"/>
            <w:noWrap/>
            <w:vAlign w:val="center"/>
          </w:tcPr>
          <w:p w14:paraId="5446ED5F" w14:textId="6E2BFD5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20</w:t>
            </w:r>
          </w:p>
        </w:tc>
        <w:tc>
          <w:tcPr>
            <w:tcW w:w="709" w:type="dxa"/>
            <w:noWrap/>
            <w:vAlign w:val="bottom"/>
          </w:tcPr>
          <w:p w14:paraId="400D33D9" w14:textId="28A2911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20</w:t>
            </w:r>
          </w:p>
        </w:tc>
        <w:tc>
          <w:tcPr>
            <w:tcW w:w="567" w:type="dxa"/>
            <w:noWrap/>
            <w:vAlign w:val="center"/>
          </w:tcPr>
          <w:p w14:paraId="558AD99B" w14:textId="4DB36704"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20</w:t>
            </w:r>
          </w:p>
        </w:tc>
        <w:tc>
          <w:tcPr>
            <w:tcW w:w="708" w:type="dxa"/>
            <w:noWrap/>
            <w:vAlign w:val="center"/>
          </w:tcPr>
          <w:p w14:paraId="4ACAFDFA" w14:textId="7683E64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20</w:t>
            </w:r>
          </w:p>
        </w:tc>
        <w:tc>
          <w:tcPr>
            <w:tcW w:w="709" w:type="dxa"/>
            <w:noWrap/>
            <w:vAlign w:val="center"/>
          </w:tcPr>
          <w:p w14:paraId="687E4486" w14:textId="3D27471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20</w:t>
            </w:r>
          </w:p>
        </w:tc>
        <w:tc>
          <w:tcPr>
            <w:tcW w:w="425" w:type="dxa"/>
            <w:noWrap/>
            <w:vAlign w:val="center"/>
          </w:tcPr>
          <w:p w14:paraId="4F17A750" w14:textId="5DFFFFA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-1</w:t>
            </w:r>
          </w:p>
        </w:tc>
        <w:tc>
          <w:tcPr>
            <w:tcW w:w="709" w:type="dxa"/>
            <w:vAlign w:val="center"/>
          </w:tcPr>
          <w:p w14:paraId="597A91B6" w14:textId="40FECC0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-5%</w:t>
            </w:r>
          </w:p>
        </w:tc>
        <w:tc>
          <w:tcPr>
            <w:tcW w:w="567" w:type="dxa"/>
            <w:noWrap/>
            <w:vAlign w:val="center"/>
          </w:tcPr>
          <w:p w14:paraId="4E34D14D" w14:textId="09E5409F"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709" w:type="dxa"/>
            <w:vAlign w:val="center"/>
          </w:tcPr>
          <w:p w14:paraId="5B4E5D2C" w14:textId="3AECC9B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567" w:type="dxa"/>
            <w:vAlign w:val="center"/>
          </w:tcPr>
          <w:p w14:paraId="685957E5" w14:textId="29031C9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c>
          <w:tcPr>
            <w:tcW w:w="850" w:type="dxa"/>
            <w:vAlign w:val="center"/>
          </w:tcPr>
          <w:p w14:paraId="468DD025" w14:textId="776BAB28"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color w:val="0F243E" w:themeColor="text2" w:themeShade="80"/>
                <w:sz w:val="18"/>
                <w:szCs w:val="18"/>
              </w:rPr>
              <w:t>0%</w:t>
            </w:r>
          </w:p>
        </w:tc>
      </w:tr>
      <w:tr w:rsidR="00AB05F0" w:rsidRPr="00CA48AF" w14:paraId="72353997" w14:textId="77777777" w:rsidTr="00083494">
        <w:trPr>
          <w:trHeight w:val="429"/>
        </w:trPr>
        <w:tc>
          <w:tcPr>
            <w:cnfStyle w:val="001000000000" w:firstRow="0" w:lastRow="0" w:firstColumn="1" w:lastColumn="0" w:oddVBand="0" w:evenVBand="0" w:oddHBand="0" w:evenHBand="0" w:firstRowFirstColumn="0" w:firstRowLastColumn="0" w:lastRowFirstColumn="0" w:lastRowLastColumn="0"/>
            <w:tcW w:w="1696" w:type="dxa"/>
            <w:shd w:val="clear" w:color="auto" w:fill="4F81BD" w:themeFill="accent1"/>
            <w:noWrap/>
            <w:hideMark/>
          </w:tcPr>
          <w:p w14:paraId="7572C864" w14:textId="77266FBF" w:rsidR="00AB05F0" w:rsidRPr="00CA48AF" w:rsidRDefault="00AB05F0" w:rsidP="00AB05F0">
            <w:pPr>
              <w:widowControl w:val="0"/>
              <w:spacing w:before="40" w:after="40"/>
              <w:jc w:val="center"/>
              <w:rPr>
                <w:rFonts w:ascii="Arial" w:hAnsi="Arial" w:cs="Arial"/>
                <w:color w:val="FFFFFF" w:themeColor="background1"/>
                <w:sz w:val="18"/>
                <w:szCs w:val="18"/>
              </w:rPr>
            </w:pPr>
            <w:r w:rsidRPr="00CA48AF">
              <w:rPr>
                <w:rFonts w:ascii="Arial" w:hAnsi="Arial" w:cs="Arial"/>
                <w:color w:val="FFFFFF" w:themeColor="background1"/>
                <w:sz w:val="18"/>
                <w:szCs w:val="18"/>
              </w:rPr>
              <w:t xml:space="preserve">Total </w:t>
            </w:r>
          </w:p>
        </w:tc>
        <w:tc>
          <w:tcPr>
            <w:tcW w:w="709" w:type="dxa"/>
            <w:shd w:val="clear" w:color="auto" w:fill="4F81BD" w:themeFill="accent1"/>
            <w:noWrap/>
            <w:vAlign w:val="center"/>
          </w:tcPr>
          <w:p w14:paraId="4F7EA521" w14:textId="7FA56995"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689</w:t>
            </w:r>
          </w:p>
        </w:tc>
        <w:tc>
          <w:tcPr>
            <w:tcW w:w="709" w:type="dxa"/>
            <w:shd w:val="clear" w:color="auto" w:fill="4F81BD" w:themeFill="accent1"/>
            <w:noWrap/>
            <w:vAlign w:val="center"/>
          </w:tcPr>
          <w:p w14:paraId="4891C61E" w14:textId="07D082DA"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690</w:t>
            </w:r>
          </w:p>
        </w:tc>
        <w:tc>
          <w:tcPr>
            <w:tcW w:w="709" w:type="dxa"/>
            <w:shd w:val="clear" w:color="auto" w:fill="4F81BD" w:themeFill="accent1"/>
            <w:noWrap/>
            <w:vAlign w:val="center"/>
          </w:tcPr>
          <w:p w14:paraId="1B6A52A7" w14:textId="65389346"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689</w:t>
            </w:r>
          </w:p>
        </w:tc>
        <w:tc>
          <w:tcPr>
            <w:tcW w:w="567" w:type="dxa"/>
            <w:shd w:val="clear" w:color="auto" w:fill="4F81BD" w:themeFill="accent1"/>
            <w:noWrap/>
            <w:vAlign w:val="center"/>
          </w:tcPr>
          <w:p w14:paraId="58F19DC5" w14:textId="26DEB723"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680</w:t>
            </w:r>
          </w:p>
        </w:tc>
        <w:tc>
          <w:tcPr>
            <w:tcW w:w="708" w:type="dxa"/>
            <w:shd w:val="clear" w:color="auto" w:fill="4F81BD" w:themeFill="accent1"/>
            <w:noWrap/>
            <w:vAlign w:val="center"/>
          </w:tcPr>
          <w:p w14:paraId="483E64E2" w14:textId="492490A2"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680</w:t>
            </w:r>
          </w:p>
        </w:tc>
        <w:tc>
          <w:tcPr>
            <w:tcW w:w="709" w:type="dxa"/>
            <w:shd w:val="clear" w:color="auto" w:fill="4F81BD" w:themeFill="accent1"/>
            <w:noWrap/>
            <w:vAlign w:val="center"/>
          </w:tcPr>
          <w:p w14:paraId="1CB11589" w14:textId="1ACD654E"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681</w:t>
            </w:r>
          </w:p>
        </w:tc>
        <w:tc>
          <w:tcPr>
            <w:tcW w:w="425" w:type="dxa"/>
            <w:shd w:val="clear" w:color="auto" w:fill="4F81BD" w:themeFill="accent1"/>
            <w:noWrap/>
            <w:vAlign w:val="center"/>
          </w:tcPr>
          <w:p w14:paraId="5093DDAB" w14:textId="78921E7B"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9</w:t>
            </w:r>
          </w:p>
        </w:tc>
        <w:tc>
          <w:tcPr>
            <w:tcW w:w="709" w:type="dxa"/>
            <w:shd w:val="clear" w:color="auto" w:fill="4F81BD" w:themeFill="accent1"/>
            <w:noWrap/>
            <w:vAlign w:val="center"/>
          </w:tcPr>
          <w:p w14:paraId="53ABCC1A" w14:textId="18A845C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1,3%</w:t>
            </w:r>
          </w:p>
        </w:tc>
        <w:tc>
          <w:tcPr>
            <w:tcW w:w="567" w:type="dxa"/>
            <w:shd w:val="clear" w:color="auto" w:fill="4F81BD" w:themeFill="accent1"/>
            <w:noWrap/>
            <w:vAlign w:val="center"/>
          </w:tcPr>
          <w:p w14:paraId="00C1D944" w14:textId="0A88B45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10</w:t>
            </w:r>
          </w:p>
        </w:tc>
        <w:tc>
          <w:tcPr>
            <w:tcW w:w="709" w:type="dxa"/>
            <w:shd w:val="clear" w:color="auto" w:fill="4F81BD" w:themeFill="accent1"/>
            <w:noWrap/>
            <w:vAlign w:val="center"/>
          </w:tcPr>
          <w:p w14:paraId="27B8B4AF" w14:textId="397B1C10"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1,5%</w:t>
            </w:r>
          </w:p>
        </w:tc>
        <w:tc>
          <w:tcPr>
            <w:tcW w:w="567" w:type="dxa"/>
            <w:shd w:val="clear" w:color="auto" w:fill="4F81BD" w:themeFill="accent1"/>
            <w:noWrap/>
            <w:vAlign w:val="center"/>
          </w:tcPr>
          <w:p w14:paraId="73F87324" w14:textId="42F05CF7"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8</w:t>
            </w:r>
          </w:p>
        </w:tc>
        <w:tc>
          <w:tcPr>
            <w:tcW w:w="850" w:type="dxa"/>
            <w:shd w:val="clear" w:color="auto" w:fill="4F81BD" w:themeFill="accent1"/>
            <w:noWrap/>
            <w:vAlign w:val="center"/>
          </w:tcPr>
          <w:p w14:paraId="1D66220E" w14:textId="1A2B50B1" w:rsidR="00AB05F0" w:rsidRPr="00CA48AF" w:rsidRDefault="00AB05F0" w:rsidP="00AB05F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A48AF">
              <w:rPr>
                <w:rFonts w:ascii="Arial" w:hAnsi="Arial" w:cs="Arial"/>
                <w:b/>
                <w:bCs/>
                <w:color w:val="FFFFFF" w:themeColor="background1"/>
                <w:sz w:val="18"/>
                <w:szCs w:val="18"/>
              </w:rPr>
              <w:t>1,2%</w:t>
            </w:r>
          </w:p>
        </w:tc>
      </w:tr>
    </w:tbl>
    <w:p w14:paraId="7EEF5322" w14:textId="77777777" w:rsidR="009801CD" w:rsidRPr="00CA48AF" w:rsidRDefault="009801CD" w:rsidP="00CA1AFC">
      <w:pPr>
        <w:pStyle w:val="Prrafodelista"/>
        <w:ind w:left="0"/>
        <w:contextualSpacing w:val="0"/>
        <w:rPr>
          <w:rFonts w:ascii="Arial" w:hAnsi="Arial" w:cs="Arial"/>
          <w:sz w:val="22"/>
          <w:szCs w:val="22"/>
          <w:highlight w:val="yellow"/>
        </w:rPr>
      </w:pPr>
    </w:p>
    <w:p w14:paraId="741FB7E2" w14:textId="0023B36E" w:rsidR="00CD6FC5" w:rsidRPr="00CA48AF" w:rsidRDefault="00E07651" w:rsidP="00CD6FC5">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Según los resultados presentados en la tabla anterior, para </w:t>
      </w:r>
      <w:r w:rsidR="00753D41" w:rsidRPr="00CA48AF">
        <w:rPr>
          <w:rFonts w:ascii="Arial" w:hAnsi="Arial" w:cs="Arial"/>
          <w:color w:val="000000" w:themeColor="text1"/>
          <w:sz w:val="22"/>
          <w:szCs w:val="22"/>
        </w:rPr>
        <w:t xml:space="preserve">los tres meses analizados se </w:t>
      </w:r>
      <w:r w:rsidR="00932603">
        <w:rPr>
          <w:rFonts w:ascii="Arial" w:hAnsi="Arial" w:cs="Arial"/>
          <w:color w:val="000000" w:themeColor="text1"/>
          <w:sz w:val="22"/>
          <w:szCs w:val="22"/>
        </w:rPr>
        <w:t xml:space="preserve">observaron </w:t>
      </w:r>
      <w:r w:rsidR="00592B63" w:rsidRPr="00CA48AF">
        <w:rPr>
          <w:rFonts w:ascii="Arial" w:hAnsi="Arial" w:cs="Arial"/>
          <w:b/>
          <w:bCs/>
          <w:color w:val="000000" w:themeColor="text1"/>
          <w:sz w:val="22"/>
          <w:szCs w:val="22"/>
        </w:rPr>
        <w:t>incrementos</w:t>
      </w:r>
      <w:r w:rsidR="00592B63" w:rsidRPr="00CA48AF">
        <w:rPr>
          <w:rFonts w:ascii="Arial" w:hAnsi="Arial" w:cs="Arial"/>
          <w:color w:val="000000" w:themeColor="text1"/>
          <w:sz w:val="22"/>
          <w:szCs w:val="22"/>
        </w:rPr>
        <w:t xml:space="preserve"> en la planta de personal </w:t>
      </w:r>
      <w:r w:rsidR="00B10697" w:rsidRPr="00CA48AF">
        <w:rPr>
          <w:rFonts w:ascii="Arial" w:hAnsi="Arial" w:cs="Arial"/>
          <w:color w:val="000000" w:themeColor="text1"/>
          <w:sz w:val="22"/>
          <w:szCs w:val="22"/>
        </w:rPr>
        <w:t>[</w:t>
      </w:r>
      <w:r w:rsidR="00C85E12" w:rsidRPr="00CA48AF">
        <w:rPr>
          <w:rFonts w:ascii="Arial" w:hAnsi="Arial" w:cs="Arial"/>
          <w:color w:val="000000" w:themeColor="text1"/>
          <w:sz w:val="22"/>
          <w:szCs w:val="22"/>
        </w:rPr>
        <w:t>julio 1,3</w:t>
      </w:r>
      <w:r w:rsidR="00B10697" w:rsidRPr="00CA48AF">
        <w:rPr>
          <w:rFonts w:ascii="Arial" w:hAnsi="Arial" w:cs="Arial"/>
          <w:color w:val="000000" w:themeColor="text1"/>
          <w:sz w:val="22"/>
          <w:szCs w:val="22"/>
        </w:rPr>
        <w:t xml:space="preserve">%, </w:t>
      </w:r>
      <w:r w:rsidR="00C85E12" w:rsidRPr="00CA48AF">
        <w:rPr>
          <w:rFonts w:ascii="Arial" w:hAnsi="Arial" w:cs="Arial"/>
          <w:color w:val="000000" w:themeColor="text1"/>
          <w:sz w:val="22"/>
          <w:szCs w:val="22"/>
        </w:rPr>
        <w:t>agosto</w:t>
      </w:r>
      <w:r w:rsidR="00BA73CF" w:rsidRPr="00CA48AF">
        <w:rPr>
          <w:rFonts w:ascii="Arial" w:hAnsi="Arial" w:cs="Arial"/>
          <w:color w:val="000000" w:themeColor="text1"/>
          <w:sz w:val="22"/>
          <w:szCs w:val="22"/>
        </w:rPr>
        <w:t xml:space="preserve"> 1</w:t>
      </w:r>
      <w:r w:rsidR="00261495" w:rsidRPr="00CA48AF">
        <w:rPr>
          <w:rFonts w:ascii="Arial" w:hAnsi="Arial" w:cs="Arial"/>
          <w:color w:val="000000" w:themeColor="text1"/>
          <w:sz w:val="22"/>
          <w:szCs w:val="22"/>
        </w:rPr>
        <w:t>,</w:t>
      </w:r>
      <w:r w:rsidR="00C85E12" w:rsidRPr="00CA48AF">
        <w:rPr>
          <w:rFonts w:ascii="Arial" w:hAnsi="Arial" w:cs="Arial"/>
          <w:color w:val="000000" w:themeColor="text1"/>
          <w:sz w:val="22"/>
          <w:szCs w:val="22"/>
        </w:rPr>
        <w:t>5</w:t>
      </w:r>
      <w:r w:rsidR="00261495" w:rsidRPr="00CA48AF">
        <w:rPr>
          <w:rFonts w:ascii="Arial" w:hAnsi="Arial" w:cs="Arial"/>
          <w:color w:val="000000" w:themeColor="text1"/>
          <w:sz w:val="22"/>
          <w:szCs w:val="22"/>
        </w:rPr>
        <w:t>%</w:t>
      </w:r>
      <w:r w:rsidR="00B10697" w:rsidRPr="00CA48AF">
        <w:rPr>
          <w:rFonts w:ascii="Arial" w:hAnsi="Arial" w:cs="Arial"/>
          <w:color w:val="000000" w:themeColor="text1"/>
          <w:sz w:val="22"/>
          <w:szCs w:val="22"/>
        </w:rPr>
        <w:t xml:space="preserve"> y </w:t>
      </w:r>
      <w:r w:rsidR="00C85E12" w:rsidRPr="00CA48AF">
        <w:rPr>
          <w:rFonts w:ascii="Arial" w:hAnsi="Arial" w:cs="Arial"/>
          <w:color w:val="000000" w:themeColor="text1"/>
          <w:sz w:val="22"/>
          <w:szCs w:val="22"/>
        </w:rPr>
        <w:t xml:space="preserve">septiembre </w:t>
      </w:r>
      <w:r w:rsidR="00BA73CF" w:rsidRPr="00CA48AF">
        <w:rPr>
          <w:rFonts w:ascii="Arial" w:hAnsi="Arial" w:cs="Arial"/>
          <w:color w:val="000000" w:themeColor="text1"/>
          <w:sz w:val="22"/>
          <w:szCs w:val="22"/>
        </w:rPr>
        <w:t>1,</w:t>
      </w:r>
      <w:r w:rsidR="00C85E12" w:rsidRPr="00CA48AF">
        <w:rPr>
          <w:rFonts w:ascii="Arial" w:hAnsi="Arial" w:cs="Arial"/>
          <w:color w:val="000000" w:themeColor="text1"/>
          <w:sz w:val="22"/>
          <w:szCs w:val="22"/>
        </w:rPr>
        <w:t>2</w:t>
      </w:r>
      <w:r w:rsidR="00261495" w:rsidRPr="00CA48AF">
        <w:rPr>
          <w:rFonts w:ascii="Arial" w:hAnsi="Arial" w:cs="Arial"/>
          <w:color w:val="000000" w:themeColor="text1"/>
          <w:sz w:val="22"/>
          <w:szCs w:val="22"/>
        </w:rPr>
        <w:t>%</w:t>
      </w:r>
      <w:r w:rsidR="00B10697" w:rsidRPr="00CA48AF">
        <w:rPr>
          <w:rFonts w:ascii="Arial" w:hAnsi="Arial" w:cs="Arial"/>
          <w:color w:val="000000" w:themeColor="text1"/>
          <w:sz w:val="22"/>
          <w:szCs w:val="22"/>
        </w:rPr>
        <w:t>]</w:t>
      </w:r>
      <w:r w:rsidR="00753D41" w:rsidRPr="00CA48AF">
        <w:rPr>
          <w:rFonts w:ascii="Arial" w:hAnsi="Arial" w:cs="Arial"/>
          <w:color w:val="000000" w:themeColor="text1"/>
          <w:sz w:val="22"/>
          <w:szCs w:val="22"/>
        </w:rPr>
        <w:t>.</w:t>
      </w:r>
      <w:r w:rsidR="00B10697" w:rsidRPr="00CA48AF">
        <w:rPr>
          <w:rFonts w:ascii="Arial" w:hAnsi="Arial" w:cs="Arial"/>
          <w:color w:val="000000" w:themeColor="text1"/>
          <w:sz w:val="22"/>
          <w:szCs w:val="22"/>
        </w:rPr>
        <w:t xml:space="preserve"> </w:t>
      </w:r>
      <w:r w:rsidR="00FB0997" w:rsidRPr="00CA48AF">
        <w:rPr>
          <w:rFonts w:ascii="Arial" w:hAnsi="Arial" w:cs="Arial"/>
          <w:color w:val="000000" w:themeColor="text1"/>
          <w:sz w:val="22"/>
          <w:szCs w:val="22"/>
        </w:rPr>
        <w:t>En resumen, c</w:t>
      </w:r>
      <w:r w:rsidR="00CD6FC5" w:rsidRPr="00CA48AF">
        <w:rPr>
          <w:rFonts w:ascii="Arial" w:hAnsi="Arial" w:cs="Arial"/>
          <w:color w:val="000000" w:themeColor="text1"/>
          <w:sz w:val="22"/>
          <w:szCs w:val="22"/>
        </w:rPr>
        <w:t>on corte a 3</w:t>
      </w:r>
      <w:r w:rsidR="007D6EBA" w:rsidRPr="00CA48AF">
        <w:rPr>
          <w:rFonts w:ascii="Arial" w:hAnsi="Arial" w:cs="Arial"/>
          <w:color w:val="000000" w:themeColor="text1"/>
          <w:sz w:val="22"/>
          <w:szCs w:val="22"/>
        </w:rPr>
        <w:t>0</w:t>
      </w:r>
      <w:r w:rsidR="00CD6FC5" w:rsidRPr="00CA48AF">
        <w:rPr>
          <w:rFonts w:ascii="Arial" w:hAnsi="Arial" w:cs="Arial"/>
          <w:color w:val="000000" w:themeColor="text1"/>
          <w:sz w:val="22"/>
          <w:szCs w:val="22"/>
        </w:rPr>
        <w:t xml:space="preserve"> de </w:t>
      </w:r>
      <w:r w:rsidR="00FB0997" w:rsidRPr="00CA48AF">
        <w:rPr>
          <w:rFonts w:ascii="Arial" w:hAnsi="Arial" w:cs="Arial"/>
          <w:color w:val="000000" w:themeColor="text1"/>
          <w:sz w:val="22"/>
          <w:szCs w:val="22"/>
        </w:rPr>
        <w:t xml:space="preserve">septiembre de </w:t>
      </w:r>
      <w:r w:rsidR="00CD6FC5" w:rsidRPr="00CA48AF">
        <w:rPr>
          <w:rFonts w:ascii="Arial" w:hAnsi="Arial" w:cs="Arial"/>
          <w:color w:val="000000" w:themeColor="text1"/>
          <w:sz w:val="22"/>
          <w:szCs w:val="22"/>
        </w:rPr>
        <w:t xml:space="preserve">cada vigencia objeto de análisis (2020-2019), se </w:t>
      </w:r>
      <w:r w:rsidR="00932603">
        <w:rPr>
          <w:rFonts w:ascii="Arial" w:hAnsi="Arial" w:cs="Arial"/>
          <w:color w:val="000000" w:themeColor="text1"/>
          <w:sz w:val="22"/>
          <w:szCs w:val="22"/>
        </w:rPr>
        <w:t xml:space="preserve">evidenció </w:t>
      </w:r>
      <w:r w:rsidR="00CD6FC5" w:rsidRPr="00CA48AF">
        <w:rPr>
          <w:rFonts w:ascii="Arial" w:hAnsi="Arial" w:cs="Arial"/>
          <w:color w:val="000000" w:themeColor="text1"/>
          <w:sz w:val="22"/>
          <w:szCs w:val="22"/>
        </w:rPr>
        <w:t>una variación positiva</w:t>
      </w:r>
      <w:r w:rsidR="00CD6FC5" w:rsidRPr="00CA48AF">
        <w:rPr>
          <w:rFonts w:ascii="Arial" w:hAnsi="Arial" w:cs="Arial"/>
          <w:b/>
          <w:bCs/>
          <w:color w:val="000000" w:themeColor="text1"/>
          <w:sz w:val="22"/>
          <w:szCs w:val="22"/>
        </w:rPr>
        <w:t xml:space="preserve"> </w:t>
      </w:r>
      <w:r w:rsidR="00CD6FC5" w:rsidRPr="00CA48AF">
        <w:rPr>
          <w:rFonts w:ascii="Arial" w:hAnsi="Arial" w:cs="Arial"/>
          <w:color w:val="000000" w:themeColor="text1"/>
          <w:sz w:val="22"/>
          <w:szCs w:val="22"/>
        </w:rPr>
        <w:t xml:space="preserve">correspondiente a un </w:t>
      </w:r>
      <w:r w:rsidR="00932603" w:rsidRPr="00932603">
        <w:rPr>
          <w:rFonts w:ascii="Arial" w:hAnsi="Arial" w:cs="Arial"/>
          <w:b/>
          <w:bCs/>
          <w:color w:val="000000" w:themeColor="text1"/>
          <w:sz w:val="22"/>
          <w:szCs w:val="22"/>
        </w:rPr>
        <w:t xml:space="preserve">aumento </w:t>
      </w:r>
      <w:r w:rsidR="00CD6FC5" w:rsidRPr="00CA48AF">
        <w:rPr>
          <w:rFonts w:ascii="Arial" w:hAnsi="Arial" w:cs="Arial"/>
          <w:color w:val="000000" w:themeColor="text1"/>
          <w:sz w:val="22"/>
          <w:szCs w:val="22"/>
        </w:rPr>
        <w:t xml:space="preserve">del </w:t>
      </w:r>
      <w:r w:rsidR="007D6EBA" w:rsidRPr="00CA48AF">
        <w:rPr>
          <w:rFonts w:ascii="Arial" w:hAnsi="Arial" w:cs="Arial"/>
          <w:color w:val="000000" w:themeColor="text1"/>
          <w:sz w:val="22"/>
          <w:szCs w:val="22"/>
        </w:rPr>
        <w:t>1,</w:t>
      </w:r>
      <w:r w:rsidR="00FB0997" w:rsidRPr="00CA48AF">
        <w:rPr>
          <w:rFonts w:ascii="Arial" w:hAnsi="Arial" w:cs="Arial"/>
          <w:color w:val="000000" w:themeColor="text1"/>
          <w:sz w:val="22"/>
          <w:szCs w:val="22"/>
        </w:rPr>
        <w:t>2</w:t>
      </w:r>
      <w:r w:rsidR="00CD6FC5" w:rsidRPr="00CA48AF">
        <w:rPr>
          <w:rFonts w:ascii="Arial" w:hAnsi="Arial" w:cs="Arial"/>
          <w:color w:val="000000" w:themeColor="text1"/>
          <w:sz w:val="22"/>
          <w:szCs w:val="22"/>
        </w:rPr>
        <w:t xml:space="preserve">%. </w:t>
      </w:r>
    </w:p>
    <w:p w14:paraId="517BBCF1" w14:textId="112D9E3C" w:rsidR="00057C88" w:rsidRDefault="00057C88" w:rsidP="00A46840">
      <w:pPr>
        <w:jc w:val="both"/>
        <w:rPr>
          <w:rFonts w:ascii="Arial" w:hAnsi="Arial" w:cs="Arial"/>
          <w:color w:val="000000" w:themeColor="text1"/>
          <w:sz w:val="22"/>
          <w:szCs w:val="22"/>
          <w:highlight w:val="yellow"/>
        </w:rPr>
      </w:pPr>
    </w:p>
    <w:p w14:paraId="1E1C12DB" w14:textId="77777777" w:rsidR="00AB3CFA" w:rsidRDefault="00AB3CFA" w:rsidP="00A46840">
      <w:pPr>
        <w:jc w:val="both"/>
        <w:rPr>
          <w:rFonts w:ascii="Arial" w:hAnsi="Arial" w:cs="Arial"/>
          <w:color w:val="000000" w:themeColor="text1"/>
          <w:sz w:val="22"/>
          <w:szCs w:val="22"/>
          <w:highlight w:val="yellow"/>
        </w:rPr>
      </w:pPr>
    </w:p>
    <w:tbl>
      <w:tblPr>
        <w:tblStyle w:val="Tabladecuadrcula1clara-nfasis1"/>
        <w:tblW w:w="5217" w:type="dxa"/>
        <w:jc w:val="center"/>
        <w:tblLook w:val="04A0" w:firstRow="1" w:lastRow="0" w:firstColumn="1" w:lastColumn="0" w:noHBand="0" w:noVBand="1"/>
      </w:tblPr>
      <w:tblGrid>
        <w:gridCol w:w="3975"/>
        <w:gridCol w:w="1242"/>
      </w:tblGrid>
      <w:tr w:rsidR="00D61216" w:rsidRPr="00CA48AF" w14:paraId="435C9D2B" w14:textId="77777777" w:rsidTr="0008349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4F81BD" w:themeFill="accent1"/>
            <w:vAlign w:val="center"/>
            <w:hideMark/>
          </w:tcPr>
          <w:p w14:paraId="5FF2C9C3" w14:textId="77777777" w:rsidR="00D61216" w:rsidRPr="00CA48AF" w:rsidRDefault="00D61216" w:rsidP="00A60CB2">
            <w:pPr>
              <w:spacing w:before="60" w:after="80"/>
              <w:jc w:val="center"/>
              <w:rPr>
                <w:rFonts w:ascii="Arial" w:hAnsi="Arial" w:cs="Arial"/>
                <w:color w:val="FFFFFF" w:themeColor="background1"/>
                <w:sz w:val="20"/>
                <w:szCs w:val="20"/>
              </w:rPr>
            </w:pPr>
            <w:r w:rsidRPr="00CA48AF">
              <w:rPr>
                <w:rFonts w:ascii="Arial" w:hAnsi="Arial" w:cs="Arial"/>
                <w:color w:val="FFFFFF" w:themeColor="background1"/>
                <w:sz w:val="20"/>
                <w:szCs w:val="20"/>
              </w:rPr>
              <w:t xml:space="preserve">Periodo </w:t>
            </w:r>
          </w:p>
        </w:tc>
        <w:tc>
          <w:tcPr>
            <w:tcW w:w="1242" w:type="dxa"/>
            <w:shd w:val="clear" w:color="auto" w:fill="4F81BD" w:themeFill="accent1"/>
            <w:vAlign w:val="center"/>
            <w:hideMark/>
          </w:tcPr>
          <w:p w14:paraId="00331942" w14:textId="77777777" w:rsidR="00D61216" w:rsidRPr="00CA48AF" w:rsidRDefault="00D61216" w:rsidP="00A60CB2">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A48AF">
              <w:rPr>
                <w:rFonts w:ascii="Arial" w:hAnsi="Arial" w:cs="Arial"/>
                <w:color w:val="FFFFFF" w:themeColor="background1"/>
                <w:sz w:val="20"/>
                <w:szCs w:val="20"/>
              </w:rPr>
              <w:t xml:space="preserve">Planta de Personal </w:t>
            </w:r>
          </w:p>
        </w:tc>
      </w:tr>
      <w:tr w:rsidR="007D6EBA" w:rsidRPr="00CA48AF" w14:paraId="02AB37AD"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vAlign w:val="center"/>
            <w:hideMark/>
          </w:tcPr>
          <w:p w14:paraId="53064A32" w14:textId="496B76B5" w:rsidR="007D6EBA" w:rsidRPr="00CA48AF" w:rsidRDefault="007D6EBA" w:rsidP="00A60CB2">
            <w:pPr>
              <w:spacing w:before="60" w:after="80"/>
              <w:rPr>
                <w:rFonts w:ascii="Arial" w:hAnsi="Arial" w:cs="Arial"/>
                <w:b w:val="0"/>
                <w:color w:val="0F243E" w:themeColor="text2" w:themeShade="80"/>
                <w:sz w:val="20"/>
                <w:szCs w:val="20"/>
              </w:rPr>
            </w:pPr>
            <w:r w:rsidRPr="00CA48AF">
              <w:rPr>
                <w:rFonts w:ascii="Arial" w:hAnsi="Arial" w:cs="Arial"/>
                <w:color w:val="0F243E" w:themeColor="text2" w:themeShade="80"/>
                <w:sz w:val="20"/>
                <w:szCs w:val="20"/>
              </w:rPr>
              <w:t xml:space="preserve">Corte a 30 de </w:t>
            </w:r>
            <w:r w:rsidR="00FB0997" w:rsidRPr="00CA48AF">
              <w:rPr>
                <w:rFonts w:ascii="Arial" w:hAnsi="Arial" w:cs="Arial"/>
                <w:color w:val="0F243E" w:themeColor="text2" w:themeShade="80"/>
                <w:sz w:val="20"/>
                <w:szCs w:val="20"/>
              </w:rPr>
              <w:t xml:space="preserve">septiembre </w:t>
            </w:r>
            <w:r w:rsidRPr="00CA48AF">
              <w:rPr>
                <w:rFonts w:ascii="Arial" w:hAnsi="Arial" w:cs="Arial"/>
                <w:color w:val="0F243E" w:themeColor="text2" w:themeShade="80"/>
                <w:sz w:val="20"/>
                <w:szCs w:val="20"/>
              </w:rPr>
              <w:t>de 2020</w:t>
            </w:r>
          </w:p>
        </w:tc>
        <w:tc>
          <w:tcPr>
            <w:tcW w:w="1242" w:type="dxa"/>
            <w:vAlign w:val="center"/>
            <w:hideMark/>
          </w:tcPr>
          <w:p w14:paraId="335944A5" w14:textId="7F4149F9" w:rsidR="007D6EBA" w:rsidRPr="00CA48AF" w:rsidRDefault="007D6EBA" w:rsidP="00A60CB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689</w:t>
            </w:r>
          </w:p>
        </w:tc>
      </w:tr>
      <w:tr w:rsidR="007D6EBA" w:rsidRPr="00CA48AF" w14:paraId="785A9DFD" w14:textId="77777777" w:rsidTr="00767F01">
        <w:trPr>
          <w:cantSplit/>
          <w:trHeight w:val="253"/>
          <w:jc w:val="center"/>
        </w:trPr>
        <w:tc>
          <w:tcPr>
            <w:cnfStyle w:val="001000000000" w:firstRow="0" w:lastRow="0" w:firstColumn="1" w:lastColumn="0" w:oddVBand="0" w:evenVBand="0" w:oddHBand="0" w:evenHBand="0" w:firstRowFirstColumn="0" w:firstRowLastColumn="0" w:lastRowFirstColumn="0" w:lastRowLastColumn="0"/>
            <w:tcW w:w="3975" w:type="dxa"/>
            <w:tcBorders>
              <w:bottom w:val="double" w:sz="4" w:space="0" w:color="4F81BD" w:themeColor="accent1"/>
            </w:tcBorders>
            <w:vAlign w:val="center"/>
            <w:hideMark/>
          </w:tcPr>
          <w:p w14:paraId="7D839121" w14:textId="4C6AADC5" w:rsidR="007D6EBA" w:rsidRPr="00CA48AF" w:rsidRDefault="00FB0997" w:rsidP="00A60CB2">
            <w:pPr>
              <w:spacing w:before="60" w:after="80"/>
              <w:rPr>
                <w:rFonts w:ascii="Arial" w:hAnsi="Arial" w:cs="Arial"/>
                <w:b w:val="0"/>
                <w:color w:val="0F243E" w:themeColor="text2" w:themeShade="80"/>
                <w:sz w:val="20"/>
                <w:szCs w:val="20"/>
              </w:rPr>
            </w:pPr>
            <w:r w:rsidRPr="00CA48AF">
              <w:rPr>
                <w:rFonts w:ascii="Arial" w:hAnsi="Arial" w:cs="Arial"/>
                <w:color w:val="0F243E" w:themeColor="text2" w:themeShade="80"/>
                <w:sz w:val="20"/>
                <w:szCs w:val="20"/>
              </w:rPr>
              <w:t>Corte a 30 de septiembre de 20</w:t>
            </w:r>
            <w:r w:rsidR="00BB36A2">
              <w:rPr>
                <w:rFonts w:ascii="Arial" w:hAnsi="Arial" w:cs="Arial"/>
                <w:color w:val="0F243E" w:themeColor="text2" w:themeShade="80"/>
                <w:sz w:val="20"/>
                <w:szCs w:val="20"/>
              </w:rPr>
              <w:t>19</w:t>
            </w:r>
          </w:p>
        </w:tc>
        <w:tc>
          <w:tcPr>
            <w:tcW w:w="1242" w:type="dxa"/>
            <w:tcBorders>
              <w:bottom w:val="double" w:sz="4" w:space="0" w:color="4F81BD" w:themeColor="accent1"/>
            </w:tcBorders>
            <w:vAlign w:val="center"/>
            <w:hideMark/>
          </w:tcPr>
          <w:p w14:paraId="3B63A26A" w14:textId="5D287F9A" w:rsidR="007D6EBA" w:rsidRPr="00CA48AF" w:rsidRDefault="00FB0997" w:rsidP="00A60CB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681</w:t>
            </w:r>
          </w:p>
        </w:tc>
      </w:tr>
      <w:tr w:rsidR="007D6EBA" w:rsidRPr="00CA48AF" w14:paraId="5D2AA805"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76BD8D0" w14:textId="77777777" w:rsidR="007D6EBA" w:rsidRPr="00CA48AF" w:rsidRDefault="007D6EBA" w:rsidP="00A60CB2">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Variación #</w:t>
            </w:r>
          </w:p>
        </w:tc>
        <w:tc>
          <w:tcPr>
            <w:tcW w:w="1242" w:type="dxa"/>
            <w:tcBorders>
              <w:top w:val="double" w:sz="4" w:space="0" w:color="4F81BD" w:themeColor="accent1"/>
              <w:bottom w:val="double" w:sz="4" w:space="0" w:color="4F81BD" w:themeColor="accent1"/>
            </w:tcBorders>
            <w:vAlign w:val="center"/>
            <w:hideMark/>
          </w:tcPr>
          <w:p w14:paraId="0F697E9B" w14:textId="56A3621A" w:rsidR="007D6EBA" w:rsidRPr="00CA48AF" w:rsidRDefault="00FB0997" w:rsidP="00A60CB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8</w:t>
            </w:r>
          </w:p>
        </w:tc>
      </w:tr>
      <w:tr w:rsidR="007D6EBA" w:rsidRPr="00CA48AF" w14:paraId="195596B2"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87CABFF" w14:textId="77777777" w:rsidR="007D6EBA" w:rsidRPr="00CA48AF" w:rsidRDefault="007D6EBA" w:rsidP="00A60CB2">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Variación % </w:t>
            </w:r>
          </w:p>
        </w:tc>
        <w:tc>
          <w:tcPr>
            <w:tcW w:w="1242" w:type="dxa"/>
            <w:tcBorders>
              <w:top w:val="double" w:sz="4" w:space="0" w:color="4F81BD" w:themeColor="accent1"/>
              <w:bottom w:val="double" w:sz="4" w:space="0" w:color="4F81BD" w:themeColor="accent1"/>
            </w:tcBorders>
            <w:vAlign w:val="center"/>
            <w:hideMark/>
          </w:tcPr>
          <w:p w14:paraId="71DF29DA" w14:textId="34BBD8C0" w:rsidR="007D6EBA" w:rsidRPr="00CA48AF" w:rsidRDefault="00FB0997" w:rsidP="00A60CB2">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1,2</w:t>
            </w:r>
            <w:r w:rsidR="007D6EBA" w:rsidRPr="00CA48AF">
              <w:rPr>
                <w:rFonts w:ascii="Arial" w:hAnsi="Arial" w:cs="Arial"/>
                <w:b/>
                <w:bCs/>
                <w:color w:val="0F243E" w:themeColor="text2" w:themeShade="80"/>
                <w:sz w:val="20"/>
                <w:szCs w:val="20"/>
              </w:rPr>
              <w:t>%</w:t>
            </w:r>
          </w:p>
        </w:tc>
      </w:tr>
    </w:tbl>
    <w:p w14:paraId="2AA5F0E2" w14:textId="77777777" w:rsidR="00FB0997" w:rsidRPr="00CA48AF" w:rsidRDefault="00FB0997" w:rsidP="008B7D76">
      <w:pPr>
        <w:jc w:val="both"/>
        <w:rPr>
          <w:rFonts w:ascii="Arial" w:hAnsi="Arial" w:cs="Arial"/>
          <w:color w:val="000000" w:themeColor="text1"/>
          <w:sz w:val="22"/>
          <w:szCs w:val="22"/>
          <w:highlight w:val="yellow"/>
        </w:rPr>
      </w:pPr>
    </w:p>
    <w:p w14:paraId="30D5D2B0" w14:textId="54F77023" w:rsidR="008B7D76" w:rsidRDefault="00FE09AA" w:rsidP="008B7D76">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De igual forma, se comparó la planta de </w:t>
      </w:r>
      <w:r w:rsidR="004473D8" w:rsidRPr="00CA48AF">
        <w:rPr>
          <w:rFonts w:ascii="Arial" w:hAnsi="Arial" w:cs="Arial"/>
          <w:color w:val="000000" w:themeColor="text1"/>
          <w:sz w:val="22"/>
          <w:szCs w:val="22"/>
        </w:rPr>
        <w:t>personal con</w:t>
      </w:r>
      <w:r w:rsidR="00020C39" w:rsidRPr="00CA48AF">
        <w:rPr>
          <w:rFonts w:ascii="Arial" w:hAnsi="Arial" w:cs="Arial"/>
          <w:color w:val="000000" w:themeColor="text1"/>
          <w:sz w:val="22"/>
          <w:szCs w:val="22"/>
        </w:rPr>
        <w:t xml:space="preserve"> </w:t>
      </w:r>
      <w:r w:rsidRPr="00CA48AF">
        <w:rPr>
          <w:rFonts w:ascii="Arial" w:hAnsi="Arial" w:cs="Arial"/>
          <w:color w:val="000000" w:themeColor="text1"/>
          <w:sz w:val="22"/>
          <w:szCs w:val="22"/>
        </w:rPr>
        <w:t xml:space="preserve">corte </w:t>
      </w:r>
      <w:r w:rsidR="00750A7E" w:rsidRPr="00CA48AF">
        <w:rPr>
          <w:rFonts w:ascii="Arial" w:hAnsi="Arial" w:cs="Arial"/>
          <w:color w:val="000000" w:themeColor="text1"/>
          <w:sz w:val="22"/>
          <w:szCs w:val="22"/>
        </w:rPr>
        <w:t xml:space="preserve">al </w:t>
      </w:r>
      <w:r w:rsidR="00020C39" w:rsidRPr="00CA48AF">
        <w:rPr>
          <w:rFonts w:ascii="Arial" w:hAnsi="Arial" w:cs="Arial"/>
          <w:color w:val="000000" w:themeColor="text1"/>
          <w:sz w:val="22"/>
          <w:szCs w:val="22"/>
        </w:rPr>
        <w:t>3</w:t>
      </w:r>
      <w:r w:rsidR="004A3ABC" w:rsidRPr="00CA48AF">
        <w:rPr>
          <w:rFonts w:ascii="Arial" w:hAnsi="Arial" w:cs="Arial"/>
          <w:color w:val="000000" w:themeColor="text1"/>
          <w:sz w:val="22"/>
          <w:szCs w:val="22"/>
        </w:rPr>
        <w:t>0</w:t>
      </w:r>
      <w:r w:rsidR="00020C39" w:rsidRPr="00CA48AF">
        <w:rPr>
          <w:rFonts w:ascii="Arial" w:hAnsi="Arial" w:cs="Arial"/>
          <w:color w:val="000000" w:themeColor="text1"/>
          <w:sz w:val="22"/>
          <w:szCs w:val="22"/>
        </w:rPr>
        <w:t xml:space="preserve"> de </w:t>
      </w:r>
      <w:r w:rsidR="00760FEB" w:rsidRPr="00CA48AF">
        <w:rPr>
          <w:rFonts w:ascii="Arial" w:hAnsi="Arial" w:cs="Arial"/>
          <w:color w:val="000000" w:themeColor="text1"/>
          <w:sz w:val="22"/>
          <w:szCs w:val="22"/>
        </w:rPr>
        <w:t xml:space="preserve">septiembre </w:t>
      </w:r>
      <w:r w:rsidR="00020C39" w:rsidRPr="00CA48AF">
        <w:rPr>
          <w:rFonts w:ascii="Arial" w:hAnsi="Arial" w:cs="Arial"/>
          <w:color w:val="000000" w:themeColor="text1"/>
          <w:sz w:val="22"/>
          <w:szCs w:val="22"/>
        </w:rPr>
        <w:t>de 2020 frente al corte de 3</w:t>
      </w:r>
      <w:r w:rsidR="00760FEB" w:rsidRPr="00CA48AF">
        <w:rPr>
          <w:rFonts w:ascii="Arial" w:hAnsi="Arial" w:cs="Arial"/>
          <w:color w:val="000000" w:themeColor="text1"/>
          <w:sz w:val="22"/>
          <w:szCs w:val="22"/>
        </w:rPr>
        <w:t>0</w:t>
      </w:r>
      <w:r w:rsidR="00020C39" w:rsidRPr="00CA48AF">
        <w:rPr>
          <w:rFonts w:ascii="Arial" w:hAnsi="Arial" w:cs="Arial"/>
          <w:color w:val="000000" w:themeColor="text1"/>
          <w:sz w:val="22"/>
          <w:szCs w:val="22"/>
        </w:rPr>
        <w:t xml:space="preserve"> de</w:t>
      </w:r>
      <w:r w:rsidR="004A3ABC" w:rsidRPr="00CA48AF">
        <w:rPr>
          <w:rFonts w:ascii="Arial" w:hAnsi="Arial" w:cs="Arial"/>
          <w:color w:val="000000" w:themeColor="text1"/>
          <w:sz w:val="22"/>
          <w:szCs w:val="22"/>
        </w:rPr>
        <w:t xml:space="preserve"> </w:t>
      </w:r>
      <w:r w:rsidR="00760FEB" w:rsidRPr="00CA48AF">
        <w:rPr>
          <w:rFonts w:ascii="Arial" w:hAnsi="Arial" w:cs="Arial"/>
          <w:color w:val="000000" w:themeColor="text1"/>
          <w:sz w:val="22"/>
          <w:szCs w:val="22"/>
        </w:rPr>
        <w:t xml:space="preserve">junio </w:t>
      </w:r>
      <w:r w:rsidR="00020C39" w:rsidRPr="00CA48AF">
        <w:rPr>
          <w:rFonts w:ascii="Arial" w:hAnsi="Arial" w:cs="Arial"/>
          <w:color w:val="000000" w:themeColor="text1"/>
          <w:sz w:val="22"/>
          <w:szCs w:val="22"/>
        </w:rPr>
        <w:t>de 20</w:t>
      </w:r>
      <w:r w:rsidR="00B5589F" w:rsidRPr="00CA48AF">
        <w:rPr>
          <w:rFonts w:ascii="Arial" w:hAnsi="Arial" w:cs="Arial"/>
          <w:color w:val="000000" w:themeColor="text1"/>
          <w:sz w:val="22"/>
          <w:szCs w:val="22"/>
        </w:rPr>
        <w:t>20</w:t>
      </w:r>
      <w:r w:rsidR="004473D8" w:rsidRPr="00CA48AF">
        <w:rPr>
          <w:rFonts w:ascii="Arial" w:hAnsi="Arial" w:cs="Arial"/>
          <w:color w:val="000000" w:themeColor="text1"/>
          <w:sz w:val="22"/>
          <w:szCs w:val="22"/>
        </w:rPr>
        <w:t xml:space="preserve">, </w:t>
      </w:r>
      <w:r w:rsidRPr="00CA48AF">
        <w:rPr>
          <w:rFonts w:ascii="Arial" w:hAnsi="Arial" w:cs="Arial"/>
          <w:color w:val="000000" w:themeColor="text1"/>
          <w:sz w:val="22"/>
          <w:szCs w:val="22"/>
        </w:rPr>
        <w:t xml:space="preserve">encontrando </w:t>
      </w:r>
      <w:r w:rsidR="008B7D76" w:rsidRPr="00CA48AF">
        <w:rPr>
          <w:rFonts w:ascii="Arial" w:hAnsi="Arial" w:cs="Arial"/>
          <w:color w:val="000000" w:themeColor="text1"/>
          <w:sz w:val="22"/>
          <w:szCs w:val="22"/>
        </w:rPr>
        <w:t>que, para los periodos comparados</w:t>
      </w:r>
      <w:r w:rsidR="00FE4ADB" w:rsidRPr="00CA48AF">
        <w:rPr>
          <w:rFonts w:ascii="Arial" w:hAnsi="Arial" w:cs="Arial"/>
          <w:color w:val="000000" w:themeColor="text1"/>
          <w:sz w:val="22"/>
          <w:szCs w:val="22"/>
        </w:rPr>
        <w:t xml:space="preserve"> </w:t>
      </w:r>
      <w:r w:rsidR="008B7D76" w:rsidRPr="00CA48AF">
        <w:rPr>
          <w:rFonts w:ascii="Arial" w:hAnsi="Arial" w:cs="Arial"/>
          <w:color w:val="000000" w:themeColor="text1"/>
          <w:sz w:val="22"/>
          <w:szCs w:val="22"/>
        </w:rPr>
        <w:t xml:space="preserve">la planta de personal se mantuvo en la misma cantidad de funcionarios, concluyendo que, con </w:t>
      </w:r>
      <w:r w:rsidR="00914390" w:rsidRPr="00CA48AF">
        <w:rPr>
          <w:rFonts w:ascii="Arial" w:hAnsi="Arial" w:cs="Arial"/>
          <w:color w:val="000000" w:themeColor="text1"/>
          <w:sz w:val="22"/>
          <w:szCs w:val="22"/>
        </w:rPr>
        <w:t>corte al</w:t>
      </w:r>
      <w:r w:rsidR="00020C39" w:rsidRPr="00CA48AF">
        <w:rPr>
          <w:rFonts w:ascii="Arial" w:hAnsi="Arial" w:cs="Arial"/>
          <w:color w:val="000000" w:themeColor="text1"/>
          <w:sz w:val="22"/>
          <w:szCs w:val="22"/>
        </w:rPr>
        <w:t xml:space="preserve"> </w:t>
      </w:r>
      <w:r w:rsidR="005C3DA2" w:rsidRPr="00CA48AF">
        <w:rPr>
          <w:rFonts w:ascii="Arial" w:hAnsi="Arial" w:cs="Arial"/>
          <w:color w:val="000000" w:themeColor="text1"/>
          <w:sz w:val="22"/>
          <w:szCs w:val="22"/>
        </w:rPr>
        <w:t>tercer trimestre</w:t>
      </w:r>
      <w:r w:rsidR="00020C39" w:rsidRPr="00CA48AF">
        <w:rPr>
          <w:rFonts w:ascii="Arial" w:hAnsi="Arial" w:cs="Arial"/>
          <w:color w:val="000000" w:themeColor="text1"/>
          <w:sz w:val="22"/>
          <w:szCs w:val="22"/>
        </w:rPr>
        <w:t xml:space="preserve"> de </w:t>
      </w:r>
      <w:r w:rsidR="00694AD3" w:rsidRPr="00CA48AF">
        <w:rPr>
          <w:rFonts w:ascii="Arial" w:hAnsi="Arial" w:cs="Arial"/>
          <w:color w:val="000000" w:themeColor="text1"/>
          <w:sz w:val="22"/>
          <w:szCs w:val="22"/>
        </w:rPr>
        <w:t>la vigencia 20</w:t>
      </w:r>
      <w:r w:rsidR="00020C39" w:rsidRPr="00CA48AF">
        <w:rPr>
          <w:rFonts w:ascii="Arial" w:hAnsi="Arial" w:cs="Arial"/>
          <w:color w:val="000000" w:themeColor="text1"/>
          <w:sz w:val="22"/>
          <w:szCs w:val="22"/>
        </w:rPr>
        <w:t>20</w:t>
      </w:r>
      <w:r w:rsidR="00694AD3" w:rsidRPr="00CA48AF">
        <w:rPr>
          <w:rFonts w:ascii="Arial" w:hAnsi="Arial" w:cs="Arial"/>
          <w:color w:val="000000" w:themeColor="text1"/>
          <w:sz w:val="22"/>
          <w:szCs w:val="22"/>
        </w:rPr>
        <w:t xml:space="preserve"> </w:t>
      </w:r>
      <w:r w:rsidR="00914390" w:rsidRPr="00CA48AF">
        <w:rPr>
          <w:rFonts w:ascii="Arial" w:hAnsi="Arial" w:cs="Arial"/>
          <w:color w:val="000000" w:themeColor="text1"/>
          <w:sz w:val="22"/>
          <w:szCs w:val="22"/>
        </w:rPr>
        <w:t>comparado con el corte del trimestre inmediatamente anterior</w:t>
      </w:r>
      <w:r w:rsidR="008B7D76" w:rsidRPr="00CA48AF">
        <w:rPr>
          <w:rFonts w:ascii="Arial" w:hAnsi="Arial" w:cs="Arial"/>
          <w:color w:val="000000" w:themeColor="text1"/>
          <w:sz w:val="22"/>
          <w:szCs w:val="22"/>
        </w:rPr>
        <w:t xml:space="preserve">, la planta de personal del Ministerio de Hacienda y Crédito Público no presentó variación. </w:t>
      </w:r>
    </w:p>
    <w:p w14:paraId="3395CFC0" w14:textId="154FB4D8" w:rsidR="00D16ECA" w:rsidRDefault="00D16ECA" w:rsidP="008B7D76">
      <w:pPr>
        <w:jc w:val="both"/>
        <w:rPr>
          <w:rFonts w:ascii="Arial" w:hAnsi="Arial" w:cs="Arial"/>
          <w:color w:val="000000" w:themeColor="text1"/>
          <w:sz w:val="22"/>
          <w:szCs w:val="22"/>
        </w:rPr>
      </w:pPr>
    </w:p>
    <w:p w14:paraId="379D9A2D" w14:textId="395671AD" w:rsidR="00392D96" w:rsidRPr="00CA48AF" w:rsidRDefault="00905284" w:rsidP="00D90499">
      <w:pPr>
        <w:pStyle w:val="Prrafodelista"/>
        <w:numPr>
          <w:ilvl w:val="2"/>
          <w:numId w:val="10"/>
        </w:numPr>
        <w:rPr>
          <w:rFonts w:ascii="Arial" w:hAnsi="Arial" w:cs="Arial"/>
          <w:b/>
          <w:color w:val="000000" w:themeColor="text1"/>
          <w:sz w:val="22"/>
          <w:szCs w:val="22"/>
        </w:rPr>
      </w:pPr>
      <w:r w:rsidRPr="00CA48AF">
        <w:rPr>
          <w:rFonts w:ascii="Arial" w:hAnsi="Arial" w:cs="Arial"/>
          <w:b/>
          <w:color w:val="000000" w:themeColor="text1"/>
          <w:sz w:val="22"/>
          <w:szCs w:val="22"/>
        </w:rPr>
        <w:lastRenderedPageBreak/>
        <w:t>Obligaciones por concepto de Gastos de Nómina</w:t>
      </w:r>
    </w:p>
    <w:p w14:paraId="34307F9F" w14:textId="77777777" w:rsidR="00392D96" w:rsidRPr="00CA48AF" w:rsidRDefault="00392D96" w:rsidP="000D6841">
      <w:pPr>
        <w:pStyle w:val="Prrafodelista"/>
        <w:ind w:left="360"/>
        <w:contextualSpacing w:val="0"/>
        <w:jc w:val="left"/>
        <w:rPr>
          <w:rFonts w:ascii="Arial" w:hAnsi="Arial" w:cs="Arial"/>
          <w:b/>
          <w:color w:val="000000" w:themeColor="text1"/>
          <w:sz w:val="22"/>
          <w:szCs w:val="22"/>
        </w:rPr>
      </w:pPr>
    </w:p>
    <w:p w14:paraId="1A257067" w14:textId="456883D1" w:rsidR="0043553F" w:rsidRPr="00CA48AF" w:rsidRDefault="00CF6C3B" w:rsidP="00DE18F3">
      <w:pPr>
        <w:jc w:val="both"/>
        <w:rPr>
          <w:rFonts w:ascii="Arial" w:hAnsi="Arial" w:cs="Arial"/>
          <w:sz w:val="22"/>
          <w:szCs w:val="22"/>
        </w:rPr>
      </w:pPr>
      <w:r w:rsidRPr="00CA48AF">
        <w:rPr>
          <w:rFonts w:ascii="Arial" w:hAnsi="Arial" w:cs="Arial"/>
          <w:sz w:val="22"/>
          <w:szCs w:val="22"/>
        </w:rPr>
        <w:t xml:space="preserve">Teniendo en cuenta, la situación atípica con ocasión a la </w:t>
      </w:r>
      <w:r w:rsidRPr="00CA48AF">
        <w:rPr>
          <w:rFonts w:ascii="Arial" w:hAnsi="Arial" w:cs="Arial"/>
          <w:color w:val="000000" w:themeColor="text1"/>
          <w:sz w:val="22"/>
          <w:szCs w:val="22"/>
        </w:rPr>
        <w:t xml:space="preserve">Emergencia Económica, Social y Ecológica [COVID-19], </w:t>
      </w:r>
      <w:r w:rsidR="006A2FB2" w:rsidRPr="00CA48AF">
        <w:rPr>
          <w:rFonts w:ascii="Arial" w:hAnsi="Arial" w:cs="Arial"/>
          <w:color w:val="000000" w:themeColor="text1"/>
          <w:sz w:val="22"/>
          <w:szCs w:val="22"/>
        </w:rPr>
        <w:t xml:space="preserve">se presentaron factores que influyeron para ciertos conceptos que conforman los gastos de personal. Es así que, el Ministerio de Hacienda y Crédito Público durante el tercer trimestre de 2020 continuó aplicando las medidas impartidas por el Gobierno Nacional, </w:t>
      </w:r>
      <w:r w:rsidRPr="00CA48AF">
        <w:rPr>
          <w:rFonts w:ascii="Arial" w:hAnsi="Arial" w:cs="Arial"/>
          <w:sz w:val="22"/>
          <w:szCs w:val="22"/>
        </w:rPr>
        <w:t xml:space="preserve">las cuales </w:t>
      </w:r>
      <w:r w:rsidR="00D654A1" w:rsidRPr="00CA48AF">
        <w:rPr>
          <w:rFonts w:ascii="Arial" w:hAnsi="Arial" w:cs="Arial"/>
          <w:sz w:val="22"/>
          <w:szCs w:val="22"/>
        </w:rPr>
        <w:t>impactaron</w:t>
      </w:r>
      <w:r w:rsidRPr="00CA48AF">
        <w:rPr>
          <w:rFonts w:ascii="Arial" w:hAnsi="Arial" w:cs="Arial"/>
          <w:sz w:val="22"/>
          <w:szCs w:val="22"/>
        </w:rPr>
        <w:t xml:space="preserve"> los gastos de personal</w:t>
      </w:r>
      <w:r w:rsidR="006A2FB2" w:rsidRPr="00CA48AF">
        <w:rPr>
          <w:rFonts w:ascii="Arial" w:hAnsi="Arial" w:cs="Arial"/>
          <w:sz w:val="22"/>
          <w:szCs w:val="22"/>
        </w:rPr>
        <w:t xml:space="preserve">, así: </w:t>
      </w:r>
    </w:p>
    <w:p w14:paraId="5E2D2D8B" w14:textId="3395DED8" w:rsidR="001D4DC3" w:rsidRPr="00CA48AF" w:rsidRDefault="001D4DC3" w:rsidP="00DE18F3">
      <w:pPr>
        <w:jc w:val="both"/>
        <w:rPr>
          <w:rFonts w:ascii="Arial" w:hAnsi="Arial" w:cs="Arial"/>
          <w:sz w:val="22"/>
          <w:szCs w:val="22"/>
          <w:highlight w:val="yellow"/>
        </w:rPr>
      </w:pPr>
    </w:p>
    <w:tbl>
      <w:tblPr>
        <w:tblStyle w:val="Tabladecuadrcula1clara-nfasis1"/>
        <w:tblW w:w="9634" w:type="dxa"/>
        <w:tblLayout w:type="fixed"/>
        <w:tblLook w:val="04A0" w:firstRow="1" w:lastRow="0" w:firstColumn="1" w:lastColumn="0" w:noHBand="0" w:noVBand="1"/>
      </w:tblPr>
      <w:tblGrid>
        <w:gridCol w:w="4390"/>
        <w:gridCol w:w="1842"/>
        <w:gridCol w:w="3402"/>
      </w:tblGrid>
      <w:tr w:rsidR="00E362A3" w:rsidRPr="00CA48AF" w14:paraId="4F0CEBEA" w14:textId="77777777" w:rsidTr="003D4959">
        <w:trPr>
          <w:cnfStyle w:val="100000000000" w:firstRow="1" w:lastRow="0" w:firstColumn="0" w:lastColumn="0" w:oddVBand="0" w:evenVBand="0" w:oddHBand="0" w:evenHBand="0" w:firstRowFirstColumn="0" w:firstRowLastColumn="0" w:lastRowFirstColumn="0" w:lastRowLastColumn="0"/>
          <w:cantSplit/>
          <w:trHeight w:val="373"/>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4F81BD" w:themeFill="accent1"/>
            <w:vAlign w:val="center"/>
            <w:hideMark/>
          </w:tcPr>
          <w:p w14:paraId="7A093A42" w14:textId="346FC61D" w:rsidR="00E362A3" w:rsidRPr="00CA48AF" w:rsidRDefault="00E362A3" w:rsidP="007507EA">
            <w:pPr>
              <w:spacing w:before="60" w:after="80"/>
              <w:jc w:val="center"/>
              <w:rPr>
                <w:rFonts w:ascii="Arial" w:hAnsi="Arial" w:cs="Arial"/>
                <w:color w:val="000000"/>
                <w:sz w:val="18"/>
                <w:szCs w:val="18"/>
              </w:rPr>
            </w:pPr>
            <w:r w:rsidRPr="00CA48AF">
              <w:rPr>
                <w:rFonts w:ascii="Arial" w:hAnsi="Arial" w:cs="Arial"/>
                <w:color w:val="FFFFFF" w:themeColor="background1"/>
                <w:sz w:val="18"/>
                <w:szCs w:val="18"/>
              </w:rPr>
              <w:t xml:space="preserve">Medidas Aplicadas: COVID -19 </w:t>
            </w:r>
            <w:r w:rsidR="006A2FB2" w:rsidRPr="00CA48AF">
              <w:rPr>
                <w:rFonts w:ascii="Arial" w:hAnsi="Arial" w:cs="Arial"/>
                <w:color w:val="FFFFFF" w:themeColor="background1"/>
                <w:sz w:val="18"/>
                <w:szCs w:val="18"/>
              </w:rPr>
              <w:t>Tercer Trimestre</w:t>
            </w:r>
            <w:r w:rsidRPr="00CA48AF">
              <w:rPr>
                <w:rFonts w:ascii="Arial" w:hAnsi="Arial" w:cs="Arial"/>
                <w:color w:val="FFFFFF" w:themeColor="background1"/>
                <w:sz w:val="18"/>
                <w:szCs w:val="18"/>
              </w:rPr>
              <w:t xml:space="preserve"> de 2020</w:t>
            </w:r>
          </w:p>
        </w:tc>
      </w:tr>
      <w:tr w:rsidR="00E362A3" w:rsidRPr="00CA48AF" w14:paraId="60F18625" w14:textId="77777777" w:rsidTr="003D4959">
        <w:trPr>
          <w:cantSplit/>
        </w:trPr>
        <w:tc>
          <w:tcPr>
            <w:cnfStyle w:val="001000000000" w:firstRow="0" w:lastRow="0" w:firstColumn="1" w:lastColumn="0" w:oddVBand="0" w:evenVBand="0" w:oddHBand="0" w:evenHBand="0" w:firstRowFirstColumn="0" w:firstRowLastColumn="0" w:lastRowFirstColumn="0" w:lastRowLastColumn="0"/>
            <w:tcW w:w="4390" w:type="dxa"/>
            <w:shd w:val="clear" w:color="auto" w:fill="DBE5F1" w:themeFill="accent1" w:themeFillTint="33"/>
            <w:vAlign w:val="center"/>
            <w:hideMark/>
          </w:tcPr>
          <w:p w14:paraId="3DC34640" w14:textId="77777777" w:rsidR="00E362A3" w:rsidRPr="00CA48AF" w:rsidRDefault="00E362A3" w:rsidP="007507EA">
            <w:pPr>
              <w:spacing w:before="60" w:after="80"/>
              <w:jc w:val="center"/>
              <w:rPr>
                <w:rFonts w:ascii="Arial" w:hAnsi="Arial" w:cs="Arial"/>
                <w:color w:val="0F243E" w:themeColor="text2" w:themeShade="80"/>
                <w:sz w:val="18"/>
                <w:szCs w:val="18"/>
              </w:rPr>
            </w:pPr>
            <w:r w:rsidRPr="00CA48AF">
              <w:rPr>
                <w:rFonts w:ascii="Arial" w:hAnsi="Arial" w:cs="Arial"/>
                <w:color w:val="0F243E" w:themeColor="text2" w:themeShade="80"/>
                <w:sz w:val="18"/>
                <w:szCs w:val="18"/>
              </w:rPr>
              <w:t xml:space="preserve">Gobierno Nacional </w:t>
            </w:r>
          </w:p>
        </w:tc>
        <w:tc>
          <w:tcPr>
            <w:tcW w:w="1842" w:type="dxa"/>
            <w:shd w:val="clear" w:color="auto" w:fill="DBE5F1" w:themeFill="accent1" w:themeFillTint="33"/>
            <w:noWrap/>
            <w:vAlign w:val="center"/>
            <w:hideMark/>
          </w:tcPr>
          <w:p w14:paraId="2A61E281" w14:textId="3250CB49" w:rsidR="00E362A3" w:rsidRPr="00CA48AF" w:rsidRDefault="00E362A3" w:rsidP="007507E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b/>
                <w:bCs/>
                <w:color w:val="0F243E" w:themeColor="text2" w:themeShade="80"/>
                <w:sz w:val="18"/>
                <w:szCs w:val="18"/>
              </w:rPr>
              <w:t>Concepto de Gastos Personales Impactado</w:t>
            </w:r>
          </w:p>
        </w:tc>
        <w:tc>
          <w:tcPr>
            <w:tcW w:w="3402" w:type="dxa"/>
            <w:shd w:val="clear" w:color="auto" w:fill="DBE5F1" w:themeFill="accent1" w:themeFillTint="33"/>
            <w:noWrap/>
            <w:vAlign w:val="center"/>
            <w:hideMark/>
          </w:tcPr>
          <w:p w14:paraId="083B2B1C" w14:textId="77777777" w:rsidR="00E362A3" w:rsidRPr="00CA48AF" w:rsidRDefault="00E362A3" w:rsidP="007507E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CA48AF">
              <w:rPr>
                <w:rFonts w:ascii="Arial" w:hAnsi="Arial" w:cs="Arial"/>
                <w:b/>
                <w:bCs/>
                <w:color w:val="0F243E" w:themeColor="text2" w:themeShade="80"/>
                <w:sz w:val="18"/>
                <w:szCs w:val="18"/>
              </w:rPr>
              <w:t>Observación</w:t>
            </w:r>
          </w:p>
        </w:tc>
      </w:tr>
      <w:tr w:rsidR="00E362A3" w:rsidRPr="00CA48AF" w14:paraId="494EC6E6" w14:textId="77777777" w:rsidTr="007507EA">
        <w:trPr>
          <w:cantSplit/>
          <w:trHeight w:val="910"/>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CB42364" w14:textId="77777777" w:rsidR="00E362A3" w:rsidRPr="00CA48AF" w:rsidRDefault="00E362A3" w:rsidP="007507EA">
            <w:pPr>
              <w:spacing w:before="60" w:after="80"/>
              <w:jc w:val="both"/>
              <w:rPr>
                <w:rFonts w:ascii="Arial" w:hAnsi="Arial" w:cs="Arial"/>
                <w:color w:val="0F243E" w:themeColor="text2" w:themeShade="80"/>
                <w:sz w:val="20"/>
                <w:szCs w:val="20"/>
              </w:rPr>
            </w:pPr>
            <w:r w:rsidRPr="00CA48AF">
              <w:rPr>
                <w:rFonts w:ascii="Arial" w:hAnsi="Arial" w:cs="Arial"/>
                <w:color w:val="0F243E" w:themeColor="text2" w:themeShade="80"/>
                <w:sz w:val="20"/>
                <w:szCs w:val="20"/>
              </w:rPr>
              <w:t>Decreto 417 de 2020</w:t>
            </w:r>
          </w:p>
        </w:tc>
        <w:tc>
          <w:tcPr>
            <w:tcW w:w="5244" w:type="dxa"/>
            <w:gridSpan w:val="2"/>
            <w:vAlign w:val="center"/>
          </w:tcPr>
          <w:p w14:paraId="15BE8707" w14:textId="24D26C55" w:rsidR="00E362A3" w:rsidRPr="00CA48AF" w:rsidRDefault="00E362A3" w:rsidP="007507E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Declaración de Estado de Emergencia Económica, Social y Ecológica en todo el Territorio Nacional</w:t>
            </w:r>
          </w:p>
        </w:tc>
      </w:tr>
      <w:tr w:rsidR="00E362A3" w:rsidRPr="00CA48AF" w14:paraId="2962E86F" w14:textId="77777777" w:rsidTr="007507EA">
        <w:trPr>
          <w:cantSplit/>
          <w:trHeight w:val="3376"/>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6E313799" w14:textId="77777777" w:rsidR="00E362A3" w:rsidRPr="00CA48AF" w:rsidRDefault="00E362A3" w:rsidP="007507EA">
            <w:pPr>
              <w:spacing w:before="60" w:after="80"/>
              <w:jc w:val="both"/>
              <w:rPr>
                <w:rFonts w:ascii="Arial" w:hAnsi="Arial" w:cs="Arial"/>
                <w:b w:val="0"/>
                <w:bCs w:val="0"/>
                <w:color w:val="0F243E" w:themeColor="text2" w:themeShade="80"/>
                <w:sz w:val="20"/>
                <w:szCs w:val="20"/>
              </w:rPr>
            </w:pPr>
            <w:r w:rsidRPr="00CA48AF">
              <w:rPr>
                <w:rFonts w:ascii="Arial" w:hAnsi="Arial" w:cs="Arial"/>
                <w:color w:val="0F243E" w:themeColor="text2" w:themeShade="80"/>
                <w:sz w:val="20"/>
                <w:szCs w:val="20"/>
              </w:rPr>
              <w:t>Decreto 457 de 2020</w:t>
            </w:r>
            <w:r w:rsidRPr="00CA48AF">
              <w:rPr>
                <w:rFonts w:ascii="Arial" w:hAnsi="Arial" w:cs="Arial"/>
                <w:b w:val="0"/>
                <w:bCs w:val="0"/>
                <w:color w:val="0F243E" w:themeColor="text2" w:themeShade="80"/>
                <w:sz w:val="20"/>
                <w:szCs w:val="20"/>
              </w:rPr>
              <w:t xml:space="preserve"> y sus modificatorios ordenó el aislamiento preventivo obligatorio para todas las personas habitantes de la República de Colombia.</w:t>
            </w:r>
          </w:p>
        </w:tc>
        <w:tc>
          <w:tcPr>
            <w:tcW w:w="1842" w:type="dxa"/>
            <w:vAlign w:val="center"/>
            <w:hideMark/>
          </w:tcPr>
          <w:p w14:paraId="2F0CDFB2" w14:textId="65108500" w:rsidR="00E362A3" w:rsidRPr="00CA48AF" w:rsidRDefault="00E362A3" w:rsidP="007507E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Auxilio de Transporte </w:t>
            </w:r>
            <w:r w:rsidRPr="00CA48AF">
              <w:rPr>
                <w:rStyle w:val="Refdenotaalpie"/>
                <w:rFonts w:ascii="Arial" w:hAnsi="Arial" w:cs="Arial"/>
                <w:color w:val="0F243E" w:themeColor="text2" w:themeShade="80"/>
                <w:sz w:val="20"/>
                <w:szCs w:val="20"/>
              </w:rPr>
              <w:footnoteReference w:id="4"/>
            </w:r>
          </w:p>
        </w:tc>
        <w:tc>
          <w:tcPr>
            <w:tcW w:w="3402" w:type="dxa"/>
            <w:vAlign w:val="center"/>
            <w:hideMark/>
          </w:tcPr>
          <w:p w14:paraId="1BEE8B4E" w14:textId="12FD5B69" w:rsidR="00E362A3" w:rsidRPr="00CA48AF" w:rsidRDefault="00F866D0" w:rsidP="007507EA">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Este </w:t>
            </w:r>
            <w:r w:rsidR="00E362A3" w:rsidRPr="00CA48AF">
              <w:rPr>
                <w:rFonts w:ascii="Arial" w:hAnsi="Arial" w:cs="Arial"/>
                <w:color w:val="0F243E" w:themeColor="text2" w:themeShade="80"/>
                <w:sz w:val="20"/>
                <w:szCs w:val="20"/>
              </w:rPr>
              <w:t xml:space="preserve">Ministerio implementó a partir del 20 de marzo de 2020, la modalidad de </w:t>
            </w:r>
            <w:r w:rsidR="00E362A3" w:rsidRPr="00CA48AF">
              <w:rPr>
                <w:rFonts w:ascii="Arial" w:hAnsi="Arial" w:cs="Arial"/>
                <w:i/>
                <w:iCs/>
                <w:color w:val="0F243E" w:themeColor="text2" w:themeShade="80"/>
                <w:sz w:val="20"/>
                <w:szCs w:val="20"/>
              </w:rPr>
              <w:t>trabajo en casa</w:t>
            </w:r>
            <w:r w:rsidR="00E362A3" w:rsidRPr="00CA48AF">
              <w:rPr>
                <w:rFonts w:ascii="Arial" w:hAnsi="Arial" w:cs="Arial"/>
                <w:color w:val="0F243E" w:themeColor="text2" w:themeShade="80"/>
                <w:sz w:val="20"/>
                <w:szCs w:val="20"/>
              </w:rPr>
              <w:t xml:space="preserve"> la cual se mantuvo duran</w:t>
            </w:r>
            <w:r w:rsidR="005515C3" w:rsidRPr="00CA48AF">
              <w:rPr>
                <w:rFonts w:ascii="Arial" w:hAnsi="Arial" w:cs="Arial"/>
                <w:color w:val="0F243E" w:themeColor="text2" w:themeShade="80"/>
                <w:sz w:val="20"/>
                <w:szCs w:val="20"/>
              </w:rPr>
              <w:t xml:space="preserve">te el </w:t>
            </w:r>
            <w:r w:rsidR="006A2FB2" w:rsidRPr="00CA48AF">
              <w:rPr>
                <w:rFonts w:ascii="Arial" w:hAnsi="Arial" w:cs="Arial"/>
                <w:color w:val="0F243E" w:themeColor="text2" w:themeShade="80"/>
                <w:sz w:val="20"/>
                <w:szCs w:val="20"/>
              </w:rPr>
              <w:t>tercer trimestre</w:t>
            </w:r>
            <w:r w:rsidR="005515C3" w:rsidRPr="00CA48AF">
              <w:rPr>
                <w:rFonts w:ascii="Arial" w:hAnsi="Arial" w:cs="Arial"/>
                <w:color w:val="0F243E" w:themeColor="text2" w:themeShade="80"/>
                <w:sz w:val="20"/>
                <w:szCs w:val="20"/>
              </w:rPr>
              <w:t xml:space="preserve"> de 2020 para aproximadamente el </w:t>
            </w:r>
            <w:r w:rsidR="00BD528F" w:rsidRPr="00CA48AF">
              <w:rPr>
                <w:rFonts w:ascii="Arial" w:hAnsi="Arial" w:cs="Arial"/>
                <w:color w:val="0F243E" w:themeColor="text2" w:themeShade="80"/>
                <w:sz w:val="20"/>
                <w:szCs w:val="20"/>
              </w:rPr>
              <w:t>75</w:t>
            </w:r>
            <w:r w:rsidR="005515C3" w:rsidRPr="00CA48AF">
              <w:rPr>
                <w:rFonts w:ascii="Arial" w:hAnsi="Arial" w:cs="Arial"/>
                <w:color w:val="0F243E" w:themeColor="text2" w:themeShade="80"/>
                <w:sz w:val="20"/>
                <w:szCs w:val="20"/>
              </w:rPr>
              <w:t xml:space="preserve">% de los </w:t>
            </w:r>
            <w:r w:rsidR="008B0057">
              <w:rPr>
                <w:rFonts w:ascii="Arial" w:hAnsi="Arial" w:cs="Arial"/>
                <w:color w:val="0F243E" w:themeColor="text2" w:themeShade="80"/>
                <w:sz w:val="20"/>
                <w:szCs w:val="20"/>
              </w:rPr>
              <w:t xml:space="preserve">funcionarios </w:t>
            </w:r>
            <w:r w:rsidR="005515C3" w:rsidRPr="00CA48AF">
              <w:rPr>
                <w:rFonts w:ascii="Arial" w:hAnsi="Arial" w:cs="Arial"/>
                <w:color w:val="0F243E" w:themeColor="text2" w:themeShade="80"/>
                <w:sz w:val="20"/>
                <w:szCs w:val="20"/>
              </w:rPr>
              <w:t>público,</w:t>
            </w:r>
            <w:r w:rsidR="00E362A3" w:rsidRPr="00CA48AF">
              <w:rPr>
                <w:rFonts w:ascii="Arial" w:hAnsi="Arial" w:cs="Arial"/>
                <w:color w:val="0F243E" w:themeColor="text2" w:themeShade="80"/>
                <w:sz w:val="20"/>
                <w:szCs w:val="20"/>
              </w:rPr>
              <w:t xml:space="preserve"> </w:t>
            </w:r>
            <w:r w:rsidR="005515C3" w:rsidRPr="00CA48AF">
              <w:rPr>
                <w:rFonts w:ascii="Arial" w:hAnsi="Arial" w:cs="Arial"/>
                <w:color w:val="0F243E" w:themeColor="text2" w:themeShade="80"/>
                <w:sz w:val="20"/>
                <w:szCs w:val="20"/>
              </w:rPr>
              <w:t xml:space="preserve">por tal razón, </w:t>
            </w:r>
            <w:r w:rsidR="00E362A3" w:rsidRPr="00CA48AF">
              <w:rPr>
                <w:rFonts w:ascii="Arial" w:hAnsi="Arial" w:cs="Arial"/>
                <w:color w:val="0F243E" w:themeColor="text2" w:themeShade="80"/>
                <w:sz w:val="20"/>
                <w:szCs w:val="20"/>
              </w:rPr>
              <w:t>no se reconoció el pago de auxilio de transporte para aquellos funcionarios que estuvieron bajo dicha modalidad de trabajo, por ende, el gasto de</w:t>
            </w:r>
            <w:r w:rsidR="005515C3" w:rsidRPr="00CA48AF">
              <w:rPr>
                <w:rFonts w:ascii="Arial" w:hAnsi="Arial" w:cs="Arial"/>
                <w:color w:val="0F243E" w:themeColor="text2" w:themeShade="80"/>
                <w:sz w:val="20"/>
                <w:szCs w:val="20"/>
              </w:rPr>
              <w:t xml:space="preserve">l </w:t>
            </w:r>
            <w:r w:rsidR="00E362A3" w:rsidRPr="00CA48AF">
              <w:rPr>
                <w:rFonts w:ascii="Arial" w:hAnsi="Arial" w:cs="Arial"/>
                <w:color w:val="0F243E" w:themeColor="text2" w:themeShade="80"/>
                <w:sz w:val="20"/>
                <w:szCs w:val="20"/>
              </w:rPr>
              <w:t xml:space="preserve">auxilio disminuyó para el </w:t>
            </w:r>
            <w:r w:rsidR="006A2FB2" w:rsidRPr="00CA48AF">
              <w:rPr>
                <w:rFonts w:ascii="Arial" w:hAnsi="Arial" w:cs="Arial"/>
                <w:color w:val="0F243E" w:themeColor="text2" w:themeShade="80"/>
                <w:sz w:val="20"/>
                <w:szCs w:val="20"/>
              </w:rPr>
              <w:t>periodo objeto de análisis</w:t>
            </w:r>
            <w:r w:rsidR="00E362A3" w:rsidRPr="00CA48AF">
              <w:rPr>
                <w:rFonts w:ascii="Arial" w:hAnsi="Arial" w:cs="Arial"/>
                <w:color w:val="0F243E" w:themeColor="text2" w:themeShade="80"/>
                <w:sz w:val="20"/>
                <w:szCs w:val="20"/>
              </w:rPr>
              <w:t xml:space="preserve">. </w:t>
            </w:r>
          </w:p>
        </w:tc>
      </w:tr>
      <w:tr w:rsidR="00E362A3" w:rsidRPr="00CA48AF" w14:paraId="0969E5F8" w14:textId="77777777" w:rsidTr="007507EA">
        <w:trPr>
          <w:cantSplit/>
          <w:trHeight w:val="2543"/>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222EE409" w14:textId="42E4A315" w:rsidR="00E362A3" w:rsidRPr="00CA48AF" w:rsidRDefault="00E362A3" w:rsidP="007507EA">
            <w:pPr>
              <w:spacing w:before="60" w:after="80"/>
              <w:jc w:val="both"/>
              <w:rPr>
                <w:rFonts w:ascii="Arial" w:hAnsi="Arial" w:cs="Arial"/>
                <w:b w:val="0"/>
                <w:bCs w:val="0"/>
                <w:color w:val="0F243E" w:themeColor="text2" w:themeShade="80"/>
                <w:sz w:val="20"/>
                <w:szCs w:val="20"/>
              </w:rPr>
            </w:pPr>
            <w:r w:rsidRPr="00CA48AF">
              <w:rPr>
                <w:rFonts w:ascii="Arial" w:hAnsi="Arial" w:cs="Arial"/>
                <w:color w:val="0F243E" w:themeColor="text2" w:themeShade="80"/>
                <w:sz w:val="20"/>
                <w:szCs w:val="20"/>
              </w:rPr>
              <w:t>Decreto 771 de 2020</w:t>
            </w:r>
            <w:r w:rsidRPr="00CA48AF">
              <w:rPr>
                <w:rFonts w:ascii="Arial" w:hAnsi="Arial" w:cs="Arial"/>
                <w:b w:val="0"/>
                <w:bCs w:val="0"/>
                <w:color w:val="0F243E" w:themeColor="text2" w:themeShade="80"/>
                <w:sz w:val="20"/>
                <w:szCs w:val="20"/>
              </w:rPr>
              <w:t>:  señaló en el artículo 1°.</w:t>
            </w:r>
            <w:r w:rsidRPr="00CA48AF">
              <w:rPr>
                <w:rFonts w:ascii="Arial" w:hAnsi="Arial" w:cs="Arial"/>
                <w:b w:val="0"/>
                <w:bCs w:val="0"/>
                <w:i/>
                <w:iCs/>
                <w:color w:val="0F243E" w:themeColor="text2" w:themeShade="80"/>
                <w:sz w:val="20"/>
                <w:szCs w:val="20"/>
              </w:rPr>
              <w:t xml:space="preserve"> </w:t>
            </w:r>
            <w:r w:rsidRPr="00CA48AF">
              <w:rPr>
                <w:rFonts w:ascii="Arial" w:hAnsi="Arial" w:cs="Arial"/>
                <w:b w:val="0"/>
                <w:bCs w:val="0"/>
                <w:color w:val="0F243E" w:themeColor="text2" w:themeShade="80"/>
                <w:sz w:val="20"/>
                <w:szCs w:val="20"/>
              </w:rPr>
              <w:t>De manera temporal y transitoria, mientras esté vigente la emergencia sanitaria derivada del Coronavirus COVID-19, el empleador deberá reconocer el valor establecido para el auxilio de transporte como auxilio de conectividad digital a los trabajadores que devenguen hasta dos (2) salarios mínimos legales mensuales vigentes y que desarrollen su labor en su domicilio</w:t>
            </w:r>
            <w:r w:rsidR="003D4959" w:rsidRPr="00CA48AF">
              <w:rPr>
                <w:rFonts w:ascii="Arial" w:hAnsi="Arial" w:cs="Arial"/>
                <w:b w:val="0"/>
                <w:bCs w:val="0"/>
                <w:color w:val="0F243E" w:themeColor="text2" w:themeShade="80"/>
                <w:sz w:val="20"/>
                <w:szCs w:val="20"/>
              </w:rPr>
              <w:t>.</w:t>
            </w:r>
          </w:p>
        </w:tc>
        <w:tc>
          <w:tcPr>
            <w:tcW w:w="1842" w:type="dxa"/>
            <w:vAlign w:val="center"/>
            <w:hideMark/>
          </w:tcPr>
          <w:p w14:paraId="18C5F351" w14:textId="06A28E7B" w:rsidR="00E362A3" w:rsidRPr="00CA48AF" w:rsidRDefault="00E362A3" w:rsidP="007507E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Auxilio de Conectividad Digital</w:t>
            </w:r>
          </w:p>
        </w:tc>
        <w:tc>
          <w:tcPr>
            <w:tcW w:w="3402" w:type="dxa"/>
            <w:vAlign w:val="center"/>
            <w:hideMark/>
          </w:tcPr>
          <w:p w14:paraId="7D1428B0" w14:textId="3C63E421" w:rsidR="00E362A3" w:rsidRPr="00CA48AF" w:rsidRDefault="00E362A3" w:rsidP="007507EA">
            <w:pPr>
              <w:spacing w:before="6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Derivado de la medida </w:t>
            </w:r>
            <w:r w:rsidR="00371AF5">
              <w:rPr>
                <w:rFonts w:ascii="Arial" w:hAnsi="Arial" w:cs="Arial"/>
                <w:color w:val="0F243E" w:themeColor="text2" w:themeShade="80"/>
                <w:sz w:val="20"/>
                <w:szCs w:val="20"/>
              </w:rPr>
              <w:t xml:space="preserve">establecida en </w:t>
            </w:r>
            <w:r w:rsidRPr="00CA48AF">
              <w:rPr>
                <w:rFonts w:ascii="Arial" w:hAnsi="Arial" w:cs="Arial"/>
                <w:color w:val="0F243E" w:themeColor="text2" w:themeShade="80"/>
                <w:sz w:val="20"/>
                <w:szCs w:val="20"/>
              </w:rPr>
              <w:t xml:space="preserve">el Decreto 771 de 2020, </w:t>
            </w:r>
            <w:r w:rsidR="00D16ECA">
              <w:rPr>
                <w:rFonts w:ascii="Arial" w:hAnsi="Arial" w:cs="Arial"/>
                <w:color w:val="0F243E" w:themeColor="text2" w:themeShade="80"/>
                <w:sz w:val="20"/>
                <w:szCs w:val="20"/>
              </w:rPr>
              <w:t xml:space="preserve">el gasto por auxilio de conectividad digital ascendió </w:t>
            </w:r>
            <w:proofErr w:type="gramStart"/>
            <w:r w:rsidR="00D16ECA">
              <w:rPr>
                <w:rFonts w:ascii="Arial" w:hAnsi="Arial" w:cs="Arial"/>
                <w:color w:val="0F243E" w:themeColor="text2" w:themeShade="80"/>
                <w:sz w:val="20"/>
                <w:szCs w:val="20"/>
              </w:rPr>
              <w:t xml:space="preserve">a </w:t>
            </w:r>
            <w:r w:rsidR="0037351D" w:rsidRPr="00CA48AF">
              <w:rPr>
                <w:rFonts w:ascii="Arial" w:hAnsi="Arial" w:cs="Arial"/>
                <w:color w:val="0F243E" w:themeColor="text2" w:themeShade="80"/>
                <w:sz w:val="20"/>
                <w:szCs w:val="20"/>
              </w:rPr>
              <w:t xml:space="preserve"> $</w:t>
            </w:r>
            <w:proofErr w:type="gramEnd"/>
            <w:r w:rsidR="0037351D" w:rsidRPr="00CA48AF">
              <w:rPr>
                <w:rFonts w:ascii="Arial" w:hAnsi="Arial" w:cs="Arial"/>
                <w:color w:val="000000"/>
                <w:sz w:val="20"/>
                <w:szCs w:val="20"/>
              </w:rPr>
              <w:t xml:space="preserve">24.571.821 </w:t>
            </w:r>
            <w:r w:rsidR="00D16ECA">
              <w:rPr>
                <w:rFonts w:ascii="Arial" w:hAnsi="Arial" w:cs="Arial"/>
                <w:color w:val="0F243E" w:themeColor="text2" w:themeShade="80"/>
                <w:sz w:val="20"/>
                <w:szCs w:val="20"/>
              </w:rPr>
              <w:t xml:space="preserve">durante el tercer trimestre de 2020. </w:t>
            </w:r>
            <w:r w:rsidR="005F2FC0" w:rsidRPr="00CA48AF">
              <w:rPr>
                <w:rFonts w:ascii="Arial" w:hAnsi="Arial" w:cs="Arial"/>
                <w:color w:val="0F243E" w:themeColor="text2" w:themeShade="80"/>
                <w:sz w:val="20"/>
                <w:szCs w:val="20"/>
              </w:rPr>
              <w:t xml:space="preserve"> </w:t>
            </w:r>
          </w:p>
        </w:tc>
      </w:tr>
    </w:tbl>
    <w:p w14:paraId="02EC66E7" w14:textId="77777777" w:rsidR="00D654A1" w:rsidRPr="00CA48AF" w:rsidRDefault="00D654A1" w:rsidP="00504EA8">
      <w:pPr>
        <w:tabs>
          <w:tab w:val="left" w:pos="284"/>
        </w:tabs>
        <w:jc w:val="both"/>
        <w:rPr>
          <w:rFonts w:ascii="Arial" w:hAnsi="Arial" w:cs="Arial"/>
          <w:bCs/>
          <w:sz w:val="22"/>
          <w:szCs w:val="22"/>
          <w:highlight w:val="yellow"/>
        </w:rPr>
      </w:pPr>
    </w:p>
    <w:p w14:paraId="6CDFD981" w14:textId="45C76B63" w:rsidR="00B55C41" w:rsidRPr="001966EF" w:rsidRDefault="00B55C41" w:rsidP="00504EA8">
      <w:pPr>
        <w:tabs>
          <w:tab w:val="left" w:pos="284"/>
        </w:tabs>
        <w:jc w:val="both"/>
        <w:rPr>
          <w:rFonts w:ascii="Arial" w:hAnsi="Arial" w:cs="Arial"/>
          <w:bCs/>
          <w:color w:val="000000" w:themeColor="text1"/>
          <w:sz w:val="22"/>
          <w:szCs w:val="22"/>
        </w:rPr>
      </w:pPr>
      <w:r w:rsidRPr="001966EF">
        <w:rPr>
          <w:rFonts w:ascii="Arial" w:hAnsi="Arial" w:cs="Arial"/>
          <w:bCs/>
          <w:color w:val="000000" w:themeColor="text1"/>
          <w:sz w:val="22"/>
          <w:szCs w:val="22"/>
        </w:rPr>
        <w:t xml:space="preserve">Frente al auxilio de transporte, la Subdirección de Gestión del Talento Humano informó </w:t>
      </w:r>
      <w:r w:rsidR="00A24936" w:rsidRPr="001966EF">
        <w:rPr>
          <w:rFonts w:ascii="Arial" w:hAnsi="Arial" w:cs="Arial"/>
          <w:bCs/>
          <w:color w:val="000000" w:themeColor="text1"/>
          <w:sz w:val="22"/>
          <w:szCs w:val="22"/>
        </w:rPr>
        <w:t>que,</w:t>
      </w:r>
      <w:r w:rsidRPr="001966EF">
        <w:rPr>
          <w:rFonts w:ascii="Arial" w:hAnsi="Arial" w:cs="Arial"/>
          <w:bCs/>
          <w:color w:val="000000" w:themeColor="text1"/>
          <w:sz w:val="22"/>
          <w:szCs w:val="22"/>
        </w:rPr>
        <w:t xml:space="preserve"> </w:t>
      </w:r>
      <w:r w:rsidR="009543FC" w:rsidRPr="001966EF">
        <w:rPr>
          <w:rFonts w:ascii="Arial" w:hAnsi="Arial" w:cs="Arial"/>
          <w:bCs/>
          <w:color w:val="000000" w:themeColor="text1"/>
          <w:sz w:val="22"/>
          <w:szCs w:val="22"/>
        </w:rPr>
        <w:t xml:space="preserve">durante el </w:t>
      </w:r>
      <w:r w:rsidR="00B864D0" w:rsidRPr="001966EF">
        <w:rPr>
          <w:rFonts w:ascii="Arial" w:hAnsi="Arial" w:cs="Arial"/>
          <w:bCs/>
          <w:color w:val="000000" w:themeColor="text1"/>
          <w:sz w:val="22"/>
          <w:szCs w:val="22"/>
        </w:rPr>
        <w:t xml:space="preserve">tercer </w:t>
      </w:r>
      <w:r w:rsidR="009543FC" w:rsidRPr="001966EF">
        <w:rPr>
          <w:rFonts w:ascii="Arial" w:hAnsi="Arial" w:cs="Arial"/>
          <w:bCs/>
          <w:color w:val="000000" w:themeColor="text1"/>
          <w:sz w:val="22"/>
          <w:szCs w:val="22"/>
        </w:rPr>
        <w:t xml:space="preserve">trimestre de 2020, </w:t>
      </w:r>
      <w:r w:rsidRPr="001966EF">
        <w:rPr>
          <w:rFonts w:ascii="Arial" w:hAnsi="Arial" w:cs="Arial"/>
          <w:bCs/>
          <w:color w:val="000000" w:themeColor="text1"/>
          <w:sz w:val="22"/>
          <w:szCs w:val="22"/>
        </w:rPr>
        <w:t>en términos g</w:t>
      </w:r>
      <w:r w:rsidR="009543FC" w:rsidRPr="001966EF">
        <w:rPr>
          <w:rFonts w:ascii="Arial" w:hAnsi="Arial" w:cs="Arial"/>
          <w:color w:val="000000" w:themeColor="text1"/>
          <w:sz w:val="22"/>
          <w:szCs w:val="22"/>
          <w:shd w:val="clear" w:color="auto" w:fill="FFFFFF"/>
        </w:rPr>
        <w:t>enerales, solo tenían</w:t>
      </w:r>
      <w:r w:rsidRPr="001966EF">
        <w:rPr>
          <w:rFonts w:ascii="Arial" w:hAnsi="Arial" w:cs="Arial"/>
          <w:color w:val="000000" w:themeColor="text1"/>
          <w:sz w:val="22"/>
          <w:szCs w:val="22"/>
          <w:shd w:val="clear" w:color="auto" w:fill="FFFFFF"/>
        </w:rPr>
        <w:t xml:space="preserve"> derecho a</w:t>
      </w:r>
      <w:r w:rsidR="009543FC" w:rsidRPr="001966EF">
        <w:rPr>
          <w:rFonts w:ascii="Arial" w:hAnsi="Arial" w:cs="Arial"/>
          <w:color w:val="000000" w:themeColor="text1"/>
          <w:sz w:val="22"/>
          <w:szCs w:val="22"/>
          <w:shd w:val="clear" w:color="auto" w:fill="FFFFFF"/>
        </w:rPr>
        <w:t>l</w:t>
      </w:r>
      <w:r w:rsidRPr="001966EF">
        <w:rPr>
          <w:rFonts w:ascii="Arial" w:hAnsi="Arial" w:cs="Arial"/>
          <w:color w:val="000000" w:themeColor="text1"/>
          <w:sz w:val="22"/>
          <w:szCs w:val="22"/>
          <w:shd w:val="clear" w:color="auto" w:fill="FFFFFF"/>
        </w:rPr>
        <w:t xml:space="preserve"> auxilio de transporte los conductores que integran el esquema de seguridad del Ministro, quienes han seguido laborando normalmente y </w:t>
      </w:r>
      <w:r w:rsidR="009543FC" w:rsidRPr="001966EF">
        <w:rPr>
          <w:rFonts w:ascii="Arial" w:hAnsi="Arial" w:cs="Arial"/>
          <w:color w:val="000000" w:themeColor="text1"/>
          <w:sz w:val="22"/>
          <w:szCs w:val="22"/>
          <w:shd w:val="clear" w:color="auto" w:fill="FFFFFF"/>
        </w:rPr>
        <w:t xml:space="preserve">aquellos </w:t>
      </w:r>
      <w:r w:rsidRPr="001966EF">
        <w:rPr>
          <w:rFonts w:ascii="Arial" w:hAnsi="Arial" w:cs="Arial"/>
          <w:color w:val="000000" w:themeColor="text1"/>
          <w:sz w:val="22"/>
          <w:szCs w:val="22"/>
          <w:shd w:val="clear" w:color="auto" w:fill="FFFFFF"/>
        </w:rPr>
        <w:t xml:space="preserve">funcionarios que excepcionalmente han </w:t>
      </w:r>
      <w:r w:rsidR="00A24936" w:rsidRPr="001966EF">
        <w:rPr>
          <w:rFonts w:ascii="Arial" w:hAnsi="Arial" w:cs="Arial"/>
          <w:color w:val="000000" w:themeColor="text1"/>
          <w:sz w:val="22"/>
          <w:szCs w:val="22"/>
          <w:shd w:val="clear" w:color="auto" w:fill="FFFFFF"/>
        </w:rPr>
        <w:t xml:space="preserve">realizado sus labores desde las instalaciones de este Ministerio, siendo los jefes inmediatos, los responsables de </w:t>
      </w:r>
      <w:r w:rsidRPr="001966EF">
        <w:rPr>
          <w:rFonts w:ascii="Arial" w:hAnsi="Arial" w:cs="Arial"/>
          <w:color w:val="000000" w:themeColor="text1"/>
          <w:sz w:val="22"/>
          <w:szCs w:val="22"/>
          <w:shd w:val="clear" w:color="auto" w:fill="FFFFFF"/>
        </w:rPr>
        <w:t>acredita</w:t>
      </w:r>
      <w:r w:rsidR="00A24936" w:rsidRPr="001966EF">
        <w:rPr>
          <w:rFonts w:ascii="Arial" w:hAnsi="Arial" w:cs="Arial"/>
          <w:color w:val="000000" w:themeColor="text1"/>
          <w:sz w:val="22"/>
          <w:szCs w:val="22"/>
          <w:shd w:val="clear" w:color="auto" w:fill="FFFFFF"/>
        </w:rPr>
        <w:t>r dichos traslados a las sedes de esta Entidad</w:t>
      </w:r>
      <w:r w:rsidR="00371AF5" w:rsidRPr="001966EF">
        <w:rPr>
          <w:rFonts w:ascii="Arial" w:hAnsi="Arial" w:cs="Arial"/>
          <w:color w:val="000000" w:themeColor="text1"/>
          <w:sz w:val="22"/>
          <w:szCs w:val="22"/>
          <w:shd w:val="clear" w:color="auto" w:fill="FFFFFF"/>
        </w:rPr>
        <w:t>.</w:t>
      </w:r>
      <w:r w:rsidR="00A24936" w:rsidRPr="001966EF">
        <w:rPr>
          <w:rFonts w:ascii="Arial" w:hAnsi="Arial" w:cs="Arial"/>
          <w:color w:val="000000" w:themeColor="text1"/>
          <w:sz w:val="22"/>
          <w:szCs w:val="22"/>
          <w:shd w:val="clear" w:color="auto" w:fill="FFFFFF"/>
        </w:rPr>
        <w:t xml:space="preserve"> </w:t>
      </w:r>
      <w:r w:rsidR="00371AF5" w:rsidRPr="001966EF">
        <w:rPr>
          <w:rFonts w:ascii="Arial" w:hAnsi="Arial" w:cs="Arial"/>
          <w:color w:val="000000" w:themeColor="text1"/>
          <w:sz w:val="22"/>
          <w:szCs w:val="22"/>
          <w:shd w:val="clear" w:color="auto" w:fill="FFFFFF"/>
        </w:rPr>
        <w:t>A</w:t>
      </w:r>
      <w:r w:rsidR="00A24936" w:rsidRPr="001966EF">
        <w:rPr>
          <w:rFonts w:ascii="Arial" w:hAnsi="Arial" w:cs="Arial"/>
          <w:color w:val="000000" w:themeColor="text1"/>
          <w:sz w:val="22"/>
          <w:szCs w:val="22"/>
          <w:shd w:val="clear" w:color="auto" w:fill="FFFFFF"/>
        </w:rPr>
        <w:t xml:space="preserve">sí </w:t>
      </w:r>
      <w:r w:rsidR="00DE528B" w:rsidRPr="001966EF">
        <w:rPr>
          <w:rFonts w:ascii="Arial" w:hAnsi="Arial" w:cs="Arial"/>
          <w:color w:val="000000" w:themeColor="text1"/>
          <w:sz w:val="22"/>
          <w:szCs w:val="22"/>
          <w:shd w:val="clear" w:color="auto" w:fill="FFFFFF"/>
        </w:rPr>
        <w:t>mismo, se tiene como control lo</w:t>
      </w:r>
      <w:r w:rsidR="00A24936" w:rsidRPr="001966EF">
        <w:rPr>
          <w:rFonts w:ascii="Arial" w:hAnsi="Arial" w:cs="Arial"/>
          <w:color w:val="000000" w:themeColor="text1"/>
          <w:sz w:val="22"/>
          <w:szCs w:val="22"/>
          <w:shd w:val="clear" w:color="auto" w:fill="FFFFFF"/>
        </w:rPr>
        <w:t>s respectivos reportes de ingreso</w:t>
      </w:r>
      <w:r w:rsidR="009543FC" w:rsidRPr="001966EF">
        <w:rPr>
          <w:rFonts w:ascii="Arial" w:hAnsi="Arial" w:cs="Arial"/>
          <w:color w:val="000000" w:themeColor="text1"/>
          <w:sz w:val="22"/>
          <w:szCs w:val="22"/>
          <w:shd w:val="clear" w:color="auto" w:fill="FFFFFF"/>
        </w:rPr>
        <w:t>s</w:t>
      </w:r>
      <w:r w:rsidR="00DE528B" w:rsidRPr="001966EF">
        <w:rPr>
          <w:rFonts w:ascii="Arial" w:hAnsi="Arial" w:cs="Arial"/>
          <w:color w:val="000000" w:themeColor="text1"/>
          <w:sz w:val="22"/>
          <w:szCs w:val="22"/>
          <w:shd w:val="clear" w:color="auto" w:fill="FFFFFF"/>
        </w:rPr>
        <w:t xml:space="preserve"> a este Ministerio. </w:t>
      </w:r>
    </w:p>
    <w:p w14:paraId="30C1EC51" w14:textId="0E6F8943" w:rsidR="00B51388" w:rsidRDefault="00B51388" w:rsidP="007507EA">
      <w:pPr>
        <w:tabs>
          <w:tab w:val="left" w:pos="284"/>
        </w:tabs>
        <w:jc w:val="both"/>
        <w:rPr>
          <w:rFonts w:ascii="Arial" w:hAnsi="Arial" w:cs="Arial"/>
          <w:bCs/>
          <w:sz w:val="22"/>
          <w:szCs w:val="22"/>
        </w:rPr>
      </w:pPr>
      <w:r w:rsidRPr="00CA48AF">
        <w:rPr>
          <w:rFonts w:ascii="Arial" w:hAnsi="Arial" w:cs="Arial"/>
          <w:bCs/>
          <w:sz w:val="22"/>
          <w:szCs w:val="22"/>
        </w:rPr>
        <w:lastRenderedPageBreak/>
        <w:t xml:space="preserve">Con respecto a lo anterior y con base en las liquidaciones </w:t>
      </w:r>
      <w:r w:rsidR="00142787" w:rsidRPr="00CA48AF">
        <w:rPr>
          <w:rFonts w:ascii="Arial" w:hAnsi="Arial" w:cs="Arial"/>
          <w:bCs/>
          <w:sz w:val="22"/>
          <w:szCs w:val="22"/>
        </w:rPr>
        <w:t xml:space="preserve">de </w:t>
      </w:r>
      <w:r w:rsidRPr="00CA48AF">
        <w:rPr>
          <w:rFonts w:ascii="Arial" w:hAnsi="Arial" w:cs="Arial"/>
          <w:bCs/>
          <w:sz w:val="22"/>
          <w:szCs w:val="22"/>
        </w:rPr>
        <w:t xml:space="preserve">nómina de los meses de </w:t>
      </w:r>
      <w:r w:rsidR="00142787" w:rsidRPr="00CA48AF">
        <w:rPr>
          <w:rFonts w:ascii="Arial" w:hAnsi="Arial" w:cs="Arial"/>
          <w:bCs/>
          <w:sz w:val="22"/>
          <w:szCs w:val="22"/>
        </w:rPr>
        <w:t xml:space="preserve">julio, agosto y septiembre </w:t>
      </w:r>
      <w:r w:rsidRPr="00CA48AF">
        <w:rPr>
          <w:rFonts w:ascii="Arial" w:hAnsi="Arial" w:cs="Arial"/>
          <w:bCs/>
          <w:sz w:val="22"/>
          <w:szCs w:val="22"/>
        </w:rPr>
        <w:t>de 2020, se verificó lo concerniente a los gastos de auxilio de transporte y auxilio de conectividad</w:t>
      </w:r>
      <w:r w:rsidR="00142787" w:rsidRPr="00CA48AF">
        <w:rPr>
          <w:rFonts w:ascii="Arial" w:hAnsi="Arial" w:cs="Arial"/>
          <w:bCs/>
          <w:sz w:val="22"/>
          <w:szCs w:val="22"/>
        </w:rPr>
        <w:t xml:space="preserve">, </w:t>
      </w:r>
      <w:r w:rsidRPr="00CA48AF">
        <w:rPr>
          <w:rFonts w:ascii="Arial" w:hAnsi="Arial" w:cs="Arial"/>
          <w:bCs/>
          <w:sz w:val="22"/>
          <w:szCs w:val="22"/>
        </w:rPr>
        <w:t>constat</w:t>
      </w:r>
      <w:r w:rsidR="00142787" w:rsidRPr="00CA48AF">
        <w:rPr>
          <w:rFonts w:ascii="Arial" w:hAnsi="Arial" w:cs="Arial"/>
          <w:bCs/>
          <w:sz w:val="22"/>
          <w:szCs w:val="22"/>
        </w:rPr>
        <w:t>ando</w:t>
      </w:r>
      <w:r w:rsidRPr="00CA48AF">
        <w:rPr>
          <w:rFonts w:ascii="Arial" w:hAnsi="Arial" w:cs="Arial"/>
          <w:bCs/>
          <w:sz w:val="22"/>
          <w:szCs w:val="22"/>
        </w:rPr>
        <w:t xml:space="preserve"> la aplicación de las medidas</w:t>
      </w:r>
      <w:r w:rsidR="00371AF5">
        <w:rPr>
          <w:rFonts w:ascii="Arial" w:hAnsi="Arial" w:cs="Arial"/>
          <w:bCs/>
          <w:sz w:val="22"/>
          <w:szCs w:val="22"/>
        </w:rPr>
        <w:t>,</w:t>
      </w:r>
      <w:r w:rsidRPr="00CA48AF">
        <w:rPr>
          <w:rFonts w:ascii="Arial" w:hAnsi="Arial" w:cs="Arial"/>
          <w:bCs/>
          <w:sz w:val="22"/>
          <w:szCs w:val="22"/>
        </w:rPr>
        <w:t xml:space="preserve"> de conformidad con las directrices internas y con las disposiciones del Gobierno Nacional relacionadas con la emergencia sanitaria [COVID-19]. </w:t>
      </w:r>
    </w:p>
    <w:p w14:paraId="774F43C8" w14:textId="77777777" w:rsidR="007507EA" w:rsidRPr="00CA48AF" w:rsidRDefault="007507EA" w:rsidP="007507EA">
      <w:pPr>
        <w:tabs>
          <w:tab w:val="left" w:pos="284"/>
        </w:tabs>
        <w:jc w:val="both"/>
        <w:rPr>
          <w:rFonts w:ascii="Arial" w:hAnsi="Arial" w:cs="Arial"/>
          <w:bCs/>
          <w:sz w:val="22"/>
          <w:szCs w:val="22"/>
        </w:rPr>
      </w:pPr>
    </w:p>
    <w:p w14:paraId="507CC2A3" w14:textId="73B25813" w:rsidR="006C36EF" w:rsidRPr="00CA48AF" w:rsidRDefault="006C36EF" w:rsidP="007507EA">
      <w:pPr>
        <w:tabs>
          <w:tab w:val="left" w:pos="284"/>
        </w:tabs>
        <w:jc w:val="both"/>
        <w:rPr>
          <w:rFonts w:ascii="Arial" w:hAnsi="Arial" w:cs="Arial"/>
          <w:b/>
          <w:color w:val="000000" w:themeColor="text1"/>
          <w:sz w:val="22"/>
          <w:szCs w:val="22"/>
        </w:rPr>
      </w:pPr>
      <w:r w:rsidRPr="00CA48AF">
        <w:rPr>
          <w:rFonts w:ascii="Arial" w:hAnsi="Arial" w:cs="Arial"/>
          <w:bCs/>
          <w:color w:val="000000" w:themeColor="text1"/>
          <w:sz w:val="22"/>
          <w:szCs w:val="22"/>
        </w:rPr>
        <w:t xml:space="preserve">Aunado a lo anterior, </w:t>
      </w:r>
      <w:r w:rsidR="00504EA8" w:rsidRPr="00CA48AF">
        <w:rPr>
          <w:rFonts w:ascii="Arial" w:hAnsi="Arial" w:cs="Arial"/>
          <w:bCs/>
          <w:color w:val="000000" w:themeColor="text1"/>
          <w:sz w:val="22"/>
          <w:szCs w:val="22"/>
        </w:rPr>
        <w:t xml:space="preserve">se identificó que otro concepto que </w:t>
      </w:r>
      <w:r w:rsidR="00B42052" w:rsidRPr="00CA48AF">
        <w:rPr>
          <w:rFonts w:ascii="Arial" w:hAnsi="Arial" w:cs="Arial"/>
          <w:bCs/>
          <w:color w:val="000000" w:themeColor="text1"/>
          <w:sz w:val="22"/>
          <w:szCs w:val="22"/>
        </w:rPr>
        <w:t xml:space="preserve">conforma los gastos de nómina y que </w:t>
      </w:r>
      <w:r w:rsidR="00504EA8" w:rsidRPr="00CA48AF">
        <w:rPr>
          <w:rFonts w:ascii="Arial" w:hAnsi="Arial" w:cs="Arial"/>
          <w:bCs/>
          <w:color w:val="000000" w:themeColor="text1"/>
          <w:sz w:val="22"/>
          <w:szCs w:val="22"/>
        </w:rPr>
        <w:t xml:space="preserve">presentó impactos por la emergencia sanitaria [COVID-19], correspondió al gasto por </w:t>
      </w:r>
      <w:r w:rsidR="00551989" w:rsidRPr="00CA48AF">
        <w:rPr>
          <w:rFonts w:ascii="Arial" w:hAnsi="Arial" w:cs="Arial"/>
          <w:bCs/>
          <w:color w:val="000000" w:themeColor="text1"/>
          <w:sz w:val="22"/>
          <w:szCs w:val="22"/>
        </w:rPr>
        <w:t xml:space="preserve">indemnización e interrupción de </w:t>
      </w:r>
      <w:r w:rsidR="00504EA8" w:rsidRPr="00CA48AF">
        <w:rPr>
          <w:rFonts w:ascii="Arial" w:hAnsi="Arial" w:cs="Arial"/>
          <w:bCs/>
          <w:color w:val="000000" w:themeColor="text1"/>
          <w:sz w:val="22"/>
          <w:szCs w:val="22"/>
        </w:rPr>
        <w:t>vacaciones</w:t>
      </w:r>
      <w:r w:rsidR="0080328D" w:rsidRPr="00CA48AF">
        <w:rPr>
          <w:rFonts w:ascii="Arial" w:hAnsi="Arial" w:cs="Arial"/>
          <w:bCs/>
          <w:color w:val="000000" w:themeColor="text1"/>
          <w:sz w:val="22"/>
          <w:szCs w:val="22"/>
        </w:rPr>
        <w:t xml:space="preserve"> por necesidades del servicio.</w:t>
      </w:r>
      <w:r w:rsidR="00DF13A8" w:rsidRPr="00CA48AF">
        <w:rPr>
          <w:rFonts w:ascii="Arial" w:hAnsi="Arial" w:cs="Arial"/>
          <w:bCs/>
          <w:color w:val="000000" w:themeColor="text1"/>
          <w:sz w:val="22"/>
          <w:szCs w:val="22"/>
        </w:rPr>
        <w:t xml:space="preserve"> D</w:t>
      </w:r>
      <w:r w:rsidR="00504EA8" w:rsidRPr="00CA48AF">
        <w:rPr>
          <w:rFonts w:ascii="Arial" w:hAnsi="Arial" w:cs="Arial"/>
          <w:bCs/>
          <w:color w:val="000000" w:themeColor="text1"/>
          <w:sz w:val="22"/>
          <w:szCs w:val="22"/>
        </w:rPr>
        <w:t xml:space="preserve">e acuerdo </w:t>
      </w:r>
      <w:r w:rsidR="00DF13A8" w:rsidRPr="00CA48AF">
        <w:rPr>
          <w:rFonts w:ascii="Arial" w:hAnsi="Arial" w:cs="Arial"/>
          <w:bCs/>
          <w:color w:val="000000" w:themeColor="text1"/>
          <w:sz w:val="22"/>
          <w:szCs w:val="22"/>
        </w:rPr>
        <w:t xml:space="preserve">con lo informado por la Subdirección de Gestión del Talento Humano, </w:t>
      </w:r>
      <w:r w:rsidR="00E419AE" w:rsidRPr="00CA48AF">
        <w:rPr>
          <w:rFonts w:ascii="Arial" w:hAnsi="Arial" w:cs="Arial"/>
          <w:bCs/>
          <w:color w:val="000000" w:themeColor="text1"/>
          <w:sz w:val="22"/>
          <w:szCs w:val="22"/>
        </w:rPr>
        <w:t xml:space="preserve">se definió </w:t>
      </w:r>
      <w:r w:rsidR="00FC0554" w:rsidRPr="00CA48AF">
        <w:rPr>
          <w:rFonts w:ascii="Arial" w:hAnsi="Arial" w:cs="Arial"/>
          <w:bCs/>
          <w:color w:val="000000" w:themeColor="text1"/>
          <w:sz w:val="22"/>
          <w:szCs w:val="22"/>
        </w:rPr>
        <w:t xml:space="preserve">como </w:t>
      </w:r>
      <w:r w:rsidR="0080328D" w:rsidRPr="00CA48AF">
        <w:rPr>
          <w:rFonts w:ascii="Arial" w:hAnsi="Arial" w:cs="Arial"/>
          <w:color w:val="000000" w:themeColor="text1"/>
          <w:sz w:val="22"/>
          <w:szCs w:val="22"/>
        </w:rPr>
        <w:t xml:space="preserve">directrices </w:t>
      </w:r>
      <w:r w:rsidR="00E419AE" w:rsidRPr="00CA48AF">
        <w:rPr>
          <w:rFonts w:ascii="Arial" w:hAnsi="Arial" w:cs="Arial"/>
          <w:color w:val="000000" w:themeColor="text1"/>
          <w:sz w:val="22"/>
          <w:szCs w:val="22"/>
        </w:rPr>
        <w:t xml:space="preserve">autorizar la indemnización, interrupción y aplazamiento de vacaciones por motivos estrictamente asociados a la necesidad de atender acciones y funciones relacionadas con la emergencia sanitaria a causa del COVID-19. </w:t>
      </w:r>
    </w:p>
    <w:p w14:paraId="0A243557" w14:textId="2A1F0859" w:rsidR="006C36EF" w:rsidRPr="00CA48AF" w:rsidRDefault="006C36EF" w:rsidP="007507EA">
      <w:pPr>
        <w:tabs>
          <w:tab w:val="left" w:pos="284"/>
        </w:tabs>
        <w:rPr>
          <w:rFonts w:ascii="Arial" w:hAnsi="Arial" w:cs="Arial"/>
          <w:b/>
          <w:color w:val="000000" w:themeColor="text1"/>
          <w:sz w:val="22"/>
          <w:szCs w:val="22"/>
        </w:rPr>
      </w:pPr>
    </w:p>
    <w:p w14:paraId="01002703" w14:textId="3F6DC2BE" w:rsidR="00E43B7F" w:rsidRPr="00CA48AF" w:rsidRDefault="00647FBA" w:rsidP="007507EA">
      <w:pPr>
        <w:jc w:val="both"/>
        <w:rPr>
          <w:rFonts w:ascii="Arial" w:hAnsi="Arial" w:cs="Arial"/>
          <w:color w:val="000000"/>
          <w:sz w:val="22"/>
          <w:szCs w:val="22"/>
        </w:rPr>
      </w:pPr>
      <w:r w:rsidRPr="00CA48AF">
        <w:rPr>
          <w:rFonts w:ascii="Arial" w:hAnsi="Arial" w:cs="Arial"/>
          <w:bCs/>
          <w:color w:val="000000" w:themeColor="text1"/>
          <w:sz w:val="22"/>
          <w:szCs w:val="22"/>
        </w:rPr>
        <w:t>Como resultado de la anterior medida, la Subdirección de Gestión de Talento Humano informó que durante</w:t>
      </w:r>
      <w:r w:rsidR="00E419AE" w:rsidRPr="00CA48AF">
        <w:rPr>
          <w:rFonts w:ascii="Arial" w:hAnsi="Arial" w:cs="Arial"/>
          <w:bCs/>
          <w:color w:val="000000" w:themeColor="text1"/>
          <w:sz w:val="22"/>
          <w:szCs w:val="22"/>
        </w:rPr>
        <w:t xml:space="preserve"> el tercer trimestre de 2020 no se presentaron indemnización por vacaciones, caso contrario, se observó para el mismo periodo de 2019, en el cual se autorizaron 3 indemnizaciones por valor de $ </w:t>
      </w:r>
      <w:r w:rsidR="00E419AE" w:rsidRPr="00CA48AF">
        <w:rPr>
          <w:rFonts w:ascii="Arial" w:hAnsi="Arial" w:cs="Arial"/>
          <w:color w:val="000000" w:themeColor="text1"/>
          <w:sz w:val="22"/>
          <w:szCs w:val="22"/>
        </w:rPr>
        <w:t xml:space="preserve">24.828.313. </w:t>
      </w:r>
      <w:r w:rsidR="001C4414" w:rsidRPr="00CA48AF">
        <w:rPr>
          <w:rFonts w:ascii="Arial" w:hAnsi="Arial" w:cs="Arial"/>
          <w:color w:val="000000"/>
          <w:sz w:val="22"/>
          <w:szCs w:val="22"/>
        </w:rPr>
        <w:t>Referente a la</w:t>
      </w:r>
      <w:r w:rsidR="003B7CB7" w:rsidRPr="00CA48AF">
        <w:rPr>
          <w:rFonts w:ascii="Arial" w:hAnsi="Arial" w:cs="Arial"/>
          <w:color w:val="000000"/>
          <w:sz w:val="22"/>
          <w:szCs w:val="22"/>
        </w:rPr>
        <w:t xml:space="preserve"> interrupción de</w:t>
      </w:r>
      <w:r w:rsidR="001C4414" w:rsidRPr="00CA48AF">
        <w:rPr>
          <w:rFonts w:ascii="Arial" w:hAnsi="Arial" w:cs="Arial"/>
          <w:color w:val="000000"/>
          <w:sz w:val="22"/>
          <w:szCs w:val="22"/>
        </w:rPr>
        <w:t xml:space="preserve"> vacaciones, durante el </w:t>
      </w:r>
      <w:r w:rsidRPr="00CA48AF">
        <w:rPr>
          <w:rFonts w:ascii="Arial" w:hAnsi="Arial" w:cs="Arial"/>
          <w:color w:val="000000"/>
          <w:sz w:val="22"/>
          <w:szCs w:val="22"/>
        </w:rPr>
        <w:t>tercer trimestre</w:t>
      </w:r>
      <w:r w:rsidR="001C4414" w:rsidRPr="00CA48AF">
        <w:rPr>
          <w:rFonts w:ascii="Arial" w:hAnsi="Arial" w:cs="Arial"/>
          <w:color w:val="000000"/>
          <w:sz w:val="22"/>
          <w:szCs w:val="22"/>
        </w:rPr>
        <w:t xml:space="preserve"> de 2020 se presentaron </w:t>
      </w:r>
      <w:r w:rsidRPr="00CA48AF">
        <w:rPr>
          <w:rFonts w:ascii="Arial" w:hAnsi="Arial" w:cs="Arial"/>
          <w:color w:val="000000"/>
          <w:sz w:val="22"/>
          <w:szCs w:val="22"/>
        </w:rPr>
        <w:t>8</w:t>
      </w:r>
      <w:r w:rsidR="001C4414" w:rsidRPr="00CA48AF">
        <w:rPr>
          <w:rFonts w:ascii="Arial" w:hAnsi="Arial" w:cs="Arial"/>
          <w:color w:val="000000"/>
          <w:sz w:val="22"/>
          <w:szCs w:val="22"/>
        </w:rPr>
        <w:t xml:space="preserve"> </w:t>
      </w:r>
      <w:r w:rsidR="000D2A57" w:rsidRPr="00CA48AF">
        <w:rPr>
          <w:rFonts w:ascii="Arial" w:hAnsi="Arial" w:cs="Arial"/>
          <w:color w:val="000000"/>
          <w:sz w:val="22"/>
          <w:szCs w:val="22"/>
        </w:rPr>
        <w:t>casos</w:t>
      </w:r>
      <w:r w:rsidRPr="00CA48AF">
        <w:rPr>
          <w:rFonts w:ascii="Arial" w:hAnsi="Arial" w:cs="Arial"/>
          <w:color w:val="000000"/>
          <w:sz w:val="22"/>
          <w:szCs w:val="22"/>
        </w:rPr>
        <w:t xml:space="preserve"> y para el mismo periodo de </w:t>
      </w:r>
      <w:r w:rsidR="000D2A57" w:rsidRPr="00CA48AF">
        <w:rPr>
          <w:rFonts w:ascii="Arial" w:hAnsi="Arial" w:cs="Arial"/>
          <w:color w:val="000000"/>
          <w:sz w:val="22"/>
          <w:szCs w:val="22"/>
        </w:rPr>
        <w:t>2019</w:t>
      </w:r>
      <w:r w:rsidR="00780E16" w:rsidRPr="00CA48AF">
        <w:rPr>
          <w:rFonts w:ascii="Arial" w:hAnsi="Arial" w:cs="Arial"/>
          <w:color w:val="000000"/>
          <w:sz w:val="22"/>
          <w:szCs w:val="22"/>
        </w:rPr>
        <w:t xml:space="preserve"> </w:t>
      </w:r>
      <w:r w:rsidR="004B310B" w:rsidRPr="00CA48AF">
        <w:rPr>
          <w:rFonts w:ascii="Arial" w:hAnsi="Arial" w:cs="Arial"/>
          <w:color w:val="000000"/>
          <w:sz w:val="22"/>
          <w:szCs w:val="22"/>
        </w:rPr>
        <w:t xml:space="preserve">se </w:t>
      </w:r>
      <w:r w:rsidR="00780E16" w:rsidRPr="00CA48AF">
        <w:rPr>
          <w:rFonts w:ascii="Arial" w:hAnsi="Arial" w:cs="Arial"/>
          <w:color w:val="000000"/>
          <w:sz w:val="22"/>
          <w:szCs w:val="22"/>
        </w:rPr>
        <w:t xml:space="preserve">habían </w:t>
      </w:r>
      <w:r w:rsidR="004B310B" w:rsidRPr="00CA48AF">
        <w:rPr>
          <w:rFonts w:ascii="Arial" w:hAnsi="Arial" w:cs="Arial"/>
          <w:color w:val="000000"/>
          <w:sz w:val="22"/>
          <w:szCs w:val="22"/>
        </w:rPr>
        <w:t>autoriza</w:t>
      </w:r>
      <w:r w:rsidR="00780E16" w:rsidRPr="00CA48AF">
        <w:rPr>
          <w:rFonts w:ascii="Arial" w:hAnsi="Arial" w:cs="Arial"/>
          <w:color w:val="000000"/>
          <w:sz w:val="22"/>
          <w:szCs w:val="22"/>
        </w:rPr>
        <w:t>do</w:t>
      </w:r>
      <w:r w:rsidR="004B310B" w:rsidRPr="00CA48AF">
        <w:rPr>
          <w:rFonts w:ascii="Arial" w:hAnsi="Arial" w:cs="Arial"/>
          <w:color w:val="000000"/>
          <w:sz w:val="22"/>
          <w:szCs w:val="22"/>
        </w:rPr>
        <w:t xml:space="preserve"> </w:t>
      </w:r>
      <w:r w:rsidRPr="00CA48AF">
        <w:rPr>
          <w:rFonts w:ascii="Arial" w:hAnsi="Arial" w:cs="Arial"/>
          <w:color w:val="000000"/>
          <w:sz w:val="22"/>
          <w:szCs w:val="22"/>
        </w:rPr>
        <w:t>52</w:t>
      </w:r>
      <w:r w:rsidR="004B310B" w:rsidRPr="00CA48AF">
        <w:rPr>
          <w:rFonts w:ascii="Arial" w:hAnsi="Arial" w:cs="Arial"/>
          <w:color w:val="000000"/>
          <w:sz w:val="22"/>
          <w:szCs w:val="22"/>
        </w:rPr>
        <w:t xml:space="preserve"> interrupciones de vacaciones</w:t>
      </w:r>
      <w:r w:rsidRPr="00CA48AF">
        <w:rPr>
          <w:rFonts w:ascii="Arial" w:hAnsi="Arial" w:cs="Arial"/>
          <w:color w:val="000000"/>
          <w:sz w:val="22"/>
          <w:szCs w:val="22"/>
        </w:rPr>
        <w:t xml:space="preserve">, representando una </w:t>
      </w:r>
      <w:r w:rsidRPr="00371AF5">
        <w:rPr>
          <w:rFonts w:ascii="Arial" w:hAnsi="Arial" w:cs="Arial"/>
          <w:b/>
          <w:bCs/>
          <w:color w:val="000000"/>
          <w:sz w:val="22"/>
          <w:szCs w:val="22"/>
        </w:rPr>
        <w:t>reducción</w:t>
      </w:r>
      <w:r w:rsidRPr="00CA48AF">
        <w:rPr>
          <w:rFonts w:ascii="Arial" w:hAnsi="Arial" w:cs="Arial"/>
          <w:color w:val="000000"/>
          <w:sz w:val="22"/>
          <w:szCs w:val="22"/>
        </w:rPr>
        <w:t xml:space="preserve"> </w:t>
      </w:r>
      <w:r w:rsidR="00371AF5">
        <w:rPr>
          <w:rFonts w:ascii="Arial" w:hAnsi="Arial" w:cs="Arial"/>
          <w:color w:val="000000"/>
          <w:sz w:val="22"/>
          <w:szCs w:val="22"/>
        </w:rPr>
        <w:t xml:space="preserve">para este último concepto </w:t>
      </w:r>
      <w:r w:rsidRPr="00CA48AF">
        <w:rPr>
          <w:rFonts w:ascii="Arial" w:hAnsi="Arial" w:cs="Arial"/>
          <w:color w:val="000000"/>
          <w:sz w:val="22"/>
          <w:szCs w:val="22"/>
        </w:rPr>
        <w:t xml:space="preserve">del 85%. </w:t>
      </w:r>
    </w:p>
    <w:p w14:paraId="5F888F97" w14:textId="77777777" w:rsidR="00E43B7F" w:rsidRPr="00CA48AF" w:rsidRDefault="00E43B7F" w:rsidP="007507EA">
      <w:pPr>
        <w:tabs>
          <w:tab w:val="left" w:pos="284"/>
        </w:tabs>
        <w:rPr>
          <w:rFonts w:ascii="Arial" w:hAnsi="Arial" w:cs="Arial"/>
          <w:color w:val="000000"/>
          <w:sz w:val="22"/>
          <w:szCs w:val="22"/>
        </w:rPr>
      </w:pPr>
    </w:p>
    <w:p w14:paraId="26CFD79C" w14:textId="5A7AA940" w:rsidR="00D42058" w:rsidRPr="00CA48AF" w:rsidRDefault="00E43B7F" w:rsidP="007507EA">
      <w:pPr>
        <w:jc w:val="both"/>
        <w:rPr>
          <w:rFonts w:ascii="Arial" w:hAnsi="Arial" w:cs="Arial"/>
          <w:color w:val="000000" w:themeColor="text1"/>
          <w:sz w:val="22"/>
          <w:szCs w:val="22"/>
        </w:rPr>
      </w:pPr>
      <w:r w:rsidRPr="00CA48AF">
        <w:rPr>
          <w:rFonts w:ascii="Arial" w:hAnsi="Arial" w:cs="Arial"/>
          <w:color w:val="000000" w:themeColor="text1"/>
          <w:sz w:val="22"/>
          <w:szCs w:val="22"/>
        </w:rPr>
        <w:t>Sobre lo anterior, l</w:t>
      </w:r>
      <w:r w:rsidR="00691C36" w:rsidRPr="00CA48AF">
        <w:rPr>
          <w:rFonts w:ascii="Arial" w:hAnsi="Arial" w:cs="Arial"/>
          <w:color w:val="000000"/>
          <w:sz w:val="22"/>
          <w:szCs w:val="22"/>
        </w:rPr>
        <w:t>a Subdirección de Gestión de Talento Humano precis</w:t>
      </w:r>
      <w:r w:rsidR="00B6285E" w:rsidRPr="00CA48AF">
        <w:rPr>
          <w:rFonts w:ascii="Arial" w:hAnsi="Arial" w:cs="Arial"/>
          <w:color w:val="000000"/>
          <w:sz w:val="22"/>
          <w:szCs w:val="22"/>
        </w:rPr>
        <w:t>ó</w:t>
      </w:r>
      <w:r w:rsidR="00691C36" w:rsidRPr="00CA48AF">
        <w:rPr>
          <w:rFonts w:ascii="Arial" w:hAnsi="Arial" w:cs="Arial"/>
          <w:color w:val="000000"/>
          <w:sz w:val="22"/>
          <w:szCs w:val="22"/>
        </w:rPr>
        <w:t xml:space="preserve"> que</w:t>
      </w:r>
      <w:r w:rsidR="00B6285E" w:rsidRPr="00CA48AF">
        <w:rPr>
          <w:rFonts w:ascii="Arial" w:hAnsi="Arial" w:cs="Arial"/>
          <w:color w:val="000000"/>
          <w:sz w:val="22"/>
          <w:szCs w:val="22"/>
        </w:rPr>
        <w:t>,</w:t>
      </w:r>
      <w:r w:rsidR="00691C36" w:rsidRPr="00CA48AF">
        <w:rPr>
          <w:rFonts w:ascii="Arial" w:hAnsi="Arial" w:cs="Arial"/>
          <w:color w:val="000000"/>
          <w:sz w:val="22"/>
          <w:szCs w:val="22"/>
        </w:rPr>
        <w:t xml:space="preserve"> tanto para indemnizaciones como para las interrupciones </w:t>
      </w:r>
      <w:r w:rsidR="00730BB9" w:rsidRPr="00CA48AF">
        <w:rPr>
          <w:rFonts w:ascii="Arial" w:hAnsi="Arial" w:cs="Arial"/>
          <w:color w:val="000000"/>
          <w:sz w:val="22"/>
          <w:szCs w:val="22"/>
        </w:rPr>
        <w:t xml:space="preserve">de vacaciones </w:t>
      </w:r>
      <w:r w:rsidR="00691C36" w:rsidRPr="00CA48AF">
        <w:rPr>
          <w:rFonts w:ascii="Arial" w:hAnsi="Arial" w:cs="Arial"/>
          <w:color w:val="000000"/>
          <w:sz w:val="22"/>
          <w:szCs w:val="22"/>
        </w:rPr>
        <w:t>la tendencia no es fija en ningún momento del año, teniendo en cuenta que estas dependen de</w:t>
      </w:r>
      <w:r w:rsidR="003B7CB7" w:rsidRPr="00CA48AF">
        <w:rPr>
          <w:rFonts w:ascii="Arial" w:hAnsi="Arial" w:cs="Arial"/>
          <w:color w:val="000000"/>
          <w:sz w:val="22"/>
          <w:szCs w:val="22"/>
        </w:rPr>
        <w:t xml:space="preserve"> las necesidades del servicio </w:t>
      </w:r>
      <w:r w:rsidR="00D42058" w:rsidRPr="00CA48AF">
        <w:rPr>
          <w:rFonts w:ascii="Arial" w:hAnsi="Arial" w:cs="Arial"/>
          <w:color w:val="000000"/>
          <w:sz w:val="22"/>
          <w:szCs w:val="22"/>
        </w:rPr>
        <w:t>que se presenten en las diferentes dependencias</w:t>
      </w:r>
      <w:r w:rsidR="00647FBA" w:rsidRPr="00CA48AF">
        <w:rPr>
          <w:rFonts w:ascii="Arial" w:hAnsi="Arial" w:cs="Arial"/>
          <w:color w:val="000000"/>
          <w:sz w:val="22"/>
          <w:szCs w:val="22"/>
        </w:rPr>
        <w:t xml:space="preserve">, sin embargo, se deduce que, debido a la aplicación de las medidas y directrices frente a COVID-19 </w:t>
      </w:r>
      <w:r w:rsidR="00FC2A4A" w:rsidRPr="00CA48AF">
        <w:rPr>
          <w:rFonts w:ascii="Arial" w:hAnsi="Arial" w:cs="Arial"/>
          <w:color w:val="000000"/>
          <w:sz w:val="22"/>
          <w:szCs w:val="22"/>
        </w:rPr>
        <w:t xml:space="preserve">fue un factor que </w:t>
      </w:r>
      <w:r w:rsidR="00647FBA" w:rsidRPr="00CA48AF">
        <w:rPr>
          <w:rFonts w:ascii="Arial" w:hAnsi="Arial" w:cs="Arial"/>
          <w:color w:val="000000"/>
          <w:sz w:val="22"/>
          <w:szCs w:val="22"/>
        </w:rPr>
        <w:t>contribuy</w:t>
      </w:r>
      <w:r w:rsidR="00FC2A4A" w:rsidRPr="00CA48AF">
        <w:rPr>
          <w:rFonts w:ascii="Arial" w:hAnsi="Arial" w:cs="Arial"/>
          <w:color w:val="000000"/>
          <w:sz w:val="22"/>
          <w:szCs w:val="22"/>
        </w:rPr>
        <w:t>ó</w:t>
      </w:r>
      <w:r w:rsidR="00647FBA" w:rsidRPr="00CA48AF">
        <w:rPr>
          <w:rFonts w:ascii="Arial" w:hAnsi="Arial" w:cs="Arial"/>
          <w:color w:val="000000"/>
          <w:sz w:val="22"/>
          <w:szCs w:val="22"/>
        </w:rPr>
        <w:t xml:space="preserve"> a la disminución presentada para los conceptos </w:t>
      </w:r>
      <w:r w:rsidR="003D3B90">
        <w:rPr>
          <w:rFonts w:ascii="Arial" w:hAnsi="Arial" w:cs="Arial"/>
          <w:color w:val="000000"/>
          <w:sz w:val="22"/>
          <w:szCs w:val="22"/>
        </w:rPr>
        <w:t xml:space="preserve">antes mencionados. </w:t>
      </w:r>
      <w:r w:rsidR="00647FBA" w:rsidRPr="00CA48AF">
        <w:rPr>
          <w:rFonts w:ascii="Arial" w:hAnsi="Arial" w:cs="Arial"/>
          <w:color w:val="000000"/>
          <w:sz w:val="22"/>
          <w:szCs w:val="22"/>
        </w:rPr>
        <w:t xml:space="preserve"> </w:t>
      </w:r>
    </w:p>
    <w:p w14:paraId="08F536E5" w14:textId="77777777" w:rsidR="00647FBA" w:rsidRPr="00CA48AF" w:rsidRDefault="00647FBA" w:rsidP="007507EA">
      <w:pPr>
        <w:tabs>
          <w:tab w:val="left" w:pos="284"/>
        </w:tabs>
        <w:rPr>
          <w:rFonts w:ascii="Arial" w:hAnsi="Arial" w:cs="Arial"/>
          <w:color w:val="000000"/>
          <w:sz w:val="22"/>
          <w:szCs w:val="22"/>
          <w:highlight w:val="yellow"/>
        </w:rPr>
      </w:pPr>
    </w:p>
    <w:p w14:paraId="23E3CE6A" w14:textId="471E9B13" w:rsidR="00D654A1" w:rsidRPr="00CA48AF" w:rsidRDefault="00D654A1" w:rsidP="007507EA">
      <w:pPr>
        <w:jc w:val="both"/>
        <w:rPr>
          <w:rFonts w:ascii="Arial" w:hAnsi="Arial" w:cs="Arial"/>
          <w:color w:val="000000" w:themeColor="text1"/>
          <w:sz w:val="22"/>
          <w:szCs w:val="22"/>
        </w:rPr>
      </w:pPr>
      <w:r w:rsidRPr="00CA48AF">
        <w:rPr>
          <w:rFonts w:ascii="Arial" w:hAnsi="Arial" w:cs="Arial"/>
          <w:color w:val="000000" w:themeColor="text1"/>
          <w:sz w:val="22"/>
          <w:szCs w:val="22"/>
        </w:rPr>
        <w:t xml:space="preserve">De acuerdo con las cifras correspondientes a las obligaciones por concepto de gastos de nómina, consultadas mediante el reporte de </w:t>
      </w:r>
      <w:r w:rsidRPr="00CA48AF">
        <w:rPr>
          <w:rFonts w:ascii="Arial" w:hAnsi="Arial" w:cs="Arial"/>
          <w:i/>
          <w:iCs/>
          <w:color w:val="000000" w:themeColor="text1"/>
          <w:sz w:val="22"/>
          <w:szCs w:val="22"/>
        </w:rPr>
        <w:t xml:space="preserve">ejecución presupuestal agregada </w:t>
      </w:r>
      <w:r w:rsidRPr="00CA48AF">
        <w:rPr>
          <w:rFonts w:ascii="Arial" w:hAnsi="Arial" w:cs="Arial"/>
          <w:color w:val="000000" w:themeColor="text1"/>
          <w:sz w:val="22"/>
          <w:szCs w:val="22"/>
        </w:rPr>
        <w:t xml:space="preserve">del SIIF, a continuación, se presenta </w:t>
      </w:r>
      <w:r w:rsidR="002205C9">
        <w:rPr>
          <w:rFonts w:ascii="Arial" w:hAnsi="Arial" w:cs="Arial"/>
          <w:color w:val="000000" w:themeColor="text1"/>
          <w:sz w:val="22"/>
          <w:szCs w:val="22"/>
        </w:rPr>
        <w:t xml:space="preserve">la variación del </w:t>
      </w:r>
      <w:r w:rsidRPr="00CA48AF">
        <w:rPr>
          <w:rFonts w:ascii="Arial" w:hAnsi="Arial" w:cs="Arial"/>
          <w:color w:val="000000" w:themeColor="text1"/>
          <w:sz w:val="22"/>
          <w:szCs w:val="22"/>
        </w:rPr>
        <w:t xml:space="preserve">gasto de personal para el </w:t>
      </w:r>
      <w:r w:rsidR="002205C9">
        <w:rPr>
          <w:rFonts w:ascii="Arial" w:hAnsi="Arial" w:cs="Arial"/>
          <w:color w:val="000000" w:themeColor="text1"/>
          <w:sz w:val="22"/>
          <w:szCs w:val="22"/>
        </w:rPr>
        <w:t xml:space="preserve">tercer </w:t>
      </w:r>
      <w:r w:rsidRPr="00CA48AF">
        <w:rPr>
          <w:rFonts w:ascii="Arial" w:hAnsi="Arial" w:cs="Arial"/>
          <w:color w:val="000000" w:themeColor="text1"/>
          <w:sz w:val="22"/>
          <w:szCs w:val="22"/>
        </w:rPr>
        <w:t>trimestre de 2020</w:t>
      </w:r>
      <w:r w:rsidR="002205C9">
        <w:rPr>
          <w:rFonts w:ascii="Arial" w:hAnsi="Arial" w:cs="Arial"/>
          <w:color w:val="000000" w:themeColor="text1"/>
          <w:sz w:val="22"/>
          <w:szCs w:val="22"/>
        </w:rPr>
        <w:t xml:space="preserve"> comparado con el mismo periodo de 2019: </w:t>
      </w:r>
    </w:p>
    <w:p w14:paraId="75729078" w14:textId="77777777" w:rsidR="00D654A1" w:rsidRPr="00CA48AF" w:rsidRDefault="00D654A1" w:rsidP="00D654A1">
      <w:pPr>
        <w:jc w:val="both"/>
        <w:rPr>
          <w:rFonts w:ascii="Arial" w:hAnsi="Arial" w:cs="Arial"/>
          <w:color w:val="000000" w:themeColor="text1"/>
          <w:sz w:val="22"/>
          <w:szCs w:val="22"/>
        </w:rPr>
      </w:pPr>
    </w:p>
    <w:tbl>
      <w:tblPr>
        <w:tblStyle w:val="Tabladecuadrcula1clara-nfasis1"/>
        <w:tblW w:w="9634" w:type="dxa"/>
        <w:tblLayout w:type="fixed"/>
        <w:tblLook w:val="04A0" w:firstRow="1" w:lastRow="0" w:firstColumn="1" w:lastColumn="0" w:noHBand="0" w:noVBand="1"/>
      </w:tblPr>
      <w:tblGrid>
        <w:gridCol w:w="2405"/>
        <w:gridCol w:w="2552"/>
        <w:gridCol w:w="1559"/>
        <w:gridCol w:w="1559"/>
        <w:gridCol w:w="1559"/>
      </w:tblGrid>
      <w:tr w:rsidR="00E108D2" w:rsidRPr="00CA48AF" w14:paraId="0D0BB289" w14:textId="77777777" w:rsidTr="00E43B7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4F81BD" w:themeFill="accent1"/>
            <w:vAlign w:val="center"/>
            <w:hideMark/>
          </w:tcPr>
          <w:p w14:paraId="76393DFB" w14:textId="7270C098" w:rsidR="00E108D2" w:rsidRPr="00CA48AF" w:rsidRDefault="00E108D2" w:rsidP="007507EA">
            <w:pPr>
              <w:widowControl w:val="0"/>
              <w:spacing w:before="120" w:after="120"/>
              <w:jc w:val="center"/>
              <w:rPr>
                <w:rFonts w:ascii="Arial" w:hAnsi="Arial" w:cs="Arial"/>
                <w:color w:val="0F243E" w:themeColor="text2" w:themeShade="80"/>
                <w:sz w:val="20"/>
                <w:szCs w:val="20"/>
              </w:rPr>
            </w:pPr>
            <w:r w:rsidRPr="00CA48AF">
              <w:rPr>
                <w:rFonts w:ascii="Arial" w:hAnsi="Arial" w:cs="Arial"/>
                <w:color w:val="FFFFFF" w:themeColor="background1"/>
                <w:sz w:val="20"/>
                <w:szCs w:val="20"/>
              </w:rPr>
              <w:t>Gastos Planta de Personal 2020 - 2019 ($)</w:t>
            </w:r>
          </w:p>
        </w:tc>
      </w:tr>
      <w:tr w:rsidR="00E108D2" w:rsidRPr="00CA48AF" w14:paraId="11898A53" w14:textId="77777777" w:rsidTr="00E43B7F">
        <w:trPr>
          <w:cantSplit/>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DBE5F1" w:themeFill="accent1" w:themeFillTint="33"/>
            <w:vAlign w:val="center"/>
            <w:hideMark/>
          </w:tcPr>
          <w:p w14:paraId="14CCD810" w14:textId="77777777" w:rsidR="00E108D2" w:rsidRPr="00CA48AF" w:rsidRDefault="00E108D2" w:rsidP="007507EA">
            <w:pPr>
              <w:widowControl w:val="0"/>
              <w:spacing w:before="120" w:after="12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III Trimestre 2020</w:t>
            </w:r>
          </w:p>
        </w:tc>
      </w:tr>
      <w:tr w:rsidR="00E43B7F" w:rsidRPr="00CA48AF" w14:paraId="537CF3FF"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vAlign w:val="center"/>
            <w:hideMark/>
          </w:tcPr>
          <w:p w14:paraId="648C4194" w14:textId="56B0D52E" w:rsidR="00E108D2" w:rsidRPr="00CA48AF" w:rsidRDefault="00E108D2" w:rsidP="007507EA">
            <w:pPr>
              <w:widowControl w:val="0"/>
              <w:spacing w:before="120" w:after="12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Rubro Presupuestal</w:t>
            </w:r>
          </w:p>
        </w:tc>
        <w:tc>
          <w:tcPr>
            <w:tcW w:w="2552" w:type="dxa"/>
            <w:shd w:val="clear" w:color="auto" w:fill="DBE5F1" w:themeFill="accent1" w:themeFillTint="33"/>
            <w:vAlign w:val="center"/>
            <w:hideMark/>
          </w:tcPr>
          <w:p w14:paraId="73BCCA24"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Concepto</w:t>
            </w:r>
          </w:p>
        </w:tc>
        <w:tc>
          <w:tcPr>
            <w:tcW w:w="1559" w:type="dxa"/>
            <w:shd w:val="clear" w:color="auto" w:fill="DBE5F1" w:themeFill="accent1" w:themeFillTint="33"/>
            <w:vAlign w:val="center"/>
            <w:hideMark/>
          </w:tcPr>
          <w:p w14:paraId="2CA3BF31"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Julio</w:t>
            </w:r>
          </w:p>
        </w:tc>
        <w:tc>
          <w:tcPr>
            <w:tcW w:w="1559" w:type="dxa"/>
            <w:shd w:val="clear" w:color="auto" w:fill="DBE5F1" w:themeFill="accent1" w:themeFillTint="33"/>
            <w:vAlign w:val="center"/>
            <w:hideMark/>
          </w:tcPr>
          <w:p w14:paraId="20EA74DF"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Agosto </w:t>
            </w:r>
          </w:p>
        </w:tc>
        <w:tc>
          <w:tcPr>
            <w:tcW w:w="1559" w:type="dxa"/>
            <w:shd w:val="clear" w:color="auto" w:fill="DBE5F1" w:themeFill="accent1" w:themeFillTint="33"/>
            <w:vAlign w:val="center"/>
            <w:hideMark/>
          </w:tcPr>
          <w:p w14:paraId="5D926015"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Septiembre</w:t>
            </w:r>
          </w:p>
        </w:tc>
      </w:tr>
      <w:tr w:rsidR="00E108D2" w:rsidRPr="00CA48AF" w14:paraId="4170557D" w14:textId="77777777" w:rsidTr="007507EA">
        <w:trPr>
          <w:cantSplit/>
          <w:trHeight w:val="646"/>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BA96CD4" w14:textId="77777777" w:rsidR="00E108D2" w:rsidRPr="007507EA" w:rsidRDefault="00E108D2" w:rsidP="007507EA">
            <w:pPr>
              <w:widowControl w:val="0"/>
              <w:spacing w:before="120" w:after="12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A-01-01-01</w:t>
            </w:r>
          </w:p>
        </w:tc>
        <w:tc>
          <w:tcPr>
            <w:tcW w:w="2552" w:type="dxa"/>
            <w:vAlign w:val="center"/>
            <w:hideMark/>
          </w:tcPr>
          <w:p w14:paraId="2DC0F023"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Salarios </w:t>
            </w:r>
          </w:p>
        </w:tc>
        <w:tc>
          <w:tcPr>
            <w:tcW w:w="1559" w:type="dxa"/>
            <w:vAlign w:val="center"/>
            <w:hideMark/>
          </w:tcPr>
          <w:p w14:paraId="5DC93093" w14:textId="1709E82A"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7.523.958.348 </w:t>
            </w:r>
          </w:p>
        </w:tc>
        <w:tc>
          <w:tcPr>
            <w:tcW w:w="1559" w:type="dxa"/>
            <w:vAlign w:val="center"/>
            <w:hideMark/>
          </w:tcPr>
          <w:p w14:paraId="0A596AA5" w14:textId="76A2FF1B"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6.040.644.898 </w:t>
            </w:r>
          </w:p>
        </w:tc>
        <w:tc>
          <w:tcPr>
            <w:tcW w:w="1559" w:type="dxa"/>
            <w:vAlign w:val="center"/>
            <w:hideMark/>
          </w:tcPr>
          <w:p w14:paraId="235CFD5B" w14:textId="23F3A358"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6.014.857.594 </w:t>
            </w:r>
          </w:p>
        </w:tc>
      </w:tr>
      <w:tr w:rsidR="00E108D2" w:rsidRPr="00CA48AF" w14:paraId="505579E1"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D8C768D" w14:textId="77777777" w:rsidR="00E108D2" w:rsidRPr="007507EA" w:rsidRDefault="00E108D2" w:rsidP="007507EA">
            <w:pPr>
              <w:widowControl w:val="0"/>
              <w:spacing w:before="120" w:after="12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A-03-04-02-012-001</w:t>
            </w:r>
          </w:p>
        </w:tc>
        <w:tc>
          <w:tcPr>
            <w:tcW w:w="2552" w:type="dxa"/>
            <w:vAlign w:val="center"/>
            <w:hideMark/>
          </w:tcPr>
          <w:p w14:paraId="60ACC667"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Incapacidades (no de pensiones)</w:t>
            </w:r>
          </w:p>
        </w:tc>
        <w:tc>
          <w:tcPr>
            <w:tcW w:w="1559" w:type="dxa"/>
            <w:vAlign w:val="center"/>
            <w:hideMark/>
          </w:tcPr>
          <w:p w14:paraId="5F444CAF" w14:textId="721C466E"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8.645.252 </w:t>
            </w:r>
          </w:p>
        </w:tc>
        <w:tc>
          <w:tcPr>
            <w:tcW w:w="1559" w:type="dxa"/>
            <w:vAlign w:val="center"/>
            <w:hideMark/>
          </w:tcPr>
          <w:p w14:paraId="5A3ECBA9" w14:textId="499CCAFE"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(512.613) </w:t>
            </w:r>
          </w:p>
        </w:tc>
        <w:tc>
          <w:tcPr>
            <w:tcW w:w="1559" w:type="dxa"/>
            <w:vAlign w:val="center"/>
            <w:hideMark/>
          </w:tcPr>
          <w:p w14:paraId="3617F66D" w14:textId="75E7AFBE"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17.164.618 </w:t>
            </w:r>
          </w:p>
        </w:tc>
      </w:tr>
      <w:tr w:rsidR="00E108D2" w:rsidRPr="00CA48AF" w14:paraId="4620EFDF"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A31951C" w14:textId="77777777" w:rsidR="00E108D2" w:rsidRPr="007507EA" w:rsidRDefault="00E108D2" w:rsidP="007507EA">
            <w:pPr>
              <w:widowControl w:val="0"/>
              <w:spacing w:before="120" w:after="12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A-03-04-02-012-002</w:t>
            </w:r>
          </w:p>
        </w:tc>
        <w:tc>
          <w:tcPr>
            <w:tcW w:w="2552" w:type="dxa"/>
            <w:vAlign w:val="center"/>
            <w:hideMark/>
          </w:tcPr>
          <w:p w14:paraId="5B325459"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Licencias de Maternidad y Paternidad (no de pensiones)</w:t>
            </w:r>
          </w:p>
        </w:tc>
        <w:tc>
          <w:tcPr>
            <w:tcW w:w="1559" w:type="dxa"/>
            <w:vAlign w:val="center"/>
            <w:hideMark/>
          </w:tcPr>
          <w:p w14:paraId="34DAB9DE" w14:textId="14CF1356"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9.287.546 </w:t>
            </w:r>
          </w:p>
        </w:tc>
        <w:tc>
          <w:tcPr>
            <w:tcW w:w="1559" w:type="dxa"/>
            <w:vAlign w:val="center"/>
            <w:hideMark/>
          </w:tcPr>
          <w:p w14:paraId="461943D4" w14:textId="1F244F09"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50.487.288 </w:t>
            </w:r>
          </w:p>
        </w:tc>
        <w:tc>
          <w:tcPr>
            <w:tcW w:w="1559" w:type="dxa"/>
            <w:vAlign w:val="center"/>
            <w:hideMark/>
          </w:tcPr>
          <w:p w14:paraId="524BEF1C" w14:textId="5800F1E8"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8.673.646 </w:t>
            </w:r>
          </w:p>
        </w:tc>
      </w:tr>
      <w:tr w:rsidR="00E108D2" w:rsidRPr="00CA48AF" w14:paraId="2E9FC2B3" w14:textId="77777777" w:rsidTr="001E281F">
        <w:trPr>
          <w:cantSplit/>
          <w:trHeight w:val="594"/>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4F81BD" w:themeColor="accent1"/>
            </w:tcBorders>
            <w:vAlign w:val="center"/>
            <w:hideMark/>
          </w:tcPr>
          <w:p w14:paraId="789F0AA9" w14:textId="77777777" w:rsidR="00E108D2" w:rsidRPr="007507EA" w:rsidRDefault="00E108D2" w:rsidP="007507EA">
            <w:pPr>
              <w:widowControl w:val="0"/>
              <w:spacing w:before="120" w:after="12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A-01-01-01-001-008</w:t>
            </w:r>
          </w:p>
        </w:tc>
        <w:tc>
          <w:tcPr>
            <w:tcW w:w="2552" w:type="dxa"/>
            <w:tcBorders>
              <w:bottom w:val="single" w:sz="4" w:space="0" w:color="4F81BD" w:themeColor="accent1"/>
            </w:tcBorders>
            <w:vAlign w:val="center"/>
            <w:hideMark/>
          </w:tcPr>
          <w:p w14:paraId="0868EEA2" w14:textId="77777777" w:rsidR="00E108D2" w:rsidRPr="00CA48AF" w:rsidRDefault="00E108D2" w:rsidP="007507EA">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Horas Extras</w:t>
            </w:r>
          </w:p>
        </w:tc>
        <w:tc>
          <w:tcPr>
            <w:tcW w:w="1559" w:type="dxa"/>
            <w:tcBorders>
              <w:bottom w:val="single" w:sz="4" w:space="0" w:color="4F81BD" w:themeColor="accent1"/>
            </w:tcBorders>
            <w:vAlign w:val="center"/>
            <w:hideMark/>
          </w:tcPr>
          <w:p w14:paraId="3C976C6E" w14:textId="1CC29258"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(9.732.144) </w:t>
            </w:r>
          </w:p>
        </w:tc>
        <w:tc>
          <w:tcPr>
            <w:tcW w:w="1559" w:type="dxa"/>
            <w:tcBorders>
              <w:bottom w:val="single" w:sz="4" w:space="0" w:color="4F81BD" w:themeColor="accent1"/>
            </w:tcBorders>
            <w:vAlign w:val="center"/>
            <w:hideMark/>
          </w:tcPr>
          <w:p w14:paraId="18279EEA" w14:textId="54D060C4"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(9.364.175) </w:t>
            </w:r>
          </w:p>
        </w:tc>
        <w:tc>
          <w:tcPr>
            <w:tcW w:w="1559" w:type="dxa"/>
            <w:tcBorders>
              <w:bottom w:val="single" w:sz="4" w:space="0" w:color="4F81BD" w:themeColor="accent1"/>
            </w:tcBorders>
            <w:vAlign w:val="center"/>
            <w:hideMark/>
          </w:tcPr>
          <w:p w14:paraId="43084083" w14:textId="3C7EBBC2"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(9.804.128) </w:t>
            </w:r>
          </w:p>
        </w:tc>
      </w:tr>
      <w:tr w:rsidR="00E43B7F" w:rsidRPr="00CA48AF" w14:paraId="16649BC5"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4F81BD" w:themeColor="accent1"/>
              <w:bottom w:val="single" w:sz="4" w:space="0" w:color="4F81BD" w:themeColor="accent1"/>
            </w:tcBorders>
            <w:shd w:val="clear" w:color="auto" w:fill="FFFFFF" w:themeFill="background1"/>
            <w:vAlign w:val="center"/>
            <w:hideMark/>
          </w:tcPr>
          <w:p w14:paraId="41FD1017" w14:textId="3FEC516E" w:rsidR="00E108D2" w:rsidRPr="00CA48AF" w:rsidRDefault="00E108D2" w:rsidP="007507EA">
            <w:pPr>
              <w:widowControl w:val="0"/>
              <w:spacing w:before="120" w:after="12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Total Gastos Personales 2020</w:t>
            </w:r>
          </w:p>
        </w:tc>
        <w:tc>
          <w:tcPr>
            <w:tcW w:w="1559" w:type="dxa"/>
            <w:tcBorders>
              <w:top w:val="single" w:sz="4" w:space="0" w:color="4F81BD" w:themeColor="accent1"/>
              <w:bottom w:val="single" w:sz="4" w:space="0" w:color="4F81BD" w:themeColor="accent1"/>
            </w:tcBorders>
            <w:shd w:val="clear" w:color="auto" w:fill="FFFFFF" w:themeFill="background1"/>
            <w:vAlign w:val="center"/>
            <w:hideMark/>
          </w:tcPr>
          <w:p w14:paraId="245F0BA3" w14:textId="6F75008C"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7.532.159.002 </w:t>
            </w:r>
          </w:p>
        </w:tc>
        <w:tc>
          <w:tcPr>
            <w:tcW w:w="1559" w:type="dxa"/>
            <w:tcBorders>
              <w:top w:val="single" w:sz="4" w:space="0" w:color="4F81BD" w:themeColor="accent1"/>
              <w:bottom w:val="single" w:sz="4" w:space="0" w:color="4F81BD" w:themeColor="accent1"/>
            </w:tcBorders>
            <w:shd w:val="clear" w:color="auto" w:fill="FFFFFF" w:themeFill="background1"/>
            <w:vAlign w:val="center"/>
            <w:hideMark/>
          </w:tcPr>
          <w:p w14:paraId="6D4E386A" w14:textId="6814BE88"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6.081.255.398 </w:t>
            </w:r>
          </w:p>
        </w:tc>
        <w:tc>
          <w:tcPr>
            <w:tcW w:w="1559" w:type="dxa"/>
            <w:tcBorders>
              <w:top w:val="single" w:sz="4" w:space="0" w:color="4F81BD" w:themeColor="accent1"/>
            </w:tcBorders>
            <w:shd w:val="clear" w:color="auto" w:fill="FFFFFF" w:themeFill="background1"/>
            <w:vAlign w:val="center"/>
            <w:hideMark/>
          </w:tcPr>
          <w:p w14:paraId="6CD7304B" w14:textId="24186004" w:rsidR="00E108D2" w:rsidRPr="00CA48AF" w:rsidRDefault="00E108D2" w:rsidP="007507EA">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6.030.891.730 </w:t>
            </w:r>
          </w:p>
        </w:tc>
      </w:tr>
      <w:tr w:rsidR="00E108D2" w:rsidRPr="00CA48AF" w14:paraId="3DD4E4D7" w14:textId="77777777" w:rsidTr="007507EA">
        <w:tc>
          <w:tcPr>
            <w:cnfStyle w:val="001000000000" w:firstRow="0" w:lastRow="0" w:firstColumn="1" w:lastColumn="0" w:oddVBand="0" w:evenVBand="0" w:oddHBand="0" w:evenHBand="0" w:firstRowFirstColumn="0" w:firstRowLastColumn="0" w:lastRowFirstColumn="0" w:lastRowLastColumn="0"/>
            <w:tcW w:w="9634" w:type="dxa"/>
            <w:gridSpan w:val="5"/>
            <w:tcBorders>
              <w:top w:val="single" w:sz="4" w:space="0" w:color="4F81BD" w:themeColor="accent1"/>
            </w:tcBorders>
            <w:shd w:val="clear" w:color="auto" w:fill="DBE5F1" w:themeFill="accent1" w:themeFillTint="33"/>
            <w:vAlign w:val="center"/>
            <w:hideMark/>
          </w:tcPr>
          <w:p w14:paraId="2CB8850C" w14:textId="77777777" w:rsidR="00E108D2" w:rsidRPr="00CA48AF" w:rsidRDefault="00E108D2" w:rsidP="007507EA">
            <w:pPr>
              <w:widowControl w:val="0"/>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lastRenderedPageBreak/>
              <w:t>III Trimestre 2019</w:t>
            </w:r>
          </w:p>
        </w:tc>
      </w:tr>
      <w:tr w:rsidR="00E43B7F" w:rsidRPr="00CA48AF" w14:paraId="06D3829A" w14:textId="77777777" w:rsidTr="007507EA">
        <w:tc>
          <w:tcPr>
            <w:cnfStyle w:val="001000000000" w:firstRow="0" w:lastRow="0" w:firstColumn="1" w:lastColumn="0" w:oddVBand="0" w:evenVBand="0" w:oddHBand="0" w:evenHBand="0" w:firstRowFirstColumn="0" w:firstRowLastColumn="0" w:lastRowFirstColumn="0" w:lastRowLastColumn="0"/>
            <w:tcW w:w="2405" w:type="dxa"/>
            <w:shd w:val="clear" w:color="auto" w:fill="DBE5F1" w:themeFill="accent1" w:themeFillTint="33"/>
            <w:vAlign w:val="center"/>
            <w:hideMark/>
          </w:tcPr>
          <w:p w14:paraId="2B5BF0E3" w14:textId="75A1627D" w:rsidR="00E108D2" w:rsidRPr="00CA48AF" w:rsidRDefault="00E108D2" w:rsidP="007507EA">
            <w:pPr>
              <w:widowControl w:val="0"/>
              <w:spacing w:before="8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Rubro Presupuestal</w:t>
            </w:r>
          </w:p>
        </w:tc>
        <w:tc>
          <w:tcPr>
            <w:tcW w:w="2552" w:type="dxa"/>
            <w:shd w:val="clear" w:color="auto" w:fill="DBE5F1" w:themeFill="accent1" w:themeFillTint="33"/>
            <w:vAlign w:val="center"/>
            <w:hideMark/>
          </w:tcPr>
          <w:p w14:paraId="0134F3B5"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Concepto</w:t>
            </w:r>
          </w:p>
        </w:tc>
        <w:tc>
          <w:tcPr>
            <w:tcW w:w="1559" w:type="dxa"/>
            <w:shd w:val="clear" w:color="auto" w:fill="DBE5F1" w:themeFill="accent1" w:themeFillTint="33"/>
            <w:vAlign w:val="center"/>
            <w:hideMark/>
          </w:tcPr>
          <w:p w14:paraId="677625EB"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Julio</w:t>
            </w:r>
          </w:p>
        </w:tc>
        <w:tc>
          <w:tcPr>
            <w:tcW w:w="1559" w:type="dxa"/>
            <w:shd w:val="clear" w:color="auto" w:fill="DBE5F1" w:themeFill="accent1" w:themeFillTint="33"/>
            <w:vAlign w:val="center"/>
            <w:hideMark/>
          </w:tcPr>
          <w:p w14:paraId="3A9986EF"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Agosto </w:t>
            </w:r>
          </w:p>
        </w:tc>
        <w:tc>
          <w:tcPr>
            <w:tcW w:w="1559" w:type="dxa"/>
            <w:shd w:val="clear" w:color="auto" w:fill="DBE5F1" w:themeFill="accent1" w:themeFillTint="33"/>
            <w:vAlign w:val="center"/>
            <w:hideMark/>
          </w:tcPr>
          <w:p w14:paraId="2EDA469B"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Septiembre</w:t>
            </w:r>
          </w:p>
        </w:tc>
      </w:tr>
      <w:tr w:rsidR="00E108D2" w:rsidRPr="00CA48AF" w14:paraId="7BC06F15"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B45FCB3" w14:textId="77777777" w:rsidR="00E108D2" w:rsidRPr="007507EA" w:rsidRDefault="00E108D2" w:rsidP="007507EA">
            <w:pPr>
              <w:widowControl w:val="0"/>
              <w:spacing w:before="80" w:after="8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A-01-01-01</w:t>
            </w:r>
          </w:p>
        </w:tc>
        <w:tc>
          <w:tcPr>
            <w:tcW w:w="2552" w:type="dxa"/>
            <w:vAlign w:val="center"/>
            <w:hideMark/>
          </w:tcPr>
          <w:p w14:paraId="46FC460E"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Salarios </w:t>
            </w:r>
          </w:p>
        </w:tc>
        <w:tc>
          <w:tcPr>
            <w:tcW w:w="1559" w:type="dxa"/>
            <w:vAlign w:val="center"/>
            <w:hideMark/>
          </w:tcPr>
          <w:p w14:paraId="571857A2" w14:textId="5628329F"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5.872.123.033 </w:t>
            </w:r>
          </w:p>
        </w:tc>
        <w:tc>
          <w:tcPr>
            <w:tcW w:w="1559" w:type="dxa"/>
            <w:vAlign w:val="center"/>
            <w:hideMark/>
          </w:tcPr>
          <w:p w14:paraId="5BE6C5CE" w14:textId="5593BDA8"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5.681.726.441 </w:t>
            </w:r>
          </w:p>
        </w:tc>
        <w:tc>
          <w:tcPr>
            <w:tcW w:w="1559" w:type="dxa"/>
            <w:vAlign w:val="center"/>
            <w:hideMark/>
          </w:tcPr>
          <w:p w14:paraId="3F3F5584" w14:textId="5F7E0DF6"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5.376.491.979 </w:t>
            </w:r>
          </w:p>
        </w:tc>
      </w:tr>
      <w:tr w:rsidR="00E108D2" w:rsidRPr="00CA48AF" w14:paraId="77AB2CD1"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072796F" w14:textId="77777777" w:rsidR="00E108D2" w:rsidRPr="007507EA" w:rsidRDefault="00E108D2" w:rsidP="007507EA">
            <w:pPr>
              <w:widowControl w:val="0"/>
              <w:spacing w:before="80" w:after="8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A-03-04-02-012-001</w:t>
            </w:r>
          </w:p>
        </w:tc>
        <w:tc>
          <w:tcPr>
            <w:tcW w:w="2552" w:type="dxa"/>
            <w:vAlign w:val="center"/>
            <w:hideMark/>
          </w:tcPr>
          <w:p w14:paraId="62A95417"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Incapacidades (no de pensiones)</w:t>
            </w:r>
          </w:p>
        </w:tc>
        <w:tc>
          <w:tcPr>
            <w:tcW w:w="1559" w:type="dxa"/>
            <w:vAlign w:val="center"/>
            <w:hideMark/>
          </w:tcPr>
          <w:p w14:paraId="150BDC1C" w14:textId="47C43272"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10.304.781 </w:t>
            </w:r>
          </w:p>
        </w:tc>
        <w:tc>
          <w:tcPr>
            <w:tcW w:w="1559" w:type="dxa"/>
            <w:vAlign w:val="center"/>
            <w:hideMark/>
          </w:tcPr>
          <w:p w14:paraId="0307EB47" w14:textId="4CD00805"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2.074.247 </w:t>
            </w:r>
          </w:p>
        </w:tc>
        <w:tc>
          <w:tcPr>
            <w:tcW w:w="1559" w:type="dxa"/>
            <w:vAlign w:val="center"/>
            <w:hideMark/>
          </w:tcPr>
          <w:p w14:paraId="61D9B2BF" w14:textId="63D08207"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12.255.841 </w:t>
            </w:r>
          </w:p>
        </w:tc>
      </w:tr>
      <w:tr w:rsidR="00E108D2" w:rsidRPr="00CA48AF" w14:paraId="543A1087"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7CE34030" w14:textId="77777777" w:rsidR="00E108D2" w:rsidRPr="007507EA" w:rsidRDefault="00E108D2" w:rsidP="007507EA">
            <w:pPr>
              <w:widowControl w:val="0"/>
              <w:spacing w:before="80" w:after="8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A-03-04-02-012-002</w:t>
            </w:r>
          </w:p>
        </w:tc>
        <w:tc>
          <w:tcPr>
            <w:tcW w:w="2552" w:type="dxa"/>
            <w:vAlign w:val="center"/>
            <w:hideMark/>
          </w:tcPr>
          <w:p w14:paraId="352271CA"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Licencias de Maternidad y Paternidad (no de pensiones)</w:t>
            </w:r>
          </w:p>
        </w:tc>
        <w:tc>
          <w:tcPr>
            <w:tcW w:w="1559" w:type="dxa"/>
            <w:vAlign w:val="center"/>
            <w:hideMark/>
          </w:tcPr>
          <w:p w14:paraId="05743212" w14:textId="51193B0E"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4.001.331 </w:t>
            </w:r>
          </w:p>
        </w:tc>
        <w:tc>
          <w:tcPr>
            <w:tcW w:w="1559" w:type="dxa"/>
            <w:vAlign w:val="center"/>
            <w:hideMark/>
          </w:tcPr>
          <w:p w14:paraId="55B18E4A" w14:textId="7C8094E4"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0</w:t>
            </w:r>
          </w:p>
        </w:tc>
        <w:tc>
          <w:tcPr>
            <w:tcW w:w="1559" w:type="dxa"/>
            <w:vAlign w:val="center"/>
            <w:hideMark/>
          </w:tcPr>
          <w:p w14:paraId="17AC9E1A" w14:textId="0308E458"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(24.966.323) </w:t>
            </w:r>
          </w:p>
        </w:tc>
      </w:tr>
      <w:tr w:rsidR="00E108D2" w:rsidRPr="00CA48AF" w14:paraId="014AD156"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F81BD" w:themeColor="accent1"/>
            </w:tcBorders>
            <w:vAlign w:val="center"/>
            <w:hideMark/>
          </w:tcPr>
          <w:p w14:paraId="5298F704" w14:textId="77777777" w:rsidR="00E108D2" w:rsidRPr="007507EA" w:rsidRDefault="00E108D2" w:rsidP="007507EA">
            <w:pPr>
              <w:widowControl w:val="0"/>
              <w:spacing w:before="80" w:after="80"/>
              <w:rPr>
                <w:rFonts w:ascii="Arial" w:hAnsi="Arial" w:cs="Arial"/>
                <w:b w:val="0"/>
                <w:bCs w:val="0"/>
                <w:color w:val="0F243E" w:themeColor="text2" w:themeShade="80"/>
                <w:sz w:val="20"/>
                <w:szCs w:val="20"/>
              </w:rPr>
            </w:pPr>
            <w:r w:rsidRPr="007507EA">
              <w:rPr>
                <w:rFonts w:ascii="Arial" w:hAnsi="Arial" w:cs="Arial"/>
                <w:b w:val="0"/>
                <w:bCs w:val="0"/>
                <w:color w:val="0F243E" w:themeColor="text2" w:themeShade="80"/>
                <w:sz w:val="20"/>
                <w:szCs w:val="20"/>
              </w:rPr>
              <w:t>A-01-01-01-001-008</w:t>
            </w:r>
          </w:p>
        </w:tc>
        <w:tc>
          <w:tcPr>
            <w:tcW w:w="2552" w:type="dxa"/>
            <w:tcBorders>
              <w:bottom w:val="single" w:sz="12" w:space="0" w:color="4F81BD" w:themeColor="accent1"/>
            </w:tcBorders>
            <w:vAlign w:val="center"/>
            <w:hideMark/>
          </w:tcPr>
          <w:p w14:paraId="5149247A"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Horas Extras</w:t>
            </w:r>
          </w:p>
        </w:tc>
        <w:tc>
          <w:tcPr>
            <w:tcW w:w="1559" w:type="dxa"/>
            <w:tcBorders>
              <w:bottom w:val="single" w:sz="12" w:space="0" w:color="4F81BD" w:themeColor="accent1"/>
            </w:tcBorders>
            <w:vAlign w:val="center"/>
            <w:hideMark/>
          </w:tcPr>
          <w:p w14:paraId="7E0935DB" w14:textId="2980103C" w:rsidR="00E108D2" w:rsidRPr="00CA48AF" w:rsidRDefault="00E43B7F"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32.847.891</w:t>
            </w: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 xml:space="preserve"> </w:t>
            </w:r>
          </w:p>
        </w:tc>
        <w:tc>
          <w:tcPr>
            <w:tcW w:w="1559" w:type="dxa"/>
            <w:tcBorders>
              <w:bottom w:val="single" w:sz="12" w:space="0" w:color="4F81BD" w:themeColor="accent1"/>
            </w:tcBorders>
            <w:vAlign w:val="center"/>
            <w:hideMark/>
          </w:tcPr>
          <w:p w14:paraId="42641515" w14:textId="77E69306" w:rsidR="00E108D2" w:rsidRPr="00CA48AF" w:rsidRDefault="00E43B7F"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27.029.025</w:t>
            </w: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 xml:space="preserve"> </w:t>
            </w:r>
          </w:p>
        </w:tc>
        <w:tc>
          <w:tcPr>
            <w:tcW w:w="1559" w:type="dxa"/>
            <w:vAlign w:val="center"/>
            <w:hideMark/>
          </w:tcPr>
          <w:p w14:paraId="1489B0A8" w14:textId="1DCC4A25" w:rsidR="00E108D2" w:rsidRPr="00CA48AF" w:rsidRDefault="00E43B7F"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27.125.174</w:t>
            </w:r>
            <w:r w:rsidRPr="00CA48AF">
              <w:rPr>
                <w:rFonts w:ascii="Arial" w:hAnsi="Arial" w:cs="Arial"/>
                <w:color w:val="0F243E" w:themeColor="text2" w:themeShade="80"/>
                <w:sz w:val="20"/>
                <w:szCs w:val="20"/>
              </w:rPr>
              <w:t>)</w:t>
            </w:r>
            <w:r w:rsidR="00E108D2" w:rsidRPr="00CA48AF">
              <w:rPr>
                <w:rFonts w:ascii="Arial" w:hAnsi="Arial" w:cs="Arial"/>
                <w:color w:val="0F243E" w:themeColor="text2" w:themeShade="80"/>
                <w:sz w:val="20"/>
                <w:szCs w:val="20"/>
              </w:rPr>
              <w:t xml:space="preserve"> </w:t>
            </w:r>
          </w:p>
        </w:tc>
      </w:tr>
      <w:tr w:rsidR="00E108D2" w:rsidRPr="00CA48AF" w14:paraId="76BC2359"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12" w:space="0" w:color="4F81BD" w:themeColor="accent1"/>
              <w:bottom w:val="single" w:sz="12" w:space="0" w:color="4F81BD" w:themeColor="accent1"/>
            </w:tcBorders>
            <w:vAlign w:val="center"/>
            <w:hideMark/>
          </w:tcPr>
          <w:p w14:paraId="2E4D7B7A" w14:textId="55292D0E" w:rsidR="00E108D2" w:rsidRPr="00CA48AF" w:rsidRDefault="00E108D2" w:rsidP="007507EA">
            <w:pPr>
              <w:widowControl w:val="0"/>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Total Gastos Personales 2019</w:t>
            </w:r>
          </w:p>
        </w:tc>
        <w:tc>
          <w:tcPr>
            <w:tcW w:w="1559" w:type="dxa"/>
            <w:tcBorders>
              <w:top w:val="single" w:sz="12" w:space="0" w:color="4F81BD" w:themeColor="accent1"/>
              <w:bottom w:val="single" w:sz="12" w:space="0" w:color="4F81BD" w:themeColor="accent1"/>
            </w:tcBorders>
            <w:vAlign w:val="center"/>
            <w:hideMark/>
          </w:tcPr>
          <w:p w14:paraId="6D86C9BD" w14:textId="414526C3"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5.853.581.253 </w:t>
            </w:r>
          </w:p>
        </w:tc>
        <w:tc>
          <w:tcPr>
            <w:tcW w:w="1559" w:type="dxa"/>
            <w:tcBorders>
              <w:top w:val="single" w:sz="12" w:space="0" w:color="4F81BD" w:themeColor="accent1"/>
              <w:bottom w:val="single" w:sz="12" w:space="0" w:color="4F81BD" w:themeColor="accent1"/>
            </w:tcBorders>
            <w:vAlign w:val="center"/>
            <w:hideMark/>
          </w:tcPr>
          <w:p w14:paraId="66F65BDE" w14:textId="14ECDEF5"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5.656.771.662 </w:t>
            </w:r>
          </w:p>
        </w:tc>
        <w:tc>
          <w:tcPr>
            <w:tcW w:w="1559" w:type="dxa"/>
            <w:tcBorders>
              <w:top w:val="single" w:sz="12" w:space="0" w:color="4F81BD" w:themeColor="accent1"/>
              <w:bottom w:val="single" w:sz="12" w:space="0" w:color="4F81BD" w:themeColor="accent1"/>
            </w:tcBorders>
            <w:vAlign w:val="center"/>
            <w:hideMark/>
          </w:tcPr>
          <w:p w14:paraId="142F5427" w14:textId="286A6544"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 5.336.656.323 </w:t>
            </w:r>
          </w:p>
        </w:tc>
      </w:tr>
      <w:tr w:rsidR="00E43B7F" w:rsidRPr="00CA48AF" w14:paraId="2691DF5A"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12" w:space="0" w:color="4F81BD" w:themeColor="accent1"/>
            </w:tcBorders>
            <w:shd w:val="clear" w:color="auto" w:fill="DBE5F1" w:themeFill="accent1" w:themeFillTint="33"/>
            <w:noWrap/>
            <w:vAlign w:val="center"/>
            <w:hideMark/>
          </w:tcPr>
          <w:p w14:paraId="2AA4FC9A" w14:textId="77777777" w:rsidR="00E108D2" w:rsidRPr="00CA48AF" w:rsidRDefault="00E108D2" w:rsidP="007507EA">
            <w:pPr>
              <w:widowControl w:val="0"/>
              <w:spacing w:before="8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Variación por Mes </w:t>
            </w:r>
          </w:p>
        </w:tc>
        <w:tc>
          <w:tcPr>
            <w:tcW w:w="2552" w:type="dxa"/>
            <w:tcBorders>
              <w:top w:val="single" w:sz="12" w:space="0" w:color="4F81BD" w:themeColor="accent1"/>
            </w:tcBorders>
            <w:shd w:val="clear" w:color="auto" w:fill="DBE5F1" w:themeFill="accent1" w:themeFillTint="33"/>
            <w:noWrap/>
            <w:vAlign w:val="center"/>
            <w:hideMark/>
          </w:tcPr>
          <w:p w14:paraId="167B6FBF" w14:textId="77777777"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w:t>
            </w:r>
          </w:p>
        </w:tc>
        <w:tc>
          <w:tcPr>
            <w:tcW w:w="1559" w:type="dxa"/>
            <w:tcBorders>
              <w:top w:val="single" w:sz="12" w:space="0" w:color="4F81BD" w:themeColor="accent1"/>
            </w:tcBorders>
            <w:shd w:val="clear" w:color="auto" w:fill="DBE5F1" w:themeFill="accent1" w:themeFillTint="33"/>
            <w:noWrap/>
            <w:vAlign w:val="center"/>
            <w:hideMark/>
          </w:tcPr>
          <w:p w14:paraId="187AB706" w14:textId="14BBBB3F"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1.678.577.749 </w:t>
            </w:r>
          </w:p>
        </w:tc>
        <w:tc>
          <w:tcPr>
            <w:tcW w:w="1559" w:type="dxa"/>
            <w:tcBorders>
              <w:top w:val="single" w:sz="12" w:space="0" w:color="4F81BD" w:themeColor="accent1"/>
            </w:tcBorders>
            <w:shd w:val="clear" w:color="auto" w:fill="DBE5F1" w:themeFill="accent1" w:themeFillTint="33"/>
            <w:noWrap/>
            <w:vAlign w:val="center"/>
            <w:hideMark/>
          </w:tcPr>
          <w:p w14:paraId="36CC2358" w14:textId="010B15B0"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424.483.736 </w:t>
            </w:r>
          </w:p>
        </w:tc>
        <w:tc>
          <w:tcPr>
            <w:tcW w:w="1559" w:type="dxa"/>
            <w:tcBorders>
              <w:top w:val="single" w:sz="12" w:space="0" w:color="4F81BD" w:themeColor="accent1"/>
            </w:tcBorders>
            <w:shd w:val="clear" w:color="auto" w:fill="DBE5F1" w:themeFill="accent1" w:themeFillTint="33"/>
            <w:noWrap/>
            <w:vAlign w:val="center"/>
            <w:hideMark/>
          </w:tcPr>
          <w:p w14:paraId="5074A95B" w14:textId="214BC473"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694.235.407 </w:t>
            </w:r>
          </w:p>
        </w:tc>
      </w:tr>
      <w:tr w:rsidR="00E43B7F" w:rsidRPr="00CA48AF" w14:paraId="43597275"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DBE5F1" w:themeFill="accent1" w:themeFillTint="33"/>
            <w:vAlign w:val="center"/>
            <w:hideMark/>
          </w:tcPr>
          <w:p w14:paraId="45324AA0" w14:textId="77777777" w:rsidR="00E108D2" w:rsidRPr="00CA48AF" w:rsidRDefault="00E108D2" w:rsidP="007507EA">
            <w:pPr>
              <w:widowControl w:val="0"/>
              <w:spacing w:before="80" w:after="80"/>
              <w:rPr>
                <w:rFonts w:ascii="Arial" w:hAnsi="Arial" w:cs="Arial"/>
                <w:color w:val="0F243E" w:themeColor="text2" w:themeShade="80"/>
                <w:sz w:val="20"/>
                <w:szCs w:val="20"/>
              </w:rPr>
            </w:pPr>
          </w:p>
        </w:tc>
        <w:tc>
          <w:tcPr>
            <w:tcW w:w="2552" w:type="dxa"/>
            <w:shd w:val="clear" w:color="auto" w:fill="DBE5F1" w:themeFill="accent1" w:themeFillTint="33"/>
            <w:noWrap/>
            <w:vAlign w:val="center"/>
            <w:hideMark/>
          </w:tcPr>
          <w:p w14:paraId="3565A82E" w14:textId="77777777"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w:t>
            </w:r>
          </w:p>
        </w:tc>
        <w:tc>
          <w:tcPr>
            <w:tcW w:w="1559" w:type="dxa"/>
            <w:shd w:val="clear" w:color="auto" w:fill="DBE5F1" w:themeFill="accent1" w:themeFillTint="33"/>
            <w:noWrap/>
            <w:vAlign w:val="center"/>
            <w:hideMark/>
          </w:tcPr>
          <w:p w14:paraId="17F1AE33" w14:textId="77777777"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29%</w:t>
            </w:r>
          </w:p>
        </w:tc>
        <w:tc>
          <w:tcPr>
            <w:tcW w:w="1559" w:type="dxa"/>
            <w:shd w:val="clear" w:color="auto" w:fill="DBE5F1" w:themeFill="accent1" w:themeFillTint="33"/>
            <w:noWrap/>
            <w:vAlign w:val="center"/>
            <w:hideMark/>
          </w:tcPr>
          <w:p w14:paraId="2DB4AAED" w14:textId="77777777"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8%</w:t>
            </w:r>
          </w:p>
        </w:tc>
        <w:tc>
          <w:tcPr>
            <w:tcW w:w="1559" w:type="dxa"/>
            <w:shd w:val="clear" w:color="auto" w:fill="DBE5F1" w:themeFill="accent1" w:themeFillTint="33"/>
            <w:noWrap/>
            <w:vAlign w:val="center"/>
            <w:hideMark/>
          </w:tcPr>
          <w:p w14:paraId="070E1C1E" w14:textId="77777777" w:rsidR="00E108D2" w:rsidRPr="00CA48AF" w:rsidRDefault="00E108D2" w:rsidP="007507EA">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13%</w:t>
            </w:r>
          </w:p>
        </w:tc>
      </w:tr>
      <w:tr w:rsidR="00E108D2" w:rsidRPr="00CA48AF" w14:paraId="7DA471F6"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4F81BD" w:themeFill="accent1"/>
            <w:noWrap/>
            <w:vAlign w:val="center"/>
            <w:hideMark/>
          </w:tcPr>
          <w:p w14:paraId="5988B7E3" w14:textId="77777777" w:rsidR="00E108D2" w:rsidRPr="00CA48AF" w:rsidRDefault="00E108D2" w:rsidP="007507EA">
            <w:pPr>
              <w:widowControl w:val="0"/>
              <w:spacing w:before="80" w:after="80"/>
              <w:jc w:val="center"/>
              <w:rPr>
                <w:rFonts w:ascii="Arial" w:hAnsi="Arial" w:cs="Arial"/>
                <w:color w:val="FFFFFF" w:themeColor="background1"/>
                <w:sz w:val="20"/>
                <w:szCs w:val="20"/>
              </w:rPr>
            </w:pPr>
            <w:r w:rsidRPr="00CA48AF">
              <w:rPr>
                <w:rFonts w:ascii="Arial" w:hAnsi="Arial" w:cs="Arial"/>
                <w:color w:val="FFFFFF" w:themeColor="background1"/>
                <w:sz w:val="20"/>
                <w:szCs w:val="20"/>
              </w:rPr>
              <w:t xml:space="preserve">Variación Total del Trimestre </w:t>
            </w:r>
          </w:p>
        </w:tc>
        <w:tc>
          <w:tcPr>
            <w:tcW w:w="2552" w:type="dxa"/>
            <w:shd w:val="clear" w:color="auto" w:fill="4F81BD" w:themeFill="accent1"/>
            <w:noWrap/>
            <w:vAlign w:val="center"/>
            <w:hideMark/>
          </w:tcPr>
          <w:p w14:paraId="6D0360F2" w14:textId="77777777"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A48AF">
              <w:rPr>
                <w:rFonts w:ascii="Arial" w:hAnsi="Arial" w:cs="Arial"/>
                <w:b/>
                <w:bCs/>
                <w:color w:val="FFFFFF" w:themeColor="background1"/>
                <w:sz w:val="20"/>
                <w:szCs w:val="20"/>
              </w:rPr>
              <w:t>$</w:t>
            </w:r>
          </w:p>
        </w:tc>
        <w:tc>
          <w:tcPr>
            <w:tcW w:w="4677" w:type="dxa"/>
            <w:gridSpan w:val="3"/>
            <w:shd w:val="clear" w:color="auto" w:fill="4F81BD" w:themeFill="accent1"/>
            <w:noWrap/>
            <w:vAlign w:val="center"/>
            <w:hideMark/>
          </w:tcPr>
          <w:p w14:paraId="35AB09D1" w14:textId="108ACD39"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A48AF">
              <w:rPr>
                <w:rFonts w:ascii="Arial" w:hAnsi="Arial" w:cs="Arial"/>
                <w:b/>
                <w:bCs/>
                <w:color w:val="FFFFFF" w:themeColor="background1"/>
                <w:sz w:val="20"/>
                <w:szCs w:val="20"/>
              </w:rPr>
              <w:t>2.797.296.891</w:t>
            </w:r>
          </w:p>
        </w:tc>
      </w:tr>
      <w:tr w:rsidR="00E108D2" w:rsidRPr="00CA48AF" w14:paraId="7E0D8465" w14:textId="77777777" w:rsidTr="007507EA">
        <w:trPr>
          <w:cantSplit/>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4F81BD" w:themeFill="accent1"/>
            <w:vAlign w:val="center"/>
            <w:hideMark/>
          </w:tcPr>
          <w:p w14:paraId="28B4DECF" w14:textId="77777777" w:rsidR="00E108D2" w:rsidRPr="00CA48AF" w:rsidRDefault="00E108D2" w:rsidP="007507EA">
            <w:pPr>
              <w:widowControl w:val="0"/>
              <w:spacing w:before="80" w:after="80"/>
              <w:rPr>
                <w:rFonts w:ascii="Arial" w:hAnsi="Arial" w:cs="Arial"/>
                <w:color w:val="FFFFFF" w:themeColor="background1"/>
                <w:sz w:val="20"/>
                <w:szCs w:val="20"/>
              </w:rPr>
            </w:pPr>
          </w:p>
        </w:tc>
        <w:tc>
          <w:tcPr>
            <w:tcW w:w="2552" w:type="dxa"/>
            <w:shd w:val="clear" w:color="auto" w:fill="4F81BD" w:themeFill="accent1"/>
            <w:noWrap/>
            <w:vAlign w:val="center"/>
            <w:hideMark/>
          </w:tcPr>
          <w:p w14:paraId="3DD4692A" w14:textId="77777777" w:rsidR="00E108D2" w:rsidRPr="00CA48AF" w:rsidRDefault="00E108D2" w:rsidP="007507EA">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A48AF">
              <w:rPr>
                <w:rFonts w:ascii="Arial" w:hAnsi="Arial" w:cs="Arial"/>
                <w:b/>
                <w:bCs/>
                <w:color w:val="FFFFFF" w:themeColor="background1"/>
                <w:sz w:val="20"/>
                <w:szCs w:val="20"/>
              </w:rPr>
              <w:t>%</w:t>
            </w:r>
          </w:p>
        </w:tc>
        <w:tc>
          <w:tcPr>
            <w:tcW w:w="4677" w:type="dxa"/>
            <w:gridSpan w:val="3"/>
            <w:shd w:val="clear" w:color="auto" w:fill="4F81BD" w:themeFill="accent1"/>
            <w:noWrap/>
            <w:vAlign w:val="center"/>
            <w:hideMark/>
          </w:tcPr>
          <w:p w14:paraId="18D3526B" w14:textId="77777777" w:rsidR="00E108D2" w:rsidRPr="00CA48AF" w:rsidRDefault="00E108D2" w:rsidP="007507EA">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CA48AF">
              <w:rPr>
                <w:rFonts w:ascii="Arial" w:hAnsi="Arial" w:cs="Arial"/>
                <w:b/>
                <w:bCs/>
                <w:color w:val="FFFFFF" w:themeColor="background1"/>
                <w:sz w:val="20"/>
                <w:szCs w:val="20"/>
              </w:rPr>
              <w:t>17%</w:t>
            </w:r>
          </w:p>
        </w:tc>
      </w:tr>
    </w:tbl>
    <w:p w14:paraId="6CF94A95" w14:textId="77777777" w:rsidR="007507EA" w:rsidRDefault="007507EA" w:rsidP="00D654A1">
      <w:pPr>
        <w:jc w:val="both"/>
        <w:rPr>
          <w:rFonts w:ascii="Arial" w:hAnsi="Arial" w:cs="Arial"/>
          <w:sz w:val="22"/>
          <w:szCs w:val="22"/>
        </w:rPr>
      </w:pPr>
    </w:p>
    <w:p w14:paraId="742E4049" w14:textId="0C31C904" w:rsidR="00D654A1" w:rsidRPr="00C7012F" w:rsidRDefault="00D654A1" w:rsidP="00D654A1">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Es de precisar que, de los valores correspondientes a los gastos de personal presentados en la tabla anterior se excluyó el concerniente a las horas extras, dado que, dicho concepto es analizado de forma independiente en el siguiente ítem este informe. </w:t>
      </w:r>
    </w:p>
    <w:p w14:paraId="2D6526AF" w14:textId="77777777" w:rsidR="00D654A1" w:rsidRPr="00C7012F" w:rsidRDefault="00D654A1" w:rsidP="007507EA">
      <w:pPr>
        <w:spacing w:line="168" w:lineRule="auto"/>
        <w:jc w:val="both"/>
        <w:rPr>
          <w:rFonts w:ascii="Arial" w:hAnsi="Arial" w:cs="Arial"/>
          <w:color w:val="000000" w:themeColor="text1"/>
          <w:sz w:val="22"/>
          <w:szCs w:val="22"/>
          <w:highlight w:val="yellow"/>
        </w:rPr>
      </w:pPr>
    </w:p>
    <w:p w14:paraId="1C89CC49" w14:textId="2C627D29" w:rsidR="00D654A1" w:rsidRPr="00C7012F" w:rsidRDefault="00D654A1" w:rsidP="00D654A1">
      <w:pPr>
        <w:jc w:val="both"/>
        <w:rPr>
          <w:rFonts w:ascii="Arial" w:hAnsi="Arial" w:cs="Arial"/>
          <w:bCs/>
          <w:color w:val="000000" w:themeColor="text1"/>
          <w:sz w:val="22"/>
          <w:szCs w:val="22"/>
        </w:rPr>
      </w:pPr>
      <w:r w:rsidRPr="00C7012F">
        <w:rPr>
          <w:rFonts w:ascii="Arial" w:hAnsi="Arial" w:cs="Arial"/>
          <w:color w:val="000000" w:themeColor="text1"/>
          <w:sz w:val="22"/>
          <w:szCs w:val="22"/>
        </w:rPr>
        <w:t xml:space="preserve">Al comparar el valor de los gastos personales del </w:t>
      </w:r>
      <w:r w:rsidR="000548AA" w:rsidRPr="00C7012F">
        <w:rPr>
          <w:rFonts w:ascii="Arial" w:hAnsi="Arial" w:cs="Arial"/>
          <w:color w:val="000000" w:themeColor="text1"/>
          <w:sz w:val="22"/>
          <w:szCs w:val="22"/>
        </w:rPr>
        <w:t xml:space="preserve">tercer </w:t>
      </w:r>
      <w:r w:rsidRPr="00C7012F">
        <w:rPr>
          <w:rFonts w:ascii="Arial" w:hAnsi="Arial" w:cs="Arial"/>
          <w:color w:val="000000" w:themeColor="text1"/>
          <w:sz w:val="22"/>
          <w:szCs w:val="22"/>
        </w:rPr>
        <w:t xml:space="preserve">trimestre de 2020 con el mismo periodo de 2019, se </w:t>
      </w:r>
      <w:r w:rsidR="00FD7654" w:rsidRPr="00C7012F">
        <w:rPr>
          <w:rFonts w:ascii="Arial" w:hAnsi="Arial" w:cs="Arial"/>
          <w:color w:val="000000" w:themeColor="text1"/>
          <w:sz w:val="22"/>
          <w:szCs w:val="22"/>
        </w:rPr>
        <w:t>presentó u</w:t>
      </w:r>
      <w:r w:rsidR="000548AA" w:rsidRPr="00C7012F">
        <w:rPr>
          <w:rFonts w:ascii="Arial" w:hAnsi="Arial" w:cs="Arial"/>
          <w:color w:val="000000" w:themeColor="text1"/>
          <w:sz w:val="22"/>
          <w:szCs w:val="22"/>
        </w:rPr>
        <w:t xml:space="preserve">n </w:t>
      </w:r>
      <w:r w:rsidR="000548AA" w:rsidRPr="00C7012F">
        <w:rPr>
          <w:rFonts w:ascii="Arial" w:hAnsi="Arial" w:cs="Arial"/>
          <w:b/>
          <w:bCs/>
          <w:color w:val="000000" w:themeColor="text1"/>
          <w:sz w:val="22"/>
          <w:szCs w:val="22"/>
        </w:rPr>
        <w:t>incremento</w:t>
      </w:r>
      <w:r w:rsidR="000548AA" w:rsidRPr="00C7012F">
        <w:rPr>
          <w:rFonts w:ascii="Arial" w:hAnsi="Arial" w:cs="Arial"/>
          <w:color w:val="000000" w:themeColor="text1"/>
          <w:sz w:val="22"/>
          <w:szCs w:val="22"/>
        </w:rPr>
        <w:t xml:space="preserve"> de</w:t>
      </w:r>
      <w:r w:rsidR="001B4BF0" w:rsidRPr="00C7012F">
        <w:rPr>
          <w:rFonts w:ascii="Arial" w:hAnsi="Arial" w:cs="Arial"/>
          <w:color w:val="000000" w:themeColor="text1"/>
          <w:sz w:val="22"/>
          <w:szCs w:val="22"/>
        </w:rPr>
        <w:t xml:space="preserve">l </w:t>
      </w:r>
      <w:r w:rsidR="000548AA" w:rsidRPr="00C7012F">
        <w:rPr>
          <w:rFonts w:ascii="Arial" w:hAnsi="Arial" w:cs="Arial"/>
          <w:color w:val="000000" w:themeColor="text1"/>
          <w:sz w:val="22"/>
          <w:szCs w:val="22"/>
        </w:rPr>
        <w:t>17</w:t>
      </w:r>
      <w:r w:rsidR="001B4BF0" w:rsidRPr="00C7012F">
        <w:rPr>
          <w:rFonts w:ascii="Arial" w:hAnsi="Arial" w:cs="Arial"/>
          <w:color w:val="000000" w:themeColor="text1"/>
          <w:sz w:val="22"/>
          <w:szCs w:val="22"/>
        </w:rPr>
        <w:t xml:space="preserve">%. </w:t>
      </w:r>
      <w:r w:rsidR="006A3AF2" w:rsidRPr="00C7012F">
        <w:rPr>
          <w:rFonts w:ascii="Arial" w:hAnsi="Arial" w:cs="Arial"/>
          <w:color w:val="000000" w:themeColor="text1"/>
          <w:sz w:val="22"/>
          <w:szCs w:val="22"/>
        </w:rPr>
        <w:t>Al respecto, se concluye que, s</w:t>
      </w:r>
      <w:r w:rsidR="000548AA" w:rsidRPr="00C7012F">
        <w:rPr>
          <w:rFonts w:ascii="Arial" w:hAnsi="Arial" w:cs="Arial"/>
          <w:color w:val="000000" w:themeColor="text1"/>
          <w:sz w:val="22"/>
          <w:szCs w:val="22"/>
        </w:rPr>
        <w:t>i bien</w:t>
      </w:r>
      <w:r w:rsidR="006A3AF2" w:rsidRPr="00C7012F">
        <w:rPr>
          <w:rFonts w:ascii="Arial" w:hAnsi="Arial" w:cs="Arial"/>
          <w:color w:val="000000" w:themeColor="text1"/>
          <w:sz w:val="22"/>
          <w:szCs w:val="22"/>
        </w:rPr>
        <w:t xml:space="preserve"> </w:t>
      </w:r>
      <w:r w:rsidR="000548AA" w:rsidRPr="00C7012F">
        <w:rPr>
          <w:rFonts w:ascii="Arial" w:hAnsi="Arial" w:cs="Arial"/>
          <w:color w:val="000000" w:themeColor="text1"/>
          <w:sz w:val="22"/>
          <w:szCs w:val="22"/>
        </w:rPr>
        <w:t xml:space="preserve">este Ministerio aplicó </w:t>
      </w:r>
      <w:r w:rsidR="000548AA" w:rsidRPr="00C7012F">
        <w:rPr>
          <w:rFonts w:ascii="Arial" w:hAnsi="Arial" w:cs="Arial"/>
          <w:bCs/>
          <w:color w:val="000000" w:themeColor="text1"/>
          <w:sz w:val="22"/>
          <w:szCs w:val="22"/>
        </w:rPr>
        <w:t>las directrices internas, de conformidad con las disposiciones del Gobierno Nacional frente a la Emergencia sanitaria [COVID-19], las cuales impactaron ciertos conceptos de gastos</w:t>
      </w:r>
      <w:r w:rsidR="00C123F5">
        <w:rPr>
          <w:rFonts w:ascii="Arial" w:hAnsi="Arial" w:cs="Arial"/>
          <w:bCs/>
          <w:color w:val="000000" w:themeColor="text1"/>
          <w:sz w:val="22"/>
          <w:szCs w:val="22"/>
        </w:rPr>
        <w:t xml:space="preserve">, </w:t>
      </w:r>
      <w:r w:rsidR="000548AA" w:rsidRPr="00C7012F">
        <w:rPr>
          <w:rFonts w:ascii="Arial" w:hAnsi="Arial" w:cs="Arial"/>
          <w:bCs/>
          <w:color w:val="000000" w:themeColor="text1"/>
          <w:sz w:val="22"/>
          <w:szCs w:val="22"/>
        </w:rPr>
        <w:t xml:space="preserve">generando disminuciones al analizarlo de forma particular, sin embargo, es importante tener en cuenta otros aspectos que contribuyeron al incremento presentando en los gastos de nómina para el periodo objeto de verificación, así: </w:t>
      </w:r>
    </w:p>
    <w:p w14:paraId="5EF525FA" w14:textId="7DBEDC55" w:rsidR="000548AA" w:rsidRPr="00C7012F" w:rsidRDefault="000548AA" w:rsidP="007507EA">
      <w:pPr>
        <w:spacing w:line="168" w:lineRule="auto"/>
        <w:jc w:val="both"/>
        <w:rPr>
          <w:rFonts w:ascii="Arial" w:hAnsi="Arial" w:cs="Arial"/>
          <w:bCs/>
          <w:color w:val="000000" w:themeColor="text1"/>
          <w:sz w:val="22"/>
          <w:szCs w:val="22"/>
        </w:rPr>
      </w:pPr>
    </w:p>
    <w:p w14:paraId="1E179407" w14:textId="15E97559" w:rsidR="000548AA" w:rsidRPr="00C7012F" w:rsidRDefault="000548AA" w:rsidP="00B06B9E">
      <w:pPr>
        <w:pStyle w:val="Prrafodelista"/>
        <w:numPr>
          <w:ilvl w:val="0"/>
          <w:numId w:val="38"/>
        </w:numPr>
        <w:spacing w:after="120"/>
        <w:ind w:left="357" w:hanging="357"/>
        <w:contextualSpacing w:val="0"/>
        <w:rPr>
          <w:rFonts w:ascii="Arial" w:hAnsi="Arial" w:cs="Arial"/>
          <w:color w:val="000000" w:themeColor="text1"/>
          <w:sz w:val="22"/>
          <w:szCs w:val="22"/>
        </w:rPr>
      </w:pPr>
      <w:r w:rsidRPr="00C7012F">
        <w:rPr>
          <w:rFonts w:ascii="Arial" w:hAnsi="Arial" w:cs="Arial"/>
          <w:color w:val="000000" w:themeColor="text1"/>
          <w:sz w:val="22"/>
          <w:szCs w:val="22"/>
        </w:rPr>
        <w:t>El Decreto 304 del 27 de febrero de 2020, estableció para la vigencia 2020 un ajuste de los</w:t>
      </w:r>
      <w:r w:rsidRPr="00C7012F">
        <w:rPr>
          <w:rFonts w:ascii="Arial" w:hAnsi="Arial" w:cs="Arial"/>
          <w:color w:val="000000" w:themeColor="text1"/>
          <w:sz w:val="22"/>
          <w:szCs w:val="22"/>
        </w:rPr>
        <w:br/>
        <w:t>salarios y prestaciones de 5,12% con retroactivo desde el 1° de enero de 2020.</w:t>
      </w:r>
    </w:p>
    <w:p w14:paraId="7DEB868B" w14:textId="113698D0" w:rsidR="00D654A1" w:rsidRPr="00C7012F" w:rsidRDefault="00B06B9E" w:rsidP="005769B0">
      <w:pPr>
        <w:pStyle w:val="Prrafodelista"/>
        <w:numPr>
          <w:ilvl w:val="0"/>
          <w:numId w:val="38"/>
        </w:numPr>
        <w:rPr>
          <w:rFonts w:ascii="Arial" w:hAnsi="Arial" w:cs="Arial"/>
          <w:color w:val="000000" w:themeColor="text1"/>
          <w:sz w:val="22"/>
          <w:szCs w:val="22"/>
        </w:rPr>
      </w:pPr>
      <w:r w:rsidRPr="00C7012F">
        <w:rPr>
          <w:rFonts w:ascii="Arial" w:hAnsi="Arial" w:cs="Arial"/>
          <w:color w:val="000000" w:themeColor="text1"/>
          <w:sz w:val="22"/>
          <w:szCs w:val="22"/>
        </w:rPr>
        <w:t>L</w:t>
      </w:r>
      <w:r w:rsidR="000548AA" w:rsidRPr="00C7012F">
        <w:rPr>
          <w:rFonts w:ascii="Arial" w:hAnsi="Arial" w:cs="Arial"/>
          <w:color w:val="000000" w:themeColor="text1"/>
          <w:sz w:val="22"/>
          <w:szCs w:val="22"/>
        </w:rPr>
        <w:t>a prima de servicios para las vigencias analizadas [20</w:t>
      </w:r>
      <w:r w:rsidRPr="00C7012F">
        <w:rPr>
          <w:rFonts w:ascii="Arial" w:hAnsi="Arial" w:cs="Arial"/>
          <w:color w:val="000000" w:themeColor="text1"/>
          <w:sz w:val="22"/>
          <w:szCs w:val="22"/>
        </w:rPr>
        <w:t>20</w:t>
      </w:r>
      <w:r w:rsidR="000548AA" w:rsidRPr="00C7012F">
        <w:rPr>
          <w:rFonts w:ascii="Arial" w:hAnsi="Arial" w:cs="Arial"/>
          <w:color w:val="000000" w:themeColor="text1"/>
          <w:sz w:val="22"/>
          <w:szCs w:val="22"/>
        </w:rPr>
        <w:t xml:space="preserve"> comparado 201</w:t>
      </w:r>
      <w:r w:rsidRPr="00C7012F">
        <w:rPr>
          <w:rFonts w:ascii="Arial" w:hAnsi="Arial" w:cs="Arial"/>
          <w:color w:val="000000" w:themeColor="text1"/>
          <w:sz w:val="22"/>
          <w:szCs w:val="22"/>
        </w:rPr>
        <w:t>9</w:t>
      </w:r>
      <w:r w:rsidR="000548AA" w:rsidRPr="00C7012F">
        <w:rPr>
          <w:rFonts w:ascii="Arial" w:hAnsi="Arial" w:cs="Arial"/>
          <w:color w:val="000000" w:themeColor="text1"/>
          <w:sz w:val="22"/>
          <w:szCs w:val="22"/>
        </w:rPr>
        <w:t>], se obligaron en periodos diferentes. Para la vigencia 201</w:t>
      </w:r>
      <w:r w:rsidRPr="00C7012F">
        <w:rPr>
          <w:rFonts w:ascii="Arial" w:hAnsi="Arial" w:cs="Arial"/>
          <w:color w:val="000000" w:themeColor="text1"/>
          <w:sz w:val="22"/>
          <w:szCs w:val="22"/>
        </w:rPr>
        <w:t>9</w:t>
      </w:r>
      <w:r w:rsidR="000548AA" w:rsidRPr="00C7012F">
        <w:rPr>
          <w:rFonts w:ascii="Arial" w:hAnsi="Arial" w:cs="Arial"/>
          <w:color w:val="000000" w:themeColor="text1"/>
          <w:sz w:val="22"/>
          <w:szCs w:val="22"/>
        </w:rPr>
        <w:t xml:space="preserve">, se obligó el gasto en el mes de </w:t>
      </w:r>
      <w:r w:rsidRPr="00C7012F">
        <w:rPr>
          <w:rFonts w:ascii="Arial" w:hAnsi="Arial" w:cs="Arial"/>
          <w:color w:val="000000" w:themeColor="text1"/>
          <w:sz w:val="22"/>
          <w:szCs w:val="22"/>
        </w:rPr>
        <w:t xml:space="preserve">junio </w:t>
      </w:r>
      <w:r w:rsidR="000548AA" w:rsidRPr="00C7012F">
        <w:rPr>
          <w:rFonts w:ascii="Arial" w:hAnsi="Arial" w:cs="Arial"/>
          <w:color w:val="000000" w:themeColor="text1"/>
          <w:sz w:val="22"/>
          <w:szCs w:val="22"/>
        </w:rPr>
        <w:t>de 201</w:t>
      </w:r>
      <w:r w:rsidRPr="00C7012F">
        <w:rPr>
          <w:rFonts w:ascii="Arial" w:hAnsi="Arial" w:cs="Arial"/>
          <w:color w:val="000000" w:themeColor="text1"/>
          <w:sz w:val="22"/>
          <w:szCs w:val="22"/>
        </w:rPr>
        <w:t>9</w:t>
      </w:r>
      <w:r w:rsidR="000548AA" w:rsidRPr="00C7012F">
        <w:rPr>
          <w:rFonts w:ascii="Arial" w:hAnsi="Arial" w:cs="Arial"/>
          <w:color w:val="000000" w:themeColor="text1"/>
          <w:sz w:val="22"/>
          <w:szCs w:val="22"/>
        </w:rPr>
        <w:t xml:space="preserve"> por valor de $ </w:t>
      </w:r>
      <w:r w:rsidRPr="00C7012F">
        <w:rPr>
          <w:rFonts w:ascii="Arial" w:hAnsi="Arial" w:cs="Arial"/>
          <w:color w:val="000000" w:themeColor="text1"/>
          <w:sz w:val="22"/>
          <w:szCs w:val="22"/>
        </w:rPr>
        <w:t>1.624.321.377</w:t>
      </w:r>
      <w:r w:rsidR="000548AA" w:rsidRPr="00C7012F">
        <w:rPr>
          <w:rFonts w:ascii="Arial" w:hAnsi="Arial" w:cs="Arial"/>
          <w:color w:val="000000" w:themeColor="text1"/>
          <w:sz w:val="22"/>
          <w:szCs w:val="22"/>
        </w:rPr>
        <w:t>. Para la vigencia 20</w:t>
      </w:r>
      <w:r w:rsidRPr="00C7012F">
        <w:rPr>
          <w:rFonts w:ascii="Arial" w:hAnsi="Arial" w:cs="Arial"/>
          <w:color w:val="000000" w:themeColor="text1"/>
          <w:sz w:val="22"/>
          <w:szCs w:val="22"/>
        </w:rPr>
        <w:t>20</w:t>
      </w:r>
      <w:r w:rsidR="000548AA" w:rsidRPr="00C7012F">
        <w:rPr>
          <w:rFonts w:ascii="Arial" w:hAnsi="Arial" w:cs="Arial"/>
          <w:color w:val="000000" w:themeColor="text1"/>
          <w:sz w:val="22"/>
          <w:szCs w:val="22"/>
        </w:rPr>
        <w:t xml:space="preserve">, </w:t>
      </w:r>
      <w:r w:rsidRPr="00C7012F">
        <w:rPr>
          <w:rFonts w:ascii="Arial" w:hAnsi="Arial" w:cs="Arial"/>
          <w:color w:val="000000" w:themeColor="text1"/>
          <w:sz w:val="22"/>
          <w:szCs w:val="22"/>
        </w:rPr>
        <w:t xml:space="preserve">el gasto por prima de servicios </w:t>
      </w:r>
      <w:r w:rsidR="000548AA" w:rsidRPr="00C7012F">
        <w:rPr>
          <w:rFonts w:ascii="Arial" w:hAnsi="Arial" w:cs="Arial"/>
          <w:color w:val="000000" w:themeColor="text1"/>
          <w:sz w:val="22"/>
          <w:szCs w:val="22"/>
        </w:rPr>
        <w:t>fue obligado</w:t>
      </w:r>
      <w:r w:rsidRPr="00C7012F">
        <w:rPr>
          <w:rFonts w:ascii="Arial" w:hAnsi="Arial" w:cs="Arial"/>
          <w:color w:val="000000" w:themeColor="text1"/>
          <w:sz w:val="22"/>
          <w:szCs w:val="22"/>
        </w:rPr>
        <w:t xml:space="preserve"> y pagado </w:t>
      </w:r>
      <w:r w:rsidR="000548AA" w:rsidRPr="00C7012F">
        <w:rPr>
          <w:rFonts w:ascii="Arial" w:hAnsi="Arial" w:cs="Arial"/>
          <w:color w:val="000000" w:themeColor="text1"/>
          <w:sz w:val="22"/>
          <w:szCs w:val="22"/>
        </w:rPr>
        <w:t>e</w:t>
      </w:r>
      <w:r w:rsidRPr="00C7012F">
        <w:rPr>
          <w:rFonts w:ascii="Arial" w:hAnsi="Arial" w:cs="Arial"/>
          <w:color w:val="000000" w:themeColor="text1"/>
          <w:sz w:val="22"/>
          <w:szCs w:val="22"/>
        </w:rPr>
        <w:t xml:space="preserve">n el mes </w:t>
      </w:r>
      <w:r w:rsidR="000548AA" w:rsidRPr="00C7012F">
        <w:rPr>
          <w:rFonts w:ascii="Arial" w:hAnsi="Arial" w:cs="Arial"/>
          <w:color w:val="000000" w:themeColor="text1"/>
          <w:sz w:val="22"/>
          <w:szCs w:val="22"/>
        </w:rPr>
        <w:t>ju</w:t>
      </w:r>
      <w:r w:rsidRPr="00C7012F">
        <w:rPr>
          <w:rFonts w:ascii="Arial" w:hAnsi="Arial" w:cs="Arial"/>
          <w:color w:val="000000" w:themeColor="text1"/>
          <w:sz w:val="22"/>
          <w:szCs w:val="22"/>
        </w:rPr>
        <w:t xml:space="preserve">lio </w:t>
      </w:r>
      <w:r w:rsidR="000548AA" w:rsidRPr="00C7012F">
        <w:rPr>
          <w:rFonts w:ascii="Arial" w:hAnsi="Arial" w:cs="Arial"/>
          <w:color w:val="000000" w:themeColor="text1"/>
          <w:sz w:val="22"/>
          <w:szCs w:val="22"/>
        </w:rPr>
        <w:t>de 20</w:t>
      </w:r>
      <w:r w:rsidRPr="00C7012F">
        <w:rPr>
          <w:rFonts w:ascii="Arial" w:hAnsi="Arial" w:cs="Arial"/>
          <w:color w:val="000000" w:themeColor="text1"/>
          <w:sz w:val="22"/>
          <w:szCs w:val="22"/>
        </w:rPr>
        <w:t>20</w:t>
      </w:r>
      <w:r w:rsidR="000548AA" w:rsidRPr="00C7012F">
        <w:rPr>
          <w:rFonts w:ascii="Arial" w:hAnsi="Arial" w:cs="Arial"/>
          <w:color w:val="000000" w:themeColor="text1"/>
          <w:sz w:val="22"/>
          <w:szCs w:val="22"/>
        </w:rPr>
        <w:t xml:space="preserve"> por valor de $</w:t>
      </w:r>
      <w:r w:rsidRPr="00C7012F">
        <w:rPr>
          <w:rFonts w:ascii="Arial" w:hAnsi="Arial" w:cs="Arial"/>
          <w:color w:val="000000" w:themeColor="text1"/>
          <w:sz w:val="22"/>
          <w:szCs w:val="22"/>
        </w:rPr>
        <w:t xml:space="preserve"> 1.819.427.684,</w:t>
      </w:r>
      <w:r w:rsidR="009A43B6" w:rsidRPr="00C7012F">
        <w:rPr>
          <w:rFonts w:ascii="Arial" w:hAnsi="Arial" w:cs="Arial"/>
          <w:color w:val="000000" w:themeColor="text1"/>
          <w:sz w:val="22"/>
          <w:szCs w:val="22"/>
        </w:rPr>
        <w:t xml:space="preserve"> </w:t>
      </w:r>
      <w:r w:rsidR="00FD7654" w:rsidRPr="00C7012F">
        <w:rPr>
          <w:rFonts w:ascii="Arial" w:hAnsi="Arial" w:cs="Arial"/>
          <w:color w:val="000000" w:themeColor="text1"/>
          <w:sz w:val="22"/>
          <w:szCs w:val="22"/>
        </w:rPr>
        <w:t>este</w:t>
      </w:r>
      <w:r w:rsidR="009A43B6" w:rsidRPr="00C7012F">
        <w:rPr>
          <w:rFonts w:ascii="Arial" w:hAnsi="Arial" w:cs="Arial"/>
          <w:color w:val="000000" w:themeColor="text1"/>
          <w:sz w:val="22"/>
          <w:szCs w:val="22"/>
        </w:rPr>
        <w:t xml:space="preserve"> valor representa el 65% del incremento presentado durante el tercer trimestre de 2020 comparado con el mismo periodo de</w:t>
      </w:r>
      <w:r w:rsidR="00FD7654" w:rsidRPr="00C7012F">
        <w:rPr>
          <w:rFonts w:ascii="Arial" w:hAnsi="Arial" w:cs="Arial"/>
          <w:color w:val="000000" w:themeColor="text1"/>
          <w:sz w:val="22"/>
          <w:szCs w:val="22"/>
        </w:rPr>
        <w:t xml:space="preserve">l año </w:t>
      </w:r>
      <w:r w:rsidR="009A43B6" w:rsidRPr="00C7012F">
        <w:rPr>
          <w:rFonts w:ascii="Arial" w:hAnsi="Arial" w:cs="Arial"/>
          <w:color w:val="000000" w:themeColor="text1"/>
          <w:sz w:val="22"/>
          <w:szCs w:val="22"/>
        </w:rPr>
        <w:t xml:space="preserve">2019. </w:t>
      </w:r>
    </w:p>
    <w:p w14:paraId="06E052E5" w14:textId="77777777" w:rsidR="00B06B9E" w:rsidRPr="00C7012F" w:rsidRDefault="00B06B9E" w:rsidP="00B06B9E">
      <w:pPr>
        <w:rPr>
          <w:rFonts w:ascii="Arial" w:hAnsi="Arial" w:cs="Arial"/>
          <w:color w:val="000000" w:themeColor="text1"/>
          <w:sz w:val="22"/>
          <w:szCs w:val="22"/>
          <w:highlight w:val="yellow"/>
        </w:rPr>
      </w:pPr>
    </w:p>
    <w:p w14:paraId="1000431B" w14:textId="77777777" w:rsidR="000F2EB5" w:rsidRPr="00C7012F" w:rsidRDefault="000F2EB5" w:rsidP="007507EA">
      <w:pPr>
        <w:spacing w:line="168" w:lineRule="auto"/>
        <w:jc w:val="both"/>
        <w:rPr>
          <w:rFonts w:ascii="Arial" w:hAnsi="Arial" w:cs="Arial"/>
          <w:bCs/>
          <w:color w:val="000000" w:themeColor="text1"/>
          <w:sz w:val="22"/>
          <w:szCs w:val="22"/>
          <w:highlight w:val="yellow"/>
        </w:rPr>
      </w:pPr>
    </w:p>
    <w:p w14:paraId="22D3180F" w14:textId="1167DBF5" w:rsidR="0036775C" w:rsidRPr="00C7012F" w:rsidRDefault="00E7227A" w:rsidP="008517AF">
      <w:pPr>
        <w:tabs>
          <w:tab w:val="left" w:pos="284"/>
        </w:tabs>
        <w:rPr>
          <w:rFonts w:ascii="Arial" w:hAnsi="Arial" w:cs="Arial"/>
          <w:b/>
          <w:color w:val="000000" w:themeColor="text1"/>
          <w:sz w:val="22"/>
          <w:szCs w:val="22"/>
        </w:rPr>
      </w:pPr>
      <w:r w:rsidRPr="00C7012F">
        <w:rPr>
          <w:rFonts w:ascii="Arial" w:hAnsi="Arial" w:cs="Arial"/>
          <w:b/>
          <w:color w:val="000000" w:themeColor="text1"/>
          <w:sz w:val="22"/>
          <w:szCs w:val="22"/>
        </w:rPr>
        <w:t xml:space="preserve">2.2. </w:t>
      </w:r>
      <w:r w:rsidR="005457C7" w:rsidRPr="00C7012F">
        <w:rPr>
          <w:rFonts w:ascii="Arial" w:hAnsi="Arial" w:cs="Arial"/>
          <w:b/>
          <w:color w:val="000000" w:themeColor="text1"/>
          <w:sz w:val="22"/>
          <w:szCs w:val="22"/>
        </w:rPr>
        <w:t>HORAS EXTRAS</w:t>
      </w:r>
      <w:r w:rsidR="00AD13AE" w:rsidRPr="00C7012F">
        <w:rPr>
          <w:rFonts w:ascii="Arial" w:hAnsi="Arial" w:cs="Arial"/>
          <w:b/>
          <w:color w:val="000000" w:themeColor="text1"/>
          <w:sz w:val="22"/>
          <w:szCs w:val="22"/>
        </w:rPr>
        <w:t xml:space="preserve"> </w:t>
      </w:r>
    </w:p>
    <w:p w14:paraId="174EAA7A" w14:textId="77777777" w:rsidR="008517AF" w:rsidRPr="00C7012F" w:rsidRDefault="008517AF" w:rsidP="00675E4F">
      <w:pPr>
        <w:pStyle w:val="Default"/>
        <w:spacing w:line="168" w:lineRule="auto"/>
        <w:jc w:val="both"/>
        <w:rPr>
          <w:b/>
          <w:color w:val="000000" w:themeColor="text1"/>
          <w:sz w:val="22"/>
          <w:szCs w:val="22"/>
        </w:rPr>
      </w:pPr>
    </w:p>
    <w:p w14:paraId="19B3568E" w14:textId="7D71D959" w:rsidR="00B168E3" w:rsidRPr="00C7012F" w:rsidRDefault="00B8613E" w:rsidP="00CD27D2">
      <w:pPr>
        <w:pStyle w:val="Default"/>
        <w:jc w:val="both"/>
        <w:rPr>
          <w:color w:val="000000" w:themeColor="text1"/>
          <w:sz w:val="22"/>
          <w:szCs w:val="22"/>
        </w:rPr>
      </w:pPr>
      <w:r w:rsidRPr="00C7012F">
        <w:rPr>
          <w:color w:val="000000" w:themeColor="text1"/>
          <w:sz w:val="22"/>
          <w:szCs w:val="22"/>
        </w:rPr>
        <w:t xml:space="preserve">En la </w:t>
      </w:r>
      <w:r w:rsidR="008517AF" w:rsidRPr="00C7012F">
        <w:rPr>
          <w:color w:val="000000" w:themeColor="text1"/>
          <w:sz w:val="22"/>
          <w:szCs w:val="22"/>
        </w:rPr>
        <w:t>Directiva Presidencial 09 de 2018</w:t>
      </w:r>
      <w:r w:rsidR="008C3A9B" w:rsidRPr="00C7012F">
        <w:rPr>
          <w:color w:val="000000" w:themeColor="text1"/>
          <w:sz w:val="22"/>
          <w:szCs w:val="22"/>
        </w:rPr>
        <w:t xml:space="preserve"> y el Decreto 1009 de </w:t>
      </w:r>
      <w:r w:rsidR="006478C9" w:rsidRPr="00C7012F">
        <w:rPr>
          <w:color w:val="000000" w:themeColor="text1"/>
          <w:sz w:val="22"/>
          <w:szCs w:val="22"/>
        </w:rPr>
        <w:t>2020, defini</w:t>
      </w:r>
      <w:r w:rsidRPr="00C7012F">
        <w:rPr>
          <w:color w:val="000000" w:themeColor="text1"/>
          <w:sz w:val="22"/>
          <w:szCs w:val="22"/>
        </w:rPr>
        <w:t>eron</w:t>
      </w:r>
      <w:r w:rsidR="008517AF" w:rsidRPr="00C7012F">
        <w:rPr>
          <w:color w:val="000000" w:themeColor="text1"/>
          <w:sz w:val="22"/>
          <w:szCs w:val="22"/>
        </w:rPr>
        <w:t>: «Racionalizar las horas extras de todo el personal, ajustándolas a las estrictamente necesarias».</w:t>
      </w:r>
      <w:r w:rsidR="00CD27D2" w:rsidRPr="00C7012F">
        <w:rPr>
          <w:color w:val="000000" w:themeColor="text1"/>
          <w:sz w:val="22"/>
          <w:szCs w:val="22"/>
        </w:rPr>
        <w:t xml:space="preserve"> </w:t>
      </w:r>
      <w:r w:rsidR="00B168E3" w:rsidRPr="00C7012F">
        <w:rPr>
          <w:color w:val="000000" w:themeColor="text1"/>
          <w:sz w:val="22"/>
          <w:szCs w:val="22"/>
        </w:rPr>
        <w:t>Al respecto, el Ministerio de Hacienda y Crédito Público defini</w:t>
      </w:r>
      <w:r w:rsidR="00BD5910" w:rsidRPr="00C7012F">
        <w:rPr>
          <w:color w:val="000000" w:themeColor="text1"/>
          <w:sz w:val="22"/>
          <w:szCs w:val="22"/>
        </w:rPr>
        <w:t>ó</w:t>
      </w:r>
      <w:r w:rsidR="00B168E3" w:rsidRPr="00C7012F">
        <w:rPr>
          <w:color w:val="000000" w:themeColor="text1"/>
          <w:sz w:val="22"/>
          <w:szCs w:val="22"/>
        </w:rPr>
        <w:t xml:space="preserve"> controles para el manejo de las horas </w:t>
      </w:r>
      <w:r w:rsidR="00B23FF2" w:rsidRPr="00C7012F">
        <w:rPr>
          <w:color w:val="000000" w:themeColor="text1"/>
          <w:sz w:val="22"/>
          <w:szCs w:val="22"/>
        </w:rPr>
        <w:t>extras, para</w:t>
      </w:r>
      <w:r w:rsidR="007507EA" w:rsidRPr="00C7012F">
        <w:rPr>
          <w:color w:val="000000" w:themeColor="text1"/>
          <w:sz w:val="22"/>
          <w:szCs w:val="22"/>
        </w:rPr>
        <w:t xml:space="preserve"> </w:t>
      </w:r>
      <w:r w:rsidR="00B168E3" w:rsidRPr="00C7012F">
        <w:rPr>
          <w:color w:val="000000" w:themeColor="text1"/>
          <w:sz w:val="22"/>
          <w:szCs w:val="22"/>
        </w:rPr>
        <w:t>lo cual mediante el artículo 17 de la Resolución Interna 4264 de 2014</w:t>
      </w:r>
      <w:r w:rsidR="00B168E3" w:rsidRPr="00C7012F">
        <w:rPr>
          <w:rStyle w:val="Refdenotaalpie"/>
          <w:color w:val="000000" w:themeColor="text1"/>
          <w:sz w:val="22"/>
          <w:szCs w:val="22"/>
        </w:rPr>
        <w:footnoteReference w:id="5"/>
      </w:r>
      <w:r w:rsidR="00B168E3" w:rsidRPr="00C7012F">
        <w:rPr>
          <w:color w:val="000000" w:themeColor="text1"/>
          <w:sz w:val="22"/>
          <w:szCs w:val="22"/>
        </w:rPr>
        <w:t xml:space="preserve">, determinó entre otros, los siguientes aspectos: </w:t>
      </w:r>
    </w:p>
    <w:p w14:paraId="40BC51EE" w14:textId="1A1E9861" w:rsidR="00B168E3" w:rsidRPr="00C7012F" w:rsidRDefault="00B168E3" w:rsidP="00D90499">
      <w:pPr>
        <w:pStyle w:val="Default"/>
        <w:numPr>
          <w:ilvl w:val="0"/>
          <w:numId w:val="2"/>
        </w:numPr>
        <w:spacing w:after="120"/>
        <w:ind w:left="357" w:hanging="357"/>
        <w:jc w:val="both"/>
        <w:rPr>
          <w:color w:val="000000" w:themeColor="text1"/>
          <w:sz w:val="22"/>
          <w:szCs w:val="22"/>
        </w:rPr>
      </w:pPr>
      <w:r w:rsidRPr="00C7012F">
        <w:rPr>
          <w:color w:val="000000" w:themeColor="text1"/>
          <w:sz w:val="22"/>
          <w:szCs w:val="22"/>
        </w:rPr>
        <w:lastRenderedPageBreak/>
        <w:t>Cada Jefe de dependencia que requiera el desempeño de horas extras para el personal bajo su cargo, presentará en la primera semana de febrero de cada año, ante el Director(a) Administrativo(a) una solicitud donde exprese los cargos que autoricen para laborar horas extras durante el año, número de horas que se autoriza a cada uno de los funcionarios, mes a mes y las actividades que desarrollar</w:t>
      </w:r>
      <w:r w:rsidR="001966EF">
        <w:rPr>
          <w:color w:val="000000" w:themeColor="text1"/>
          <w:sz w:val="22"/>
          <w:szCs w:val="22"/>
        </w:rPr>
        <w:t>á</w:t>
      </w:r>
      <w:r w:rsidRPr="00C7012F">
        <w:rPr>
          <w:color w:val="000000" w:themeColor="text1"/>
          <w:sz w:val="22"/>
          <w:szCs w:val="22"/>
        </w:rPr>
        <w:t xml:space="preserve"> cada uno.</w:t>
      </w:r>
    </w:p>
    <w:p w14:paraId="139FE419" w14:textId="77777777" w:rsidR="00B168E3" w:rsidRPr="00C7012F" w:rsidRDefault="00B168E3" w:rsidP="00D90499">
      <w:pPr>
        <w:pStyle w:val="Default"/>
        <w:numPr>
          <w:ilvl w:val="0"/>
          <w:numId w:val="2"/>
        </w:numPr>
        <w:spacing w:after="120"/>
        <w:ind w:left="357" w:hanging="357"/>
        <w:jc w:val="both"/>
        <w:rPr>
          <w:color w:val="000000" w:themeColor="text1"/>
          <w:sz w:val="22"/>
          <w:szCs w:val="22"/>
        </w:rPr>
      </w:pPr>
      <w:r w:rsidRPr="00C7012F">
        <w:rPr>
          <w:color w:val="000000" w:themeColor="text1"/>
          <w:sz w:val="22"/>
          <w:szCs w:val="22"/>
        </w:rPr>
        <w:t xml:space="preserve">El Director (a) Administrativo(a) autorizará las horas extras para la anualidad. </w:t>
      </w:r>
    </w:p>
    <w:p w14:paraId="12FBDD1C" w14:textId="77777777" w:rsidR="003F7A6A" w:rsidRDefault="003F7A6A" w:rsidP="00EE6583">
      <w:pPr>
        <w:pStyle w:val="Default"/>
        <w:jc w:val="both"/>
        <w:rPr>
          <w:color w:val="000000" w:themeColor="text1"/>
          <w:sz w:val="22"/>
          <w:szCs w:val="22"/>
        </w:rPr>
      </w:pPr>
    </w:p>
    <w:p w14:paraId="7FABE47A" w14:textId="1782E0EF" w:rsidR="00B803DE" w:rsidRPr="00C7012F" w:rsidRDefault="00B803DE" w:rsidP="00EE6583">
      <w:pPr>
        <w:pStyle w:val="Default"/>
        <w:jc w:val="both"/>
        <w:rPr>
          <w:color w:val="000000" w:themeColor="text1"/>
          <w:sz w:val="22"/>
          <w:szCs w:val="22"/>
        </w:rPr>
      </w:pPr>
      <w:r w:rsidRPr="00C7012F">
        <w:rPr>
          <w:color w:val="000000" w:themeColor="text1"/>
          <w:sz w:val="22"/>
          <w:szCs w:val="22"/>
        </w:rPr>
        <w:t xml:space="preserve">De conformidad con lo anterior, </w:t>
      </w:r>
      <w:r w:rsidR="00416067" w:rsidRPr="00C7012F">
        <w:rPr>
          <w:color w:val="000000" w:themeColor="text1"/>
          <w:sz w:val="22"/>
          <w:szCs w:val="22"/>
        </w:rPr>
        <w:t xml:space="preserve">este </w:t>
      </w:r>
      <w:r w:rsidR="00EE6583" w:rsidRPr="00C7012F">
        <w:rPr>
          <w:color w:val="000000" w:themeColor="text1"/>
          <w:sz w:val="22"/>
          <w:szCs w:val="22"/>
        </w:rPr>
        <w:t xml:space="preserve">Ministerio </w:t>
      </w:r>
      <w:r w:rsidR="00A5400A" w:rsidRPr="00C7012F">
        <w:rPr>
          <w:color w:val="000000" w:themeColor="text1"/>
          <w:sz w:val="22"/>
          <w:szCs w:val="22"/>
        </w:rPr>
        <w:t xml:space="preserve">para </w:t>
      </w:r>
      <w:r w:rsidR="00EE6583" w:rsidRPr="00C7012F">
        <w:rPr>
          <w:color w:val="000000" w:themeColor="text1"/>
          <w:sz w:val="22"/>
          <w:szCs w:val="22"/>
        </w:rPr>
        <w:t xml:space="preserve">la vigencia 2020 </w:t>
      </w:r>
      <w:r w:rsidR="00434181" w:rsidRPr="00C7012F">
        <w:rPr>
          <w:color w:val="000000" w:themeColor="text1"/>
          <w:sz w:val="22"/>
          <w:szCs w:val="22"/>
        </w:rPr>
        <w:t xml:space="preserve">autorizó </w:t>
      </w:r>
      <w:r w:rsidR="00EE6583" w:rsidRPr="00C7012F">
        <w:rPr>
          <w:color w:val="000000" w:themeColor="text1"/>
          <w:sz w:val="22"/>
          <w:szCs w:val="22"/>
        </w:rPr>
        <w:t>el desarrollo de labores en tiempo suplementario para 54 funcionarios, significando el 8% del total de la planta de personal</w:t>
      </w:r>
      <w:r w:rsidR="00174753" w:rsidRPr="00C7012F">
        <w:rPr>
          <w:color w:val="000000" w:themeColor="text1"/>
          <w:sz w:val="22"/>
          <w:szCs w:val="22"/>
        </w:rPr>
        <w:t xml:space="preserve">. </w:t>
      </w:r>
      <w:r w:rsidR="00A94B90" w:rsidRPr="00C7012F">
        <w:rPr>
          <w:color w:val="000000" w:themeColor="text1"/>
          <w:sz w:val="22"/>
          <w:szCs w:val="22"/>
        </w:rPr>
        <w:t xml:space="preserve">Para la vigencia actual, la mayor parte de los funcionarios se les autorizó reconocer en dinero hasta </w:t>
      </w:r>
      <w:r w:rsidR="00065C40" w:rsidRPr="00C7012F">
        <w:rPr>
          <w:color w:val="000000" w:themeColor="text1"/>
          <w:sz w:val="22"/>
          <w:szCs w:val="22"/>
        </w:rPr>
        <w:t xml:space="preserve">40 horas </w:t>
      </w:r>
      <w:r w:rsidR="00A94B90" w:rsidRPr="00C7012F">
        <w:rPr>
          <w:color w:val="000000" w:themeColor="text1"/>
          <w:sz w:val="22"/>
          <w:szCs w:val="22"/>
        </w:rPr>
        <w:t>extras mensuales. Para dos funcionari</w:t>
      </w:r>
      <w:r w:rsidR="00B21436" w:rsidRPr="00C7012F">
        <w:rPr>
          <w:color w:val="000000" w:themeColor="text1"/>
          <w:sz w:val="22"/>
          <w:szCs w:val="22"/>
        </w:rPr>
        <w:t>a</w:t>
      </w:r>
      <w:r w:rsidR="00A94B90" w:rsidRPr="00C7012F">
        <w:rPr>
          <w:color w:val="000000" w:themeColor="text1"/>
          <w:sz w:val="22"/>
          <w:szCs w:val="22"/>
        </w:rPr>
        <w:t xml:space="preserve">s que </w:t>
      </w:r>
      <w:r w:rsidR="00EE6583" w:rsidRPr="00C7012F">
        <w:rPr>
          <w:color w:val="000000" w:themeColor="text1"/>
          <w:sz w:val="22"/>
          <w:szCs w:val="22"/>
        </w:rPr>
        <w:t>se desempeñan como secretari</w:t>
      </w:r>
      <w:r w:rsidR="00B21436" w:rsidRPr="00C7012F">
        <w:rPr>
          <w:color w:val="000000" w:themeColor="text1"/>
          <w:sz w:val="22"/>
          <w:szCs w:val="22"/>
        </w:rPr>
        <w:t>a</w:t>
      </w:r>
      <w:r w:rsidR="00EE6583" w:rsidRPr="00C7012F">
        <w:rPr>
          <w:color w:val="000000" w:themeColor="text1"/>
          <w:sz w:val="22"/>
          <w:szCs w:val="22"/>
        </w:rPr>
        <w:t xml:space="preserve">s del Despacho del Ministro y la Secretaría General, </w:t>
      </w:r>
      <w:r w:rsidR="00A94B90" w:rsidRPr="00C7012F">
        <w:rPr>
          <w:color w:val="000000" w:themeColor="text1"/>
          <w:sz w:val="22"/>
          <w:szCs w:val="22"/>
        </w:rPr>
        <w:t>s</w:t>
      </w:r>
      <w:r w:rsidR="00EE6583" w:rsidRPr="00C7012F">
        <w:rPr>
          <w:color w:val="000000" w:themeColor="text1"/>
          <w:sz w:val="22"/>
          <w:szCs w:val="22"/>
        </w:rPr>
        <w:t>e les autorizó</w:t>
      </w:r>
      <w:r w:rsidR="00174753" w:rsidRPr="00C7012F">
        <w:rPr>
          <w:color w:val="000000" w:themeColor="text1"/>
          <w:sz w:val="22"/>
          <w:szCs w:val="22"/>
        </w:rPr>
        <w:t xml:space="preserve"> 60 y 50 horas respectivamente, </w:t>
      </w:r>
      <w:r w:rsidR="00416067" w:rsidRPr="00C7012F">
        <w:rPr>
          <w:color w:val="000000" w:themeColor="text1"/>
          <w:sz w:val="22"/>
          <w:szCs w:val="22"/>
        </w:rPr>
        <w:t xml:space="preserve">debido a las múltiples actividades desarrolladas en </w:t>
      </w:r>
      <w:r w:rsidR="00434181" w:rsidRPr="00C7012F">
        <w:rPr>
          <w:color w:val="000000" w:themeColor="text1"/>
          <w:sz w:val="22"/>
          <w:szCs w:val="22"/>
        </w:rPr>
        <w:t>las mencionadas áreas,</w:t>
      </w:r>
      <w:r w:rsidR="00416067" w:rsidRPr="00C7012F">
        <w:rPr>
          <w:color w:val="000000" w:themeColor="text1"/>
          <w:sz w:val="22"/>
          <w:szCs w:val="22"/>
        </w:rPr>
        <w:t xml:space="preserve"> </w:t>
      </w:r>
      <w:r w:rsidR="001620F5" w:rsidRPr="00C7012F">
        <w:rPr>
          <w:color w:val="000000" w:themeColor="text1"/>
          <w:sz w:val="22"/>
          <w:szCs w:val="22"/>
        </w:rPr>
        <w:t xml:space="preserve">las cuales </w:t>
      </w:r>
      <w:r w:rsidR="00416067" w:rsidRPr="00C7012F">
        <w:rPr>
          <w:color w:val="000000" w:themeColor="text1"/>
          <w:sz w:val="22"/>
          <w:szCs w:val="22"/>
        </w:rPr>
        <w:t>requiere</w:t>
      </w:r>
      <w:r w:rsidR="00434181" w:rsidRPr="00C7012F">
        <w:rPr>
          <w:color w:val="000000" w:themeColor="text1"/>
          <w:sz w:val="22"/>
          <w:szCs w:val="22"/>
        </w:rPr>
        <w:t>n</w:t>
      </w:r>
      <w:r w:rsidR="00416067" w:rsidRPr="00C7012F">
        <w:rPr>
          <w:color w:val="000000" w:themeColor="text1"/>
          <w:sz w:val="22"/>
          <w:szCs w:val="22"/>
        </w:rPr>
        <w:t xml:space="preserve"> del apoyo del personal administrativo</w:t>
      </w:r>
      <w:r w:rsidR="001620F5" w:rsidRPr="00C7012F">
        <w:rPr>
          <w:color w:val="000000" w:themeColor="text1"/>
          <w:sz w:val="22"/>
          <w:szCs w:val="22"/>
        </w:rPr>
        <w:t xml:space="preserve">. </w:t>
      </w:r>
    </w:p>
    <w:p w14:paraId="586D1566" w14:textId="77777777" w:rsidR="00B803DE" w:rsidRPr="00C7012F" w:rsidRDefault="00B803DE" w:rsidP="00675E4F">
      <w:pPr>
        <w:pStyle w:val="Default"/>
        <w:spacing w:line="168" w:lineRule="auto"/>
        <w:jc w:val="both"/>
        <w:rPr>
          <w:color w:val="000000" w:themeColor="text1"/>
          <w:sz w:val="22"/>
          <w:szCs w:val="22"/>
        </w:rPr>
      </w:pPr>
    </w:p>
    <w:p w14:paraId="09C1A5EB" w14:textId="375C8089" w:rsidR="00EE6583" w:rsidRPr="00C7012F" w:rsidRDefault="001620F5" w:rsidP="00EE6583">
      <w:pPr>
        <w:pStyle w:val="Default"/>
        <w:jc w:val="both"/>
        <w:rPr>
          <w:color w:val="000000" w:themeColor="text1"/>
          <w:sz w:val="22"/>
          <w:szCs w:val="22"/>
        </w:rPr>
      </w:pPr>
      <w:r w:rsidRPr="00C7012F">
        <w:rPr>
          <w:color w:val="000000" w:themeColor="text1"/>
          <w:sz w:val="22"/>
          <w:szCs w:val="22"/>
        </w:rPr>
        <w:t>A</w:t>
      </w:r>
      <w:r w:rsidR="00174753" w:rsidRPr="00C7012F">
        <w:rPr>
          <w:color w:val="000000" w:themeColor="text1"/>
          <w:sz w:val="22"/>
          <w:szCs w:val="22"/>
        </w:rPr>
        <w:t xml:space="preserve">sí mismo, se </w:t>
      </w:r>
      <w:r w:rsidR="00416067" w:rsidRPr="00C7012F">
        <w:rPr>
          <w:color w:val="000000" w:themeColor="text1"/>
          <w:sz w:val="22"/>
          <w:szCs w:val="22"/>
        </w:rPr>
        <w:t xml:space="preserve">aclara </w:t>
      </w:r>
      <w:r w:rsidR="00EE6583" w:rsidRPr="00C7012F">
        <w:rPr>
          <w:color w:val="000000" w:themeColor="text1"/>
          <w:sz w:val="22"/>
          <w:szCs w:val="22"/>
        </w:rPr>
        <w:t>que</w:t>
      </w:r>
      <w:r w:rsidR="00174753" w:rsidRPr="00C7012F">
        <w:rPr>
          <w:color w:val="000000" w:themeColor="text1"/>
          <w:sz w:val="22"/>
          <w:szCs w:val="22"/>
        </w:rPr>
        <w:t xml:space="preserve"> </w:t>
      </w:r>
      <w:r w:rsidR="00EE6583" w:rsidRPr="00C7012F">
        <w:rPr>
          <w:color w:val="000000" w:themeColor="text1"/>
          <w:sz w:val="22"/>
          <w:szCs w:val="22"/>
        </w:rPr>
        <w:t xml:space="preserve">para los funcionarios que ejerzan cargos de conductores, debido a las necesidades del servicio y las funciones especiales que </w:t>
      </w:r>
      <w:r w:rsidR="00653533" w:rsidRPr="00C7012F">
        <w:rPr>
          <w:color w:val="000000" w:themeColor="text1"/>
          <w:sz w:val="22"/>
          <w:szCs w:val="22"/>
        </w:rPr>
        <w:t>desarrollan</w:t>
      </w:r>
      <w:r w:rsidR="00EE6583" w:rsidRPr="00C7012F">
        <w:rPr>
          <w:color w:val="000000" w:themeColor="text1"/>
          <w:sz w:val="22"/>
          <w:szCs w:val="22"/>
        </w:rPr>
        <w:t>, la Ley permite que se autorice mensualmente</w:t>
      </w:r>
      <w:r w:rsidRPr="00C7012F">
        <w:rPr>
          <w:color w:val="000000" w:themeColor="text1"/>
          <w:sz w:val="22"/>
          <w:szCs w:val="22"/>
        </w:rPr>
        <w:t xml:space="preserve"> hasta </w:t>
      </w:r>
      <w:r w:rsidR="00EE6583" w:rsidRPr="00C7012F">
        <w:rPr>
          <w:color w:val="000000" w:themeColor="text1"/>
          <w:sz w:val="22"/>
          <w:szCs w:val="22"/>
        </w:rPr>
        <w:t xml:space="preserve">un total de 100 horas. </w:t>
      </w:r>
    </w:p>
    <w:p w14:paraId="262BC5C8" w14:textId="3DF01714" w:rsidR="00174753" w:rsidRPr="00CA48AF" w:rsidRDefault="00174753" w:rsidP="00EE6583">
      <w:pPr>
        <w:pStyle w:val="Default"/>
        <w:jc w:val="both"/>
        <w:rPr>
          <w:sz w:val="22"/>
          <w:szCs w:val="22"/>
        </w:rPr>
      </w:pPr>
    </w:p>
    <w:tbl>
      <w:tblPr>
        <w:tblStyle w:val="Tabladecuadrcula1clara-nfasis1"/>
        <w:tblW w:w="0" w:type="auto"/>
        <w:jc w:val="center"/>
        <w:tblLook w:val="04A0" w:firstRow="1" w:lastRow="0" w:firstColumn="1" w:lastColumn="0" w:noHBand="0" w:noVBand="1"/>
      </w:tblPr>
      <w:tblGrid>
        <w:gridCol w:w="2294"/>
        <w:gridCol w:w="3883"/>
      </w:tblGrid>
      <w:tr w:rsidR="00F655F7" w:rsidRPr="00CA48AF" w14:paraId="715DBE59" w14:textId="77777777" w:rsidTr="00083494">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365F91" w:themeFill="accent1" w:themeFillShade="BF"/>
            <w:noWrap/>
            <w:vAlign w:val="center"/>
          </w:tcPr>
          <w:p w14:paraId="52FDE597" w14:textId="4EB5E1C7"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FFFFFF" w:themeColor="background1"/>
                <w:sz w:val="20"/>
                <w:szCs w:val="20"/>
              </w:rPr>
              <w:t>Autorización Horas Extras Vigencia 2020</w:t>
            </w:r>
          </w:p>
        </w:tc>
      </w:tr>
      <w:tr w:rsidR="00F655F7" w:rsidRPr="00CA48AF" w14:paraId="08E35842"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noWrap/>
            <w:vAlign w:val="center"/>
            <w:hideMark/>
          </w:tcPr>
          <w:p w14:paraId="6072063A" w14:textId="7404C51D"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Cantidad de Horas</w:t>
            </w:r>
          </w:p>
        </w:tc>
        <w:tc>
          <w:tcPr>
            <w:tcW w:w="0" w:type="auto"/>
            <w:shd w:val="clear" w:color="auto" w:fill="DBE5F1" w:themeFill="accent1" w:themeFillTint="33"/>
            <w:noWrap/>
            <w:vAlign w:val="center"/>
            <w:hideMark/>
          </w:tcPr>
          <w:p w14:paraId="1165C92C" w14:textId="760ADF9F"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Cantidad de Funcionarios Autorizados</w:t>
            </w:r>
          </w:p>
        </w:tc>
      </w:tr>
      <w:tr w:rsidR="00F655F7" w:rsidRPr="00CA48AF" w14:paraId="49BC92FE"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BD8318" w14:textId="77777777"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40</w:t>
            </w:r>
          </w:p>
        </w:tc>
        <w:tc>
          <w:tcPr>
            <w:tcW w:w="0" w:type="auto"/>
            <w:noWrap/>
            <w:vAlign w:val="center"/>
            <w:hideMark/>
          </w:tcPr>
          <w:p w14:paraId="455ADC27" w14:textId="33F227B2"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3</w:t>
            </w:r>
            <w:r w:rsidR="00A5400A" w:rsidRPr="00CA48AF">
              <w:rPr>
                <w:rFonts w:ascii="Arial" w:hAnsi="Arial" w:cs="Arial"/>
                <w:color w:val="0F243E" w:themeColor="text2" w:themeShade="80"/>
                <w:sz w:val="20"/>
                <w:szCs w:val="20"/>
              </w:rPr>
              <w:t>2</w:t>
            </w:r>
          </w:p>
        </w:tc>
      </w:tr>
      <w:tr w:rsidR="00F655F7" w:rsidRPr="00CA48AF" w14:paraId="1121D3D6"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FF768" w14:textId="77777777"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50</w:t>
            </w:r>
          </w:p>
        </w:tc>
        <w:tc>
          <w:tcPr>
            <w:tcW w:w="0" w:type="auto"/>
            <w:noWrap/>
            <w:vAlign w:val="center"/>
            <w:hideMark/>
          </w:tcPr>
          <w:p w14:paraId="16A34885" w14:textId="77777777"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1</w:t>
            </w:r>
          </w:p>
        </w:tc>
      </w:tr>
      <w:tr w:rsidR="00F655F7" w:rsidRPr="00CA48AF" w14:paraId="21BFBFB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C87116" w14:textId="77777777"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60</w:t>
            </w:r>
          </w:p>
        </w:tc>
        <w:tc>
          <w:tcPr>
            <w:tcW w:w="0" w:type="auto"/>
            <w:noWrap/>
            <w:vAlign w:val="center"/>
            <w:hideMark/>
          </w:tcPr>
          <w:p w14:paraId="79A7499B" w14:textId="77777777"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1</w:t>
            </w:r>
          </w:p>
        </w:tc>
      </w:tr>
      <w:tr w:rsidR="00F655F7" w:rsidRPr="00CA48AF" w14:paraId="2FF5158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noWrap/>
            <w:vAlign w:val="center"/>
            <w:hideMark/>
          </w:tcPr>
          <w:p w14:paraId="542B7606" w14:textId="77777777"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100</w:t>
            </w:r>
          </w:p>
        </w:tc>
        <w:tc>
          <w:tcPr>
            <w:tcW w:w="0" w:type="auto"/>
            <w:tcBorders>
              <w:bottom w:val="double" w:sz="4" w:space="0" w:color="4F81BD" w:themeColor="accent1"/>
            </w:tcBorders>
            <w:noWrap/>
            <w:vAlign w:val="center"/>
            <w:hideMark/>
          </w:tcPr>
          <w:p w14:paraId="225B9F25" w14:textId="77777777"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20</w:t>
            </w:r>
          </w:p>
        </w:tc>
      </w:tr>
      <w:tr w:rsidR="00F655F7" w:rsidRPr="00CA48AF" w14:paraId="2840F251" w14:textId="77777777" w:rsidTr="00083494">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68488428" w14:textId="6784FDAD" w:rsidR="00F655F7" w:rsidRPr="00CA48AF" w:rsidRDefault="00F655F7" w:rsidP="003F7A6A">
            <w:pPr>
              <w:spacing w:before="60" w:after="8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Total de Funcionarios</w:t>
            </w:r>
          </w:p>
        </w:tc>
        <w:tc>
          <w:tcPr>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4102ECBD" w14:textId="00625DFF" w:rsidR="00F655F7" w:rsidRPr="00CA48AF" w:rsidRDefault="00F655F7" w:rsidP="003F7A6A">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5</w:t>
            </w:r>
            <w:r w:rsidR="00A5400A" w:rsidRPr="00CA48AF">
              <w:rPr>
                <w:rFonts w:ascii="Arial" w:hAnsi="Arial" w:cs="Arial"/>
                <w:b/>
                <w:bCs/>
                <w:color w:val="0F243E" w:themeColor="text2" w:themeShade="80"/>
                <w:sz w:val="20"/>
                <w:szCs w:val="20"/>
              </w:rPr>
              <w:t>4</w:t>
            </w:r>
          </w:p>
        </w:tc>
      </w:tr>
    </w:tbl>
    <w:p w14:paraId="5655AE20" w14:textId="77777777" w:rsidR="006478C9" w:rsidRPr="00CA48AF" w:rsidRDefault="006478C9" w:rsidP="00416067">
      <w:pPr>
        <w:jc w:val="both"/>
        <w:rPr>
          <w:rFonts w:ascii="Arial" w:hAnsi="Arial" w:cs="Arial"/>
          <w:color w:val="000000" w:themeColor="text1"/>
          <w:sz w:val="22"/>
          <w:szCs w:val="22"/>
          <w:highlight w:val="yellow"/>
        </w:rPr>
      </w:pPr>
    </w:p>
    <w:p w14:paraId="37ADB507" w14:textId="7A791BB5" w:rsidR="00C26F37" w:rsidRPr="00C7012F" w:rsidRDefault="00F42649" w:rsidP="00416067">
      <w:pPr>
        <w:jc w:val="both"/>
        <w:rPr>
          <w:rFonts w:ascii="Arial" w:hAnsi="Arial" w:cs="Arial"/>
          <w:color w:val="000000" w:themeColor="text1"/>
          <w:sz w:val="22"/>
          <w:szCs w:val="22"/>
        </w:rPr>
      </w:pPr>
      <w:r w:rsidRPr="00C7012F">
        <w:rPr>
          <w:rFonts w:ascii="Arial" w:hAnsi="Arial" w:cs="Arial"/>
          <w:color w:val="000000" w:themeColor="text1"/>
          <w:sz w:val="22"/>
          <w:szCs w:val="22"/>
        </w:rPr>
        <w:t>E</w:t>
      </w:r>
      <w:r w:rsidR="006478C9" w:rsidRPr="00C7012F">
        <w:rPr>
          <w:rFonts w:ascii="Arial" w:hAnsi="Arial" w:cs="Arial"/>
          <w:color w:val="000000" w:themeColor="text1"/>
          <w:sz w:val="22"/>
          <w:szCs w:val="22"/>
        </w:rPr>
        <w:t xml:space="preserve">s importante </w:t>
      </w:r>
      <w:r w:rsidRPr="00C7012F">
        <w:rPr>
          <w:rFonts w:ascii="Arial" w:hAnsi="Arial" w:cs="Arial"/>
          <w:color w:val="000000" w:themeColor="text1"/>
          <w:sz w:val="22"/>
          <w:szCs w:val="22"/>
        </w:rPr>
        <w:t xml:space="preserve">mencionar que, </w:t>
      </w:r>
      <w:r w:rsidR="00C26F37" w:rsidRPr="00C7012F">
        <w:rPr>
          <w:rFonts w:ascii="Arial" w:hAnsi="Arial" w:cs="Arial"/>
          <w:color w:val="000000" w:themeColor="text1"/>
          <w:sz w:val="22"/>
          <w:szCs w:val="22"/>
        </w:rPr>
        <w:t>derivado de la declaratoria de la Emergencia Económica, Social y Ecológica [COVID-19], para el tercer trimestre de 2020 el comportamiento de horas extras es atípico  al compararlo con el histórico de años anteriores, dado que, para dicho periodo se continuó con la aplicación de las directrices establecidas al interior de este Ministerio relacionadas con el actuar operacional de esta Entidad que llevó a establecer “</w:t>
      </w:r>
      <w:r w:rsidR="00C26F37" w:rsidRPr="00C7012F">
        <w:rPr>
          <w:rFonts w:ascii="Arial" w:hAnsi="Arial" w:cs="Arial"/>
          <w:i/>
          <w:iCs/>
          <w:color w:val="000000" w:themeColor="text1"/>
          <w:sz w:val="22"/>
          <w:szCs w:val="22"/>
        </w:rPr>
        <w:t>el trabajo en casa</w:t>
      </w:r>
      <w:r w:rsidR="00C26F37" w:rsidRPr="00C7012F">
        <w:rPr>
          <w:rFonts w:ascii="Arial" w:hAnsi="Arial" w:cs="Arial"/>
          <w:color w:val="000000" w:themeColor="text1"/>
          <w:sz w:val="22"/>
          <w:szCs w:val="22"/>
        </w:rPr>
        <w:t xml:space="preserve">” apoyado en el uso de las Tecnologías de Información y Comunicación (TIC). Por consiguiente, las horas extras autorizadas </w:t>
      </w:r>
      <w:r w:rsidR="000D3291" w:rsidRPr="00C7012F">
        <w:rPr>
          <w:rFonts w:ascii="Arial" w:hAnsi="Arial" w:cs="Arial"/>
          <w:color w:val="000000" w:themeColor="text1"/>
          <w:sz w:val="22"/>
          <w:szCs w:val="22"/>
        </w:rPr>
        <w:t xml:space="preserve">durante el tercer trimestre de 2020 </w:t>
      </w:r>
      <w:r w:rsidR="00C26F37" w:rsidRPr="00C7012F">
        <w:rPr>
          <w:rFonts w:ascii="Arial" w:hAnsi="Arial" w:cs="Arial"/>
          <w:color w:val="000000" w:themeColor="text1"/>
          <w:sz w:val="22"/>
          <w:szCs w:val="22"/>
        </w:rPr>
        <w:t xml:space="preserve">correspondieron </w:t>
      </w:r>
      <w:r w:rsidR="00DF2F71" w:rsidRPr="00C7012F">
        <w:rPr>
          <w:rFonts w:ascii="Arial" w:hAnsi="Arial" w:cs="Arial"/>
          <w:color w:val="000000" w:themeColor="text1"/>
          <w:sz w:val="22"/>
          <w:szCs w:val="22"/>
        </w:rPr>
        <w:t>a los funcionaros que desempeña</w:t>
      </w:r>
      <w:r w:rsidR="00C123F5">
        <w:rPr>
          <w:rFonts w:ascii="Arial" w:hAnsi="Arial" w:cs="Arial"/>
          <w:color w:val="000000" w:themeColor="text1"/>
          <w:sz w:val="22"/>
          <w:szCs w:val="22"/>
        </w:rPr>
        <w:t>ron</w:t>
      </w:r>
      <w:r w:rsidR="00DF2F71" w:rsidRPr="00C7012F">
        <w:rPr>
          <w:rFonts w:ascii="Arial" w:hAnsi="Arial" w:cs="Arial"/>
          <w:color w:val="000000" w:themeColor="text1"/>
          <w:sz w:val="22"/>
          <w:szCs w:val="22"/>
        </w:rPr>
        <w:t xml:space="preserve"> el cargo de </w:t>
      </w:r>
      <w:r w:rsidR="00C26F37" w:rsidRPr="00C7012F">
        <w:rPr>
          <w:rFonts w:ascii="Arial" w:hAnsi="Arial" w:cs="Arial"/>
          <w:color w:val="000000" w:themeColor="text1"/>
          <w:sz w:val="22"/>
          <w:szCs w:val="22"/>
        </w:rPr>
        <w:t>conductor</w:t>
      </w:r>
      <w:r w:rsidR="00265422" w:rsidRPr="00C7012F">
        <w:rPr>
          <w:rFonts w:ascii="Arial" w:hAnsi="Arial" w:cs="Arial"/>
          <w:color w:val="000000" w:themeColor="text1"/>
          <w:sz w:val="22"/>
          <w:szCs w:val="22"/>
        </w:rPr>
        <w:t>. P</w:t>
      </w:r>
      <w:r w:rsidR="000D3291" w:rsidRPr="00C7012F">
        <w:rPr>
          <w:rFonts w:ascii="Arial" w:hAnsi="Arial" w:cs="Arial"/>
          <w:color w:val="000000" w:themeColor="text1"/>
          <w:sz w:val="22"/>
          <w:szCs w:val="22"/>
        </w:rPr>
        <w:t xml:space="preserve">ara el mes de septiembre de 2020, se autorizó horas extras a la funcionaria que desempeña el cargo de secretaria del </w:t>
      </w:r>
      <w:r w:rsidR="00265422" w:rsidRPr="00C7012F">
        <w:rPr>
          <w:rFonts w:ascii="Arial" w:hAnsi="Arial" w:cs="Arial"/>
          <w:color w:val="000000" w:themeColor="text1"/>
          <w:sz w:val="22"/>
          <w:szCs w:val="22"/>
        </w:rPr>
        <w:t>d</w:t>
      </w:r>
      <w:r w:rsidR="000D3291" w:rsidRPr="00C7012F">
        <w:rPr>
          <w:rFonts w:ascii="Arial" w:hAnsi="Arial" w:cs="Arial"/>
          <w:color w:val="000000" w:themeColor="text1"/>
          <w:sz w:val="22"/>
          <w:szCs w:val="22"/>
        </w:rPr>
        <w:t xml:space="preserve">espacho del Ministro, de acuerdo con la solicitud de necesidad del servicio emitida por el área.  </w:t>
      </w:r>
    </w:p>
    <w:p w14:paraId="48323B5F" w14:textId="77777777" w:rsidR="00C26F37" w:rsidRPr="00C7012F" w:rsidRDefault="00C26F37" w:rsidP="00416067">
      <w:pPr>
        <w:jc w:val="both"/>
        <w:rPr>
          <w:rFonts w:ascii="Arial" w:hAnsi="Arial" w:cs="Arial"/>
          <w:color w:val="000000" w:themeColor="text1"/>
          <w:sz w:val="22"/>
          <w:szCs w:val="22"/>
        </w:rPr>
      </w:pPr>
    </w:p>
    <w:p w14:paraId="6D80378F" w14:textId="27DFCAA3" w:rsidR="00B03351" w:rsidRPr="00C7012F" w:rsidRDefault="00B803DE" w:rsidP="005317F0">
      <w:pPr>
        <w:pStyle w:val="Default"/>
        <w:jc w:val="both"/>
        <w:rPr>
          <w:rFonts w:eastAsia="Times New Roman"/>
          <w:color w:val="000000" w:themeColor="text1"/>
          <w:sz w:val="22"/>
          <w:szCs w:val="22"/>
          <w:lang w:eastAsia="es-CO"/>
        </w:rPr>
      </w:pPr>
      <w:r w:rsidRPr="00C7012F">
        <w:rPr>
          <w:rFonts w:eastAsia="Times New Roman"/>
          <w:color w:val="000000" w:themeColor="text1"/>
          <w:sz w:val="22"/>
          <w:szCs w:val="22"/>
          <w:lang w:eastAsia="es-CO"/>
        </w:rPr>
        <w:t>De acuerdo</w:t>
      </w:r>
      <w:r w:rsidR="00265422" w:rsidRPr="00C7012F">
        <w:rPr>
          <w:rFonts w:eastAsia="Times New Roman"/>
          <w:color w:val="000000" w:themeColor="text1"/>
          <w:sz w:val="22"/>
          <w:szCs w:val="22"/>
          <w:lang w:eastAsia="es-CO"/>
        </w:rPr>
        <w:t>,</w:t>
      </w:r>
      <w:r w:rsidRPr="00C7012F">
        <w:rPr>
          <w:rFonts w:eastAsia="Times New Roman"/>
          <w:color w:val="000000" w:themeColor="text1"/>
          <w:sz w:val="22"/>
          <w:szCs w:val="22"/>
          <w:lang w:eastAsia="es-CO"/>
        </w:rPr>
        <w:t xml:space="preserve"> con la información suministrada por el Grupo de Administración de Personal y </w:t>
      </w:r>
      <w:r w:rsidR="005A0C66" w:rsidRPr="00C7012F">
        <w:rPr>
          <w:rFonts w:eastAsia="Times New Roman"/>
          <w:color w:val="000000" w:themeColor="text1"/>
          <w:sz w:val="22"/>
          <w:szCs w:val="22"/>
          <w:lang w:eastAsia="es-CO"/>
        </w:rPr>
        <w:t>c</w:t>
      </w:r>
      <w:r w:rsidR="005317F0" w:rsidRPr="00C7012F">
        <w:rPr>
          <w:rFonts w:eastAsia="Times New Roman"/>
          <w:color w:val="000000" w:themeColor="text1"/>
          <w:sz w:val="22"/>
          <w:szCs w:val="22"/>
          <w:lang w:eastAsia="es-CO"/>
        </w:rPr>
        <w:t>on el fin de confirmar la aplicación de la</w:t>
      </w:r>
      <w:r w:rsidR="007911F0" w:rsidRPr="00C7012F">
        <w:rPr>
          <w:rFonts w:eastAsia="Times New Roman"/>
          <w:color w:val="000000" w:themeColor="text1"/>
          <w:sz w:val="22"/>
          <w:szCs w:val="22"/>
          <w:lang w:eastAsia="es-CO"/>
        </w:rPr>
        <w:t xml:space="preserve"> directriz impartida por este Ministerio en relación</w:t>
      </w:r>
      <w:r w:rsidR="00265422" w:rsidRPr="00C7012F">
        <w:rPr>
          <w:rFonts w:eastAsia="Times New Roman"/>
          <w:color w:val="000000" w:themeColor="text1"/>
          <w:sz w:val="22"/>
          <w:szCs w:val="22"/>
          <w:lang w:eastAsia="es-CO"/>
        </w:rPr>
        <w:t xml:space="preserve"> a las horas extras con ocasión a </w:t>
      </w:r>
      <w:r w:rsidR="007911F0" w:rsidRPr="00C7012F">
        <w:rPr>
          <w:rFonts w:eastAsia="Times New Roman"/>
          <w:color w:val="000000" w:themeColor="text1"/>
          <w:sz w:val="22"/>
          <w:szCs w:val="22"/>
          <w:lang w:eastAsia="es-CO"/>
        </w:rPr>
        <w:t xml:space="preserve">la Emergencia Sanitaria [COVID-19], </w:t>
      </w:r>
      <w:r w:rsidR="005317F0" w:rsidRPr="00C7012F">
        <w:rPr>
          <w:rFonts w:eastAsia="Times New Roman"/>
          <w:color w:val="000000" w:themeColor="text1"/>
          <w:sz w:val="22"/>
          <w:szCs w:val="22"/>
          <w:lang w:eastAsia="es-CO"/>
        </w:rPr>
        <w:t xml:space="preserve">se </w:t>
      </w:r>
      <w:r w:rsidR="007911F0" w:rsidRPr="00C7012F">
        <w:rPr>
          <w:rFonts w:eastAsia="Times New Roman"/>
          <w:color w:val="000000" w:themeColor="text1"/>
          <w:sz w:val="22"/>
          <w:szCs w:val="22"/>
          <w:lang w:eastAsia="es-CO"/>
        </w:rPr>
        <w:t xml:space="preserve">efectuó la verificación del listado de horas extras </w:t>
      </w:r>
      <w:r w:rsidR="00A408AF" w:rsidRPr="00C7012F">
        <w:rPr>
          <w:rFonts w:eastAsia="Times New Roman"/>
          <w:color w:val="000000" w:themeColor="text1"/>
          <w:sz w:val="22"/>
          <w:szCs w:val="22"/>
          <w:lang w:eastAsia="es-CO"/>
        </w:rPr>
        <w:t xml:space="preserve">del </w:t>
      </w:r>
      <w:r w:rsidR="000D3291" w:rsidRPr="00C7012F">
        <w:rPr>
          <w:rFonts w:eastAsia="Times New Roman"/>
          <w:color w:val="000000" w:themeColor="text1"/>
          <w:sz w:val="22"/>
          <w:szCs w:val="22"/>
          <w:lang w:eastAsia="es-CO"/>
        </w:rPr>
        <w:t xml:space="preserve">tercer </w:t>
      </w:r>
      <w:r w:rsidR="002B4A37" w:rsidRPr="00C7012F">
        <w:rPr>
          <w:rFonts w:eastAsia="Times New Roman"/>
          <w:color w:val="000000" w:themeColor="text1"/>
          <w:sz w:val="22"/>
          <w:szCs w:val="22"/>
          <w:lang w:eastAsia="es-CO"/>
        </w:rPr>
        <w:t xml:space="preserve">trimestre </w:t>
      </w:r>
      <w:r w:rsidR="007911F0" w:rsidRPr="00C7012F">
        <w:rPr>
          <w:rFonts w:eastAsia="Times New Roman"/>
          <w:color w:val="000000" w:themeColor="text1"/>
          <w:sz w:val="22"/>
          <w:szCs w:val="22"/>
          <w:lang w:eastAsia="es-CO"/>
        </w:rPr>
        <w:t>de 2020, mediante el cual</w:t>
      </w:r>
      <w:r w:rsidR="007F187F" w:rsidRPr="00C7012F">
        <w:rPr>
          <w:rFonts w:eastAsia="Times New Roman"/>
          <w:color w:val="000000" w:themeColor="text1"/>
          <w:sz w:val="22"/>
          <w:szCs w:val="22"/>
          <w:lang w:eastAsia="es-CO"/>
        </w:rPr>
        <w:t xml:space="preserve"> </w:t>
      </w:r>
      <w:r w:rsidR="007911F0" w:rsidRPr="00C7012F">
        <w:rPr>
          <w:rFonts w:eastAsia="Times New Roman"/>
          <w:color w:val="000000" w:themeColor="text1"/>
          <w:sz w:val="22"/>
          <w:szCs w:val="22"/>
          <w:lang w:eastAsia="es-CO"/>
        </w:rPr>
        <w:t>se constató que, las horas</w:t>
      </w:r>
      <w:r w:rsidR="00B8613E" w:rsidRPr="00C7012F">
        <w:rPr>
          <w:rFonts w:eastAsia="Times New Roman"/>
          <w:color w:val="000000" w:themeColor="text1"/>
          <w:sz w:val="22"/>
          <w:szCs w:val="22"/>
          <w:lang w:eastAsia="es-CO"/>
        </w:rPr>
        <w:t xml:space="preserve"> extras</w:t>
      </w:r>
      <w:r w:rsidR="007911F0" w:rsidRPr="00C7012F">
        <w:rPr>
          <w:rFonts w:eastAsia="Times New Roman"/>
          <w:color w:val="000000" w:themeColor="text1"/>
          <w:sz w:val="22"/>
          <w:szCs w:val="22"/>
          <w:lang w:eastAsia="es-CO"/>
        </w:rPr>
        <w:t xml:space="preserve"> liquidadas y pagadas durante dicho periodo correspondieron a los funcionarios que desempeñan</w:t>
      </w:r>
      <w:r w:rsidR="007F187F" w:rsidRPr="00C7012F">
        <w:rPr>
          <w:rFonts w:eastAsia="Times New Roman"/>
          <w:color w:val="000000" w:themeColor="text1"/>
          <w:sz w:val="22"/>
          <w:szCs w:val="22"/>
          <w:lang w:eastAsia="es-CO"/>
        </w:rPr>
        <w:t xml:space="preserve"> el cargo de </w:t>
      </w:r>
      <w:r w:rsidR="007911F0" w:rsidRPr="00C7012F">
        <w:rPr>
          <w:rFonts w:eastAsia="Times New Roman"/>
          <w:color w:val="000000" w:themeColor="text1"/>
          <w:sz w:val="22"/>
          <w:szCs w:val="22"/>
          <w:lang w:eastAsia="es-CO"/>
        </w:rPr>
        <w:t>conductores</w:t>
      </w:r>
      <w:r w:rsidR="00265422" w:rsidRPr="00C7012F">
        <w:rPr>
          <w:rFonts w:eastAsia="Times New Roman"/>
          <w:color w:val="000000" w:themeColor="text1"/>
          <w:sz w:val="22"/>
          <w:szCs w:val="22"/>
          <w:lang w:eastAsia="es-CO"/>
        </w:rPr>
        <w:t xml:space="preserve"> y la secretaria del despacho del Ministro.</w:t>
      </w:r>
      <w:r w:rsidR="003B7213" w:rsidRPr="00C7012F">
        <w:rPr>
          <w:rFonts w:eastAsia="Times New Roman"/>
          <w:color w:val="000000" w:themeColor="text1"/>
          <w:sz w:val="22"/>
          <w:szCs w:val="22"/>
          <w:lang w:eastAsia="es-CO"/>
        </w:rPr>
        <w:t xml:space="preserve"> A </w:t>
      </w:r>
      <w:r w:rsidR="002B4A37" w:rsidRPr="00C7012F">
        <w:rPr>
          <w:rFonts w:eastAsia="Times New Roman"/>
          <w:color w:val="000000" w:themeColor="text1"/>
          <w:sz w:val="22"/>
          <w:szCs w:val="22"/>
          <w:lang w:eastAsia="es-CO"/>
        </w:rPr>
        <w:t>continuación,</w:t>
      </w:r>
      <w:r w:rsidR="003B7213" w:rsidRPr="00C7012F">
        <w:rPr>
          <w:rFonts w:eastAsia="Times New Roman"/>
          <w:color w:val="000000" w:themeColor="text1"/>
          <w:sz w:val="22"/>
          <w:szCs w:val="22"/>
          <w:lang w:eastAsia="es-CO"/>
        </w:rPr>
        <w:t xml:space="preserve"> se expone la cantidad y valor de </w:t>
      </w:r>
      <w:r w:rsidR="002B4A37" w:rsidRPr="00C7012F">
        <w:rPr>
          <w:rFonts w:eastAsia="Times New Roman"/>
          <w:color w:val="000000" w:themeColor="text1"/>
          <w:sz w:val="22"/>
          <w:szCs w:val="22"/>
          <w:lang w:eastAsia="es-CO"/>
        </w:rPr>
        <w:t xml:space="preserve">horas </w:t>
      </w:r>
      <w:r w:rsidR="003B7213" w:rsidRPr="00C7012F">
        <w:rPr>
          <w:rFonts w:eastAsia="Times New Roman"/>
          <w:color w:val="000000" w:themeColor="text1"/>
          <w:sz w:val="22"/>
          <w:szCs w:val="22"/>
          <w:lang w:eastAsia="es-CO"/>
        </w:rPr>
        <w:t xml:space="preserve">extras </w:t>
      </w:r>
      <w:r w:rsidR="002B4A37" w:rsidRPr="00C7012F">
        <w:rPr>
          <w:rFonts w:eastAsia="Times New Roman"/>
          <w:color w:val="000000" w:themeColor="text1"/>
          <w:sz w:val="22"/>
          <w:szCs w:val="22"/>
          <w:lang w:eastAsia="es-CO"/>
        </w:rPr>
        <w:t xml:space="preserve">correspondientes al </w:t>
      </w:r>
      <w:r w:rsidR="00AA273E" w:rsidRPr="00C7012F">
        <w:rPr>
          <w:rFonts w:eastAsia="Times New Roman"/>
          <w:color w:val="000000" w:themeColor="text1"/>
          <w:sz w:val="22"/>
          <w:szCs w:val="22"/>
          <w:lang w:eastAsia="es-CO"/>
        </w:rPr>
        <w:t>periodo verificado</w:t>
      </w:r>
      <w:r w:rsidR="002B4A37" w:rsidRPr="00C7012F">
        <w:rPr>
          <w:rFonts w:eastAsia="Times New Roman"/>
          <w:color w:val="000000" w:themeColor="text1"/>
          <w:sz w:val="22"/>
          <w:szCs w:val="22"/>
          <w:lang w:eastAsia="es-CO"/>
        </w:rPr>
        <w:t xml:space="preserve">: </w:t>
      </w:r>
    </w:p>
    <w:p w14:paraId="46918696" w14:textId="556A1187" w:rsidR="002B4A37" w:rsidRPr="00C7012F" w:rsidRDefault="002B4A37" w:rsidP="005317F0">
      <w:pPr>
        <w:pStyle w:val="Default"/>
        <w:jc w:val="both"/>
        <w:rPr>
          <w:rFonts w:eastAsia="Times New Roman"/>
          <w:color w:val="000000" w:themeColor="text1"/>
          <w:sz w:val="22"/>
          <w:szCs w:val="22"/>
          <w:lang w:eastAsia="es-CO"/>
        </w:rPr>
      </w:pPr>
    </w:p>
    <w:p w14:paraId="612F48A0" w14:textId="77777777" w:rsidR="00EB3545" w:rsidRPr="00CA48AF" w:rsidRDefault="00EB3545" w:rsidP="005317F0">
      <w:pPr>
        <w:pStyle w:val="Default"/>
        <w:jc w:val="both"/>
        <w:rPr>
          <w:rFonts w:eastAsia="Times New Roman"/>
          <w:sz w:val="22"/>
          <w:szCs w:val="22"/>
          <w:highlight w:val="yellow"/>
          <w:lang w:eastAsia="es-CO"/>
        </w:rPr>
      </w:pPr>
    </w:p>
    <w:tbl>
      <w:tblPr>
        <w:tblStyle w:val="Tabladecuadrcula1clara-nfasis1"/>
        <w:tblW w:w="0" w:type="auto"/>
        <w:jc w:val="center"/>
        <w:tblLook w:val="04A0" w:firstRow="1" w:lastRow="0" w:firstColumn="1" w:lastColumn="0" w:noHBand="0" w:noVBand="1"/>
      </w:tblPr>
      <w:tblGrid>
        <w:gridCol w:w="1696"/>
        <w:gridCol w:w="2410"/>
        <w:gridCol w:w="2552"/>
      </w:tblGrid>
      <w:tr w:rsidR="001C75AE" w:rsidRPr="00CA48AF" w14:paraId="6C8CECD7" w14:textId="77777777" w:rsidTr="00BD591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658" w:type="dxa"/>
            <w:gridSpan w:val="3"/>
            <w:shd w:val="clear" w:color="auto" w:fill="4F81BD" w:themeFill="accent1"/>
            <w:noWrap/>
            <w:vAlign w:val="center"/>
            <w:hideMark/>
          </w:tcPr>
          <w:p w14:paraId="7AD58645" w14:textId="6965CD50" w:rsidR="001C75AE" w:rsidRPr="00CA48AF" w:rsidRDefault="00265422" w:rsidP="00D6102A">
            <w:pPr>
              <w:spacing w:before="80" w:after="100"/>
              <w:jc w:val="center"/>
              <w:rPr>
                <w:rFonts w:ascii="Arial" w:hAnsi="Arial" w:cs="Arial"/>
                <w:color w:val="000000"/>
                <w:sz w:val="20"/>
                <w:szCs w:val="20"/>
              </w:rPr>
            </w:pPr>
            <w:r w:rsidRPr="00CA48AF">
              <w:rPr>
                <w:rFonts w:ascii="Arial" w:hAnsi="Arial" w:cs="Arial"/>
                <w:color w:val="FFFFFF" w:themeColor="background1"/>
                <w:sz w:val="20"/>
                <w:szCs w:val="20"/>
              </w:rPr>
              <w:lastRenderedPageBreak/>
              <w:t xml:space="preserve">Tercer </w:t>
            </w:r>
            <w:r w:rsidR="001C75AE" w:rsidRPr="00CA48AF">
              <w:rPr>
                <w:rFonts w:ascii="Arial" w:hAnsi="Arial" w:cs="Arial"/>
                <w:color w:val="FFFFFF" w:themeColor="background1"/>
                <w:sz w:val="20"/>
                <w:szCs w:val="20"/>
              </w:rPr>
              <w:t>Trimestre de 2020</w:t>
            </w:r>
          </w:p>
        </w:tc>
      </w:tr>
      <w:tr w:rsidR="001C75AE" w:rsidRPr="00CA48AF" w14:paraId="4077B6B4" w14:textId="77777777" w:rsidTr="00BD5910">
        <w:trPr>
          <w:cantSplit/>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vAlign w:val="center"/>
            <w:hideMark/>
          </w:tcPr>
          <w:p w14:paraId="7566E3F8" w14:textId="77777777" w:rsidR="001C75AE" w:rsidRPr="00CA48AF" w:rsidRDefault="001C75AE" w:rsidP="00D6102A">
            <w:pPr>
              <w:spacing w:before="80" w:after="100"/>
              <w:rPr>
                <w:rFonts w:ascii="Arial" w:hAnsi="Arial" w:cs="Arial"/>
                <w:color w:val="0F243E" w:themeColor="text2" w:themeShade="80"/>
                <w:sz w:val="20"/>
                <w:szCs w:val="20"/>
              </w:rPr>
            </w:pPr>
            <w:r w:rsidRPr="00CA48AF">
              <w:rPr>
                <w:rFonts w:ascii="Arial" w:hAnsi="Arial" w:cs="Arial"/>
                <w:color w:val="0F243E" w:themeColor="text2" w:themeShade="80"/>
                <w:sz w:val="20"/>
                <w:szCs w:val="20"/>
              </w:rPr>
              <w:t>Periodo</w:t>
            </w:r>
          </w:p>
        </w:tc>
        <w:tc>
          <w:tcPr>
            <w:tcW w:w="2410" w:type="dxa"/>
            <w:shd w:val="clear" w:color="auto" w:fill="DBE5F1" w:themeFill="accent1" w:themeFillTint="33"/>
            <w:noWrap/>
            <w:vAlign w:val="center"/>
            <w:hideMark/>
          </w:tcPr>
          <w:p w14:paraId="0744A8A5" w14:textId="37214797" w:rsidR="001C75AE" w:rsidRPr="00CA48AF" w:rsidRDefault="001C75AE" w:rsidP="00D6102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Cantidad Horas Extras</w:t>
            </w:r>
          </w:p>
        </w:tc>
        <w:tc>
          <w:tcPr>
            <w:tcW w:w="2552" w:type="dxa"/>
            <w:shd w:val="clear" w:color="auto" w:fill="DBE5F1" w:themeFill="accent1" w:themeFillTint="33"/>
            <w:noWrap/>
            <w:vAlign w:val="center"/>
            <w:hideMark/>
          </w:tcPr>
          <w:p w14:paraId="700665AE" w14:textId="72633C38" w:rsidR="001C75AE" w:rsidRPr="00CA48AF" w:rsidRDefault="001C75AE" w:rsidP="00D6102A">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Gasto Horas Extras ($)</w:t>
            </w:r>
          </w:p>
        </w:tc>
      </w:tr>
      <w:tr w:rsidR="00265422" w:rsidRPr="00CA48AF" w14:paraId="67685AB5" w14:textId="77777777" w:rsidTr="005769B0">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BA8DFD9" w14:textId="109C525C" w:rsidR="00265422" w:rsidRPr="00CA48AF" w:rsidRDefault="00265422" w:rsidP="00D6102A">
            <w:pPr>
              <w:spacing w:before="80" w:after="100"/>
              <w:rPr>
                <w:rFonts w:ascii="Arial" w:hAnsi="Arial" w:cs="Arial"/>
                <w:color w:val="0F243E" w:themeColor="text2" w:themeShade="80"/>
                <w:sz w:val="20"/>
                <w:szCs w:val="20"/>
              </w:rPr>
            </w:pPr>
            <w:r w:rsidRPr="00CA48AF">
              <w:rPr>
                <w:rFonts w:ascii="Arial" w:hAnsi="Arial" w:cs="Arial"/>
                <w:color w:val="0F243E" w:themeColor="text2" w:themeShade="80"/>
                <w:sz w:val="20"/>
                <w:szCs w:val="20"/>
              </w:rPr>
              <w:t>Julio</w:t>
            </w:r>
          </w:p>
        </w:tc>
        <w:tc>
          <w:tcPr>
            <w:tcW w:w="2410" w:type="dxa"/>
            <w:noWrap/>
            <w:vAlign w:val="bottom"/>
          </w:tcPr>
          <w:p w14:paraId="28A0541C" w14:textId="4E5BFFC9" w:rsidR="00265422" w:rsidRPr="00CA48AF" w:rsidRDefault="00265422" w:rsidP="00D6102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759</w:t>
            </w:r>
          </w:p>
        </w:tc>
        <w:tc>
          <w:tcPr>
            <w:tcW w:w="2552" w:type="dxa"/>
            <w:noWrap/>
            <w:vAlign w:val="bottom"/>
          </w:tcPr>
          <w:p w14:paraId="29C78C91" w14:textId="15CBBF94" w:rsidR="00265422" w:rsidRPr="00CA48AF" w:rsidRDefault="00265422" w:rsidP="00D6102A">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9.364.175 </w:t>
            </w:r>
          </w:p>
        </w:tc>
      </w:tr>
      <w:tr w:rsidR="00265422" w:rsidRPr="00CA48AF" w14:paraId="3B887616" w14:textId="77777777" w:rsidTr="005769B0">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96CCF43" w14:textId="19F9A467" w:rsidR="00265422" w:rsidRPr="00CA48AF" w:rsidRDefault="00265422" w:rsidP="00D6102A">
            <w:pPr>
              <w:spacing w:before="80" w:after="100"/>
              <w:rPr>
                <w:rFonts w:ascii="Arial" w:hAnsi="Arial" w:cs="Arial"/>
                <w:color w:val="0F243E" w:themeColor="text2" w:themeShade="80"/>
                <w:sz w:val="20"/>
                <w:szCs w:val="20"/>
              </w:rPr>
            </w:pPr>
            <w:r w:rsidRPr="00CA48AF">
              <w:rPr>
                <w:rFonts w:ascii="Arial" w:hAnsi="Arial" w:cs="Arial"/>
                <w:color w:val="0F243E" w:themeColor="text2" w:themeShade="80"/>
                <w:sz w:val="20"/>
                <w:szCs w:val="20"/>
              </w:rPr>
              <w:t>Agosto</w:t>
            </w:r>
          </w:p>
        </w:tc>
        <w:tc>
          <w:tcPr>
            <w:tcW w:w="2410" w:type="dxa"/>
            <w:noWrap/>
            <w:vAlign w:val="bottom"/>
          </w:tcPr>
          <w:p w14:paraId="4E57FA55" w14:textId="0F3FFFC4" w:rsidR="00265422" w:rsidRPr="00CA48AF" w:rsidRDefault="00265422" w:rsidP="00D6102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757</w:t>
            </w:r>
          </w:p>
        </w:tc>
        <w:tc>
          <w:tcPr>
            <w:tcW w:w="2552" w:type="dxa"/>
            <w:noWrap/>
            <w:vAlign w:val="bottom"/>
          </w:tcPr>
          <w:p w14:paraId="202B632D" w14:textId="44814AD6" w:rsidR="00265422" w:rsidRPr="00CA48AF" w:rsidRDefault="00265422" w:rsidP="00D6102A">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9.804.128 </w:t>
            </w:r>
          </w:p>
        </w:tc>
      </w:tr>
      <w:tr w:rsidR="00265422" w:rsidRPr="00CA48AF" w14:paraId="7DF97002" w14:textId="77777777" w:rsidTr="005769B0">
        <w:trPr>
          <w:cantSplit/>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D27016E" w14:textId="62ACC954" w:rsidR="00265422" w:rsidRPr="00CA48AF" w:rsidRDefault="00265422" w:rsidP="00D6102A">
            <w:pPr>
              <w:spacing w:before="80" w:after="100"/>
              <w:rPr>
                <w:rFonts w:ascii="Arial" w:hAnsi="Arial" w:cs="Arial"/>
                <w:color w:val="0F243E" w:themeColor="text2" w:themeShade="80"/>
                <w:sz w:val="20"/>
                <w:szCs w:val="20"/>
              </w:rPr>
            </w:pPr>
            <w:r w:rsidRPr="00CA48AF">
              <w:rPr>
                <w:rFonts w:ascii="Arial" w:hAnsi="Arial" w:cs="Arial"/>
                <w:color w:val="0F243E" w:themeColor="text2" w:themeShade="80"/>
                <w:sz w:val="20"/>
                <w:szCs w:val="20"/>
              </w:rPr>
              <w:t>Septiembre</w:t>
            </w:r>
          </w:p>
        </w:tc>
        <w:tc>
          <w:tcPr>
            <w:tcW w:w="2410" w:type="dxa"/>
            <w:noWrap/>
            <w:vAlign w:val="bottom"/>
          </w:tcPr>
          <w:p w14:paraId="5C6ED830" w14:textId="33B44DD4" w:rsidR="00265422" w:rsidRPr="00CA48AF" w:rsidRDefault="00265422" w:rsidP="00D6102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891</w:t>
            </w:r>
          </w:p>
        </w:tc>
        <w:tc>
          <w:tcPr>
            <w:tcW w:w="2552" w:type="dxa"/>
            <w:noWrap/>
            <w:vAlign w:val="bottom"/>
          </w:tcPr>
          <w:p w14:paraId="236893C3" w14:textId="2F20C4D1" w:rsidR="00265422" w:rsidRPr="00CA48AF" w:rsidRDefault="00265422" w:rsidP="00D6102A">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10.875.188 </w:t>
            </w:r>
          </w:p>
        </w:tc>
      </w:tr>
      <w:tr w:rsidR="00265422" w:rsidRPr="00CA48AF" w14:paraId="4CEF8B0B" w14:textId="77777777" w:rsidTr="005769B0">
        <w:trPr>
          <w:cantSplit/>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noWrap/>
            <w:vAlign w:val="center"/>
            <w:hideMark/>
          </w:tcPr>
          <w:p w14:paraId="654B0A90" w14:textId="77777777" w:rsidR="00265422" w:rsidRPr="00CA48AF" w:rsidRDefault="00265422" w:rsidP="00D6102A">
            <w:pPr>
              <w:spacing w:before="80" w:after="100"/>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Total </w:t>
            </w:r>
          </w:p>
        </w:tc>
        <w:tc>
          <w:tcPr>
            <w:tcW w:w="2410" w:type="dxa"/>
            <w:shd w:val="clear" w:color="auto" w:fill="DBE5F1" w:themeFill="accent1" w:themeFillTint="33"/>
            <w:noWrap/>
            <w:vAlign w:val="bottom"/>
          </w:tcPr>
          <w:p w14:paraId="0AE130AD" w14:textId="424BFDB7" w:rsidR="00265422" w:rsidRPr="00CA48AF" w:rsidRDefault="00265422" w:rsidP="00D6102A">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2.407</w:t>
            </w:r>
          </w:p>
        </w:tc>
        <w:tc>
          <w:tcPr>
            <w:tcW w:w="2552" w:type="dxa"/>
            <w:shd w:val="clear" w:color="auto" w:fill="DBE5F1" w:themeFill="accent1" w:themeFillTint="33"/>
            <w:noWrap/>
            <w:vAlign w:val="bottom"/>
          </w:tcPr>
          <w:p w14:paraId="7C1501B6" w14:textId="172B4DEF" w:rsidR="00265422" w:rsidRPr="00CA48AF" w:rsidRDefault="00265422" w:rsidP="00D6102A">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                     30.043.490 </w:t>
            </w:r>
          </w:p>
        </w:tc>
      </w:tr>
    </w:tbl>
    <w:p w14:paraId="1C25C2BA" w14:textId="383B6057" w:rsidR="002B4A37" w:rsidRDefault="002B4A37" w:rsidP="005317F0">
      <w:pPr>
        <w:pStyle w:val="Default"/>
        <w:jc w:val="both"/>
        <w:rPr>
          <w:rFonts w:eastAsia="Times New Roman"/>
          <w:sz w:val="22"/>
          <w:szCs w:val="22"/>
          <w:lang w:eastAsia="es-CO"/>
        </w:rPr>
      </w:pPr>
    </w:p>
    <w:p w14:paraId="0A32FB4E" w14:textId="79716327" w:rsidR="00143CDB" w:rsidRPr="00C7012F" w:rsidRDefault="00055471" w:rsidP="00C7012F">
      <w:pPr>
        <w:pStyle w:val="Default"/>
        <w:jc w:val="both"/>
        <w:rPr>
          <w:color w:val="000000" w:themeColor="text1"/>
          <w:sz w:val="22"/>
          <w:szCs w:val="22"/>
        </w:rPr>
      </w:pPr>
      <w:r>
        <w:rPr>
          <w:rFonts w:eastAsia="Times New Roman"/>
          <w:color w:val="000000" w:themeColor="text1"/>
          <w:sz w:val="22"/>
          <w:szCs w:val="22"/>
          <w:lang w:eastAsia="es-CO"/>
        </w:rPr>
        <w:t>T</w:t>
      </w:r>
      <w:r w:rsidR="00665EB9" w:rsidRPr="00C7012F">
        <w:rPr>
          <w:rFonts w:eastAsia="Times New Roman"/>
          <w:color w:val="000000" w:themeColor="text1"/>
          <w:sz w:val="22"/>
          <w:szCs w:val="22"/>
          <w:lang w:eastAsia="es-CO"/>
        </w:rPr>
        <w:t xml:space="preserve">eniendo en cuenta el </w:t>
      </w:r>
      <w:r>
        <w:rPr>
          <w:rFonts w:eastAsia="Times New Roman"/>
          <w:color w:val="000000" w:themeColor="text1"/>
          <w:sz w:val="22"/>
          <w:szCs w:val="22"/>
          <w:lang w:eastAsia="es-CO"/>
        </w:rPr>
        <w:t xml:space="preserve">total </w:t>
      </w:r>
      <w:r w:rsidR="00BA6A70">
        <w:rPr>
          <w:rFonts w:eastAsia="Times New Roman"/>
          <w:color w:val="000000" w:themeColor="text1"/>
          <w:sz w:val="22"/>
          <w:szCs w:val="22"/>
          <w:lang w:eastAsia="es-CO"/>
        </w:rPr>
        <w:t xml:space="preserve">de </w:t>
      </w:r>
      <w:r w:rsidR="00665EB9" w:rsidRPr="00C7012F">
        <w:rPr>
          <w:rFonts w:eastAsia="Times New Roman"/>
          <w:color w:val="000000" w:themeColor="text1"/>
          <w:sz w:val="22"/>
          <w:szCs w:val="22"/>
          <w:lang w:eastAsia="es-CO"/>
        </w:rPr>
        <w:t>horas extras durante</w:t>
      </w:r>
      <w:r w:rsidR="00BA6A70">
        <w:rPr>
          <w:rFonts w:eastAsia="Times New Roman"/>
          <w:color w:val="000000" w:themeColor="text1"/>
          <w:sz w:val="22"/>
          <w:szCs w:val="22"/>
          <w:lang w:eastAsia="es-CO"/>
        </w:rPr>
        <w:t xml:space="preserve"> el tercer trimestre de 2020 comparado con el mismo periodo de 2019, se denota </w:t>
      </w:r>
      <w:r>
        <w:rPr>
          <w:rFonts w:eastAsia="Times New Roman"/>
          <w:color w:val="000000" w:themeColor="text1"/>
          <w:sz w:val="22"/>
          <w:szCs w:val="22"/>
          <w:lang w:eastAsia="es-CO"/>
        </w:rPr>
        <w:t xml:space="preserve">una disminución significativa, toda vez que, para el periodo de julio y agosto la cantidad de horas extras se redujo en un 68% y para septiembre la diminución fue del 65%. </w:t>
      </w:r>
    </w:p>
    <w:p w14:paraId="7855FE3B" w14:textId="166CC970" w:rsidR="00143CDB" w:rsidRPr="00CA48AF" w:rsidRDefault="00143CDB" w:rsidP="00665EB9">
      <w:pPr>
        <w:pStyle w:val="Default"/>
        <w:jc w:val="both"/>
        <w:rPr>
          <w:sz w:val="22"/>
          <w:szCs w:val="22"/>
        </w:rPr>
      </w:pPr>
    </w:p>
    <w:p w14:paraId="5FF30824" w14:textId="098C2DAA" w:rsidR="00265422" w:rsidRPr="00CA48AF" w:rsidRDefault="00265422" w:rsidP="005317F0">
      <w:pPr>
        <w:pStyle w:val="Default"/>
        <w:jc w:val="both"/>
        <w:rPr>
          <w:highlight w:val="yellow"/>
        </w:rPr>
      </w:pPr>
    </w:p>
    <w:p w14:paraId="61C08B67" w14:textId="1357C2A4" w:rsidR="00265422" w:rsidRPr="00CA48AF" w:rsidRDefault="00D154FD" w:rsidP="005317F0">
      <w:pPr>
        <w:pStyle w:val="Default"/>
        <w:jc w:val="both"/>
        <w:rPr>
          <w:highlight w:val="yellow"/>
        </w:rPr>
      </w:pPr>
      <w:r>
        <w:rPr>
          <w:noProof/>
          <w:lang w:val="en-US"/>
        </w:rPr>
        <w:drawing>
          <wp:inline distT="0" distB="0" distL="0" distR="0" wp14:anchorId="28D2CCD2" wp14:editId="3B7F9F2C">
            <wp:extent cx="5961380" cy="2943225"/>
            <wp:effectExtent l="0" t="0" r="1270" b="0"/>
            <wp:docPr id="3" name="Gráfico 3">
              <a:extLst xmlns:a="http://schemas.openxmlformats.org/drawingml/2006/main">
                <a:ext uri="{FF2B5EF4-FFF2-40B4-BE49-F238E27FC236}">
                  <a16:creationId xmlns:a16="http://schemas.microsoft.com/office/drawing/2014/main" id="{D44B8FD7-0AB6-4CCF-AD8E-B57D209FF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624FD2" w14:textId="77777777" w:rsidR="00D6102A" w:rsidRDefault="00D6102A" w:rsidP="00A54A46">
      <w:pPr>
        <w:jc w:val="both"/>
        <w:rPr>
          <w:rFonts w:ascii="Arial" w:hAnsi="Arial" w:cs="Arial"/>
          <w:color w:val="000000" w:themeColor="text1"/>
          <w:sz w:val="22"/>
          <w:szCs w:val="22"/>
        </w:rPr>
      </w:pPr>
    </w:p>
    <w:p w14:paraId="4270EA55" w14:textId="767CA6F2" w:rsidR="00216FBC" w:rsidRPr="00C7012F" w:rsidRDefault="00216FBC" w:rsidP="00A54A46">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Frente al </w:t>
      </w:r>
      <w:r w:rsidR="00707870" w:rsidRPr="00C7012F">
        <w:rPr>
          <w:rFonts w:ascii="Arial" w:hAnsi="Arial" w:cs="Arial"/>
          <w:color w:val="000000" w:themeColor="text1"/>
          <w:sz w:val="22"/>
          <w:szCs w:val="22"/>
        </w:rPr>
        <w:t xml:space="preserve">valor del </w:t>
      </w:r>
      <w:r w:rsidRPr="00C7012F">
        <w:rPr>
          <w:rFonts w:ascii="Arial" w:hAnsi="Arial" w:cs="Arial"/>
          <w:color w:val="000000" w:themeColor="text1"/>
          <w:sz w:val="22"/>
          <w:szCs w:val="22"/>
        </w:rPr>
        <w:t>gasto y</w:t>
      </w:r>
      <w:r w:rsidR="00707870" w:rsidRPr="00C7012F">
        <w:rPr>
          <w:rFonts w:ascii="Arial" w:hAnsi="Arial" w:cs="Arial"/>
          <w:color w:val="000000" w:themeColor="text1"/>
          <w:sz w:val="22"/>
          <w:szCs w:val="22"/>
        </w:rPr>
        <w:t xml:space="preserve"> la</w:t>
      </w:r>
      <w:r w:rsidRPr="00C7012F">
        <w:rPr>
          <w:rFonts w:ascii="Arial" w:hAnsi="Arial" w:cs="Arial"/>
          <w:color w:val="000000" w:themeColor="text1"/>
          <w:sz w:val="22"/>
          <w:szCs w:val="22"/>
        </w:rPr>
        <w:t xml:space="preserve"> cantidad de horas extras</w:t>
      </w:r>
      <w:r w:rsidR="00074EC4">
        <w:rPr>
          <w:rFonts w:ascii="Arial" w:hAnsi="Arial" w:cs="Arial"/>
          <w:color w:val="000000" w:themeColor="text1"/>
          <w:sz w:val="22"/>
          <w:szCs w:val="22"/>
        </w:rPr>
        <w:t>,</w:t>
      </w:r>
      <w:r w:rsidRPr="00C7012F">
        <w:rPr>
          <w:rFonts w:ascii="Arial" w:hAnsi="Arial" w:cs="Arial"/>
          <w:color w:val="000000" w:themeColor="text1"/>
          <w:sz w:val="22"/>
          <w:szCs w:val="22"/>
        </w:rPr>
        <w:t xml:space="preserve"> reportado para el </w:t>
      </w:r>
      <w:r w:rsidR="00451682" w:rsidRPr="00C7012F">
        <w:rPr>
          <w:rFonts w:ascii="Arial" w:hAnsi="Arial" w:cs="Arial"/>
          <w:color w:val="000000" w:themeColor="text1"/>
          <w:sz w:val="22"/>
          <w:szCs w:val="22"/>
        </w:rPr>
        <w:t>tercer trimestre</w:t>
      </w:r>
      <w:r w:rsidRPr="00C7012F">
        <w:rPr>
          <w:rFonts w:ascii="Arial" w:hAnsi="Arial" w:cs="Arial"/>
          <w:color w:val="000000" w:themeColor="text1"/>
          <w:sz w:val="22"/>
          <w:szCs w:val="22"/>
        </w:rPr>
        <w:t xml:space="preserve"> de 2020 comparado con el mismo periodo de la vigencia 2019, se reflejó una </w:t>
      </w:r>
      <w:r w:rsidRPr="00C7012F">
        <w:rPr>
          <w:rFonts w:ascii="Arial" w:hAnsi="Arial" w:cs="Arial"/>
          <w:b/>
          <w:bCs/>
          <w:color w:val="000000" w:themeColor="text1"/>
          <w:sz w:val="22"/>
          <w:szCs w:val="22"/>
        </w:rPr>
        <w:t>reducción</w:t>
      </w:r>
      <w:r w:rsidRPr="00C7012F">
        <w:rPr>
          <w:rFonts w:ascii="Arial" w:hAnsi="Arial" w:cs="Arial"/>
          <w:color w:val="000000" w:themeColor="text1"/>
          <w:sz w:val="22"/>
          <w:szCs w:val="22"/>
        </w:rPr>
        <w:t xml:space="preserve"> en las variables antes mencionadas del </w:t>
      </w:r>
      <w:r w:rsidR="00707870" w:rsidRPr="00C7012F">
        <w:rPr>
          <w:rFonts w:ascii="Arial" w:hAnsi="Arial" w:cs="Arial"/>
          <w:color w:val="000000" w:themeColor="text1"/>
          <w:sz w:val="22"/>
          <w:szCs w:val="22"/>
        </w:rPr>
        <w:t>64</w:t>
      </w:r>
      <w:r w:rsidRPr="00C7012F">
        <w:rPr>
          <w:rFonts w:ascii="Arial" w:hAnsi="Arial" w:cs="Arial"/>
          <w:color w:val="000000" w:themeColor="text1"/>
          <w:sz w:val="22"/>
          <w:szCs w:val="22"/>
        </w:rPr>
        <w:t xml:space="preserve"> % y </w:t>
      </w:r>
      <w:r w:rsidR="00707870" w:rsidRPr="00C7012F">
        <w:rPr>
          <w:rFonts w:ascii="Arial" w:hAnsi="Arial" w:cs="Arial"/>
          <w:color w:val="000000" w:themeColor="text1"/>
          <w:sz w:val="22"/>
          <w:szCs w:val="22"/>
        </w:rPr>
        <w:t>67</w:t>
      </w:r>
      <w:r w:rsidRPr="00C7012F">
        <w:rPr>
          <w:rFonts w:ascii="Arial" w:hAnsi="Arial" w:cs="Arial"/>
          <w:color w:val="000000" w:themeColor="text1"/>
          <w:sz w:val="22"/>
          <w:szCs w:val="22"/>
        </w:rPr>
        <w:t xml:space="preserve">% respectivamente. </w:t>
      </w:r>
    </w:p>
    <w:p w14:paraId="547FBAFC" w14:textId="77777777" w:rsidR="00216FBC" w:rsidRPr="00C7012F" w:rsidRDefault="00216FBC" w:rsidP="00785097">
      <w:pPr>
        <w:spacing w:line="168" w:lineRule="auto"/>
        <w:jc w:val="both"/>
        <w:rPr>
          <w:rFonts w:ascii="Arial" w:hAnsi="Arial" w:cs="Arial"/>
          <w:color w:val="000000" w:themeColor="text1"/>
          <w:sz w:val="22"/>
          <w:szCs w:val="22"/>
          <w:highlight w:val="yellow"/>
        </w:rPr>
      </w:pPr>
    </w:p>
    <w:p w14:paraId="252E8D4E" w14:textId="55DD3D68" w:rsidR="00352627" w:rsidRPr="00C7012F" w:rsidRDefault="00216FBC" w:rsidP="00A54A46">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Considerando </w:t>
      </w:r>
      <w:r w:rsidR="003C4595" w:rsidRPr="00C7012F">
        <w:rPr>
          <w:rFonts w:ascii="Arial" w:hAnsi="Arial" w:cs="Arial"/>
          <w:color w:val="000000" w:themeColor="text1"/>
          <w:sz w:val="22"/>
          <w:szCs w:val="22"/>
        </w:rPr>
        <w:t>lo</w:t>
      </w:r>
      <w:r w:rsidR="00942189" w:rsidRPr="00C7012F">
        <w:rPr>
          <w:rFonts w:ascii="Arial" w:hAnsi="Arial" w:cs="Arial"/>
          <w:color w:val="000000" w:themeColor="text1"/>
          <w:sz w:val="22"/>
          <w:szCs w:val="22"/>
        </w:rPr>
        <w:t xml:space="preserve">s resultados expuestos, </w:t>
      </w:r>
      <w:r w:rsidR="003C4595" w:rsidRPr="00C7012F">
        <w:rPr>
          <w:rFonts w:ascii="Arial" w:hAnsi="Arial" w:cs="Arial"/>
          <w:color w:val="000000" w:themeColor="text1"/>
          <w:sz w:val="22"/>
          <w:szCs w:val="22"/>
        </w:rPr>
        <w:t xml:space="preserve">se deduce que la tendencia </w:t>
      </w:r>
      <w:r w:rsidR="006E50A2" w:rsidRPr="00C7012F">
        <w:rPr>
          <w:rFonts w:ascii="Arial" w:hAnsi="Arial" w:cs="Arial"/>
          <w:color w:val="000000" w:themeColor="text1"/>
          <w:sz w:val="22"/>
          <w:szCs w:val="22"/>
        </w:rPr>
        <w:t xml:space="preserve">para el concepto de horas extras </w:t>
      </w:r>
      <w:r w:rsidR="003C4595" w:rsidRPr="00C7012F">
        <w:rPr>
          <w:rFonts w:ascii="Arial" w:hAnsi="Arial" w:cs="Arial"/>
          <w:color w:val="000000" w:themeColor="text1"/>
          <w:sz w:val="22"/>
          <w:szCs w:val="22"/>
        </w:rPr>
        <w:t>está asociad</w:t>
      </w:r>
      <w:r w:rsidR="006E50A2" w:rsidRPr="00C7012F">
        <w:rPr>
          <w:rFonts w:ascii="Arial" w:hAnsi="Arial" w:cs="Arial"/>
          <w:color w:val="000000" w:themeColor="text1"/>
          <w:sz w:val="22"/>
          <w:szCs w:val="22"/>
        </w:rPr>
        <w:t>o</w:t>
      </w:r>
      <w:r w:rsidR="003C4595" w:rsidRPr="00C7012F">
        <w:rPr>
          <w:rFonts w:ascii="Arial" w:hAnsi="Arial" w:cs="Arial"/>
          <w:color w:val="000000" w:themeColor="text1"/>
          <w:sz w:val="22"/>
          <w:szCs w:val="22"/>
        </w:rPr>
        <w:t xml:space="preserve"> a</w:t>
      </w:r>
      <w:r w:rsidR="006E50A2" w:rsidRPr="00C7012F">
        <w:rPr>
          <w:rFonts w:ascii="Arial" w:hAnsi="Arial" w:cs="Arial"/>
          <w:color w:val="000000" w:themeColor="text1"/>
          <w:sz w:val="22"/>
          <w:szCs w:val="22"/>
        </w:rPr>
        <w:t xml:space="preserve"> </w:t>
      </w:r>
      <w:r w:rsidR="00942189" w:rsidRPr="00C7012F">
        <w:rPr>
          <w:rFonts w:ascii="Arial" w:hAnsi="Arial" w:cs="Arial"/>
          <w:color w:val="000000" w:themeColor="text1"/>
          <w:sz w:val="22"/>
          <w:szCs w:val="22"/>
        </w:rPr>
        <w:t>las medidas</w:t>
      </w:r>
      <w:r w:rsidR="003C4595" w:rsidRPr="00C7012F">
        <w:rPr>
          <w:rFonts w:ascii="Arial" w:hAnsi="Arial" w:cs="Arial"/>
          <w:color w:val="000000" w:themeColor="text1"/>
          <w:sz w:val="22"/>
          <w:szCs w:val="22"/>
        </w:rPr>
        <w:t xml:space="preserve"> </w:t>
      </w:r>
      <w:r w:rsidR="001C3E52" w:rsidRPr="00C7012F">
        <w:rPr>
          <w:rFonts w:ascii="Arial" w:hAnsi="Arial" w:cs="Arial"/>
          <w:color w:val="000000" w:themeColor="text1"/>
          <w:sz w:val="22"/>
          <w:szCs w:val="22"/>
        </w:rPr>
        <w:t>implementada</w:t>
      </w:r>
      <w:r w:rsidR="006E50A2" w:rsidRPr="00C7012F">
        <w:rPr>
          <w:rFonts w:ascii="Arial" w:hAnsi="Arial" w:cs="Arial"/>
          <w:color w:val="000000" w:themeColor="text1"/>
          <w:sz w:val="22"/>
          <w:szCs w:val="22"/>
        </w:rPr>
        <w:t>s</w:t>
      </w:r>
      <w:r w:rsidR="001C3E52" w:rsidRPr="00C7012F">
        <w:rPr>
          <w:rFonts w:ascii="Arial" w:hAnsi="Arial" w:cs="Arial"/>
          <w:color w:val="000000" w:themeColor="text1"/>
          <w:sz w:val="22"/>
          <w:szCs w:val="22"/>
        </w:rPr>
        <w:t xml:space="preserve"> por este Ministerio</w:t>
      </w:r>
      <w:r w:rsidR="00666699" w:rsidRPr="00C7012F">
        <w:rPr>
          <w:rFonts w:ascii="Arial" w:hAnsi="Arial" w:cs="Arial"/>
          <w:color w:val="000000" w:themeColor="text1"/>
          <w:sz w:val="22"/>
          <w:szCs w:val="22"/>
        </w:rPr>
        <w:t xml:space="preserve"> relacionadas con la </w:t>
      </w:r>
      <w:r w:rsidR="001C3E52" w:rsidRPr="00C7012F">
        <w:rPr>
          <w:rFonts w:ascii="Arial" w:hAnsi="Arial" w:cs="Arial"/>
          <w:color w:val="000000" w:themeColor="text1"/>
          <w:sz w:val="22"/>
          <w:szCs w:val="22"/>
        </w:rPr>
        <w:t xml:space="preserve">directriz </w:t>
      </w:r>
      <w:r w:rsidR="00942189" w:rsidRPr="00C7012F">
        <w:rPr>
          <w:rFonts w:ascii="Arial" w:hAnsi="Arial" w:cs="Arial"/>
          <w:color w:val="000000" w:themeColor="text1"/>
          <w:sz w:val="22"/>
          <w:szCs w:val="22"/>
        </w:rPr>
        <w:t>de autorización de horas extras, la cual solo aplicó para los funcionarios que desempeñaban el cargo de conductor</w:t>
      </w:r>
      <w:r w:rsidR="00F2084A" w:rsidRPr="00C7012F">
        <w:rPr>
          <w:rFonts w:ascii="Arial" w:hAnsi="Arial" w:cs="Arial"/>
          <w:color w:val="000000" w:themeColor="text1"/>
          <w:sz w:val="22"/>
          <w:szCs w:val="22"/>
        </w:rPr>
        <w:t xml:space="preserve"> y en septiembre de 2020 para la funcionaria que desempeña el cargo de secretaria,</w:t>
      </w:r>
      <w:r w:rsidR="00942189" w:rsidRPr="00C7012F">
        <w:rPr>
          <w:rFonts w:ascii="Arial" w:hAnsi="Arial" w:cs="Arial"/>
          <w:color w:val="000000" w:themeColor="text1"/>
          <w:sz w:val="22"/>
          <w:szCs w:val="22"/>
        </w:rPr>
        <w:t xml:space="preserve"> en virtud </w:t>
      </w:r>
      <w:r w:rsidR="00666699" w:rsidRPr="00C7012F">
        <w:rPr>
          <w:rFonts w:ascii="Arial" w:hAnsi="Arial" w:cs="Arial"/>
          <w:color w:val="000000" w:themeColor="text1"/>
          <w:sz w:val="22"/>
          <w:szCs w:val="22"/>
        </w:rPr>
        <w:t xml:space="preserve">de </w:t>
      </w:r>
      <w:r w:rsidR="00942189" w:rsidRPr="00C7012F">
        <w:rPr>
          <w:rFonts w:ascii="Arial" w:hAnsi="Arial" w:cs="Arial"/>
          <w:color w:val="000000" w:themeColor="text1"/>
          <w:sz w:val="22"/>
          <w:szCs w:val="22"/>
          <w:bdr w:val="none" w:sz="0" w:space="0" w:color="auto" w:frame="1"/>
        </w:rPr>
        <w:t>la Emergencia Económica, Social y Ecológica [</w:t>
      </w:r>
      <w:r w:rsidR="00E447B6" w:rsidRPr="00C7012F">
        <w:rPr>
          <w:rFonts w:ascii="Arial" w:hAnsi="Arial" w:cs="Arial"/>
          <w:color w:val="000000" w:themeColor="text1"/>
          <w:sz w:val="22"/>
          <w:szCs w:val="22"/>
          <w:bdr w:val="none" w:sz="0" w:space="0" w:color="auto" w:frame="1"/>
        </w:rPr>
        <w:t>COVID</w:t>
      </w:r>
      <w:r w:rsidR="00942189" w:rsidRPr="00C7012F">
        <w:rPr>
          <w:rFonts w:ascii="Arial" w:hAnsi="Arial" w:cs="Arial"/>
          <w:color w:val="000000" w:themeColor="text1"/>
          <w:sz w:val="22"/>
          <w:szCs w:val="22"/>
          <w:bdr w:val="none" w:sz="0" w:space="0" w:color="auto" w:frame="1"/>
        </w:rPr>
        <w:t>-19] decretada por el Gobierno Nacional.</w:t>
      </w:r>
      <w:r w:rsidR="00942189" w:rsidRPr="00C7012F">
        <w:rPr>
          <w:rFonts w:ascii="Arial" w:hAnsi="Arial" w:cs="Arial"/>
          <w:color w:val="000000" w:themeColor="text1"/>
          <w:sz w:val="22"/>
          <w:szCs w:val="22"/>
        </w:rPr>
        <w:t xml:space="preserve"> </w:t>
      </w:r>
    </w:p>
    <w:p w14:paraId="3DE15FD0" w14:textId="0A259598" w:rsidR="00942189" w:rsidRPr="00C7012F" w:rsidRDefault="00942189" w:rsidP="00785097">
      <w:pPr>
        <w:spacing w:line="168" w:lineRule="auto"/>
        <w:jc w:val="both"/>
        <w:rPr>
          <w:rFonts w:ascii="Arial" w:hAnsi="Arial" w:cs="Arial"/>
          <w:color w:val="000000" w:themeColor="text1"/>
          <w:sz w:val="22"/>
          <w:szCs w:val="22"/>
        </w:rPr>
      </w:pPr>
    </w:p>
    <w:p w14:paraId="69388093" w14:textId="08B9EF93" w:rsidR="0016456B" w:rsidRDefault="00513419" w:rsidP="0016456B">
      <w:pPr>
        <w:shd w:val="clear" w:color="auto" w:fill="FFFFFF" w:themeFill="background1"/>
        <w:jc w:val="both"/>
        <w:rPr>
          <w:rFonts w:ascii="Arial" w:hAnsi="Arial" w:cs="Arial"/>
          <w:color w:val="000000" w:themeColor="text1"/>
          <w:sz w:val="22"/>
          <w:szCs w:val="22"/>
        </w:rPr>
      </w:pPr>
      <w:r w:rsidRPr="00C7012F">
        <w:rPr>
          <w:rFonts w:ascii="Arial" w:hAnsi="Arial" w:cs="Arial"/>
          <w:color w:val="000000" w:themeColor="text1"/>
          <w:sz w:val="22"/>
          <w:szCs w:val="22"/>
        </w:rPr>
        <w:t xml:space="preserve">De otra parte, </w:t>
      </w:r>
      <w:r w:rsidR="00EA3324" w:rsidRPr="00C7012F">
        <w:rPr>
          <w:rFonts w:ascii="Arial" w:hAnsi="Arial" w:cs="Arial"/>
          <w:color w:val="000000" w:themeColor="text1"/>
          <w:sz w:val="22"/>
          <w:szCs w:val="22"/>
        </w:rPr>
        <w:t>c</w:t>
      </w:r>
      <w:r w:rsidR="0016456B" w:rsidRPr="00C7012F">
        <w:rPr>
          <w:rFonts w:ascii="Arial" w:hAnsi="Arial" w:cs="Arial"/>
          <w:color w:val="000000" w:themeColor="text1"/>
          <w:sz w:val="22"/>
          <w:szCs w:val="22"/>
        </w:rPr>
        <w:t xml:space="preserve">on el propósito de constatar el valor total de horas extras liquidadas según el reporte del aplicativo SARA para los meses de </w:t>
      </w:r>
      <w:r w:rsidR="004D02DD" w:rsidRPr="00C7012F">
        <w:rPr>
          <w:rFonts w:ascii="Arial" w:hAnsi="Arial" w:cs="Arial"/>
          <w:color w:val="000000" w:themeColor="text1"/>
          <w:sz w:val="22"/>
          <w:szCs w:val="22"/>
        </w:rPr>
        <w:t>julio, agosto</w:t>
      </w:r>
      <w:r w:rsidR="00533467" w:rsidRPr="00C7012F">
        <w:rPr>
          <w:rFonts w:ascii="Arial" w:hAnsi="Arial" w:cs="Arial"/>
          <w:color w:val="000000" w:themeColor="text1"/>
          <w:sz w:val="22"/>
          <w:szCs w:val="22"/>
        </w:rPr>
        <w:t xml:space="preserve"> y septiembre </w:t>
      </w:r>
      <w:r w:rsidR="0016456B" w:rsidRPr="00C7012F">
        <w:rPr>
          <w:rFonts w:ascii="Arial" w:hAnsi="Arial" w:cs="Arial"/>
          <w:color w:val="000000" w:themeColor="text1"/>
          <w:sz w:val="22"/>
          <w:szCs w:val="22"/>
        </w:rPr>
        <w:t>de 20</w:t>
      </w:r>
      <w:r w:rsidR="009E1FB0" w:rsidRPr="00C7012F">
        <w:rPr>
          <w:rFonts w:ascii="Arial" w:hAnsi="Arial" w:cs="Arial"/>
          <w:color w:val="000000" w:themeColor="text1"/>
          <w:sz w:val="22"/>
          <w:szCs w:val="22"/>
        </w:rPr>
        <w:t>20</w:t>
      </w:r>
      <w:r w:rsidR="0016456B" w:rsidRPr="00C7012F">
        <w:rPr>
          <w:rFonts w:ascii="Arial" w:hAnsi="Arial" w:cs="Arial"/>
          <w:color w:val="000000" w:themeColor="text1"/>
          <w:sz w:val="22"/>
          <w:szCs w:val="22"/>
        </w:rPr>
        <w:t xml:space="preserve">, se consultó en el SIIF el valor obligado por dicho concepto. </w:t>
      </w:r>
      <w:r w:rsidR="00541BDD" w:rsidRPr="00C7012F">
        <w:rPr>
          <w:rFonts w:ascii="Arial" w:hAnsi="Arial" w:cs="Arial"/>
          <w:color w:val="000000" w:themeColor="text1"/>
          <w:sz w:val="22"/>
          <w:szCs w:val="22"/>
        </w:rPr>
        <w:t xml:space="preserve">De lo anterior no surgieron diferencias, permitiendo concluir que </w:t>
      </w:r>
      <w:r w:rsidRPr="00C7012F">
        <w:rPr>
          <w:rFonts w:ascii="Arial" w:hAnsi="Arial" w:cs="Arial"/>
          <w:color w:val="000000" w:themeColor="text1"/>
          <w:sz w:val="22"/>
          <w:szCs w:val="22"/>
        </w:rPr>
        <w:t xml:space="preserve">la información en las fuentes consultadas es concordante. </w:t>
      </w:r>
    </w:p>
    <w:p w14:paraId="60288D0D" w14:textId="77777777" w:rsidR="007B12D1" w:rsidRPr="00C7012F" w:rsidRDefault="007B12D1" w:rsidP="0016456B">
      <w:pPr>
        <w:shd w:val="clear" w:color="auto" w:fill="FFFFFF" w:themeFill="background1"/>
        <w:jc w:val="both"/>
        <w:rPr>
          <w:rFonts w:ascii="Arial" w:hAnsi="Arial" w:cs="Arial"/>
          <w:color w:val="000000" w:themeColor="text1"/>
          <w:sz w:val="22"/>
          <w:szCs w:val="22"/>
        </w:rPr>
      </w:pPr>
    </w:p>
    <w:p w14:paraId="37A97DB7" w14:textId="34E9A670" w:rsidR="0016456B" w:rsidRDefault="0016456B" w:rsidP="0016456B">
      <w:pPr>
        <w:jc w:val="both"/>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1361"/>
        <w:gridCol w:w="2745"/>
        <w:gridCol w:w="2551"/>
        <w:gridCol w:w="1701"/>
      </w:tblGrid>
      <w:tr w:rsidR="009E1FB0" w:rsidRPr="00CA48AF" w14:paraId="1E8B4ECD" w14:textId="77777777" w:rsidTr="004D02D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02CC350" w14:textId="77777777" w:rsidR="009E1FB0" w:rsidRPr="00CA48AF" w:rsidRDefault="009E1FB0" w:rsidP="00785097">
            <w:pPr>
              <w:spacing w:before="60" w:after="60"/>
              <w:jc w:val="center"/>
              <w:rPr>
                <w:rFonts w:ascii="Arial" w:hAnsi="Arial" w:cs="Arial"/>
                <w:color w:val="FFFFFF"/>
                <w:sz w:val="20"/>
                <w:szCs w:val="20"/>
              </w:rPr>
            </w:pPr>
            <w:r w:rsidRPr="00CA48AF">
              <w:rPr>
                <w:rFonts w:ascii="Arial" w:hAnsi="Arial" w:cs="Arial"/>
                <w:color w:val="FFFFFF"/>
                <w:sz w:val="20"/>
                <w:szCs w:val="20"/>
              </w:rPr>
              <w:t xml:space="preserve">Concepto </w:t>
            </w:r>
          </w:p>
        </w:tc>
        <w:tc>
          <w:tcPr>
            <w:tcW w:w="6997" w:type="dxa"/>
            <w:gridSpan w:val="3"/>
            <w:shd w:val="clear" w:color="auto" w:fill="4F81BD" w:themeFill="accent1"/>
            <w:vAlign w:val="center"/>
            <w:hideMark/>
          </w:tcPr>
          <w:p w14:paraId="604DAA4E" w14:textId="2ADAF5BB" w:rsidR="009E1FB0" w:rsidRPr="00CA48AF" w:rsidRDefault="009E1FB0" w:rsidP="0078509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A48AF">
              <w:rPr>
                <w:rFonts w:ascii="Arial" w:hAnsi="Arial" w:cs="Arial"/>
                <w:color w:val="FFFFFF"/>
                <w:sz w:val="20"/>
                <w:szCs w:val="20"/>
              </w:rPr>
              <w:t xml:space="preserve"> Valor Gasto Horas Extras </w:t>
            </w:r>
            <w:r w:rsidR="00316A7E" w:rsidRPr="00CA48AF">
              <w:rPr>
                <w:rFonts w:ascii="Arial" w:hAnsi="Arial" w:cs="Arial"/>
                <w:color w:val="FFFFFF"/>
                <w:sz w:val="20"/>
                <w:szCs w:val="20"/>
              </w:rPr>
              <w:t>($)</w:t>
            </w:r>
          </w:p>
        </w:tc>
      </w:tr>
      <w:tr w:rsidR="009E1FB0" w:rsidRPr="00CA48AF" w14:paraId="09D68C44" w14:textId="77777777" w:rsidTr="004D02DD">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1F497D" w:themeFill="text2"/>
            <w:vAlign w:val="center"/>
            <w:hideMark/>
          </w:tcPr>
          <w:p w14:paraId="615AC77E" w14:textId="77777777" w:rsidR="009E1FB0" w:rsidRPr="00CA48AF" w:rsidRDefault="009E1FB0" w:rsidP="00785097">
            <w:pPr>
              <w:spacing w:before="60" w:after="60"/>
              <w:rPr>
                <w:rFonts w:ascii="Arial" w:hAnsi="Arial" w:cs="Arial"/>
                <w:color w:val="FFFFFF"/>
                <w:sz w:val="20"/>
                <w:szCs w:val="20"/>
              </w:rPr>
            </w:pPr>
          </w:p>
        </w:tc>
        <w:tc>
          <w:tcPr>
            <w:tcW w:w="2745" w:type="dxa"/>
            <w:shd w:val="clear" w:color="auto" w:fill="DBE5F1" w:themeFill="accent1" w:themeFillTint="33"/>
            <w:vAlign w:val="center"/>
            <w:hideMark/>
          </w:tcPr>
          <w:p w14:paraId="72A40F60" w14:textId="5806BFA1" w:rsidR="009E1FB0" w:rsidRPr="00CA48AF" w:rsidRDefault="009E1FB0" w:rsidP="0078509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  I</w:t>
            </w:r>
            <w:r w:rsidR="00316A7E" w:rsidRPr="00CA48AF">
              <w:rPr>
                <w:rFonts w:ascii="Arial" w:hAnsi="Arial" w:cs="Arial"/>
                <w:b/>
                <w:bCs/>
                <w:color w:val="0F243E" w:themeColor="text2" w:themeShade="80"/>
                <w:sz w:val="20"/>
                <w:szCs w:val="20"/>
              </w:rPr>
              <w:t>I</w:t>
            </w:r>
            <w:r w:rsidR="004D02DD" w:rsidRPr="00CA48AF">
              <w:rPr>
                <w:rFonts w:ascii="Arial" w:hAnsi="Arial" w:cs="Arial"/>
                <w:b/>
                <w:bCs/>
                <w:color w:val="0F243E" w:themeColor="text2" w:themeShade="80"/>
                <w:sz w:val="20"/>
                <w:szCs w:val="20"/>
              </w:rPr>
              <w:t>I</w:t>
            </w:r>
            <w:r w:rsidRPr="00CA48AF">
              <w:rPr>
                <w:rFonts w:ascii="Arial" w:hAnsi="Arial" w:cs="Arial"/>
                <w:b/>
                <w:bCs/>
                <w:color w:val="0F243E" w:themeColor="text2" w:themeShade="80"/>
                <w:sz w:val="20"/>
                <w:szCs w:val="20"/>
              </w:rPr>
              <w:t xml:space="preserve"> Trimestre 2020 SARA  </w:t>
            </w:r>
          </w:p>
        </w:tc>
        <w:tc>
          <w:tcPr>
            <w:tcW w:w="2551" w:type="dxa"/>
            <w:shd w:val="clear" w:color="auto" w:fill="DBE5F1" w:themeFill="accent1" w:themeFillTint="33"/>
            <w:vAlign w:val="center"/>
            <w:hideMark/>
          </w:tcPr>
          <w:p w14:paraId="1AEED794" w14:textId="15F25D08" w:rsidR="009E1FB0" w:rsidRPr="00CA48AF" w:rsidRDefault="009E1FB0" w:rsidP="0078509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  I</w:t>
            </w:r>
            <w:r w:rsidR="00316A7E" w:rsidRPr="00CA48AF">
              <w:rPr>
                <w:rFonts w:ascii="Arial" w:hAnsi="Arial" w:cs="Arial"/>
                <w:b/>
                <w:bCs/>
                <w:color w:val="0F243E" w:themeColor="text2" w:themeShade="80"/>
                <w:sz w:val="20"/>
                <w:szCs w:val="20"/>
              </w:rPr>
              <w:t>I</w:t>
            </w:r>
            <w:r w:rsidR="004D02DD" w:rsidRPr="00CA48AF">
              <w:rPr>
                <w:rFonts w:ascii="Arial" w:hAnsi="Arial" w:cs="Arial"/>
                <w:b/>
                <w:bCs/>
                <w:color w:val="0F243E" w:themeColor="text2" w:themeShade="80"/>
                <w:sz w:val="20"/>
                <w:szCs w:val="20"/>
              </w:rPr>
              <w:t>I</w:t>
            </w:r>
            <w:r w:rsidRPr="00CA48AF">
              <w:rPr>
                <w:rFonts w:ascii="Arial" w:hAnsi="Arial" w:cs="Arial"/>
                <w:b/>
                <w:bCs/>
                <w:color w:val="0F243E" w:themeColor="text2" w:themeShade="80"/>
                <w:sz w:val="20"/>
                <w:szCs w:val="20"/>
              </w:rPr>
              <w:t xml:space="preserve"> Trimestre 2020 SIIF  </w:t>
            </w:r>
          </w:p>
        </w:tc>
        <w:tc>
          <w:tcPr>
            <w:tcW w:w="1701" w:type="dxa"/>
            <w:shd w:val="clear" w:color="auto" w:fill="DBE5F1" w:themeFill="accent1" w:themeFillTint="33"/>
            <w:vAlign w:val="center"/>
            <w:hideMark/>
          </w:tcPr>
          <w:p w14:paraId="57D10C6D" w14:textId="77777777" w:rsidR="009E1FB0" w:rsidRPr="00CA48AF" w:rsidRDefault="009E1FB0" w:rsidP="0078509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 xml:space="preserve"> Diferencia </w:t>
            </w:r>
          </w:p>
        </w:tc>
      </w:tr>
      <w:tr w:rsidR="004D02DD" w:rsidRPr="00CA48AF" w14:paraId="59E62BD0" w14:textId="77777777" w:rsidTr="004D02DD">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CFB7F1" w14:textId="6D19D7DC" w:rsidR="004D02DD" w:rsidRPr="00CA48AF" w:rsidRDefault="004D02DD" w:rsidP="00785097">
            <w:pPr>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Julio</w:t>
            </w:r>
          </w:p>
        </w:tc>
        <w:tc>
          <w:tcPr>
            <w:tcW w:w="2745" w:type="dxa"/>
            <w:vAlign w:val="center"/>
          </w:tcPr>
          <w:p w14:paraId="69D0449B" w14:textId="3506D742"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9.364.175 </w:t>
            </w:r>
          </w:p>
        </w:tc>
        <w:tc>
          <w:tcPr>
            <w:tcW w:w="2551" w:type="dxa"/>
            <w:noWrap/>
            <w:vAlign w:val="center"/>
          </w:tcPr>
          <w:p w14:paraId="75E4E704" w14:textId="194D9013"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                      9.364.175 </w:t>
            </w:r>
          </w:p>
        </w:tc>
        <w:tc>
          <w:tcPr>
            <w:tcW w:w="1701" w:type="dxa"/>
            <w:noWrap/>
            <w:vAlign w:val="center"/>
          </w:tcPr>
          <w:p w14:paraId="697F7631" w14:textId="009C7A6A"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0</w:t>
            </w:r>
          </w:p>
        </w:tc>
      </w:tr>
      <w:tr w:rsidR="004D02DD" w:rsidRPr="00CA48AF" w14:paraId="14C58E8C" w14:textId="77777777" w:rsidTr="004D02DD">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2BA79F" w14:textId="694C3FEA" w:rsidR="004D02DD" w:rsidRPr="00CA48AF" w:rsidRDefault="004D02DD" w:rsidP="00785097">
            <w:pPr>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Agosto</w:t>
            </w:r>
          </w:p>
        </w:tc>
        <w:tc>
          <w:tcPr>
            <w:tcW w:w="2745" w:type="dxa"/>
            <w:noWrap/>
            <w:vAlign w:val="center"/>
          </w:tcPr>
          <w:p w14:paraId="1BCA6F88" w14:textId="66EAA5E3"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9.804.128 </w:t>
            </w:r>
          </w:p>
        </w:tc>
        <w:tc>
          <w:tcPr>
            <w:tcW w:w="2551" w:type="dxa"/>
            <w:noWrap/>
            <w:vAlign w:val="center"/>
          </w:tcPr>
          <w:p w14:paraId="4025761E" w14:textId="4F9CE4EB"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                       9.804.128 </w:t>
            </w:r>
          </w:p>
        </w:tc>
        <w:tc>
          <w:tcPr>
            <w:tcW w:w="1701" w:type="dxa"/>
            <w:noWrap/>
            <w:vAlign w:val="center"/>
          </w:tcPr>
          <w:p w14:paraId="78314233" w14:textId="0E10D315"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0</w:t>
            </w:r>
          </w:p>
        </w:tc>
      </w:tr>
      <w:tr w:rsidR="004D02DD" w:rsidRPr="00CA48AF" w14:paraId="63E0737C" w14:textId="77777777" w:rsidTr="004D02DD">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14:paraId="79FA599D" w14:textId="242D961E" w:rsidR="004D02DD" w:rsidRPr="00CA48AF" w:rsidRDefault="004D02DD" w:rsidP="00785097">
            <w:pPr>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Septiembre </w:t>
            </w:r>
          </w:p>
        </w:tc>
        <w:tc>
          <w:tcPr>
            <w:tcW w:w="2745" w:type="dxa"/>
            <w:tcBorders>
              <w:bottom w:val="double" w:sz="4" w:space="0" w:color="4F81BD" w:themeColor="accent1"/>
            </w:tcBorders>
            <w:noWrap/>
            <w:vAlign w:val="center"/>
          </w:tcPr>
          <w:p w14:paraId="144CC430" w14:textId="52EAD3B9"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10.875.188 </w:t>
            </w:r>
          </w:p>
        </w:tc>
        <w:tc>
          <w:tcPr>
            <w:tcW w:w="2551" w:type="dxa"/>
            <w:tcBorders>
              <w:bottom w:val="double" w:sz="4" w:space="0" w:color="4F81BD" w:themeColor="accent1"/>
            </w:tcBorders>
            <w:noWrap/>
            <w:vAlign w:val="center"/>
          </w:tcPr>
          <w:p w14:paraId="600F2B7E" w14:textId="5106F82B"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00000"/>
                <w:sz w:val="20"/>
                <w:szCs w:val="20"/>
              </w:rPr>
              <w:t xml:space="preserve">                    10.875.188 </w:t>
            </w:r>
          </w:p>
        </w:tc>
        <w:tc>
          <w:tcPr>
            <w:tcW w:w="1701" w:type="dxa"/>
            <w:tcBorders>
              <w:bottom w:val="double" w:sz="4" w:space="0" w:color="4F81BD" w:themeColor="accent1"/>
            </w:tcBorders>
            <w:noWrap/>
            <w:vAlign w:val="center"/>
          </w:tcPr>
          <w:p w14:paraId="41047A9B" w14:textId="367E844D"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A48AF">
              <w:rPr>
                <w:rFonts w:ascii="Arial" w:hAnsi="Arial" w:cs="Arial"/>
                <w:color w:val="0F243E" w:themeColor="text2" w:themeShade="80"/>
                <w:sz w:val="20"/>
                <w:szCs w:val="20"/>
              </w:rPr>
              <w:t>0</w:t>
            </w:r>
          </w:p>
        </w:tc>
      </w:tr>
      <w:tr w:rsidR="004D02DD" w:rsidRPr="00CA48AF" w14:paraId="0A0CF389" w14:textId="77777777" w:rsidTr="004D02DD">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34BB3A75" w14:textId="77777777" w:rsidR="004D02DD" w:rsidRPr="00CA48AF" w:rsidRDefault="004D02DD" w:rsidP="00785097">
            <w:pPr>
              <w:spacing w:before="60" w:after="60"/>
              <w:jc w:val="center"/>
              <w:rPr>
                <w:rFonts w:ascii="Arial" w:hAnsi="Arial" w:cs="Arial"/>
                <w:color w:val="0F243E" w:themeColor="text2" w:themeShade="80"/>
                <w:sz w:val="20"/>
                <w:szCs w:val="20"/>
              </w:rPr>
            </w:pPr>
            <w:r w:rsidRPr="00CA48AF">
              <w:rPr>
                <w:rFonts w:ascii="Arial" w:hAnsi="Arial" w:cs="Arial"/>
                <w:color w:val="0F243E" w:themeColor="text2" w:themeShade="80"/>
                <w:sz w:val="20"/>
                <w:szCs w:val="20"/>
              </w:rPr>
              <w:t xml:space="preserve">  Totales  </w:t>
            </w:r>
          </w:p>
        </w:tc>
        <w:tc>
          <w:tcPr>
            <w:tcW w:w="2745" w:type="dxa"/>
            <w:tcBorders>
              <w:top w:val="double" w:sz="4" w:space="0" w:color="4F81BD" w:themeColor="accent1"/>
              <w:bottom w:val="double" w:sz="4" w:space="0" w:color="4F81BD" w:themeColor="accent1"/>
            </w:tcBorders>
            <w:vAlign w:val="center"/>
          </w:tcPr>
          <w:p w14:paraId="0DBE6F40" w14:textId="136B5993"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color w:val="000000"/>
                <w:sz w:val="20"/>
                <w:szCs w:val="20"/>
              </w:rPr>
              <w:t xml:space="preserve">30.043.490 </w:t>
            </w:r>
          </w:p>
        </w:tc>
        <w:tc>
          <w:tcPr>
            <w:tcW w:w="2551" w:type="dxa"/>
            <w:tcBorders>
              <w:top w:val="double" w:sz="4" w:space="0" w:color="4F81BD" w:themeColor="accent1"/>
              <w:bottom w:val="double" w:sz="4" w:space="0" w:color="4F81BD" w:themeColor="accent1"/>
            </w:tcBorders>
            <w:vAlign w:val="center"/>
          </w:tcPr>
          <w:p w14:paraId="5DBEAE6F" w14:textId="1858089D"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color w:val="000000"/>
                <w:sz w:val="20"/>
                <w:szCs w:val="20"/>
              </w:rPr>
              <w:t xml:space="preserve">                    30.043.490 </w:t>
            </w:r>
          </w:p>
        </w:tc>
        <w:tc>
          <w:tcPr>
            <w:tcW w:w="1701" w:type="dxa"/>
            <w:tcBorders>
              <w:top w:val="double" w:sz="4" w:space="0" w:color="4F81BD" w:themeColor="accent1"/>
              <w:bottom w:val="double" w:sz="4" w:space="0" w:color="4F81BD" w:themeColor="accent1"/>
            </w:tcBorders>
            <w:noWrap/>
            <w:vAlign w:val="center"/>
          </w:tcPr>
          <w:p w14:paraId="7736BD66" w14:textId="2EA661BE" w:rsidR="004D02DD" w:rsidRPr="00CA48AF" w:rsidRDefault="004D02DD" w:rsidP="0078509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A48AF">
              <w:rPr>
                <w:rFonts w:ascii="Arial" w:hAnsi="Arial" w:cs="Arial"/>
                <w:b/>
                <w:bCs/>
                <w:color w:val="0F243E" w:themeColor="text2" w:themeShade="80"/>
                <w:sz w:val="20"/>
                <w:szCs w:val="20"/>
              </w:rPr>
              <w:t>0</w:t>
            </w:r>
          </w:p>
        </w:tc>
      </w:tr>
    </w:tbl>
    <w:p w14:paraId="56FF05B2" w14:textId="108A6DC3" w:rsidR="007911F0" w:rsidRPr="00CA48AF" w:rsidRDefault="007911F0" w:rsidP="00723C79">
      <w:pPr>
        <w:widowControl w:val="0"/>
        <w:jc w:val="both"/>
        <w:rPr>
          <w:rFonts w:ascii="Arial" w:hAnsi="Arial" w:cs="Arial"/>
          <w:sz w:val="22"/>
          <w:szCs w:val="22"/>
          <w:highlight w:val="yellow"/>
        </w:rPr>
      </w:pPr>
    </w:p>
    <w:p w14:paraId="5D85FE40" w14:textId="447A97E4" w:rsidR="007911F0" w:rsidRPr="00C7012F" w:rsidRDefault="00513419" w:rsidP="00723C79">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Así mismo</w:t>
      </w:r>
      <w:r w:rsidR="006215CE" w:rsidRPr="00C7012F">
        <w:rPr>
          <w:rFonts w:ascii="Arial" w:hAnsi="Arial" w:cs="Arial"/>
          <w:color w:val="000000" w:themeColor="text1"/>
          <w:sz w:val="22"/>
          <w:szCs w:val="22"/>
        </w:rPr>
        <w:t>, c</w:t>
      </w:r>
      <w:r w:rsidR="007911F0" w:rsidRPr="00C7012F">
        <w:rPr>
          <w:rFonts w:ascii="Arial" w:hAnsi="Arial" w:cs="Arial"/>
          <w:color w:val="000000" w:themeColor="text1"/>
          <w:sz w:val="22"/>
          <w:szCs w:val="22"/>
        </w:rPr>
        <w:t xml:space="preserve">on el </w:t>
      </w:r>
      <w:r w:rsidR="00E22776" w:rsidRPr="00C7012F">
        <w:rPr>
          <w:rFonts w:ascii="Arial" w:hAnsi="Arial" w:cs="Arial"/>
          <w:color w:val="000000" w:themeColor="text1"/>
          <w:sz w:val="22"/>
          <w:szCs w:val="22"/>
        </w:rPr>
        <w:t xml:space="preserve">fin </w:t>
      </w:r>
      <w:r w:rsidR="007911F0" w:rsidRPr="00C7012F">
        <w:rPr>
          <w:rFonts w:ascii="Arial" w:hAnsi="Arial" w:cs="Arial"/>
          <w:color w:val="000000" w:themeColor="text1"/>
          <w:sz w:val="22"/>
          <w:szCs w:val="22"/>
        </w:rPr>
        <w:t xml:space="preserve">de corroborar la aplicación de </w:t>
      </w:r>
      <w:r w:rsidR="006215CE" w:rsidRPr="00C7012F">
        <w:rPr>
          <w:rFonts w:ascii="Arial" w:hAnsi="Arial" w:cs="Arial"/>
          <w:color w:val="000000" w:themeColor="text1"/>
          <w:sz w:val="22"/>
          <w:szCs w:val="22"/>
        </w:rPr>
        <w:t xml:space="preserve">los </w:t>
      </w:r>
      <w:r w:rsidR="007911F0" w:rsidRPr="00C7012F">
        <w:rPr>
          <w:rFonts w:ascii="Arial" w:hAnsi="Arial" w:cs="Arial"/>
          <w:color w:val="000000" w:themeColor="text1"/>
          <w:sz w:val="22"/>
          <w:szCs w:val="22"/>
        </w:rPr>
        <w:t>controles</w:t>
      </w:r>
      <w:r w:rsidR="006215CE" w:rsidRPr="00C7012F">
        <w:rPr>
          <w:rFonts w:ascii="Arial" w:hAnsi="Arial" w:cs="Arial"/>
          <w:color w:val="000000" w:themeColor="text1"/>
          <w:sz w:val="22"/>
          <w:szCs w:val="22"/>
        </w:rPr>
        <w:t xml:space="preserve"> definidos para el concepto de horas extras, </w:t>
      </w:r>
      <w:r w:rsidR="007911F0" w:rsidRPr="00C7012F">
        <w:rPr>
          <w:rFonts w:ascii="Arial" w:hAnsi="Arial" w:cs="Arial"/>
          <w:color w:val="000000" w:themeColor="text1"/>
          <w:sz w:val="22"/>
          <w:szCs w:val="22"/>
        </w:rPr>
        <w:t xml:space="preserve">se verificó el total de horas extras mensuales autorizadas para cada funcionario de este Ministerio, constatando que, dicha autorización se efectuó contemplando los parámetros y criterios señalados en el artículo 14 del Decreto 304 de 2020, fundamentado en el Decreto 1042 de 1978 y sus modificatorios. </w:t>
      </w:r>
    </w:p>
    <w:p w14:paraId="25C0726F" w14:textId="77777777" w:rsidR="00E124EE" w:rsidRPr="00C7012F" w:rsidRDefault="00E124EE" w:rsidP="00785097">
      <w:pPr>
        <w:pStyle w:val="Default"/>
        <w:widowControl w:val="0"/>
        <w:spacing w:line="168" w:lineRule="auto"/>
        <w:jc w:val="both"/>
        <w:rPr>
          <w:color w:val="000000" w:themeColor="text1"/>
          <w:sz w:val="22"/>
          <w:szCs w:val="22"/>
        </w:rPr>
      </w:pPr>
    </w:p>
    <w:p w14:paraId="233384FA" w14:textId="79ACD22D" w:rsidR="007911F0" w:rsidRPr="00C7012F" w:rsidRDefault="007911F0" w:rsidP="00723C79">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De igual forma, se cotejó el reporte de horas extras liquidadas por cada funcionario para los meses de</w:t>
      </w:r>
      <w:r w:rsidR="006215CE" w:rsidRPr="00C7012F">
        <w:rPr>
          <w:rFonts w:ascii="Arial" w:hAnsi="Arial" w:cs="Arial"/>
          <w:color w:val="000000" w:themeColor="text1"/>
          <w:sz w:val="22"/>
          <w:szCs w:val="22"/>
        </w:rPr>
        <w:t xml:space="preserve"> </w:t>
      </w:r>
      <w:r w:rsidR="00E124EE" w:rsidRPr="00C7012F">
        <w:rPr>
          <w:rFonts w:ascii="Arial" w:hAnsi="Arial" w:cs="Arial"/>
          <w:color w:val="000000" w:themeColor="text1"/>
          <w:sz w:val="22"/>
          <w:szCs w:val="22"/>
        </w:rPr>
        <w:t xml:space="preserve">julio, agosto y septiembre </w:t>
      </w:r>
      <w:r w:rsidRPr="00C7012F">
        <w:rPr>
          <w:rFonts w:ascii="Arial" w:hAnsi="Arial" w:cs="Arial"/>
          <w:color w:val="000000" w:themeColor="text1"/>
          <w:sz w:val="22"/>
          <w:szCs w:val="22"/>
        </w:rPr>
        <w:t>de 2020 frente al reporte de autorización de horas extras para la vigencia 2020. De la anterior prueba, se determinó que las horas laboradas y pagadas</w:t>
      </w:r>
      <w:r w:rsidR="00E124EE" w:rsidRPr="00C7012F">
        <w:rPr>
          <w:rFonts w:ascii="Arial" w:hAnsi="Arial" w:cs="Arial"/>
          <w:color w:val="000000" w:themeColor="text1"/>
          <w:sz w:val="22"/>
          <w:szCs w:val="22"/>
        </w:rPr>
        <w:t xml:space="preserve"> durante el tercer trimestre de 2020</w:t>
      </w:r>
      <w:r w:rsidRPr="00C7012F">
        <w:rPr>
          <w:rFonts w:ascii="Arial" w:hAnsi="Arial" w:cs="Arial"/>
          <w:color w:val="000000" w:themeColor="text1"/>
          <w:sz w:val="22"/>
          <w:szCs w:val="22"/>
        </w:rPr>
        <w:t xml:space="preserve"> a los funcionarios del Ministerio de Hacienda y Crédito Público, no superaron los topes mensuales establecidos por la normatividad vigente y las directrices internas. </w:t>
      </w:r>
    </w:p>
    <w:p w14:paraId="76080421" w14:textId="2C9350EA" w:rsidR="003F7A6A" w:rsidRPr="00C7012F" w:rsidRDefault="003F7A6A" w:rsidP="00723C79">
      <w:pPr>
        <w:widowControl w:val="0"/>
        <w:jc w:val="both"/>
        <w:rPr>
          <w:rFonts w:ascii="Arial" w:hAnsi="Arial" w:cs="Arial"/>
          <w:color w:val="000000" w:themeColor="text1"/>
          <w:sz w:val="22"/>
          <w:szCs w:val="22"/>
        </w:rPr>
      </w:pPr>
    </w:p>
    <w:p w14:paraId="2A93DC47" w14:textId="77777777" w:rsidR="003F7A6A" w:rsidRPr="00CA48AF" w:rsidRDefault="003F7A6A" w:rsidP="00723C79">
      <w:pPr>
        <w:widowControl w:val="0"/>
        <w:jc w:val="both"/>
        <w:rPr>
          <w:rFonts w:ascii="Arial" w:hAnsi="Arial" w:cs="Arial"/>
          <w:sz w:val="22"/>
          <w:szCs w:val="22"/>
        </w:rPr>
      </w:pPr>
    </w:p>
    <w:p w14:paraId="59652B61" w14:textId="3F4426C6" w:rsidR="004679A1" w:rsidRPr="00EC610A" w:rsidRDefault="00E7227A" w:rsidP="00960301">
      <w:pPr>
        <w:tabs>
          <w:tab w:val="left" w:pos="709"/>
        </w:tabs>
        <w:rPr>
          <w:rFonts w:ascii="Arial" w:hAnsi="Arial" w:cs="Arial"/>
          <w:b/>
          <w:sz w:val="22"/>
          <w:szCs w:val="22"/>
        </w:rPr>
      </w:pPr>
      <w:r w:rsidRPr="00EC610A">
        <w:rPr>
          <w:rFonts w:ascii="Arial" w:hAnsi="Arial" w:cs="Arial"/>
          <w:b/>
          <w:sz w:val="22"/>
          <w:szCs w:val="22"/>
        </w:rPr>
        <w:t>2.</w:t>
      </w:r>
      <w:r w:rsidR="007D0C9E" w:rsidRPr="00EC610A">
        <w:rPr>
          <w:rFonts w:ascii="Arial" w:hAnsi="Arial" w:cs="Arial"/>
          <w:b/>
          <w:sz w:val="22"/>
          <w:szCs w:val="22"/>
        </w:rPr>
        <w:t>3</w:t>
      </w:r>
      <w:r w:rsidRPr="00EC610A">
        <w:rPr>
          <w:rFonts w:ascii="Arial" w:hAnsi="Arial" w:cs="Arial"/>
          <w:b/>
          <w:sz w:val="22"/>
          <w:szCs w:val="22"/>
        </w:rPr>
        <w:t xml:space="preserve">. </w:t>
      </w:r>
      <w:r w:rsidR="001F6C8E" w:rsidRPr="00EC610A">
        <w:rPr>
          <w:rFonts w:ascii="Arial" w:hAnsi="Arial" w:cs="Arial"/>
          <w:b/>
          <w:sz w:val="22"/>
          <w:szCs w:val="22"/>
        </w:rPr>
        <w:t>PRESTACIÓN DE SERVICIOS PROFESIONALES Y DE APOYO A LA GESTIÓN</w:t>
      </w:r>
    </w:p>
    <w:p w14:paraId="193E16C3" w14:textId="77777777" w:rsidR="001F6C8E" w:rsidRPr="00EC610A" w:rsidRDefault="001F6C8E" w:rsidP="00A92CFB">
      <w:pPr>
        <w:pStyle w:val="Prrafodelista"/>
        <w:widowControl w:val="0"/>
        <w:tabs>
          <w:tab w:val="left" w:pos="709"/>
        </w:tabs>
        <w:spacing w:line="168" w:lineRule="auto"/>
        <w:ind w:left="357"/>
        <w:contextualSpacing w:val="0"/>
        <w:jc w:val="left"/>
        <w:rPr>
          <w:rFonts w:ascii="Arial" w:hAnsi="Arial" w:cs="Arial"/>
          <w:b/>
        </w:rPr>
      </w:pPr>
    </w:p>
    <w:p w14:paraId="7DFBE73D" w14:textId="58B7BE2E" w:rsidR="005A0962" w:rsidRPr="00C7012F" w:rsidRDefault="00C33A67" w:rsidP="00A92CFB">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 xml:space="preserve">De acuerdo con lo establecido en </w:t>
      </w:r>
      <w:r w:rsidR="007A6D65" w:rsidRPr="00C7012F">
        <w:rPr>
          <w:rFonts w:ascii="Arial" w:hAnsi="Arial" w:cs="Arial"/>
          <w:color w:val="000000" w:themeColor="text1"/>
          <w:sz w:val="22"/>
          <w:szCs w:val="22"/>
        </w:rPr>
        <w:t>l</w:t>
      </w:r>
      <w:r w:rsidR="00DD029E" w:rsidRPr="00C7012F">
        <w:rPr>
          <w:rFonts w:ascii="Arial" w:hAnsi="Arial" w:cs="Arial"/>
          <w:color w:val="000000" w:themeColor="text1"/>
          <w:sz w:val="22"/>
          <w:szCs w:val="22"/>
        </w:rPr>
        <w:t>a Di</w:t>
      </w:r>
      <w:r w:rsidR="007A6D65" w:rsidRPr="00C7012F">
        <w:rPr>
          <w:rFonts w:ascii="Arial" w:hAnsi="Arial" w:cs="Arial"/>
          <w:color w:val="000000" w:themeColor="text1"/>
          <w:sz w:val="22"/>
          <w:szCs w:val="22"/>
        </w:rPr>
        <w:t>rectiva Presidencial 09 de 2018 y el Decreto 1009 de 2020,</w:t>
      </w:r>
      <w:r w:rsidRPr="00C7012F">
        <w:rPr>
          <w:rFonts w:ascii="Arial" w:hAnsi="Arial" w:cs="Arial"/>
          <w:color w:val="000000" w:themeColor="text1"/>
          <w:sz w:val="22"/>
          <w:szCs w:val="22"/>
        </w:rPr>
        <w:t xml:space="preserve"> </w:t>
      </w:r>
      <w:r w:rsidR="00DD029E" w:rsidRPr="00C7012F">
        <w:rPr>
          <w:rFonts w:ascii="Arial" w:hAnsi="Arial" w:cs="Arial"/>
          <w:color w:val="000000" w:themeColor="text1"/>
          <w:sz w:val="22"/>
          <w:szCs w:val="22"/>
        </w:rPr>
        <w:t>en todas las entidades de la rama ejecutiva del orden nacional,</w:t>
      </w:r>
      <w:r w:rsidR="007A6D65" w:rsidRPr="00C7012F">
        <w:rPr>
          <w:rFonts w:ascii="Arial" w:hAnsi="Arial" w:cs="Arial"/>
          <w:color w:val="000000" w:themeColor="text1"/>
          <w:sz w:val="22"/>
          <w:szCs w:val="22"/>
        </w:rPr>
        <w:t xml:space="preserve"> se deberá realizar una </w:t>
      </w:r>
      <w:r w:rsidR="00DD029E" w:rsidRPr="00C7012F">
        <w:rPr>
          <w:rFonts w:ascii="Arial" w:hAnsi="Arial" w:cs="Arial"/>
          <w:color w:val="000000" w:themeColor="text1"/>
          <w:sz w:val="22"/>
          <w:szCs w:val="22"/>
        </w:rPr>
        <w:t xml:space="preserve">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00DD029E" w:rsidRPr="00C7012F">
        <w:rPr>
          <w:rFonts w:ascii="Arial" w:hAnsi="Arial" w:cs="Arial"/>
          <w:i/>
          <w:iCs/>
          <w:color w:val="000000" w:themeColor="text1"/>
          <w:sz w:val="22"/>
          <w:szCs w:val="22"/>
        </w:rPr>
        <w:t xml:space="preserve">Por medio del cual </w:t>
      </w:r>
      <w:r w:rsidR="00DD029E" w:rsidRPr="00C7012F">
        <w:rPr>
          <w:rFonts w:ascii="Arial" w:hAnsi="Arial" w:cs="Arial"/>
          <w:color w:val="000000" w:themeColor="text1"/>
          <w:sz w:val="22"/>
          <w:szCs w:val="22"/>
        </w:rPr>
        <w:t xml:space="preserve">se </w:t>
      </w:r>
      <w:r w:rsidR="00DD029E" w:rsidRPr="00C7012F">
        <w:rPr>
          <w:rFonts w:ascii="Arial" w:hAnsi="Arial" w:cs="Arial"/>
          <w:i/>
          <w:iCs/>
          <w:color w:val="000000" w:themeColor="text1"/>
          <w:sz w:val="22"/>
          <w:szCs w:val="22"/>
        </w:rPr>
        <w:t xml:space="preserve">expide el Decreto Único Reglamentario del Sector Hacienda </w:t>
      </w:r>
      <w:r w:rsidR="00DD029E" w:rsidRPr="00C7012F">
        <w:rPr>
          <w:rFonts w:ascii="Arial" w:hAnsi="Arial" w:cs="Arial"/>
          <w:color w:val="000000" w:themeColor="text1"/>
          <w:sz w:val="22"/>
          <w:szCs w:val="22"/>
        </w:rPr>
        <w:t xml:space="preserve">y </w:t>
      </w:r>
      <w:r w:rsidR="00DD029E" w:rsidRPr="00C7012F">
        <w:rPr>
          <w:rFonts w:ascii="Arial" w:hAnsi="Arial" w:cs="Arial"/>
          <w:i/>
          <w:iCs/>
          <w:color w:val="000000" w:themeColor="text1"/>
          <w:sz w:val="22"/>
          <w:szCs w:val="22"/>
        </w:rPr>
        <w:t xml:space="preserve">Crédito Público. </w:t>
      </w:r>
    </w:p>
    <w:p w14:paraId="43E31C66" w14:textId="77777777" w:rsidR="00DD029E" w:rsidRPr="00C7012F" w:rsidRDefault="00DD029E" w:rsidP="00A92CFB">
      <w:pPr>
        <w:pStyle w:val="Prrafodelista"/>
        <w:widowControl w:val="0"/>
        <w:tabs>
          <w:tab w:val="left" w:pos="709"/>
        </w:tabs>
        <w:spacing w:line="168" w:lineRule="auto"/>
        <w:ind w:left="357"/>
        <w:contextualSpacing w:val="0"/>
        <w:jc w:val="left"/>
        <w:rPr>
          <w:rFonts w:ascii="Arial" w:hAnsi="Arial" w:cs="Arial"/>
          <w:color w:val="000000" w:themeColor="text1"/>
          <w:sz w:val="22"/>
          <w:szCs w:val="22"/>
        </w:rPr>
      </w:pPr>
    </w:p>
    <w:p w14:paraId="0DF68B1F" w14:textId="500B8291" w:rsidR="00334DAE" w:rsidRPr="00C7012F" w:rsidRDefault="003A2A42" w:rsidP="00C33A67">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 xml:space="preserve">Por lo anterior, </w:t>
      </w:r>
      <w:r w:rsidR="0055353E" w:rsidRPr="00C7012F">
        <w:rPr>
          <w:rFonts w:ascii="Arial" w:hAnsi="Arial" w:cs="Arial"/>
          <w:color w:val="000000" w:themeColor="text1"/>
          <w:sz w:val="22"/>
          <w:szCs w:val="22"/>
        </w:rPr>
        <w:t xml:space="preserve">en este ítem </w:t>
      </w:r>
      <w:r w:rsidR="00573F50" w:rsidRPr="00C7012F">
        <w:rPr>
          <w:rFonts w:ascii="Arial" w:hAnsi="Arial" w:cs="Arial"/>
          <w:color w:val="000000" w:themeColor="text1"/>
          <w:sz w:val="22"/>
          <w:szCs w:val="22"/>
        </w:rPr>
        <w:t>se analizó</w:t>
      </w:r>
      <w:r w:rsidR="0055353E" w:rsidRPr="00C7012F">
        <w:rPr>
          <w:rFonts w:ascii="Arial" w:hAnsi="Arial" w:cs="Arial"/>
          <w:color w:val="000000" w:themeColor="text1"/>
          <w:sz w:val="22"/>
          <w:szCs w:val="22"/>
        </w:rPr>
        <w:t xml:space="preserve"> la contratación realizada </w:t>
      </w:r>
      <w:r w:rsidRPr="00C7012F">
        <w:rPr>
          <w:rFonts w:ascii="Arial" w:hAnsi="Arial" w:cs="Arial"/>
          <w:color w:val="000000" w:themeColor="text1"/>
          <w:sz w:val="22"/>
          <w:szCs w:val="22"/>
        </w:rPr>
        <w:t xml:space="preserve">por este Ministerio relacionada con </w:t>
      </w:r>
      <w:r w:rsidR="00D71C89" w:rsidRPr="00C7012F">
        <w:rPr>
          <w:rFonts w:ascii="Arial" w:hAnsi="Arial" w:cs="Arial"/>
          <w:color w:val="000000" w:themeColor="text1"/>
          <w:sz w:val="22"/>
          <w:szCs w:val="22"/>
        </w:rPr>
        <w:t>la prestación de servicios profes</w:t>
      </w:r>
      <w:r w:rsidRPr="00C7012F">
        <w:rPr>
          <w:rFonts w:ascii="Arial" w:hAnsi="Arial" w:cs="Arial"/>
          <w:color w:val="000000" w:themeColor="text1"/>
          <w:sz w:val="22"/>
          <w:szCs w:val="22"/>
        </w:rPr>
        <w:t>ionales y de apoyo a la gestión</w:t>
      </w:r>
      <w:r w:rsidR="00573F50" w:rsidRPr="00C7012F">
        <w:rPr>
          <w:rFonts w:ascii="Arial" w:hAnsi="Arial" w:cs="Arial"/>
          <w:color w:val="000000" w:themeColor="text1"/>
          <w:sz w:val="22"/>
          <w:szCs w:val="22"/>
        </w:rPr>
        <w:t>. S</w:t>
      </w:r>
      <w:r w:rsidRPr="00C7012F">
        <w:rPr>
          <w:rFonts w:ascii="Arial" w:hAnsi="Arial" w:cs="Arial"/>
          <w:color w:val="000000" w:themeColor="text1"/>
          <w:sz w:val="22"/>
          <w:szCs w:val="22"/>
        </w:rPr>
        <w:t xml:space="preserve">egún el nuevo Catálogo de Clasificación Presupuestal – CCP, </w:t>
      </w:r>
      <w:r w:rsidR="000E0804" w:rsidRPr="00C7012F">
        <w:rPr>
          <w:rFonts w:ascii="Arial" w:hAnsi="Arial" w:cs="Arial"/>
          <w:color w:val="000000" w:themeColor="text1"/>
          <w:sz w:val="22"/>
          <w:szCs w:val="22"/>
        </w:rPr>
        <w:t>dichas contrataciones se registrarán</w:t>
      </w:r>
      <w:r w:rsidR="006C5403" w:rsidRPr="00C7012F">
        <w:rPr>
          <w:rFonts w:ascii="Arial" w:hAnsi="Arial" w:cs="Arial"/>
          <w:color w:val="000000" w:themeColor="text1"/>
          <w:sz w:val="22"/>
          <w:szCs w:val="22"/>
        </w:rPr>
        <w:t xml:space="preserve"> en </w:t>
      </w:r>
      <w:r w:rsidR="007B0FA4" w:rsidRPr="00C7012F">
        <w:rPr>
          <w:rFonts w:ascii="Arial" w:hAnsi="Arial" w:cs="Arial"/>
          <w:color w:val="000000" w:themeColor="text1"/>
          <w:sz w:val="22"/>
          <w:szCs w:val="22"/>
        </w:rPr>
        <w:t>el rubro</w:t>
      </w:r>
      <w:r w:rsidR="00221FEF" w:rsidRPr="00C7012F">
        <w:rPr>
          <w:rFonts w:ascii="Arial" w:hAnsi="Arial" w:cs="Arial"/>
          <w:color w:val="000000" w:themeColor="text1"/>
          <w:sz w:val="22"/>
          <w:szCs w:val="22"/>
        </w:rPr>
        <w:t xml:space="preserve"> presupuestal A</w:t>
      </w:r>
      <w:r w:rsidR="00C33A67" w:rsidRPr="00C7012F">
        <w:rPr>
          <w:rFonts w:ascii="Arial" w:hAnsi="Arial" w:cs="Arial"/>
          <w:color w:val="000000" w:themeColor="text1"/>
          <w:sz w:val="22"/>
          <w:szCs w:val="22"/>
        </w:rPr>
        <w:t>-</w:t>
      </w:r>
      <w:r w:rsidR="006C5403" w:rsidRPr="00C7012F">
        <w:rPr>
          <w:rFonts w:ascii="Arial" w:hAnsi="Arial" w:cs="Arial"/>
          <w:color w:val="000000" w:themeColor="text1"/>
          <w:sz w:val="22"/>
          <w:szCs w:val="22"/>
        </w:rPr>
        <w:t xml:space="preserve">02-02-02-008 Servicios Prestados a las Empresas y Servicios de Producción. </w:t>
      </w:r>
      <w:bookmarkStart w:id="1" w:name="_Hlk45718891"/>
    </w:p>
    <w:p w14:paraId="35DA66C3" w14:textId="77777777" w:rsidR="00334DAE" w:rsidRPr="00C7012F" w:rsidRDefault="00334DAE" w:rsidP="00A92CFB">
      <w:pPr>
        <w:widowControl w:val="0"/>
        <w:jc w:val="both"/>
        <w:rPr>
          <w:rFonts w:ascii="Arial" w:hAnsi="Arial" w:cs="Arial"/>
          <w:color w:val="000000" w:themeColor="text1"/>
          <w:sz w:val="22"/>
          <w:szCs w:val="22"/>
        </w:rPr>
      </w:pPr>
    </w:p>
    <w:p w14:paraId="7AC55E07" w14:textId="34A60CCA" w:rsidR="00056C0F" w:rsidRPr="00C7012F" w:rsidRDefault="005A4E9D" w:rsidP="00A92CFB">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 xml:space="preserve">Es importante mencionar que, para el presente análisis se incluyeron las contrataciones efectuadas con las siguientes personas jurídicas: </w:t>
      </w:r>
      <w:r w:rsidR="00A42EE1" w:rsidRPr="00C7012F">
        <w:rPr>
          <w:rFonts w:ascii="Arial" w:hAnsi="Arial" w:cs="Arial"/>
          <w:color w:val="000000" w:themeColor="text1"/>
          <w:sz w:val="22"/>
          <w:szCs w:val="22"/>
        </w:rPr>
        <w:t xml:space="preserve">Litigar Punto Com. S.A y Servicios de </w:t>
      </w:r>
      <w:r w:rsidR="00C11597" w:rsidRPr="00C7012F">
        <w:rPr>
          <w:rFonts w:ascii="Arial" w:hAnsi="Arial" w:cs="Arial"/>
          <w:color w:val="000000" w:themeColor="text1"/>
          <w:sz w:val="22"/>
          <w:szCs w:val="22"/>
        </w:rPr>
        <w:t>Auditoría</w:t>
      </w:r>
      <w:r w:rsidR="00A42EE1" w:rsidRPr="00C7012F">
        <w:rPr>
          <w:rFonts w:ascii="Arial" w:hAnsi="Arial" w:cs="Arial"/>
          <w:color w:val="000000" w:themeColor="text1"/>
          <w:sz w:val="22"/>
          <w:szCs w:val="22"/>
        </w:rPr>
        <w:t xml:space="preserve"> y Consultoría de Negocios SAS, </w:t>
      </w:r>
      <w:r w:rsidRPr="00C7012F">
        <w:rPr>
          <w:rFonts w:ascii="Arial" w:hAnsi="Arial" w:cs="Arial"/>
          <w:color w:val="000000" w:themeColor="text1"/>
          <w:sz w:val="22"/>
          <w:szCs w:val="22"/>
        </w:rPr>
        <w:t xml:space="preserve">toda vez que, según el objeto de los respectivos contratos corresponden al desarrollo de actividades de apoyo a la gestión propia de este Ministerio. </w:t>
      </w:r>
    </w:p>
    <w:bookmarkEnd w:id="1"/>
    <w:p w14:paraId="731C231F" w14:textId="77777777" w:rsidR="005B3A07" w:rsidRPr="00C7012F" w:rsidRDefault="005B3A07" w:rsidP="00A92CFB">
      <w:pPr>
        <w:pStyle w:val="Prrafodelista"/>
        <w:widowControl w:val="0"/>
        <w:tabs>
          <w:tab w:val="left" w:pos="709"/>
        </w:tabs>
        <w:spacing w:line="168" w:lineRule="auto"/>
        <w:ind w:left="357"/>
        <w:contextualSpacing w:val="0"/>
        <w:jc w:val="left"/>
        <w:rPr>
          <w:rFonts w:ascii="Arial" w:hAnsi="Arial" w:cs="Arial"/>
          <w:color w:val="000000" w:themeColor="text1"/>
          <w:sz w:val="22"/>
          <w:szCs w:val="22"/>
        </w:rPr>
      </w:pPr>
    </w:p>
    <w:p w14:paraId="3F691D97" w14:textId="578CF1F3" w:rsidR="000C36A0" w:rsidRPr="00C7012F" w:rsidRDefault="006C5403" w:rsidP="00A92CFB">
      <w:pPr>
        <w:widowControl w:val="0"/>
        <w:jc w:val="both"/>
        <w:rPr>
          <w:rFonts w:ascii="Arial" w:hAnsi="Arial" w:cs="Arial"/>
          <w:color w:val="000000" w:themeColor="text1"/>
          <w:sz w:val="22"/>
          <w:szCs w:val="22"/>
        </w:rPr>
      </w:pPr>
      <w:r w:rsidRPr="00C7012F">
        <w:rPr>
          <w:rFonts w:ascii="Arial" w:hAnsi="Arial" w:cs="Arial"/>
          <w:color w:val="000000" w:themeColor="text1"/>
          <w:sz w:val="22"/>
          <w:szCs w:val="22"/>
        </w:rPr>
        <w:t>C</w:t>
      </w:r>
      <w:r w:rsidR="00937E36" w:rsidRPr="00C7012F">
        <w:rPr>
          <w:rFonts w:ascii="Arial" w:hAnsi="Arial" w:cs="Arial"/>
          <w:color w:val="000000" w:themeColor="text1"/>
          <w:sz w:val="22"/>
          <w:szCs w:val="22"/>
        </w:rPr>
        <w:t>on</w:t>
      </w:r>
      <w:r w:rsidR="00376710" w:rsidRPr="00C7012F">
        <w:rPr>
          <w:rFonts w:ascii="Arial" w:hAnsi="Arial" w:cs="Arial"/>
          <w:color w:val="000000" w:themeColor="text1"/>
          <w:sz w:val="22"/>
          <w:szCs w:val="22"/>
        </w:rPr>
        <w:t xml:space="preserve"> base en la información entregada por el Grupo de </w:t>
      </w:r>
      <w:r w:rsidR="004B176F" w:rsidRPr="00C7012F">
        <w:rPr>
          <w:rFonts w:ascii="Arial" w:hAnsi="Arial" w:cs="Arial"/>
          <w:color w:val="000000" w:themeColor="text1"/>
          <w:sz w:val="22"/>
          <w:szCs w:val="22"/>
        </w:rPr>
        <w:t xml:space="preserve">Contratación Directa </w:t>
      </w:r>
      <w:r w:rsidR="00376710" w:rsidRPr="00C7012F">
        <w:rPr>
          <w:rFonts w:ascii="Arial" w:hAnsi="Arial" w:cs="Arial"/>
          <w:color w:val="000000" w:themeColor="text1"/>
          <w:sz w:val="22"/>
          <w:szCs w:val="22"/>
        </w:rPr>
        <w:t xml:space="preserve">de la Dirección Administrativa, con </w:t>
      </w:r>
      <w:r w:rsidR="00937E36" w:rsidRPr="00C7012F">
        <w:rPr>
          <w:rFonts w:ascii="Arial" w:hAnsi="Arial" w:cs="Arial"/>
          <w:color w:val="000000" w:themeColor="text1"/>
          <w:sz w:val="22"/>
          <w:szCs w:val="22"/>
        </w:rPr>
        <w:t>corte a 3</w:t>
      </w:r>
      <w:r w:rsidR="00936355" w:rsidRPr="00C7012F">
        <w:rPr>
          <w:rFonts w:ascii="Arial" w:hAnsi="Arial" w:cs="Arial"/>
          <w:color w:val="000000" w:themeColor="text1"/>
          <w:sz w:val="22"/>
          <w:szCs w:val="22"/>
        </w:rPr>
        <w:t>0</w:t>
      </w:r>
      <w:r w:rsidR="000E0804" w:rsidRPr="00C7012F">
        <w:rPr>
          <w:rFonts w:ascii="Arial" w:hAnsi="Arial" w:cs="Arial"/>
          <w:color w:val="000000" w:themeColor="text1"/>
          <w:sz w:val="22"/>
          <w:szCs w:val="22"/>
        </w:rPr>
        <w:t xml:space="preserve"> de </w:t>
      </w:r>
      <w:r w:rsidR="00AB0525" w:rsidRPr="00C7012F">
        <w:rPr>
          <w:rFonts w:ascii="Arial" w:hAnsi="Arial" w:cs="Arial"/>
          <w:color w:val="000000" w:themeColor="text1"/>
          <w:sz w:val="22"/>
          <w:szCs w:val="22"/>
        </w:rPr>
        <w:t xml:space="preserve">septiembre </w:t>
      </w:r>
      <w:r w:rsidR="00937E36" w:rsidRPr="00C7012F">
        <w:rPr>
          <w:rFonts w:ascii="Arial" w:hAnsi="Arial" w:cs="Arial"/>
          <w:color w:val="000000" w:themeColor="text1"/>
          <w:sz w:val="22"/>
          <w:szCs w:val="22"/>
        </w:rPr>
        <w:t xml:space="preserve">de </w:t>
      </w:r>
      <w:r w:rsidR="004177C2" w:rsidRPr="00C7012F">
        <w:rPr>
          <w:rFonts w:ascii="Arial" w:hAnsi="Arial" w:cs="Arial"/>
          <w:color w:val="000000" w:themeColor="text1"/>
          <w:sz w:val="22"/>
          <w:szCs w:val="22"/>
        </w:rPr>
        <w:t>20</w:t>
      </w:r>
      <w:r w:rsidR="00D57461" w:rsidRPr="00C7012F">
        <w:rPr>
          <w:rFonts w:ascii="Arial" w:hAnsi="Arial" w:cs="Arial"/>
          <w:color w:val="000000" w:themeColor="text1"/>
          <w:sz w:val="22"/>
          <w:szCs w:val="22"/>
        </w:rPr>
        <w:t>20</w:t>
      </w:r>
      <w:r w:rsidR="00B246DF" w:rsidRPr="00C7012F">
        <w:rPr>
          <w:rFonts w:ascii="Arial" w:hAnsi="Arial" w:cs="Arial"/>
          <w:color w:val="000000" w:themeColor="text1"/>
          <w:sz w:val="22"/>
          <w:szCs w:val="22"/>
        </w:rPr>
        <w:t xml:space="preserve"> (inclusive)</w:t>
      </w:r>
      <w:r w:rsidR="004177C2" w:rsidRPr="00C7012F">
        <w:rPr>
          <w:rFonts w:ascii="Arial" w:hAnsi="Arial" w:cs="Arial"/>
          <w:color w:val="000000" w:themeColor="text1"/>
          <w:sz w:val="22"/>
          <w:szCs w:val="22"/>
        </w:rPr>
        <w:t>, se encontraban</w:t>
      </w:r>
      <w:r w:rsidR="00937E36" w:rsidRPr="00C7012F">
        <w:rPr>
          <w:rFonts w:ascii="Arial" w:hAnsi="Arial" w:cs="Arial"/>
          <w:color w:val="000000" w:themeColor="text1"/>
          <w:sz w:val="22"/>
          <w:szCs w:val="22"/>
        </w:rPr>
        <w:t xml:space="preserve"> vigentes </w:t>
      </w:r>
      <w:r w:rsidR="00106DAE" w:rsidRPr="00C7012F">
        <w:rPr>
          <w:rFonts w:ascii="Arial" w:hAnsi="Arial" w:cs="Arial"/>
          <w:color w:val="000000" w:themeColor="text1"/>
          <w:sz w:val="22"/>
          <w:szCs w:val="22"/>
        </w:rPr>
        <w:t>8</w:t>
      </w:r>
      <w:r w:rsidR="00DC33EC" w:rsidRPr="00C7012F">
        <w:rPr>
          <w:rFonts w:ascii="Arial" w:hAnsi="Arial" w:cs="Arial"/>
          <w:color w:val="000000" w:themeColor="text1"/>
          <w:sz w:val="22"/>
          <w:szCs w:val="22"/>
        </w:rPr>
        <w:t>9</w:t>
      </w:r>
      <w:r w:rsidR="00937E36" w:rsidRPr="00C7012F">
        <w:rPr>
          <w:rFonts w:ascii="Arial" w:hAnsi="Arial" w:cs="Arial"/>
          <w:color w:val="000000" w:themeColor="text1"/>
          <w:sz w:val="22"/>
          <w:szCs w:val="22"/>
        </w:rPr>
        <w:t xml:space="preserve"> contratos </w:t>
      </w:r>
      <w:r w:rsidR="004177C2" w:rsidRPr="00C7012F">
        <w:rPr>
          <w:rFonts w:ascii="Arial" w:hAnsi="Arial" w:cs="Arial"/>
          <w:color w:val="000000" w:themeColor="text1"/>
          <w:sz w:val="22"/>
          <w:szCs w:val="22"/>
        </w:rPr>
        <w:t xml:space="preserve">de </w:t>
      </w:r>
      <w:r w:rsidR="00846033" w:rsidRPr="00C7012F">
        <w:rPr>
          <w:rFonts w:ascii="Arial" w:hAnsi="Arial" w:cs="Arial"/>
          <w:color w:val="000000" w:themeColor="text1"/>
          <w:sz w:val="22"/>
          <w:szCs w:val="22"/>
        </w:rPr>
        <w:t xml:space="preserve">prestación de </w:t>
      </w:r>
      <w:r w:rsidR="004177C2" w:rsidRPr="00C7012F">
        <w:rPr>
          <w:rFonts w:ascii="Arial" w:hAnsi="Arial" w:cs="Arial"/>
          <w:color w:val="000000" w:themeColor="text1"/>
          <w:sz w:val="22"/>
          <w:szCs w:val="22"/>
        </w:rPr>
        <w:t xml:space="preserve">servicios </w:t>
      </w:r>
      <w:r w:rsidR="00937E36" w:rsidRPr="00C7012F">
        <w:rPr>
          <w:rFonts w:ascii="Arial" w:hAnsi="Arial" w:cs="Arial"/>
          <w:color w:val="000000" w:themeColor="text1"/>
          <w:sz w:val="22"/>
          <w:szCs w:val="22"/>
        </w:rPr>
        <w:t>distribuidos en las siguientes dependencias d</w:t>
      </w:r>
      <w:r w:rsidR="0069289D" w:rsidRPr="00C7012F">
        <w:rPr>
          <w:rFonts w:ascii="Arial" w:hAnsi="Arial" w:cs="Arial"/>
          <w:color w:val="000000" w:themeColor="text1"/>
          <w:sz w:val="22"/>
          <w:szCs w:val="22"/>
        </w:rPr>
        <w:t>e este Ministerio:</w:t>
      </w:r>
    </w:p>
    <w:p w14:paraId="3D68DF7C" w14:textId="7C2DD667" w:rsidR="000C36A0" w:rsidRPr="00C7012F" w:rsidRDefault="000C36A0" w:rsidP="008B6A50">
      <w:pPr>
        <w:jc w:val="both"/>
        <w:rPr>
          <w:rFonts w:ascii="Arial" w:hAnsi="Arial" w:cs="Arial"/>
          <w:color w:val="000000" w:themeColor="text1"/>
          <w:sz w:val="22"/>
          <w:szCs w:val="22"/>
        </w:rPr>
      </w:pPr>
    </w:p>
    <w:p w14:paraId="05871606" w14:textId="2A64872C" w:rsidR="00864881" w:rsidRDefault="00864881" w:rsidP="008B6A50">
      <w:pPr>
        <w:jc w:val="both"/>
        <w:rPr>
          <w:rFonts w:ascii="Arial" w:hAnsi="Arial" w:cs="Arial"/>
          <w:color w:val="000000" w:themeColor="text1"/>
          <w:sz w:val="22"/>
          <w:szCs w:val="22"/>
        </w:rPr>
      </w:pPr>
    </w:p>
    <w:p w14:paraId="6DA27627" w14:textId="77777777" w:rsidR="00864881" w:rsidRDefault="00864881" w:rsidP="008B6A50">
      <w:pPr>
        <w:jc w:val="both"/>
        <w:rPr>
          <w:rFonts w:ascii="Arial" w:hAnsi="Arial" w:cs="Arial"/>
          <w:color w:val="000000" w:themeColor="text1"/>
          <w:sz w:val="22"/>
          <w:szCs w:val="22"/>
        </w:rPr>
      </w:pPr>
    </w:p>
    <w:p w14:paraId="0295EA4F" w14:textId="77777777" w:rsidR="00EC77D9" w:rsidRDefault="00EC77D9" w:rsidP="008B6A50">
      <w:pPr>
        <w:jc w:val="both"/>
        <w:rPr>
          <w:rFonts w:ascii="Arial" w:hAnsi="Arial" w:cs="Arial"/>
          <w:color w:val="000000" w:themeColor="text1"/>
          <w:sz w:val="22"/>
          <w:szCs w:val="22"/>
        </w:rPr>
      </w:pPr>
    </w:p>
    <w:tbl>
      <w:tblPr>
        <w:tblStyle w:val="Tabladecuadrcula1clara-nfasis1"/>
        <w:tblW w:w="0" w:type="auto"/>
        <w:tblLayout w:type="fixed"/>
        <w:tblLook w:val="04A0" w:firstRow="1" w:lastRow="0" w:firstColumn="1" w:lastColumn="0" w:noHBand="0" w:noVBand="1"/>
      </w:tblPr>
      <w:tblGrid>
        <w:gridCol w:w="1696"/>
        <w:gridCol w:w="1276"/>
      </w:tblGrid>
      <w:tr w:rsidR="00864881" w:rsidRPr="00864881" w14:paraId="2967B76E" w14:textId="77777777" w:rsidTr="00864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vAlign w:val="center"/>
            <w:hideMark/>
          </w:tcPr>
          <w:p w14:paraId="058F81CA" w14:textId="6DA83752" w:rsidR="00864881" w:rsidRPr="00864881" w:rsidRDefault="00864881" w:rsidP="00A60CB2">
            <w:pPr>
              <w:spacing w:before="20"/>
              <w:jc w:val="center"/>
              <w:rPr>
                <w:rFonts w:ascii="Arial" w:hAnsi="Arial" w:cs="Arial"/>
                <w:color w:val="0F243E" w:themeColor="text2" w:themeShade="80"/>
                <w:sz w:val="20"/>
                <w:szCs w:val="20"/>
              </w:rPr>
            </w:pPr>
            <w:r w:rsidRPr="00864881">
              <w:rPr>
                <w:rFonts w:ascii="Arial" w:hAnsi="Arial" w:cs="Arial"/>
                <w:color w:val="0F243E" w:themeColor="text2" w:themeShade="80"/>
                <w:sz w:val="20"/>
                <w:szCs w:val="20"/>
              </w:rPr>
              <w:lastRenderedPageBreak/>
              <w:t xml:space="preserve">Dependencias  </w:t>
            </w:r>
          </w:p>
        </w:tc>
        <w:tc>
          <w:tcPr>
            <w:tcW w:w="1276" w:type="dxa"/>
            <w:shd w:val="clear" w:color="auto" w:fill="DBE5F1" w:themeFill="accent1" w:themeFillTint="33"/>
            <w:vAlign w:val="center"/>
            <w:hideMark/>
          </w:tcPr>
          <w:p w14:paraId="6D72C931" w14:textId="50EB8289" w:rsidR="00864881" w:rsidRPr="00864881" w:rsidRDefault="00864881" w:rsidP="00A60CB2">
            <w:pPr>
              <w:spacing w:before="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Cantidad de Contratos</w:t>
            </w:r>
          </w:p>
        </w:tc>
      </w:tr>
      <w:tr w:rsidR="00864881" w:rsidRPr="00864881" w14:paraId="03D5C29B"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0AF4CFFB" w14:textId="7B338BE6"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SJ</w:t>
            </w:r>
          </w:p>
        </w:tc>
        <w:tc>
          <w:tcPr>
            <w:tcW w:w="1276" w:type="dxa"/>
            <w:vAlign w:val="center"/>
            <w:hideMark/>
          </w:tcPr>
          <w:p w14:paraId="6CDB7B91"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26</w:t>
            </w:r>
          </w:p>
        </w:tc>
      </w:tr>
      <w:tr w:rsidR="00864881" w:rsidRPr="00864881" w14:paraId="551CE3D4"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A975AF9"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SART</w:t>
            </w:r>
          </w:p>
        </w:tc>
        <w:tc>
          <w:tcPr>
            <w:tcW w:w="1276" w:type="dxa"/>
            <w:vAlign w:val="center"/>
            <w:hideMark/>
          </w:tcPr>
          <w:p w14:paraId="5B89DD4D"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10</w:t>
            </w:r>
          </w:p>
        </w:tc>
      </w:tr>
      <w:tr w:rsidR="00864881" w:rsidRPr="00864881" w14:paraId="476455CC"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505D1DB9"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DGPPN</w:t>
            </w:r>
          </w:p>
        </w:tc>
        <w:tc>
          <w:tcPr>
            <w:tcW w:w="1276" w:type="dxa"/>
            <w:vAlign w:val="center"/>
            <w:hideMark/>
          </w:tcPr>
          <w:p w14:paraId="1F4A16A7"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10</w:t>
            </w:r>
          </w:p>
        </w:tc>
      </w:tr>
      <w:tr w:rsidR="00864881" w:rsidRPr="00864881" w14:paraId="7F45DE88"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F3C54BD"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SIS</w:t>
            </w:r>
          </w:p>
        </w:tc>
        <w:tc>
          <w:tcPr>
            <w:tcW w:w="1276" w:type="dxa"/>
            <w:vAlign w:val="center"/>
            <w:hideMark/>
          </w:tcPr>
          <w:p w14:paraId="788BCA7F"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9</w:t>
            </w:r>
          </w:p>
        </w:tc>
      </w:tr>
      <w:tr w:rsidR="00864881" w:rsidRPr="00864881" w14:paraId="35265338"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6770AFB"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DM</w:t>
            </w:r>
          </w:p>
        </w:tc>
        <w:tc>
          <w:tcPr>
            <w:tcW w:w="1276" w:type="dxa"/>
            <w:vAlign w:val="center"/>
            <w:hideMark/>
          </w:tcPr>
          <w:p w14:paraId="0FED1787"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7</w:t>
            </w:r>
          </w:p>
        </w:tc>
      </w:tr>
      <w:tr w:rsidR="00864881" w:rsidRPr="00864881" w14:paraId="09332C0D" w14:textId="77777777" w:rsidTr="00864881">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1A534D6F"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DGPE</w:t>
            </w:r>
          </w:p>
        </w:tc>
        <w:tc>
          <w:tcPr>
            <w:tcW w:w="1276" w:type="dxa"/>
            <w:vAlign w:val="center"/>
            <w:hideMark/>
          </w:tcPr>
          <w:p w14:paraId="08CE56BF" w14:textId="47A30ED6"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3</w:t>
            </w:r>
          </w:p>
        </w:tc>
      </w:tr>
      <w:tr w:rsidR="00864881" w:rsidRPr="00864881" w14:paraId="175F2563" w14:textId="77777777" w:rsidTr="00864881">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B2D92C4"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SR</w:t>
            </w:r>
          </w:p>
        </w:tc>
        <w:tc>
          <w:tcPr>
            <w:tcW w:w="1276" w:type="dxa"/>
            <w:vAlign w:val="center"/>
            <w:hideMark/>
          </w:tcPr>
          <w:p w14:paraId="6E642AD6"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3</w:t>
            </w:r>
          </w:p>
        </w:tc>
      </w:tr>
      <w:tr w:rsidR="00864881" w:rsidRPr="00864881" w14:paraId="65E81711" w14:textId="77777777" w:rsidTr="00864881">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829FFB0"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SIIF</w:t>
            </w:r>
          </w:p>
        </w:tc>
        <w:tc>
          <w:tcPr>
            <w:tcW w:w="1276" w:type="dxa"/>
            <w:vAlign w:val="center"/>
            <w:hideMark/>
          </w:tcPr>
          <w:p w14:paraId="3E42C9AC"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w:t>
            </w:r>
          </w:p>
        </w:tc>
      </w:tr>
      <w:tr w:rsidR="00864881" w:rsidRPr="00864881" w14:paraId="28A314E5"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13C9D819"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OCDI</w:t>
            </w:r>
          </w:p>
        </w:tc>
        <w:tc>
          <w:tcPr>
            <w:tcW w:w="1276" w:type="dxa"/>
            <w:vAlign w:val="center"/>
            <w:hideMark/>
          </w:tcPr>
          <w:p w14:paraId="4173E04B" w14:textId="34AA25AF"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w:t>
            </w:r>
          </w:p>
        </w:tc>
      </w:tr>
      <w:tr w:rsidR="00864881" w:rsidRPr="00864881" w14:paraId="510E2076"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1365515D"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OAJ</w:t>
            </w:r>
          </w:p>
        </w:tc>
        <w:tc>
          <w:tcPr>
            <w:tcW w:w="1276" w:type="dxa"/>
            <w:vAlign w:val="center"/>
            <w:hideMark/>
          </w:tcPr>
          <w:p w14:paraId="30EF0ACB"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w:t>
            </w:r>
          </w:p>
        </w:tc>
      </w:tr>
      <w:tr w:rsidR="00864881" w:rsidRPr="00864881" w14:paraId="288A97C3"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60022DD"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DGRESS</w:t>
            </w:r>
          </w:p>
        </w:tc>
        <w:tc>
          <w:tcPr>
            <w:tcW w:w="1276" w:type="dxa"/>
            <w:vAlign w:val="center"/>
            <w:hideMark/>
          </w:tcPr>
          <w:p w14:paraId="6E464383" w14:textId="6DAA50D0"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w:t>
            </w:r>
          </w:p>
        </w:tc>
      </w:tr>
      <w:tr w:rsidR="00864881" w:rsidRPr="00864881" w14:paraId="36AF7390"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7ECD613"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OBP</w:t>
            </w:r>
          </w:p>
        </w:tc>
        <w:tc>
          <w:tcPr>
            <w:tcW w:w="1276" w:type="dxa"/>
            <w:vAlign w:val="center"/>
            <w:hideMark/>
          </w:tcPr>
          <w:p w14:paraId="03DD86A0" w14:textId="7DBA87B4"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2</w:t>
            </w:r>
          </w:p>
        </w:tc>
      </w:tr>
      <w:tr w:rsidR="00864881" w:rsidRPr="00864881" w14:paraId="13FD2005"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03F12D97"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DT</w:t>
            </w:r>
          </w:p>
        </w:tc>
        <w:tc>
          <w:tcPr>
            <w:tcW w:w="1276" w:type="dxa"/>
            <w:vAlign w:val="center"/>
            <w:hideMark/>
          </w:tcPr>
          <w:p w14:paraId="566EA35D"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2E5AD3E2"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70C21623"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SG</w:t>
            </w:r>
          </w:p>
        </w:tc>
        <w:tc>
          <w:tcPr>
            <w:tcW w:w="1276" w:type="dxa"/>
            <w:vAlign w:val="center"/>
            <w:hideMark/>
          </w:tcPr>
          <w:p w14:paraId="60D83100"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2D63BF0A"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D7F6070"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SS</w:t>
            </w:r>
          </w:p>
        </w:tc>
        <w:tc>
          <w:tcPr>
            <w:tcW w:w="1276" w:type="dxa"/>
            <w:vAlign w:val="center"/>
            <w:hideMark/>
          </w:tcPr>
          <w:p w14:paraId="4AA392A3"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33297023"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6A4B6C6"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OCI</w:t>
            </w:r>
          </w:p>
        </w:tc>
        <w:tc>
          <w:tcPr>
            <w:tcW w:w="1276" w:type="dxa"/>
            <w:vAlign w:val="center"/>
            <w:hideMark/>
          </w:tcPr>
          <w:p w14:paraId="5804C975"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6223A17C"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57BFB452"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SAPP</w:t>
            </w:r>
          </w:p>
        </w:tc>
        <w:tc>
          <w:tcPr>
            <w:tcW w:w="1276" w:type="dxa"/>
            <w:vAlign w:val="center"/>
            <w:hideMark/>
          </w:tcPr>
          <w:p w14:paraId="7075A42C"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660B88BF"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0BF70E82"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SO</w:t>
            </w:r>
          </w:p>
        </w:tc>
        <w:tc>
          <w:tcPr>
            <w:tcW w:w="1276" w:type="dxa"/>
            <w:vAlign w:val="center"/>
            <w:hideMark/>
          </w:tcPr>
          <w:p w14:paraId="1FF43964" w14:textId="6F690343"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3DD4EEBD"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389FC6C"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SFOM</w:t>
            </w:r>
          </w:p>
        </w:tc>
        <w:tc>
          <w:tcPr>
            <w:tcW w:w="1276" w:type="dxa"/>
            <w:vAlign w:val="center"/>
            <w:hideMark/>
          </w:tcPr>
          <w:p w14:paraId="3FA5B0CC"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2CF35FCF"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CD79F0E"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SPPS</w:t>
            </w:r>
          </w:p>
        </w:tc>
        <w:tc>
          <w:tcPr>
            <w:tcW w:w="1276" w:type="dxa"/>
            <w:vAlign w:val="center"/>
            <w:hideMark/>
          </w:tcPr>
          <w:p w14:paraId="66FDA01E" w14:textId="28D5A690"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4EBCB341"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0FAF5FA5"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DGCPTN</w:t>
            </w:r>
          </w:p>
        </w:tc>
        <w:tc>
          <w:tcPr>
            <w:tcW w:w="1276" w:type="dxa"/>
            <w:vAlign w:val="center"/>
            <w:hideMark/>
          </w:tcPr>
          <w:p w14:paraId="55F4EF71"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4B825CAF"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3835B648" w14:textId="77777777"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DVG</w:t>
            </w:r>
          </w:p>
        </w:tc>
        <w:tc>
          <w:tcPr>
            <w:tcW w:w="1276" w:type="dxa"/>
            <w:vAlign w:val="center"/>
            <w:hideMark/>
          </w:tcPr>
          <w:p w14:paraId="7F9EB0AF"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0E7EFF1E" w14:textId="77777777" w:rsidTr="00864881">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32A82A2" w14:textId="4CC352C0" w:rsidR="00864881" w:rsidRPr="00864881" w:rsidRDefault="00864881" w:rsidP="00A60CB2">
            <w:pPr>
              <w:spacing w:before="20"/>
              <w:rPr>
                <w:rFonts w:ascii="Arial" w:hAnsi="Arial" w:cs="Arial"/>
                <w:b w:val="0"/>
                <w:bCs w:val="0"/>
                <w:color w:val="0F243E" w:themeColor="text2" w:themeShade="80"/>
                <w:sz w:val="20"/>
                <w:szCs w:val="20"/>
              </w:rPr>
            </w:pPr>
            <w:r w:rsidRPr="00864881">
              <w:rPr>
                <w:rFonts w:ascii="Arial" w:hAnsi="Arial" w:cs="Arial"/>
                <w:b w:val="0"/>
                <w:bCs w:val="0"/>
                <w:color w:val="0F243E" w:themeColor="text2" w:themeShade="80"/>
                <w:sz w:val="20"/>
                <w:szCs w:val="20"/>
              </w:rPr>
              <w:t>DGPM</w:t>
            </w:r>
          </w:p>
        </w:tc>
        <w:tc>
          <w:tcPr>
            <w:tcW w:w="1276" w:type="dxa"/>
            <w:vAlign w:val="center"/>
            <w:hideMark/>
          </w:tcPr>
          <w:p w14:paraId="70E2719E" w14:textId="77777777" w:rsidR="00864881" w:rsidRPr="00864881" w:rsidRDefault="00864881" w:rsidP="00A60CB2">
            <w:pPr>
              <w:spacing w:before="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881">
              <w:rPr>
                <w:rFonts w:ascii="Arial" w:hAnsi="Arial" w:cs="Arial"/>
                <w:color w:val="0F243E" w:themeColor="text2" w:themeShade="80"/>
                <w:sz w:val="20"/>
                <w:szCs w:val="20"/>
              </w:rPr>
              <w:t>1</w:t>
            </w:r>
          </w:p>
        </w:tc>
      </w:tr>
      <w:tr w:rsidR="00864881" w:rsidRPr="00864881" w14:paraId="4108E450" w14:textId="77777777" w:rsidTr="00864881">
        <w:tc>
          <w:tcPr>
            <w:cnfStyle w:val="001000000000" w:firstRow="0" w:lastRow="0" w:firstColumn="1" w:lastColumn="0" w:oddVBand="0" w:evenVBand="0" w:oddHBand="0" w:evenHBand="0" w:firstRowFirstColumn="0" w:firstRowLastColumn="0" w:lastRowFirstColumn="0" w:lastRowLastColumn="0"/>
            <w:tcW w:w="1696" w:type="dxa"/>
            <w:shd w:val="clear" w:color="auto" w:fill="DBE5F1" w:themeFill="accent1" w:themeFillTint="33"/>
            <w:vAlign w:val="center"/>
            <w:hideMark/>
          </w:tcPr>
          <w:p w14:paraId="390DE03D" w14:textId="489A2015" w:rsidR="00864881" w:rsidRPr="00864881" w:rsidRDefault="00864881" w:rsidP="00864881">
            <w:pPr>
              <w:spacing w:before="20" w:after="20"/>
              <w:jc w:val="center"/>
              <w:rPr>
                <w:rFonts w:ascii="Arial" w:hAnsi="Arial" w:cs="Arial"/>
                <w:color w:val="0F243E" w:themeColor="text2" w:themeShade="80"/>
                <w:sz w:val="20"/>
                <w:szCs w:val="20"/>
              </w:rPr>
            </w:pPr>
            <w:r w:rsidRPr="00864881">
              <w:rPr>
                <w:rFonts w:ascii="Arial" w:hAnsi="Arial" w:cs="Arial"/>
                <w:color w:val="0F243E" w:themeColor="text2" w:themeShade="80"/>
                <w:sz w:val="20"/>
                <w:szCs w:val="20"/>
              </w:rPr>
              <w:t xml:space="preserve">Total Contratos </w:t>
            </w:r>
          </w:p>
        </w:tc>
        <w:tc>
          <w:tcPr>
            <w:tcW w:w="1276" w:type="dxa"/>
            <w:shd w:val="clear" w:color="auto" w:fill="DBE5F1" w:themeFill="accent1" w:themeFillTint="33"/>
            <w:vAlign w:val="center"/>
            <w:hideMark/>
          </w:tcPr>
          <w:p w14:paraId="646062CB" w14:textId="347E8554" w:rsidR="00864881" w:rsidRPr="00864881" w:rsidRDefault="00864881" w:rsidP="00864881">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64881">
              <w:rPr>
                <w:rFonts w:ascii="Arial" w:hAnsi="Arial" w:cs="Arial"/>
                <w:b/>
                <w:bCs/>
                <w:color w:val="0F243E" w:themeColor="text2" w:themeShade="80"/>
                <w:sz w:val="20"/>
                <w:szCs w:val="20"/>
              </w:rPr>
              <w:t>89</w:t>
            </w:r>
          </w:p>
        </w:tc>
      </w:tr>
    </w:tbl>
    <w:p w14:paraId="5B15DDDF" w14:textId="74CDBE0E" w:rsidR="002A1C7E" w:rsidRPr="004A6451" w:rsidRDefault="00864881" w:rsidP="00852B96">
      <w:pPr>
        <w:rPr>
          <w:rFonts w:ascii="Arial" w:hAnsi="Arial" w:cs="Arial"/>
          <w:sz w:val="22"/>
          <w:szCs w:val="22"/>
        </w:rPr>
      </w:pPr>
      <w:r w:rsidRPr="00864881">
        <w:rPr>
          <w:rFonts w:ascii="Calibri" w:hAnsi="Calibri" w:cs="Calibri"/>
          <w:noProof/>
          <w:color w:val="000000"/>
          <w:sz w:val="22"/>
          <w:szCs w:val="22"/>
          <w:lang w:val="en-US" w:eastAsia="en-US"/>
        </w:rPr>
        <w:drawing>
          <wp:anchor distT="0" distB="0" distL="114300" distR="114300" simplePos="0" relativeHeight="252391424" behindDoc="0" locked="0" layoutInCell="1" allowOverlap="1" wp14:anchorId="0DE42C98" wp14:editId="3561D989">
            <wp:simplePos x="0" y="0"/>
            <wp:positionH relativeFrom="column">
              <wp:posOffset>1928495</wp:posOffset>
            </wp:positionH>
            <wp:positionV relativeFrom="paragraph">
              <wp:posOffset>-4441825</wp:posOffset>
            </wp:positionV>
            <wp:extent cx="4448175" cy="4371975"/>
            <wp:effectExtent l="0" t="0" r="0" b="0"/>
            <wp:wrapNone/>
            <wp:docPr id="33" name="Gráfico 33">
              <a:extLst xmlns:a="http://schemas.openxmlformats.org/drawingml/2006/main">
                <a:ext uri="{FF2B5EF4-FFF2-40B4-BE49-F238E27FC236}">
                  <a16:creationId xmlns:a16="http://schemas.microsoft.com/office/drawing/2014/main" id="{17A6092A-2269-4BC3-8CAF-5196C8B7F02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2A1C7E" w:rsidRPr="004A6451">
        <w:rPr>
          <w:rStyle w:val="Refdenotaalpie"/>
          <w:rFonts w:ascii="Arial" w:hAnsi="Arial" w:cs="Arial"/>
          <w:sz w:val="22"/>
          <w:szCs w:val="22"/>
        </w:rPr>
        <w:footnoteReference w:id="6"/>
      </w:r>
    </w:p>
    <w:p w14:paraId="70EDA035" w14:textId="12FE1A33" w:rsidR="001C2332" w:rsidRPr="004A6451" w:rsidRDefault="003300BA" w:rsidP="00093AD1">
      <w:pPr>
        <w:jc w:val="both"/>
        <w:rPr>
          <w:rFonts w:ascii="Arial" w:hAnsi="Arial" w:cs="Arial"/>
          <w:i/>
          <w:iCs/>
          <w:color w:val="000000" w:themeColor="text1"/>
          <w:sz w:val="22"/>
          <w:szCs w:val="22"/>
        </w:rPr>
      </w:pPr>
      <w:r w:rsidRPr="004A6451">
        <w:rPr>
          <w:rFonts w:ascii="Arial" w:hAnsi="Arial" w:cs="Arial"/>
          <w:color w:val="000000" w:themeColor="text1"/>
          <w:sz w:val="22"/>
          <w:szCs w:val="22"/>
        </w:rPr>
        <w:t>Con corte a 3</w:t>
      </w:r>
      <w:r w:rsidR="00BA60F6" w:rsidRPr="004A6451">
        <w:rPr>
          <w:rFonts w:ascii="Arial" w:hAnsi="Arial" w:cs="Arial"/>
          <w:color w:val="000000" w:themeColor="text1"/>
          <w:sz w:val="22"/>
          <w:szCs w:val="22"/>
        </w:rPr>
        <w:t>0</w:t>
      </w:r>
      <w:r w:rsidRPr="004A6451">
        <w:rPr>
          <w:rFonts w:ascii="Arial" w:hAnsi="Arial" w:cs="Arial"/>
          <w:color w:val="000000" w:themeColor="text1"/>
          <w:sz w:val="22"/>
          <w:szCs w:val="22"/>
        </w:rPr>
        <w:t xml:space="preserve"> de</w:t>
      </w:r>
      <w:r w:rsidR="00D57461" w:rsidRPr="004A6451">
        <w:rPr>
          <w:rFonts w:ascii="Arial" w:hAnsi="Arial" w:cs="Arial"/>
          <w:color w:val="000000" w:themeColor="text1"/>
          <w:sz w:val="22"/>
          <w:szCs w:val="22"/>
        </w:rPr>
        <w:t xml:space="preserve"> </w:t>
      </w:r>
      <w:r w:rsidR="004A6451">
        <w:rPr>
          <w:rFonts w:ascii="Arial" w:hAnsi="Arial" w:cs="Arial"/>
          <w:color w:val="000000" w:themeColor="text1"/>
          <w:sz w:val="22"/>
          <w:szCs w:val="22"/>
        </w:rPr>
        <w:t xml:space="preserve">septiembre </w:t>
      </w:r>
      <w:r w:rsidRPr="004A6451">
        <w:rPr>
          <w:rFonts w:ascii="Arial" w:hAnsi="Arial" w:cs="Arial"/>
          <w:color w:val="000000" w:themeColor="text1"/>
          <w:sz w:val="22"/>
          <w:szCs w:val="22"/>
        </w:rPr>
        <w:t>de 20</w:t>
      </w:r>
      <w:r w:rsidR="00D57461" w:rsidRPr="004A6451">
        <w:rPr>
          <w:rFonts w:ascii="Arial" w:hAnsi="Arial" w:cs="Arial"/>
          <w:color w:val="000000" w:themeColor="text1"/>
          <w:sz w:val="22"/>
          <w:szCs w:val="22"/>
        </w:rPr>
        <w:t>20</w:t>
      </w:r>
      <w:r w:rsidRPr="004A6451">
        <w:rPr>
          <w:rFonts w:ascii="Arial" w:hAnsi="Arial" w:cs="Arial"/>
          <w:color w:val="000000" w:themeColor="text1"/>
          <w:sz w:val="22"/>
          <w:szCs w:val="22"/>
        </w:rPr>
        <w:t>, l</w:t>
      </w:r>
      <w:r w:rsidR="00BA60F6" w:rsidRPr="004A6451">
        <w:rPr>
          <w:rFonts w:ascii="Arial" w:hAnsi="Arial" w:cs="Arial"/>
          <w:color w:val="000000" w:themeColor="text1"/>
          <w:sz w:val="22"/>
          <w:szCs w:val="22"/>
        </w:rPr>
        <w:t xml:space="preserve">a Subdirección Jurídica, </w:t>
      </w:r>
      <w:r w:rsidR="001C2332" w:rsidRPr="004A6451">
        <w:rPr>
          <w:rFonts w:ascii="Arial" w:hAnsi="Arial" w:cs="Arial"/>
          <w:color w:val="000000" w:themeColor="text1"/>
          <w:sz w:val="22"/>
          <w:szCs w:val="22"/>
        </w:rPr>
        <w:t xml:space="preserve">la </w:t>
      </w:r>
      <w:r w:rsidR="001D3DE7" w:rsidRPr="004A6451">
        <w:rPr>
          <w:rFonts w:ascii="Arial" w:hAnsi="Arial" w:cs="Arial"/>
          <w:color w:val="000000" w:themeColor="text1"/>
          <w:sz w:val="22"/>
          <w:szCs w:val="22"/>
        </w:rPr>
        <w:t>Subdirección de Administración de Recursos Tecnológico</w:t>
      </w:r>
      <w:r w:rsidR="003C0BAA" w:rsidRPr="004A6451">
        <w:rPr>
          <w:rFonts w:ascii="Arial" w:hAnsi="Arial" w:cs="Arial"/>
          <w:color w:val="000000" w:themeColor="text1"/>
          <w:sz w:val="22"/>
          <w:szCs w:val="22"/>
        </w:rPr>
        <w:t>s</w:t>
      </w:r>
      <w:r w:rsidR="00BA60F6" w:rsidRPr="004A6451">
        <w:rPr>
          <w:rFonts w:ascii="Arial" w:hAnsi="Arial" w:cs="Arial"/>
          <w:color w:val="000000" w:themeColor="text1"/>
          <w:sz w:val="22"/>
          <w:szCs w:val="22"/>
        </w:rPr>
        <w:t xml:space="preserve"> y la Dirección General del Presupuesto Público Nacional, </w:t>
      </w:r>
      <w:r w:rsidRPr="004A6451">
        <w:rPr>
          <w:rFonts w:ascii="Arial" w:hAnsi="Arial" w:cs="Arial"/>
          <w:color w:val="000000" w:themeColor="text1"/>
          <w:sz w:val="22"/>
          <w:szCs w:val="22"/>
        </w:rPr>
        <w:t xml:space="preserve">fueron </w:t>
      </w:r>
      <w:r w:rsidR="001C2332" w:rsidRPr="004A6451">
        <w:rPr>
          <w:rFonts w:ascii="Arial" w:hAnsi="Arial" w:cs="Arial"/>
          <w:color w:val="000000" w:themeColor="text1"/>
          <w:sz w:val="22"/>
          <w:szCs w:val="22"/>
        </w:rPr>
        <w:t xml:space="preserve">las áreas al interior de este Ministerio </w:t>
      </w:r>
      <w:r w:rsidRPr="004A6451">
        <w:rPr>
          <w:rFonts w:ascii="Arial" w:hAnsi="Arial" w:cs="Arial"/>
          <w:color w:val="000000" w:themeColor="text1"/>
          <w:sz w:val="22"/>
          <w:szCs w:val="22"/>
        </w:rPr>
        <w:t xml:space="preserve">con </w:t>
      </w:r>
      <w:r w:rsidR="001C2332" w:rsidRPr="004A6451">
        <w:rPr>
          <w:rFonts w:ascii="Arial" w:hAnsi="Arial" w:cs="Arial"/>
          <w:color w:val="000000" w:themeColor="text1"/>
          <w:sz w:val="22"/>
          <w:szCs w:val="22"/>
        </w:rPr>
        <w:t>mayor</w:t>
      </w:r>
      <w:r w:rsidRPr="004A6451">
        <w:rPr>
          <w:rFonts w:ascii="Arial" w:hAnsi="Arial" w:cs="Arial"/>
          <w:color w:val="000000" w:themeColor="text1"/>
          <w:sz w:val="22"/>
          <w:szCs w:val="22"/>
        </w:rPr>
        <w:t xml:space="preserve"> cantidad de </w:t>
      </w:r>
      <w:r w:rsidR="001C2332" w:rsidRPr="004A6451">
        <w:rPr>
          <w:rFonts w:ascii="Arial" w:hAnsi="Arial" w:cs="Arial"/>
          <w:color w:val="000000" w:themeColor="text1"/>
          <w:sz w:val="22"/>
          <w:szCs w:val="22"/>
        </w:rPr>
        <w:t>contratos suscritos [</w:t>
      </w:r>
      <w:r w:rsidR="004A63A6">
        <w:rPr>
          <w:rFonts w:ascii="Arial" w:hAnsi="Arial" w:cs="Arial"/>
          <w:color w:val="000000" w:themeColor="text1"/>
          <w:sz w:val="22"/>
          <w:szCs w:val="22"/>
        </w:rPr>
        <w:t>29</w:t>
      </w:r>
      <w:r w:rsidR="001C2332" w:rsidRPr="004A6451">
        <w:rPr>
          <w:rFonts w:ascii="Arial" w:hAnsi="Arial" w:cs="Arial"/>
          <w:color w:val="000000" w:themeColor="text1"/>
          <w:sz w:val="22"/>
          <w:szCs w:val="22"/>
        </w:rPr>
        <w:t xml:space="preserve">% y </w:t>
      </w:r>
      <w:r w:rsidRPr="004A6451">
        <w:rPr>
          <w:rFonts w:ascii="Arial" w:hAnsi="Arial" w:cs="Arial"/>
          <w:color w:val="000000" w:themeColor="text1"/>
          <w:sz w:val="22"/>
          <w:szCs w:val="22"/>
        </w:rPr>
        <w:t>1</w:t>
      </w:r>
      <w:r w:rsidR="002B2E04" w:rsidRPr="004A6451">
        <w:rPr>
          <w:rFonts w:ascii="Arial" w:hAnsi="Arial" w:cs="Arial"/>
          <w:color w:val="000000" w:themeColor="text1"/>
          <w:sz w:val="22"/>
          <w:szCs w:val="22"/>
        </w:rPr>
        <w:t>1</w:t>
      </w:r>
      <w:r w:rsidR="001C2332" w:rsidRPr="004A6451">
        <w:rPr>
          <w:rFonts w:ascii="Arial" w:hAnsi="Arial" w:cs="Arial"/>
          <w:color w:val="000000" w:themeColor="text1"/>
          <w:sz w:val="22"/>
          <w:szCs w:val="22"/>
        </w:rPr>
        <w:t xml:space="preserve">% respectivamente], mediante la modalidad de prestación de servicios con cargo </w:t>
      </w:r>
      <w:r w:rsidR="00C33A67" w:rsidRPr="004A6451">
        <w:rPr>
          <w:rFonts w:ascii="Arial" w:hAnsi="Arial" w:cs="Arial"/>
          <w:color w:val="000000" w:themeColor="text1"/>
          <w:sz w:val="22"/>
          <w:szCs w:val="22"/>
        </w:rPr>
        <w:t xml:space="preserve">al rubro presupuestal </w:t>
      </w:r>
      <w:r w:rsidR="001C2332" w:rsidRPr="004A6451">
        <w:rPr>
          <w:rFonts w:ascii="Arial" w:hAnsi="Arial" w:cs="Arial"/>
          <w:i/>
          <w:iCs/>
          <w:color w:val="000000" w:themeColor="text1"/>
          <w:sz w:val="22"/>
          <w:szCs w:val="22"/>
        </w:rPr>
        <w:t>Servicios Prestados a las Empresas y Servicios de Producción [</w:t>
      </w:r>
      <w:r w:rsidR="004A551C" w:rsidRPr="004A6451">
        <w:rPr>
          <w:rFonts w:ascii="Arial" w:hAnsi="Arial" w:cs="Arial"/>
          <w:i/>
          <w:iCs/>
          <w:color w:val="000000" w:themeColor="text1"/>
          <w:sz w:val="22"/>
          <w:szCs w:val="22"/>
        </w:rPr>
        <w:t>A-02-02-02-008</w:t>
      </w:r>
      <w:r w:rsidR="001C2332" w:rsidRPr="004A6451">
        <w:rPr>
          <w:rFonts w:ascii="Arial" w:hAnsi="Arial" w:cs="Arial"/>
          <w:i/>
          <w:iCs/>
          <w:color w:val="000000" w:themeColor="text1"/>
          <w:sz w:val="22"/>
          <w:szCs w:val="22"/>
        </w:rPr>
        <w:t xml:space="preserve">]. </w:t>
      </w:r>
    </w:p>
    <w:p w14:paraId="6727F62E" w14:textId="77777777" w:rsidR="00093AD1" w:rsidRPr="004A6451" w:rsidRDefault="00093AD1" w:rsidP="00093AD1">
      <w:pPr>
        <w:spacing w:line="168" w:lineRule="auto"/>
        <w:jc w:val="both"/>
        <w:rPr>
          <w:rFonts w:ascii="Arial" w:hAnsi="Arial" w:cs="Arial"/>
          <w:color w:val="000000" w:themeColor="text1"/>
          <w:sz w:val="22"/>
          <w:szCs w:val="22"/>
        </w:rPr>
      </w:pPr>
    </w:p>
    <w:p w14:paraId="031C3654" w14:textId="3F327AF9" w:rsidR="00E138C3" w:rsidRPr="004A6451" w:rsidRDefault="00BA60F6" w:rsidP="00093AD1">
      <w:pPr>
        <w:jc w:val="both"/>
        <w:rPr>
          <w:rFonts w:ascii="Arial" w:hAnsi="Arial" w:cs="Arial"/>
          <w:color w:val="000000" w:themeColor="text1"/>
          <w:sz w:val="22"/>
          <w:szCs w:val="22"/>
        </w:rPr>
      </w:pPr>
      <w:r w:rsidRPr="004A6451">
        <w:rPr>
          <w:rFonts w:ascii="Arial" w:hAnsi="Arial" w:cs="Arial"/>
          <w:color w:val="000000" w:themeColor="text1"/>
          <w:sz w:val="22"/>
          <w:szCs w:val="22"/>
        </w:rPr>
        <w:t>Ahora bien, t</w:t>
      </w:r>
      <w:r w:rsidR="00E138C3" w:rsidRPr="004A6451">
        <w:rPr>
          <w:rFonts w:ascii="Arial" w:hAnsi="Arial" w:cs="Arial"/>
          <w:color w:val="000000" w:themeColor="text1"/>
          <w:sz w:val="22"/>
          <w:szCs w:val="22"/>
        </w:rPr>
        <w:t>omando como fuente de información</w:t>
      </w:r>
      <w:r w:rsidR="003300BA" w:rsidRPr="004A6451">
        <w:rPr>
          <w:rFonts w:ascii="Arial" w:hAnsi="Arial" w:cs="Arial"/>
          <w:color w:val="000000" w:themeColor="text1"/>
          <w:sz w:val="22"/>
          <w:szCs w:val="22"/>
        </w:rPr>
        <w:t xml:space="preserve"> </w:t>
      </w:r>
      <w:r w:rsidR="00E138C3" w:rsidRPr="004A6451">
        <w:rPr>
          <w:rFonts w:ascii="Arial" w:hAnsi="Arial" w:cs="Arial"/>
          <w:color w:val="000000" w:themeColor="text1"/>
          <w:sz w:val="22"/>
          <w:szCs w:val="22"/>
        </w:rPr>
        <w:t>el reporte allegado por el Grupo de</w:t>
      </w:r>
      <w:r w:rsidR="004B176F" w:rsidRPr="004A6451">
        <w:rPr>
          <w:rFonts w:ascii="Arial" w:hAnsi="Arial" w:cs="Arial"/>
          <w:color w:val="000000" w:themeColor="text1"/>
          <w:sz w:val="22"/>
          <w:szCs w:val="22"/>
        </w:rPr>
        <w:t xml:space="preserve"> Contratación </w:t>
      </w:r>
      <w:r w:rsidR="00257D1F" w:rsidRPr="004A6451">
        <w:rPr>
          <w:rFonts w:ascii="Arial" w:hAnsi="Arial" w:cs="Arial"/>
          <w:color w:val="000000" w:themeColor="text1"/>
          <w:sz w:val="22"/>
          <w:szCs w:val="22"/>
        </w:rPr>
        <w:t>Directa [</w:t>
      </w:r>
      <w:r w:rsidR="00E138C3" w:rsidRPr="004A6451">
        <w:rPr>
          <w:rFonts w:ascii="Arial" w:hAnsi="Arial" w:cs="Arial"/>
          <w:color w:val="000000" w:themeColor="text1"/>
          <w:sz w:val="22"/>
          <w:szCs w:val="22"/>
        </w:rPr>
        <w:t>CON_R2220</w:t>
      </w:r>
      <w:r w:rsidR="004B176F" w:rsidRPr="004A6451">
        <w:rPr>
          <w:rFonts w:ascii="Arial" w:hAnsi="Arial" w:cs="Arial"/>
          <w:color w:val="000000" w:themeColor="text1"/>
          <w:sz w:val="22"/>
          <w:szCs w:val="22"/>
        </w:rPr>
        <w:t>]</w:t>
      </w:r>
      <w:r w:rsidR="00E138C3" w:rsidRPr="004A6451">
        <w:rPr>
          <w:rFonts w:ascii="Arial" w:hAnsi="Arial" w:cs="Arial"/>
          <w:color w:val="000000" w:themeColor="text1"/>
          <w:sz w:val="22"/>
          <w:szCs w:val="22"/>
        </w:rPr>
        <w:t xml:space="preserve">, se </w:t>
      </w:r>
      <w:r w:rsidR="00AA3F60" w:rsidRPr="004A6451">
        <w:rPr>
          <w:rFonts w:ascii="Arial" w:hAnsi="Arial" w:cs="Arial"/>
          <w:color w:val="000000" w:themeColor="text1"/>
          <w:sz w:val="22"/>
          <w:szCs w:val="22"/>
        </w:rPr>
        <w:t xml:space="preserve">establecieron las variaciones </w:t>
      </w:r>
      <w:r w:rsidR="00E138C3" w:rsidRPr="004A6451">
        <w:rPr>
          <w:rFonts w:ascii="Arial" w:hAnsi="Arial" w:cs="Arial"/>
          <w:color w:val="000000" w:themeColor="text1"/>
          <w:sz w:val="22"/>
          <w:szCs w:val="22"/>
        </w:rPr>
        <w:t>de los contratos vigentes con corte a 3</w:t>
      </w:r>
      <w:r w:rsidRPr="004A6451">
        <w:rPr>
          <w:rFonts w:ascii="Arial" w:hAnsi="Arial" w:cs="Arial"/>
          <w:color w:val="000000" w:themeColor="text1"/>
          <w:sz w:val="22"/>
          <w:szCs w:val="22"/>
        </w:rPr>
        <w:t>0</w:t>
      </w:r>
      <w:r w:rsidR="00E138C3" w:rsidRPr="004A6451">
        <w:rPr>
          <w:rFonts w:ascii="Arial" w:hAnsi="Arial" w:cs="Arial"/>
          <w:color w:val="000000" w:themeColor="text1"/>
          <w:sz w:val="22"/>
          <w:szCs w:val="22"/>
        </w:rPr>
        <w:t xml:space="preserve"> de</w:t>
      </w:r>
      <w:r w:rsidR="003300BA" w:rsidRPr="004A6451">
        <w:rPr>
          <w:rFonts w:ascii="Arial" w:hAnsi="Arial" w:cs="Arial"/>
          <w:color w:val="000000" w:themeColor="text1"/>
          <w:sz w:val="22"/>
          <w:szCs w:val="22"/>
        </w:rPr>
        <w:t xml:space="preserve"> </w:t>
      </w:r>
      <w:r w:rsidR="00FD4933">
        <w:rPr>
          <w:rFonts w:ascii="Arial" w:hAnsi="Arial" w:cs="Arial"/>
          <w:color w:val="000000" w:themeColor="text1"/>
          <w:sz w:val="22"/>
          <w:szCs w:val="22"/>
        </w:rPr>
        <w:t xml:space="preserve">septiembre </w:t>
      </w:r>
      <w:r w:rsidR="003300BA" w:rsidRPr="004A6451">
        <w:rPr>
          <w:rFonts w:ascii="Arial" w:hAnsi="Arial" w:cs="Arial"/>
          <w:color w:val="000000" w:themeColor="text1"/>
          <w:sz w:val="22"/>
          <w:szCs w:val="22"/>
        </w:rPr>
        <w:t>de</w:t>
      </w:r>
      <w:r w:rsidR="00627A39" w:rsidRPr="004A6451">
        <w:rPr>
          <w:rFonts w:ascii="Arial" w:hAnsi="Arial" w:cs="Arial"/>
          <w:color w:val="000000" w:themeColor="text1"/>
          <w:sz w:val="22"/>
          <w:szCs w:val="22"/>
        </w:rPr>
        <w:t xml:space="preserve"> </w:t>
      </w:r>
      <w:r w:rsidR="00E138C3" w:rsidRPr="004A6451">
        <w:rPr>
          <w:rFonts w:ascii="Arial" w:hAnsi="Arial" w:cs="Arial"/>
          <w:color w:val="000000" w:themeColor="text1"/>
          <w:sz w:val="22"/>
          <w:szCs w:val="22"/>
        </w:rPr>
        <w:t>cada vigencia analizada [20</w:t>
      </w:r>
      <w:r w:rsidR="003D23BA" w:rsidRPr="004A6451">
        <w:rPr>
          <w:rFonts w:ascii="Arial" w:hAnsi="Arial" w:cs="Arial"/>
          <w:color w:val="000000" w:themeColor="text1"/>
          <w:sz w:val="22"/>
          <w:szCs w:val="22"/>
        </w:rPr>
        <w:t>20</w:t>
      </w:r>
      <w:r w:rsidR="00E138C3" w:rsidRPr="004A6451">
        <w:rPr>
          <w:rFonts w:ascii="Arial" w:hAnsi="Arial" w:cs="Arial"/>
          <w:color w:val="000000" w:themeColor="text1"/>
          <w:sz w:val="22"/>
          <w:szCs w:val="22"/>
        </w:rPr>
        <w:t>-201</w:t>
      </w:r>
      <w:r w:rsidR="003D23BA" w:rsidRPr="004A6451">
        <w:rPr>
          <w:rFonts w:ascii="Arial" w:hAnsi="Arial" w:cs="Arial"/>
          <w:color w:val="000000" w:themeColor="text1"/>
          <w:sz w:val="22"/>
          <w:szCs w:val="22"/>
        </w:rPr>
        <w:t>9</w:t>
      </w:r>
      <w:r w:rsidR="00E138C3" w:rsidRPr="004A6451">
        <w:rPr>
          <w:rFonts w:ascii="Arial" w:hAnsi="Arial" w:cs="Arial"/>
          <w:color w:val="000000" w:themeColor="text1"/>
          <w:sz w:val="22"/>
          <w:szCs w:val="22"/>
        </w:rPr>
        <w:t>]</w:t>
      </w:r>
      <w:r w:rsidR="001200E7" w:rsidRPr="004A6451">
        <w:rPr>
          <w:rFonts w:ascii="Arial" w:hAnsi="Arial" w:cs="Arial"/>
          <w:color w:val="000000" w:themeColor="text1"/>
          <w:sz w:val="22"/>
          <w:szCs w:val="22"/>
        </w:rPr>
        <w:t xml:space="preserve">. </w:t>
      </w:r>
      <w:r w:rsidR="00AA3F60" w:rsidRPr="004A6451">
        <w:rPr>
          <w:rFonts w:ascii="Arial" w:hAnsi="Arial" w:cs="Arial"/>
          <w:color w:val="000000" w:themeColor="text1"/>
          <w:sz w:val="22"/>
          <w:szCs w:val="22"/>
        </w:rPr>
        <w:t>E</w:t>
      </w:r>
      <w:r w:rsidR="00E138C3" w:rsidRPr="004A6451">
        <w:rPr>
          <w:rFonts w:ascii="Arial" w:hAnsi="Arial" w:cs="Arial"/>
          <w:color w:val="000000" w:themeColor="text1"/>
          <w:sz w:val="22"/>
          <w:szCs w:val="22"/>
        </w:rPr>
        <w:t>l resultad</w:t>
      </w:r>
      <w:r w:rsidR="00E84197" w:rsidRPr="004A6451">
        <w:rPr>
          <w:rFonts w:ascii="Arial" w:hAnsi="Arial" w:cs="Arial"/>
          <w:color w:val="000000" w:themeColor="text1"/>
          <w:sz w:val="22"/>
          <w:szCs w:val="22"/>
        </w:rPr>
        <w:t xml:space="preserve">o por dependencia se detalla a continuación: </w:t>
      </w:r>
    </w:p>
    <w:p w14:paraId="03CEE832" w14:textId="77777777" w:rsidR="007C2B64" w:rsidRPr="004A6451" w:rsidRDefault="007C2B64" w:rsidP="00093AD1">
      <w:pPr>
        <w:jc w:val="both"/>
        <w:rPr>
          <w:rFonts w:ascii="Arial" w:hAnsi="Arial" w:cs="Arial"/>
          <w:color w:val="000000" w:themeColor="text1"/>
          <w:sz w:val="22"/>
          <w:szCs w:val="22"/>
        </w:rPr>
      </w:pPr>
    </w:p>
    <w:tbl>
      <w:tblPr>
        <w:tblStyle w:val="Tabladecuadrcula1clara-nfasis1"/>
        <w:tblW w:w="0" w:type="auto"/>
        <w:tblLook w:val="04A0" w:firstRow="1" w:lastRow="0" w:firstColumn="1" w:lastColumn="0" w:noHBand="0" w:noVBand="1"/>
      </w:tblPr>
      <w:tblGrid>
        <w:gridCol w:w="4390"/>
        <w:gridCol w:w="1559"/>
        <w:gridCol w:w="1701"/>
        <w:gridCol w:w="1979"/>
      </w:tblGrid>
      <w:tr w:rsidR="003E748F" w:rsidRPr="00CA48AF" w14:paraId="6ECACF1B" w14:textId="77777777" w:rsidTr="00BB04FB">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shd w:val="clear" w:color="auto" w:fill="auto"/>
            <w:vAlign w:val="center"/>
            <w:hideMark/>
          </w:tcPr>
          <w:p w14:paraId="49ED8E2F" w14:textId="060D3CA8" w:rsidR="003E748F" w:rsidRPr="002A409B" w:rsidRDefault="003E748F" w:rsidP="004D504A">
            <w:pPr>
              <w:widowControl w:val="0"/>
              <w:spacing w:after="20"/>
              <w:jc w:val="center"/>
              <w:rPr>
                <w:rFonts w:ascii="Arial" w:hAnsi="Arial" w:cs="Arial"/>
                <w:b w:val="0"/>
                <w:bCs w:val="0"/>
                <w:color w:val="0F243E" w:themeColor="text2" w:themeShade="80"/>
                <w:sz w:val="20"/>
                <w:szCs w:val="20"/>
              </w:rPr>
            </w:pPr>
            <w:r w:rsidRPr="002A409B">
              <w:rPr>
                <w:rFonts w:ascii="Arial" w:hAnsi="Arial" w:cs="Arial"/>
                <w:color w:val="0F243E" w:themeColor="text2" w:themeShade="80"/>
                <w:sz w:val="20"/>
                <w:szCs w:val="20"/>
              </w:rPr>
              <w:lastRenderedPageBreak/>
              <w:t>Contratos Vigentes a 3</w:t>
            </w:r>
            <w:r w:rsidR="00F510E6" w:rsidRPr="002A409B">
              <w:rPr>
                <w:rFonts w:ascii="Arial" w:hAnsi="Arial" w:cs="Arial"/>
                <w:color w:val="0F243E" w:themeColor="text2" w:themeShade="80"/>
                <w:sz w:val="20"/>
                <w:szCs w:val="20"/>
              </w:rPr>
              <w:t>0</w:t>
            </w:r>
            <w:r w:rsidRPr="002A409B">
              <w:rPr>
                <w:rFonts w:ascii="Arial" w:hAnsi="Arial" w:cs="Arial"/>
                <w:color w:val="0F243E" w:themeColor="text2" w:themeShade="80"/>
                <w:sz w:val="20"/>
                <w:szCs w:val="20"/>
              </w:rPr>
              <w:t xml:space="preserve"> de </w:t>
            </w:r>
            <w:r w:rsidR="002A409B">
              <w:rPr>
                <w:rFonts w:ascii="Arial" w:hAnsi="Arial" w:cs="Arial"/>
                <w:color w:val="0F243E" w:themeColor="text2" w:themeShade="80"/>
                <w:sz w:val="20"/>
                <w:szCs w:val="20"/>
              </w:rPr>
              <w:t xml:space="preserve">septiembre </w:t>
            </w:r>
            <w:r w:rsidRPr="002A409B">
              <w:rPr>
                <w:rFonts w:ascii="Arial" w:hAnsi="Arial" w:cs="Arial"/>
                <w:color w:val="0F243E" w:themeColor="text2" w:themeShade="80"/>
                <w:sz w:val="20"/>
                <w:szCs w:val="20"/>
              </w:rPr>
              <w:t>de 2020 - 2019</w:t>
            </w:r>
          </w:p>
        </w:tc>
      </w:tr>
      <w:tr w:rsidR="003E748F" w:rsidRPr="00CA48AF" w14:paraId="46662F6C" w14:textId="77777777" w:rsidTr="004D504A">
        <w:trPr>
          <w:cnfStyle w:val="100000000000" w:firstRow="1" w:lastRow="0" w:firstColumn="0" w:lastColumn="0" w:oddVBand="0" w:evenVBand="0" w:oddHBand="0" w:evenHBand="0" w:firstRowFirstColumn="0" w:firstRowLastColumn="0" w:lastRowFirstColumn="0" w:lastRowLastColumn="0"/>
          <w:cantSplit/>
          <w:trHeight w:val="273"/>
          <w:tblHeader/>
        </w:trPr>
        <w:tc>
          <w:tcPr>
            <w:cnfStyle w:val="001000000000" w:firstRow="0" w:lastRow="0" w:firstColumn="1" w:lastColumn="0" w:oddVBand="0" w:evenVBand="0" w:oddHBand="0" w:evenHBand="0" w:firstRowFirstColumn="0" w:firstRowLastColumn="0" w:lastRowFirstColumn="0" w:lastRowLastColumn="0"/>
            <w:tcW w:w="4390" w:type="dxa"/>
            <w:tcBorders>
              <w:top w:val="double" w:sz="4" w:space="0" w:color="4F81BD" w:themeColor="accent1"/>
            </w:tcBorders>
            <w:shd w:val="clear" w:color="auto" w:fill="4F81BD" w:themeFill="accent1"/>
            <w:vAlign w:val="center"/>
            <w:hideMark/>
          </w:tcPr>
          <w:p w14:paraId="7578380A" w14:textId="77777777" w:rsidR="003E748F" w:rsidRPr="002A409B" w:rsidRDefault="003E748F" w:rsidP="004D504A">
            <w:pPr>
              <w:widowControl w:val="0"/>
              <w:spacing w:after="20"/>
              <w:rPr>
                <w:rFonts w:ascii="Arial" w:hAnsi="Arial" w:cs="Arial"/>
                <w:color w:val="FFFFFF" w:themeColor="background1"/>
                <w:sz w:val="20"/>
                <w:szCs w:val="20"/>
              </w:rPr>
            </w:pPr>
            <w:r w:rsidRPr="002A409B">
              <w:rPr>
                <w:rFonts w:ascii="Arial" w:hAnsi="Arial" w:cs="Arial"/>
                <w:color w:val="FFFFFF" w:themeColor="background1"/>
                <w:sz w:val="20"/>
                <w:szCs w:val="20"/>
              </w:rPr>
              <w:t xml:space="preserve">Dependencias - Según Estudios Previos </w:t>
            </w:r>
          </w:p>
        </w:tc>
        <w:tc>
          <w:tcPr>
            <w:tcW w:w="1559" w:type="dxa"/>
            <w:tcBorders>
              <w:top w:val="double" w:sz="4" w:space="0" w:color="4F81BD" w:themeColor="accent1"/>
            </w:tcBorders>
            <w:shd w:val="clear" w:color="auto" w:fill="4F81BD" w:themeFill="accent1"/>
            <w:vAlign w:val="center"/>
            <w:hideMark/>
          </w:tcPr>
          <w:p w14:paraId="200AD3F1" w14:textId="622B0169" w:rsidR="003E748F" w:rsidRPr="002A409B" w:rsidRDefault="003E748F" w:rsidP="004D504A">
            <w:pPr>
              <w:widowControl w:val="0"/>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A409B">
              <w:rPr>
                <w:rFonts w:ascii="Arial" w:hAnsi="Arial" w:cs="Arial"/>
                <w:color w:val="FFFFFF" w:themeColor="background1"/>
                <w:sz w:val="20"/>
                <w:szCs w:val="20"/>
              </w:rPr>
              <w:t>A 3</w:t>
            </w:r>
            <w:r w:rsidR="00F510E6" w:rsidRPr="002A409B">
              <w:rPr>
                <w:rFonts w:ascii="Arial" w:hAnsi="Arial" w:cs="Arial"/>
                <w:color w:val="FFFFFF" w:themeColor="background1"/>
                <w:sz w:val="20"/>
                <w:szCs w:val="20"/>
              </w:rPr>
              <w:t>0</w:t>
            </w:r>
            <w:r w:rsidRPr="002A409B">
              <w:rPr>
                <w:rFonts w:ascii="Arial" w:hAnsi="Arial" w:cs="Arial"/>
                <w:color w:val="FFFFFF" w:themeColor="background1"/>
                <w:sz w:val="20"/>
                <w:szCs w:val="20"/>
              </w:rPr>
              <w:t>-0</w:t>
            </w:r>
            <w:r w:rsidR="002A409B">
              <w:rPr>
                <w:rFonts w:ascii="Arial" w:hAnsi="Arial" w:cs="Arial"/>
                <w:color w:val="FFFFFF" w:themeColor="background1"/>
                <w:sz w:val="20"/>
                <w:szCs w:val="20"/>
              </w:rPr>
              <w:t>9</w:t>
            </w:r>
            <w:r w:rsidRPr="002A409B">
              <w:rPr>
                <w:rFonts w:ascii="Arial" w:hAnsi="Arial" w:cs="Arial"/>
                <w:color w:val="FFFFFF" w:themeColor="background1"/>
                <w:sz w:val="20"/>
                <w:szCs w:val="20"/>
              </w:rPr>
              <w:t>-2020</w:t>
            </w:r>
          </w:p>
        </w:tc>
        <w:tc>
          <w:tcPr>
            <w:tcW w:w="1701" w:type="dxa"/>
            <w:tcBorders>
              <w:top w:val="double" w:sz="4" w:space="0" w:color="4F81BD" w:themeColor="accent1"/>
            </w:tcBorders>
            <w:shd w:val="clear" w:color="auto" w:fill="4F81BD" w:themeFill="accent1"/>
            <w:vAlign w:val="center"/>
            <w:hideMark/>
          </w:tcPr>
          <w:p w14:paraId="5A718536" w14:textId="3AF52657" w:rsidR="003E748F" w:rsidRPr="002A409B" w:rsidRDefault="003E748F" w:rsidP="004D504A">
            <w:pPr>
              <w:widowControl w:val="0"/>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A409B">
              <w:rPr>
                <w:rFonts w:ascii="Arial" w:hAnsi="Arial" w:cs="Arial"/>
                <w:color w:val="FFFFFF" w:themeColor="background1"/>
                <w:sz w:val="20"/>
                <w:szCs w:val="20"/>
              </w:rPr>
              <w:t>A 3</w:t>
            </w:r>
            <w:r w:rsidR="00F510E6" w:rsidRPr="002A409B">
              <w:rPr>
                <w:rFonts w:ascii="Arial" w:hAnsi="Arial" w:cs="Arial"/>
                <w:color w:val="FFFFFF" w:themeColor="background1"/>
                <w:sz w:val="20"/>
                <w:szCs w:val="20"/>
              </w:rPr>
              <w:t>0-0</w:t>
            </w:r>
            <w:r w:rsidR="002A409B">
              <w:rPr>
                <w:rFonts w:ascii="Arial" w:hAnsi="Arial" w:cs="Arial"/>
                <w:color w:val="FFFFFF" w:themeColor="background1"/>
                <w:sz w:val="20"/>
                <w:szCs w:val="20"/>
              </w:rPr>
              <w:t>9</w:t>
            </w:r>
            <w:r w:rsidRPr="002A409B">
              <w:rPr>
                <w:rFonts w:ascii="Arial" w:hAnsi="Arial" w:cs="Arial"/>
                <w:color w:val="FFFFFF" w:themeColor="background1"/>
                <w:sz w:val="20"/>
                <w:szCs w:val="20"/>
              </w:rPr>
              <w:t>-2019</w:t>
            </w:r>
          </w:p>
        </w:tc>
        <w:tc>
          <w:tcPr>
            <w:tcW w:w="1979" w:type="dxa"/>
            <w:tcBorders>
              <w:top w:val="double" w:sz="4" w:space="0" w:color="4F81BD" w:themeColor="accent1"/>
            </w:tcBorders>
            <w:shd w:val="clear" w:color="auto" w:fill="4F81BD" w:themeFill="accent1"/>
            <w:vAlign w:val="center"/>
            <w:hideMark/>
          </w:tcPr>
          <w:p w14:paraId="50105F74" w14:textId="1612E816" w:rsidR="003E748F" w:rsidRPr="002A409B" w:rsidRDefault="003E748F" w:rsidP="004D504A">
            <w:pPr>
              <w:widowControl w:val="0"/>
              <w:spacing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A409B">
              <w:rPr>
                <w:rFonts w:ascii="Arial" w:hAnsi="Arial" w:cs="Arial"/>
                <w:color w:val="FFFFFF" w:themeColor="background1"/>
                <w:sz w:val="20"/>
                <w:szCs w:val="20"/>
              </w:rPr>
              <w:t>Variación Absoluta</w:t>
            </w:r>
          </w:p>
        </w:tc>
      </w:tr>
      <w:tr w:rsidR="00BE6C19" w:rsidRPr="00CA48AF" w14:paraId="14AF306A"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280B57" w14:textId="6912B03F" w:rsidR="00BE6C19" w:rsidRPr="00061BCC" w:rsidRDefault="00BE6C19" w:rsidP="004D504A">
            <w:pPr>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Jurídica</w:t>
            </w:r>
          </w:p>
        </w:tc>
        <w:tc>
          <w:tcPr>
            <w:tcW w:w="1559" w:type="dxa"/>
            <w:vAlign w:val="center"/>
          </w:tcPr>
          <w:p w14:paraId="6F47E3CA" w14:textId="05E87D45"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26</w:t>
            </w:r>
          </w:p>
        </w:tc>
        <w:tc>
          <w:tcPr>
            <w:tcW w:w="1701" w:type="dxa"/>
            <w:vAlign w:val="center"/>
          </w:tcPr>
          <w:p w14:paraId="33FABEC2" w14:textId="663A4AE9"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25</w:t>
            </w:r>
          </w:p>
        </w:tc>
        <w:tc>
          <w:tcPr>
            <w:tcW w:w="1979" w:type="dxa"/>
            <w:vAlign w:val="center"/>
          </w:tcPr>
          <w:p w14:paraId="3574F46A" w14:textId="18F706AE"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r>
      <w:tr w:rsidR="00BE6C19" w:rsidRPr="00CA48AF" w14:paraId="70608393"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FE104DD" w14:textId="0D005EC5" w:rsidR="00BE6C19" w:rsidRPr="00061BCC" w:rsidRDefault="00BE6C19" w:rsidP="004D504A">
            <w:pPr>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de Administración de Recursos Tecnológico</w:t>
            </w:r>
          </w:p>
        </w:tc>
        <w:tc>
          <w:tcPr>
            <w:tcW w:w="1559" w:type="dxa"/>
            <w:vAlign w:val="center"/>
          </w:tcPr>
          <w:p w14:paraId="16844829" w14:textId="314CE435"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10</w:t>
            </w:r>
          </w:p>
        </w:tc>
        <w:tc>
          <w:tcPr>
            <w:tcW w:w="1701" w:type="dxa"/>
            <w:vAlign w:val="center"/>
          </w:tcPr>
          <w:p w14:paraId="6BD1175F" w14:textId="2D70CF82"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4F7A867B" w14:textId="016851F3"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10</w:t>
            </w:r>
          </w:p>
        </w:tc>
      </w:tr>
      <w:tr w:rsidR="00BE6C19" w:rsidRPr="00CA48AF" w14:paraId="2FFFA54F"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1A4856E" w14:textId="62406509" w:rsidR="00BE6C19" w:rsidRPr="00061BCC" w:rsidRDefault="00BE6C19" w:rsidP="004D504A">
            <w:pPr>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Dirección General del Presupuesto Público Nacional</w:t>
            </w:r>
          </w:p>
        </w:tc>
        <w:tc>
          <w:tcPr>
            <w:tcW w:w="1559" w:type="dxa"/>
            <w:vAlign w:val="center"/>
          </w:tcPr>
          <w:p w14:paraId="5F9F9D82" w14:textId="51D638E0"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10</w:t>
            </w:r>
          </w:p>
        </w:tc>
        <w:tc>
          <w:tcPr>
            <w:tcW w:w="1701" w:type="dxa"/>
            <w:vAlign w:val="center"/>
          </w:tcPr>
          <w:p w14:paraId="096A682F" w14:textId="101A2E39"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11</w:t>
            </w:r>
          </w:p>
        </w:tc>
        <w:tc>
          <w:tcPr>
            <w:tcW w:w="1979" w:type="dxa"/>
            <w:vAlign w:val="center"/>
          </w:tcPr>
          <w:p w14:paraId="522B9263" w14:textId="1200A88D" w:rsidR="00BE6C19" w:rsidRPr="00BE6C19" w:rsidRDefault="00BE6C19" w:rsidP="004D504A">
            <w:pPr>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w:t>
            </w:r>
            <w:r>
              <w:rPr>
                <w:rFonts w:ascii="Arial" w:hAnsi="Arial" w:cs="Arial"/>
                <w:color w:val="0F243E" w:themeColor="text2" w:themeShade="80"/>
                <w:sz w:val="20"/>
                <w:szCs w:val="20"/>
              </w:rPr>
              <w:t>)</w:t>
            </w:r>
          </w:p>
        </w:tc>
      </w:tr>
      <w:tr w:rsidR="00BE6C19" w:rsidRPr="00CA48AF" w14:paraId="1155A90D"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1F39E6F" w14:textId="06658184"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de Ingeniería de Software</w:t>
            </w:r>
          </w:p>
        </w:tc>
        <w:tc>
          <w:tcPr>
            <w:tcW w:w="1559" w:type="dxa"/>
            <w:vAlign w:val="center"/>
          </w:tcPr>
          <w:p w14:paraId="1A11D457" w14:textId="21599CFB"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9</w:t>
            </w:r>
          </w:p>
        </w:tc>
        <w:tc>
          <w:tcPr>
            <w:tcW w:w="1701" w:type="dxa"/>
            <w:vAlign w:val="center"/>
          </w:tcPr>
          <w:p w14:paraId="390BDECB" w14:textId="1AB2C391"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sidR="00253B3C">
              <w:rPr>
                <w:rFonts w:ascii="Arial" w:hAnsi="Arial" w:cs="Arial"/>
                <w:color w:val="0F243E" w:themeColor="text2" w:themeShade="80"/>
                <w:sz w:val="20"/>
                <w:szCs w:val="20"/>
              </w:rPr>
              <w:t>0</w:t>
            </w:r>
          </w:p>
        </w:tc>
        <w:tc>
          <w:tcPr>
            <w:tcW w:w="1979" w:type="dxa"/>
            <w:vAlign w:val="center"/>
          </w:tcPr>
          <w:p w14:paraId="176ED107" w14:textId="67FE9291"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9</w:t>
            </w:r>
          </w:p>
        </w:tc>
      </w:tr>
      <w:tr w:rsidR="00BE6C19" w:rsidRPr="00CA48AF" w14:paraId="074B1279"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D758476" w14:textId="5B70F052"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Despacho del Ministro de Hacienda y Crédito Público</w:t>
            </w:r>
          </w:p>
        </w:tc>
        <w:tc>
          <w:tcPr>
            <w:tcW w:w="1559" w:type="dxa"/>
            <w:vAlign w:val="center"/>
          </w:tcPr>
          <w:p w14:paraId="2067AEFC" w14:textId="23F90A16"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7</w:t>
            </w:r>
          </w:p>
        </w:tc>
        <w:tc>
          <w:tcPr>
            <w:tcW w:w="1701" w:type="dxa"/>
            <w:vAlign w:val="center"/>
          </w:tcPr>
          <w:p w14:paraId="44B0C6CC" w14:textId="63AA281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6</w:t>
            </w:r>
          </w:p>
        </w:tc>
        <w:tc>
          <w:tcPr>
            <w:tcW w:w="1979" w:type="dxa"/>
            <w:vAlign w:val="center"/>
          </w:tcPr>
          <w:p w14:paraId="4CC7645D" w14:textId="4504D879"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r>
      <w:tr w:rsidR="00BE6C19" w:rsidRPr="00CA48AF" w14:paraId="1CA73A2C"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FE68E68" w14:textId="5A78A1EE"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Dirección General de Participaciones Estatales</w:t>
            </w:r>
          </w:p>
        </w:tc>
        <w:tc>
          <w:tcPr>
            <w:tcW w:w="1559" w:type="dxa"/>
            <w:vAlign w:val="center"/>
          </w:tcPr>
          <w:p w14:paraId="7AF22C5B" w14:textId="7D3E9065"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c>
          <w:tcPr>
            <w:tcW w:w="1701" w:type="dxa"/>
            <w:vAlign w:val="center"/>
          </w:tcPr>
          <w:p w14:paraId="379C9393" w14:textId="184FC807"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c>
          <w:tcPr>
            <w:tcW w:w="1979" w:type="dxa"/>
            <w:vAlign w:val="center"/>
          </w:tcPr>
          <w:p w14:paraId="0CD63344" w14:textId="2F59B3AC"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1A73ABC5" w14:textId="77777777" w:rsidTr="006A74CA">
        <w:trPr>
          <w:cantSplit/>
          <w:trHeight w:val="234"/>
        </w:trPr>
        <w:tc>
          <w:tcPr>
            <w:cnfStyle w:val="001000000000" w:firstRow="0" w:lastRow="0" w:firstColumn="1" w:lastColumn="0" w:oddVBand="0" w:evenVBand="0" w:oddHBand="0" w:evenHBand="0" w:firstRowFirstColumn="0" w:firstRowLastColumn="0" w:lastRowFirstColumn="0" w:lastRowLastColumn="0"/>
            <w:tcW w:w="4390" w:type="dxa"/>
            <w:vAlign w:val="bottom"/>
          </w:tcPr>
          <w:p w14:paraId="59362E5B" w14:textId="3E42A133"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Calibri" w:hAnsi="Calibri" w:cs="Calibri"/>
                <w:b w:val="0"/>
                <w:bCs w:val="0"/>
                <w:color w:val="0F243E" w:themeColor="text2" w:themeShade="80"/>
                <w:sz w:val="22"/>
                <w:szCs w:val="22"/>
              </w:rPr>
              <w:t xml:space="preserve">Subdirección de Riesgos </w:t>
            </w:r>
          </w:p>
        </w:tc>
        <w:tc>
          <w:tcPr>
            <w:tcW w:w="1559" w:type="dxa"/>
            <w:vAlign w:val="center"/>
          </w:tcPr>
          <w:p w14:paraId="0E9D3706" w14:textId="229944D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c>
          <w:tcPr>
            <w:tcW w:w="1701" w:type="dxa"/>
            <w:vAlign w:val="center"/>
          </w:tcPr>
          <w:p w14:paraId="40548C1D" w14:textId="346EA065"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06901173" w14:textId="74838639"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r>
      <w:tr w:rsidR="00BE6C19" w:rsidRPr="00CA48AF" w14:paraId="0F4EE646"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2915BC9" w14:textId="1D2EEEC8"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 xml:space="preserve">Administración SIIF Nación </w:t>
            </w:r>
          </w:p>
        </w:tc>
        <w:tc>
          <w:tcPr>
            <w:tcW w:w="1559" w:type="dxa"/>
            <w:vAlign w:val="center"/>
          </w:tcPr>
          <w:p w14:paraId="7D7B2933" w14:textId="33551888"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701" w:type="dxa"/>
            <w:vAlign w:val="center"/>
          </w:tcPr>
          <w:p w14:paraId="78E87B0A" w14:textId="6B33A36C"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979" w:type="dxa"/>
            <w:vAlign w:val="center"/>
          </w:tcPr>
          <w:p w14:paraId="09C53608" w14:textId="2E8B8B5B"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23AA2857"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0E4D349" w14:textId="653D0025"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 xml:space="preserve">Oficina de Control Disciplinario Interno </w:t>
            </w:r>
          </w:p>
        </w:tc>
        <w:tc>
          <w:tcPr>
            <w:tcW w:w="1559" w:type="dxa"/>
            <w:vAlign w:val="center"/>
          </w:tcPr>
          <w:p w14:paraId="458A78C7" w14:textId="23A58EE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701" w:type="dxa"/>
            <w:vAlign w:val="center"/>
          </w:tcPr>
          <w:p w14:paraId="6C483B4A" w14:textId="5A985152"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979" w:type="dxa"/>
            <w:vAlign w:val="center"/>
          </w:tcPr>
          <w:p w14:paraId="2A176D49" w14:textId="3586838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563D58D7"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D926ED9" w14:textId="7238D20B"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Oficina Asesora de Jurídica</w:t>
            </w:r>
          </w:p>
        </w:tc>
        <w:tc>
          <w:tcPr>
            <w:tcW w:w="1559" w:type="dxa"/>
            <w:vAlign w:val="center"/>
          </w:tcPr>
          <w:p w14:paraId="55B356D8" w14:textId="57CB16CD"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701" w:type="dxa"/>
            <w:vAlign w:val="center"/>
          </w:tcPr>
          <w:p w14:paraId="5C177868" w14:textId="389606E2"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979" w:type="dxa"/>
            <w:vAlign w:val="center"/>
          </w:tcPr>
          <w:p w14:paraId="0B7302C1" w14:textId="1324D06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07818942"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1DA56EA" w14:textId="08DEF260"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Dirección General de Regulación Económica de la Seguridad Social</w:t>
            </w:r>
          </w:p>
        </w:tc>
        <w:tc>
          <w:tcPr>
            <w:tcW w:w="1559" w:type="dxa"/>
            <w:vAlign w:val="center"/>
          </w:tcPr>
          <w:p w14:paraId="40452986" w14:textId="7812B7D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701" w:type="dxa"/>
            <w:vAlign w:val="center"/>
          </w:tcPr>
          <w:p w14:paraId="3856BD57" w14:textId="40637617"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c>
          <w:tcPr>
            <w:tcW w:w="1979" w:type="dxa"/>
            <w:vAlign w:val="center"/>
          </w:tcPr>
          <w:p w14:paraId="72AA8D44" w14:textId="0B907FE8"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w:t>
            </w:r>
            <w:r>
              <w:rPr>
                <w:rFonts w:ascii="Arial" w:hAnsi="Arial" w:cs="Arial"/>
                <w:color w:val="0F243E" w:themeColor="text2" w:themeShade="80"/>
                <w:sz w:val="20"/>
                <w:szCs w:val="20"/>
              </w:rPr>
              <w:t>)</w:t>
            </w:r>
          </w:p>
        </w:tc>
      </w:tr>
      <w:tr w:rsidR="00BE6C19" w:rsidRPr="00CA48AF" w14:paraId="07308178"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EF93DCC" w14:textId="6C050272"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Oficina de Bonos Pensionales</w:t>
            </w:r>
          </w:p>
        </w:tc>
        <w:tc>
          <w:tcPr>
            <w:tcW w:w="1559" w:type="dxa"/>
            <w:vAlign w:val="center"/>
          </w:tcPr>
          <w:p w14:paraId="2AC49673" w14:textId="1AEDA97E"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701" w:type="dxa"/>
            <w:vAlign w:val="center"/>
          </w:tcPr>
          <w:p w14:paraId="52CC7D5D" w14:textId="57DB319C"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3</w:t>
            </w:r>
          </w:p>
        </w:tc>
        <w:tc>
          <w:tcPr>
            <w:tcW w:w="1979" w:type="dxa"/>
            <w:vAlign w:val="center"/>
          </w:tcPr>
          <w:p w14:paraId="09F22C7C" w14:textId="6C4BBD91"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w:t>
            </w:r>
            <w:r>
              <w:rPr>
                <w:rFonts w:ascii="Arial" w:hAnsi="Arial" w:cs="Arial"/>
                <w:color w:val="0F243E" w:themeColor="text2" w:themeShade="80"/>
                <w:sz w:val="20"/>
                <w:szCs w:val="20"/>
              </w:rPr>
              <w:t>)</w:t>
            </w:r>
          </w:p>
        </w:tc>
      </w:tr>
      <w:tr w:rsidR="00BE6C19" w:rsidRPr="00CA48AF" w14:paraId="393E4FD5"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AE38819" w14:textId="32EB3E58"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Dirección de Tecnología</w:t>
            </w:r>
          </w:p>
        </w:tc>
        <w:tc>
          <w:tcPr>
            <w:tcW w:w="1559" w:type="dxa"/>
            <w:vAlign w:val="center"/>
          </w:tcPr>
          <w:p w14:paraId="35E90711" w14:textId="40FC7385"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47C0E4E0" w14:textId="0613D6DD"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20</w:t>
            </w:r>
          </w:p>
        </w:tc>
        <w:tc>
          <w:tcPr>
            <w:tcW w:w="1979" w:type="dxa"/>
            <w:vAlign w:val="center"/>
          </w:tcPr>
          <w:p w14:paraId="4E194D13" w14:textId="3F6E3E59"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19</w:t>
            </w:r>
            <w:r>
              <w:rPr>
                <w:rFonts w:ascii="Arial" w:hAnsi="Arial" w:cs="Arial"/>
                <w:color w:val="0F243E" w:themeColor="text2" w:themeShade="80"/>
                <w:sz w:val="20"/>
                <w:szCs w:val="20"/>
              </w:rPr>
              <w:t>)</w:t>
            </w:r>
          </w:p>
        </w:tc>
      </w:tr>
      <w:tr w:rsidR="00BE6C19" w:rsidRPr="00CA48AF" w14:paraId="05CC4874"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6896530" w14:textId="6BDDDAA0"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Secretaria General</w:t>
            </w:r>
          </w:p>
        </w:tc>
        <w:tc>
          <w:tcPr>
            <w:tcW w:w="1559" w:type="dxa"/>
            <w:vAlign w:val="center"/>
          </w:tcPr>
          <w:p w14:paraId="7FFBAEDC" w14:textId="79422341"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7570389C" w14:textId="76E2977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2</w:t>
            </w:r>
          </w:p>
        </w:tc>
        <w:tc>
          <w:tcPr>
            <w:tcW w:w="1979" w:type="dxa"/>
            <w:vAlign w:val="center"/>
          </w:tcPr>
          <w:p w14:paraId="6D38C144" w14:textId="0BD4E086"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w:t>
            </w:r>
            <w:r>
              <w:rPr>
                <w:rFonts w:ascii="Arial" w:hAnsi="Arial" w:cs="Arial"/>
                <w:color w:val="0F243E" w:themeColor="text2" w:themeShade="80"/>
                <w:sz w:val="20"/>
                <w:szCs w:val="20"/>
              </w:rPr>
              <w:t>)</w:t>
            </w:r>
          </w:p>
        </w:tc>
      </w:tr>
      <w:tr w:rsidR="00BE6C19" w:rsidRPr="00CA48AF" w14:paraId="52CF7808"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9043873" w14:textId="391912C7"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 xml:space="preserve">Subdirección de Servicios </w:t>
            </w:r>
          </w:p>
        </w:tc>
        <w:tc>
          <w:tcPr>
            <w:tcW w:w="1559" w:type="dxa"/>
            <w:vAlign w:val="center"/>
          </w:tcPr>
          <w:p w14:paraId="01F650FF" w14:textId="743D253D"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618E0979" w14:textId="3BF103A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979" w:type="dxa"/>
            <w:vAlign w:val="center"/>
          </w:tcPr>
          <w:p w14:paraId="210E41B3" w14:textId="40700466"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28596A18"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C3C9E73" w14:textId="11F23071"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Oficina de Control Interno</w:t>
            </w:r>
          </w:p>
        </w:tc>
        <w:tc>
          <w:tcPr>
            <w:tcW w:w="1559" w:type="dxa"/>
            <w:vAlign w:val="center"/>
          </w:tcPr>
          <w:p w14:paraId="3C978FEC" w14:textId="692C776C"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1D792B2D" w14:textId="758DF4D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979" w:type="dxa"/>
            <w:vAlign w:val="center"/>
          </w:tcPr>
          <w:p w14:paraId="4C7A1A0A" w14:textId="0407E72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12E1108B"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947F0AB" w14:textId="133911DB"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de Asociación Público Privada</w:t>
            </w:r>
          </w:p>
        </w:tc>
        <w:tc>
          <w:tcPr>
            <w:tcW w:w="1559" w:type="dxa"/>
            <w:vAlign w:val="center"/>
          </w:tcPr>
          <w:p w14:paraId="27E8815A" w14:textId="36CE889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1DB71A23" w14:textId="5BD58298"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14726C49" w14:textId="1756C19D"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r>
      <w:tr w:rsidR="00BE6C19" w:rsidRPr="00CA48AF" w14:paraId="59BF1168"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bottom"/>
          </w:tcPr>
          <w:p w14:paraId="5F444E74" w14:textId="0F6EB7E2" w:rsidR="00BE6C19" w:rsidRPr="00061BCC" w:rsidRDefault="00BE6C19" w:rsidP="004D504A">
            <w:pPr>
              <w:widowControl w:val="0"/>
              <w:spacing w:after="20"/>
              <w:rPr>
                <w:rFonts w:ascii="Arial" w:hAnsi="Arial" w:cs="Arial"/>
                <w:b w:val="0"/>
                <w:bCs w:val="0"/>
                <w:color w:val="0F243E" w:themeColor="text2" w:themeShade="80"/>
                <w:sz w:val="20"/>
                <w:szCs w:val="20"/>
              </w:rPr>
            </w:pPr>
            <w:r w:rsidRPr="00061BCC">
              <w:rPr>
                <w:rFonts w:ascii="Calibri" w:hAnsi="Calibri" w:cs="Calibri"/>
                <w:b w:val="0"/>
                <w:bCs w:val="0"/>
                <w:color w:val="0F243E" w:themeColor="text2" w:themeShade="80"/>
                <w:sz w:val="22"/>
                <w:szCs w:val="22"/>
              </w:rPr>
              <w:t>Subdirección de Operaciones</w:t>
            </w:r>
          </w:p>
        </w:tc>
        <w:tc>
          <w:tcPr>
            <w:tcW w:w="1559" w:type="dxa"/>
            <w:vAlign w:val="center"/>
          </w:tcPr>
          <w:p w14:paraId="5A82AD8D" w14:textId="35D675E5"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6248EC43" w14:textId="28FFEF4A"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229CB1B7" w14:textId="7DF1D1BE"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r>
      <w:tr w:rsidR="00BE6C19" w:rsidRPr="00CA48AF" w14:paraId="179FC8CC"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82B828A" w14:textId="3A374C75"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de Financiamiento con Organismos Multilaterales</w:t>
            </w:r>
          </w:p>
        </w:tc>
        <w:tc>
          <w:tcPr>
            <w:tcW w:w="1559" w:type="dxa"/>
            <w:vAlign w:val="center"/>
          </w:tcPr>
          <w:p w14:paraId="583BB010" w14:textId="7A40D11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04DE3E0B" w14:textId="0CB05439"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979" w:type="dxa"/>
            <w:vAlign w:val="center"/>
          </w:tcPr>
          <w:p w14:paraId="5CFED282" w14:textId="68758241"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0</w:t>
            </w:r>
          </w:p>
        </w:tc>
      </w:tr>
      <w:tr w:rsidR="00BE6C19" w:rsidRPr="00CA48AF" w14:paraId="4CD2CAFA"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AFF84CA" w14:textId="485A3E69"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Subdirección de Promoción y Protección Social</w:t>
            </w:r>
          </w:p>
        </w:tc>
        <w:tc>
          <w:tcPr>
            <w:tcW w:w="1559" w:type="dxa"/>
            <w:vAlign w:val="center"/>
          </w:tcPr>
          <w:p w14:paraId="37962056" w14:textId="1321DC7A"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15634CE6" w14:textId="7D8BBD3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1D89DC3D" w14:textId="1FFCCE4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r>
      <w:tr w:rsidR="00BE6C19" w:rsidRPr="00CA48AF" w14:paraId="6150AEBC"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84123A0" w14:textId="49192D97"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Dirección General de Crédito Publico y Tesoro Nacional</w:t>
            </w:r>
          </w:p>
        </w:tc>
        <w:tc>
          <w:tcPr>
            <w:tcW w:w="1559" w:type="dxa"/>
            <w:vAlign w:val="center"/>
          </w:tcPr>
          <w:p w14:paraId="66008993" w14:textId="0FB93A39"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3DAAC9CC" w14:textId="78FA98D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5</w:t>
            </w:r>
          </w:p>
        </w:tc>
        <w:tc>
          <w:tcPr>
            <w:tcW w:w="1979" w:type="dxa"/>
            <w:vAlign w:val="center"/>
          </w:tcPr>
          <w:p w14:paraId="5C0C5CCB" w14:textId="7329C2B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4</w:t>
            </w:r>
            <w:r>
              <w:rPr>
                <w:rFonts w:ascii="Arial" w:hAnsi="Arial" w:cs="Arial"/>
                <w:color w:val="0F243E" w:themeColor="text2" w:themeShade="80"/>
                <w:sz w:val="20"/>
                <w:szCs w:val="20"/>
              </w:rPr>
              <w:t>)</w:t>
            </w:r>
          </w:p>
        </w:tc>
      </w:tr>
      <w:tr w:rsidR="00BE6C19" w:rsidRPr="00CA48AF" w14:paraId="667BD550"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3ED01C62" w14:textId="444026E7"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Pr>
                <w:rFonts w:ascii="Arial" w:hAnsi="Arial" w:cs="Arial"/>
                <w:b w:val="0"/>
                <w:bCs w:val="0"/>
                <w:color w:val="0F243E" w:themeColor="text2" w:themeShade="80"/>
                <w:sz w:val="20"/>
                <w:szCs w:val="20"/>
              </w:rPr>
              <w:t xml:space="preserve">Despacho Viceministerio General </w:t>
            </w:r>
          </w:p>
        </w:tc>
        <w:tc>
          <w:tcPr>
            <w:tcW w:w="1559" w:type="dxa"/>
            <w:vAlign w:val="center"/>
          </w:tcPr>
          <w:p w14:paraId="50DDBDC2" w14:textId="62A45DF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701" w:type="dxa"/>
            <w:vAlign w:val="center"/>
          </w:tcPr>
          <w:p w14:paraId="65C5935E" w14:textId="595F3484"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Pr>
                <w:rFonts w:ascii="Arial" w:hAnsi="Arial" w:cs="Arial"/>
                <w:color w:val="0F243E" w:themeColor="text2" w:themeShade="80"/>
                <w:sz w:val="20"/>
                <w:szCs w:val="20"/>
              </w:rPr>
              <w:t>0</w:t>
            </w:r>
          </w:p>
        </w:tc>
        <w:tc>
          <w:tcPr>
            <w:tcW w:w="1979" w:type="dxa"/>
            <w:vAlign w:val="center"/>
          </w:tcPr>
          <w:p w14:paraId="67B35975" w14:textId="03E74240"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 </w:t>
            </w:r>
            <w:r w:rsidR="004D504A">
              <w:rPr>
                <w:rFonts w:ascii="Arial" w:hAnsi="Arial" w:cs="Arial"/>
                <w:color w:val="0F243E" w:themeColor="text2" w:themeShade="80"/>
                <w:sz w:val="20"/>
                <w:szCs w:val="20"/>
              </w:rPr>
              <w:t>1</w:t>
            </w:r>
          </w:p>
        </w:tc>
      </w:tr>
      <w:tr w:rsidR="00BE6C19" w:rsidRPr="00CA48AF" w14:paraId="0C72273C"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7FD08AB" w14:textId="65F6E5D3"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 xml:space="preserve">Dirección General de Política Macroeconómica </w:t>
            </w:r>
          </w:p>
        </w:tc>
        <w:tc>
          <w:tcPr>
            <w:tcW w:w="1559" w:type="dxa"/>
            <w:vAlign w:val="center"/>
          </w:tcPr>
          <w:p w14:paraId="314262A3" w14:textId="21266B8C" w:rsidR="00BE6C19" w:rsidRPr="00BE6C19" w:rsidRDefault="00DC33EC"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w:t>
            </w:r>
          </w:p>
        </w:tc>
        <w:tc>
          <w:tcPr>
            <w:tcW w:w="1701" w:type="dxa"/>
            <w:vAlign w:val="center"/>
          </w:tcPr>
          <w:p w14:paraId="5ACECAE0" w14:textId="3066377F"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979" w:type="dxa"/>
            <w:vAlign w:val="center"/>
          </w:tcPr>
          <w:p w14:paraId="4A49CE0A" w14:textId="6E1ED887" w:rsidR="00BE6C19" w:rsidRPr="00BE6C19" w:rsidRDefault="00DC33EC"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p>
        </w:tc>
      </w:tr>
      <w:tr w:rsidR="00BE6C19" w:rsidRPr="00CA48AF" w14:paraId="582D1C7F" w14:textId="77777777" w:rsidTr="006A74CA">
        <w:trPr>
          <w:cantSplit/>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7E6EDE2" w14:textId="4BDBC60A" w:rsidR="00BE6C19" w:rsidRPr="00061BCC" w:rsidRDefault="00BE6C19" w:rsidP="004D504A">
            <w:pPr>
              <w:widowControl w:val="0"/>
              <w:spacing w:after="20"/>
              <w:jc w:val="both"/>
              <w:rPr>
                <w:rFonts w:ascii="Arial" w:hAnsi="Arial" w:cs="Arial"/>
                <w:b w:val="0"/>
                <w:bCs w:val="0"/>
                <w:color w:val="0F243E" w:themeColor="text2" w:themeShade="80"/>
                <w:sz w:val="20"/>
                <w:szCs w:val="20"/>
              </w:rPr>
            </w:pPr>
            <w:r w:rsidRPr="00061BCC">
              <w:rPr>
                <w:rFonts w:ascii="Arial" w:hAnsi="Arial" w:cs="Arial"/>
                <w:b w:val="0"/>
                <w:bCs w:val="0"/>
                <w:color w:val="0F243E" w:themeColor="text2" w:themeShade="80"/>
                <w:sz w:val="20"/>
                <w:szCs w:val="20"/>
              </w:rPr>
              <w:t xml:space="preserve">Despacho de Viceministerio Técnico </w:t>
            </w:r>
          </w:p>
        </w:tc>
        <w:tc>
          <w:tcPr>
            <w:tcW w:w="1559" w:type="dxa"/>
            <w:vAlign w:val="center"/>
          </w:tcPr>
          <w:p w14:paraId="2140E4A6" w14:textId="4229D1B7"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0</w:t>
            </w:r>
            <w:r w:rsidRPr="00BE6C19">
              <w:rPr>
                <w:rFonts w:ascii="Arial" w:hAnsi="Arial" w:cs="Arial"/>
                <w:color w:val="0F243E" w:themeColor="text2" w:themeShade="80"/>
                <w:sz w:val="20"/>
                <w:szCs w:val="20"/>
              </w:rPr>
              <w:t> </w:t>
            </w:r>
          </w:p>
        </w:tc>
        <w:tc>
          <w:tcPr>
            <w:tcW w:w="1701" w:type="dxa"/>
            <w:vAlign w:val="center"/>
          </w:tcPr>
          <w:p w14:paraId="51907D36" w14:textId="0D690C33"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E6C19">
              <w:rPr>
                <w:rFonts w:ascii="Arial" w:hAnsi="Arial" w:cs="Arial"/>
                <w:color w:val="0F243E" w:themeColor="text2" w:themeShade="80"/>
                <w:sz w:val="20"/>
                <w:szCs w:val="20"/>
              </w:rPr>
              <w:t>1</w:t>
            </w:r>
          </w:p>
        </w:tc>
        <w:tc>
          <w:tcPr>
            <w:tcW w:w="1979" w:type="dxa"/>
            <w:vAlign w:val="center"/>
          </w:tcPr>
          <w:p w14:paraId="2F205058" w14:textId="5190A3D5" w:rsidR="00BE6C19" w:rsidRPr="00BE6C19"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BE6C19">
              <w:rPr>
                <w:rFonts w:ascii="Arial" w:hAnsi="Arial" w:cs="Arial"/>
                <w:color w:val="0F243E" w:themeColor="text2" w:themeShade="80"/>
                <w:sz w:val="20"/>
                <w:szCs w:val="20"/>
              </w:rPr>
              <w:t>1</w:t>
            </w:r>
            <w:r>
              <w:rPr>
                <w:rFonts w:ascii="Arial" w:hAnsi="Arial" w:cs="Arial"/>
                <w:color w:val="0F243E" w:themeColor="text2" w:themeShade="80"/>
                <w:sz w:val="20"/>
                <w:szCs w:val="20"/>
              </w:rPr>
              <w:t>)</w:t>
            </w:r>
          </w:p>
        </w:tc>
      </w:tr>
      <w:tr w:rsidR="00BE6C19" w:rsidRPr="00CA48AF" w14:paraId="7BF77A01" w14:textId="77777777" w:rsidTr="006A74CA">
        <w:trPr>
          <w:cantSplit/>
          <w:trHeight w:val="439"/>
        </w:trPr>
        <w:tc>
          <w:tcPr>
            <w:cnfStyle w:val="001000000000" w:firstRow="0" w:lastRow="0" w:firstColumn="1" w:lastColumn="0" w:oddVBand="0" w:evenVBand="0" w:oddHBand="0" w:evenHBand="0" w:firstRowFirstColumn="0" w:firstRowLastColumn="0" w:lastRowFirstColumn="0" w:lastRowLastColumn="0"/>
            <w:tcW w:w="4390" w:type="dxa"/>
            <w:tcBorders>
              <w:top w:val="double" w:sz="4" w:space="0" w:color="4F81BD" w:themeColor="accent1"/>
              <w:bottom w:val="double" w:sz="4" w:space="0" w:color="4F81BD" w:themeColor="accent1"/>
            </w:tcBorders>
            <w:vAlign w:val="center"/>
          </w:tcPr>
          <w:p w14:paraId="7A9D913E" w14:textId="6543D33D" w:rsidR="00BE6C19" w:rsidRPr="002A409B" w:rsidRDefault="00BE6C19" w:rsidP="004D504A">
            <w:pPr>
              <w:widowControl w:val="0"/>
              <w:spacing w:after="20"/>
              <w:rPr>
                <w:rFonts w:ascii="Arial" w:hAnsi="Arial" w:cs="Arial"/>
                <w:color w:val="0F243E" w:themeColor="text2" w:themeShade="80"/>
                <w:sz w:val="20"/>
                <w:szCs w:val="20"/>
              </w:rPr>
            </w:pPr>
            <w:r w:rsidRPr="002A409B">
              <w:rPr>
                <w:rFonts w:ascii="Arial" w:hAnsi="Arial" w:cs="Arial"/>
                <w:color w:val="0F243E" w:themeColor="text2" w:themeShade="80"/>
                <w:sz w:val="20"/>
                <w:szCs w:val="20"/>
              </w:rPr>
              <w:t>Total de Contratos Vigentes</w:t>
            </w:r>
          </w:p>
        </w:tc>
        <w:tc>
          <w:tcPr>
            <w:tcW w:w="1559" w:type="dxa"/>
            <w:tcBorders>
              <w:top w:val="double" w:sz="4" w:space="0" w:color="4F81BD" w:themeColor="accent1"/>
              <w:bottom w:val="double" w:sz="4" w:space="0" w:color="4F81BD" w:themeColor="accent1"/>
            </w:tcBorders>
            <w:vAlign w:val="center"/>
          </w:tcPr>
          <w:p w14:paraId="09D9E5E5" w14:textId="2EF6F20E" w:rsidR="00BE6C19" w:rsidRPr="00EE0107"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E0107">
              <w:rPr>
                <w:rFonts w:ascii="Arial" w:hAnsi="Arial" w:cs="Arial"/>
                <w:b/>
                <w:bCs/>
                <w:color w:val="0F243E" w:themeColor="text2" w:themeShade="80"/>
                <w:sz w:val="20"/>
                <w:szCs w:val="20"/>
              </w:rPr>
              <w:t>8</w:t>
            </w:r>
            <w:r w:rsidR="00DC33EC">
              <w:rPr>
                <w:rFonts w:ascii="Arial" w:hAnsi="Arial" w:cs="Arial"/>
                <w:b/>
                <w:bCs/>
                <w:color w:val="0F243E" w:themeColor="text2" w:themeShade="80"/>
                <w:sz w:val="20"/>
                <w:szCs w:val="20"/>
              </w:rPr>
              <w:t>9</w:t>
            </w:r>
          </w:p>
        </w:tc>
        <w:tc>
          <w:tcPr>
            <w:tcW w:w="1701" w:type="dxa"/>
            <w:tcBorders>
              <w:top w:val="double" w:sz="4" w:space="0" w:color="4F81BD" w:themeColor="accent1"/>
              <w:bottom w:val="double" w:sz="4" w:space="0" w:color="4F81BD" w:themeColor="accent1"/>
            </w:tcBorders>
            <w:vAlign w:val="center"/>
          </w:tcPr>
          <w:p w14:paraId="07554B1A" w14:textId="438BAEFF" w:rsidR="00BE6C19" w:rsidRPr="00EE0107"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89</w:t>
            </w:r>
          </w:p>
        </w:tc>
        <w:tc>
          <w:tcPr>
            <w:tcW w:w="1979" w:type="dxa"/>
            <w:tcBorders>
              <w:top w:val="double" w:sz="4" w:space="0" w:color="4F81BD" w:themeColor="accent1"/>
              <w:bottom w:val="double" w:sz="4" w:space="0" w:color="4F81BD" w:themeColor="accent1"/>
            </w:tcBorders>
            <w:vAlign w:val="center"/>
          </w:tcPr>
          <w:p w14:paraId="6E2ECDCE" w14:textId="62CB27CA" w:rsidR="00BE6C19" w:rsidRPr="00EE0107" w:rsidRDefault="00BE6C19" w:rsidP="004D504A">
            <w:pPr>
              <w:widowControl w:val="0"/>
              <w:spacing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DC33EC">
              <w:rPr>
                <w:rFonts w:ascii="Arial" w:hAnsi="Arial" w:cs="Arial"/>
                <w:b/>
                <w:bCs/>
                <w:color w:val="0F243E" w:themeColor="text2" w:themeShade="80"/>
                <w:sz w:val="20"/>
                <w:szCs w:val="20"/>
              </w:rPr>
              <w:t>0</w:t>
            </w:r>
            <w:r>
              <w:rPr>
                <w:rFonts w:ascii="Arial" w:hAnsi="Arial" w:cs="Arial"/>
                <w:b/>
                <w:bCs/>
                <w:color w:val="0F243E" w:themeColor="text2" w:themeShade="80"/>
                <w:sz w:val="20"/>
                <w:szCs w:val="20"/>
              </w:rPr>
              <w:t>)</w:t>
            </w:r>
          </w:p>
        </w:tc>
      </w:tr>
    </w:tbl>
    <w:p w14:paraId="5C087845" w14:textId="77777777" w:rsidR="005B05D3" w:rsidRPr="00CA48AF" w:rsidRDefault="005B05D3" w:rsidP="009A28FA">
      <w:pPr>
        <w:jc w:val="both"/>
        <w:rPr>
          <w:rFonts w:ascii="Arial" w:hAnsi="Arial" w:cs="Arial"/>
          <w:color w:val="000000"/>
          <w:sz w:val="22"/>
          <w:szCs w:val="22"/>
          <w:highlight w:val="yellow"/>
        </w:rPr>
      </w:pPr>
    </w:p>
    <w:p w14:paraId="7B59C487" w14:textId="7BA606D1" w:rsidR="0008420C" w:rsidRPr="00C7012F" w:rsidRDefault="0008420C" w:rsidP="0008420C">
      <w:pPr>
        <w:pStyle w:val="Textonotapie"/>
        <w:rPr>
          <w:rFonts w:ascii="Arial" w:hAnsi="Arial" w:cs="Arial"/>
          <w:color w:val="000000" w:themeColor="text1"/>
          <w:sz w:val="22"/>
          <w:szCs w:val="22"/>
        </w:rPr>
      </w:pPr>
      <w:r w:rsidRPr="00C7012F">
        <w:rPr>
          <w:rFonts w:ascii="Arial" w:hAnsi="Arial" w:cs="Arial"/>
          <w:color w:val="000000" w:themeColor="text1"/>
          <w:sz w:val="22"/>
          <w:szCs w:val="22"/>
        </w:rPr>
        <w:t xml:space="preserve">Teniendo en cuenta que, en la vigencia 2019 se inició la aplicación del nuevo Catálogo Presupuestal, la Subdirección Financiera </w:t>
      </w:r>
      <w:r w:rsidR="00E8699D" w:rsidRPr="00C7012F">
        <w:rPr>
          <w:rFonts w:ascii="Arial" w:hAnsi="Arial" w:cs="Arial"/>
          <w:color w:val="000000" w:themeColor="text1"/>
          <w:sz w:val="22"/>
          <w:szCs w:val="22"/>
        </w:rPr>
        <w:t xml:space="preserve">realizó </w:t>
      </w:r>
      <w:r w:rsidRPr="00C7012F">
        <w:rPr>
          <w:rFonts w:ascii="Arial" w:hAnsi="Arial" w:cs="Arial"/>
          <w:color w:val="000000" w:themeColor="text1"/>
          <w:sz w:val="22"/>
          <w:szCs w:val="22"/>
        </w:rPr>
        <w:t>una reclasificación de los rubros presupuestales correspondiente</w:t>
      </w:r>
      <w:r w:rsidR="00002D2F" w:rsidRPr="00C7012F">
        <w:rPr>
          <w:rFonts w:ascii="Arial" w:hAnsi="Arial" w:cs="Arial"/>
          <w:color w:val="000000" w:themeColor="text1"/>
          <w:sz w:val="22"/>
          <w:szCs w:val="22"/>
        </w:rPr>
        <w:t>s</w:t>
      </w:r>
      <w:r w:rsidRPr="00C7012F">
        <w:rPr>
          <w:rFonts w:ascii="Arial" w:hAnsi="Arial" w:cs="Arial"/>
          <w:color w:val="000000" w:themeColor="text1"/>
          <w:sz w:val="22"/>
          <w:szCs w:val="22"/>
        </w:rPr>
        <w:t xml:space="preserve"> a los contratos que estaban vigentes en el año 2019 y que se habían suscrito en vigencias anteriores al 2019. Sin embargo, el Grupo de Contratos continúo reportando en sus bases de datos el rubro presupuestal afectado al momento de la suscripción de la contratación, por tal motivo, en los seguimientos de austeridad del gasto realizados durante la vigencia 2020, se ha venido efectuado un trabajo de conciliación entre la Subdirección Financiera, Grupo de Contratos y la Oficina de Control Interno, con el fin de presentar los datos acordes con las contrataciones reales en cada periodo. </w:t>
      </w:r>
    </w:p>
    <w:p w14:paraId="53112744" w14:textId="77777777" w:rsidR="0008420C" w:rsidRPr="00C7012F" w:rsidRDefault="0008420C" w:rsidP="0008420C">
      <w:pPr>
        <w:spacing w:line="168" w:lineRule="auto"/>
        <w:jc w:val="both"/>
        <w:rPr>
          <w:rFonts w:ascii="Arial" w:hAnsi="Arial" w:cs="Arial"/>
          <w:color w:val="000000" w:themeColor="text1"/>
          <w:sz w:val="22"/>
          <w:szCs w:val="22"/>
          <w:highlight w:val="yellow"/>
        </w:rPr>
      </w:pPr>
    </w:p>
    <w:p w14:paraId="3C6318F1" w14:textId="0F242CC9" w:rsidR="00DA538F" w:rsidRPr="00C7012F" w:rsidRDefault="00B55CE3" w:rsidP="00B55CE3">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Conforme a las variaciones antes expuestas, se observó que la contratación de servicios profesionales y de apoyo a la gestión para el </w:t>
      </w:r>
      <w:r w:rsidR="003C6D5D" w:rsidRPr="00C7012F">
        <w:rPr>
          <w:rFonts w:ascii="Arial" w:hAnsi="Arial" w:cs="Arial"/>
          <w:color w:val="000000" w:themeColor="text1"/>
          <w:sz w:val="22"/>
          <w:szCs w:val="22"/>
        </w:rPr>
        <w:t xml:space="preserve">tercer </w:t>
      </w:r>
      <w:r w:rsidRPr="00C7012F">
        <w:rPr>
          <w:rFonts w:ascii="Arial" w:hAnsi="Arial" w:cs="Arial"/>
          <w:color w:val="000000" w:themeColor="text1"/>
          <w:sz w:val="22"/>
          <w:szCs w:val="22"/>
        </w:rPr>
        <w:t xml:space="preserve">trimestre de 2020 comparado con el mismo periodo de </w:t>
      </w:r>
      <w:r w:rsidR="00F92E99" w:rsidRPr="00C7012F">
        <w:rPr>
          <w:rFonts w:ascii="Arial" w:hAnsi="Arial" w:cs="Arial"/>
          <w:color w:val="000000" w:themeColor="text1"/>
          <w:sz w:val="22"/>
          <w:szCs w:val="22"/>
        </w:rPr>
        <w:t xml:space="preserve">2019 </w:t>
      </w:r>
      <w:r w:rsidR="00DC33EC" w:rsidRPr="00C7012F">
        <w:rPr>
          <w:rFonts w:ascii="Arial" w:hAnsi="Arial" w:cs="Arial"/>
          <w:color w:val="000000" w:themeColor="text1"/>
          <w:sz w:val="22"/>
          <w:szCs w:val="22"/>
        </w:rPr>
        <w:t xml:space="preserve">no </w:t>
      </w:r>
      <w:r w:rsidR="00F92E99" w:rsidRPr="00C7012F">
        <w:rPr>
          <w:rFonts w:ascii="Arial" w:hAnsi="Arial" w:cs="Arial"/>
          <w:color w:val="000000" w:themeColor="text1"/>
          <w:sz w:val="22"/>
          <w:szCs w:val="22"/>
        </w:rPr>
        <w:t>presentó</w:t>
      </w:r>
      <w:r w:rsidRPr="00C7012F">
        <w:rPr>
          <w:rFonts w:ascii="Arial" w:hAnsi="Arial" w:cs="Arial"/>
          <w:color w:val="000000" w:themeColor="text1"/>
          <w:sz w:val="22"/>
          <w:szCs w:val="22"/>
        </w:rPr>
        <w:t xml:space="preserve"> </w:t>
      </w:r>
      <w:r w:rsidR="00DC33EC" w:rsidRPr="00C7012F">
        <w:rPr>
          <w:rFonts w:ascii="Arial" w:hAnsi="Arial" w:cs="Arial"/>
          <w:color w:val="000000" w:themeColor="text1"/>
          <w:sz w:val="22"/>
          <w:szCs w:val="22"/>
        </w:rPr>
        <w:t xml:space="preserve">variaciones, es decir, se mantuvo la misma cantidad de contratos para los periodos objeto de verificación. </w:t>
      </w:r>
    </w:p>
    <w:p w14:paraId="49D29907" w14:textId="77777777" w:rsidR="004D504A" w:rsidRPr="00C7012F" w:rsidRDefault="004D504A" w:rsidP="00B55CE3">
      <w:pPr>
        <w:jc w:val="both"/>
        <w:rPr>
          <w:rFonts w:ascii="Arial" w:hAnsi="Arial" w:cs="Arial"/>
          <w:color w:val="000000" w:themeColor="text1"/>
          <w:sz w:val="22"/>
          <w:szCs w:val="22"/>
        </w:rPr>
      </w:pPr>
    </w:p>
    <w:p w14:paraId="2336B53D" w14:textId="4294DFDE" w:rsidR="008E216F" w:rsidRPr="00C7012F" w:rsidRDefault="008E216F" w:rsidP="009A28FA">
      <w:pPr>
        <w:jc w:val="both"/>
        <w:rPr>
          <w:rFonts w:ascii="Arial" w:hAnsi="Arial" w:cs="Arial"/>
          <w:color w:val="000000" w:themeColor="text1"/>
          <w:sz w:val="22"/>
          <w:szCs w:val="22"/>
        </w:rPr>
      </w:pPr>
      <w:r w:rsidRPr="00C7012F">
        <w:rPr>
          <w:rFonts w:ascii="Arial" w:hAnsi="Arial" w:cs="Arial"/>
          <w:color w:val="000000" w:themeColor="text1"/>
          <w:sz w:val="22"/>
          <w:szCs w:val="22"/>
        </w:rPr>
        <w:lastRenderedPageBreak/>
        <w:t xml:space="preserve">Frente a la variación observada </w:t>
      </w:r>
      <w:r w:rsidR="007F0541" w:rsidRPr="00C7012F">
        <w:rPr>
          <w:rFonts w:ascii="Arial" w:hAnsi="Arial" w:cs="Arial"/>
          <w:color w:val="000000" w:themeColor="text1"/>
          <w:sz w:val="22"/>
          <w:szCs w:val="22"/>
        </w:rPr>
        <w:t xml:space="preserve">para la </w:t>
      </w:r>
      <w:r w:rsidRPr="00C7012F">
        <w:rPr>
          <w:rFonts w:ascii="Arial" w:hAnsi="Arial" w:cs="Arial"/>
          <w:color w:val="000000" w:themeColor="text1"/>
          <w:sz w:val="22"/>
          <w:szCs w:val="22"/>
        </w:rPr>
        <w:t>Dirección de Tecnología correspondiente a 19 contratos, se aclara que no corresponde a una disminución de la contratación, sino a temas de clasificación, dado que, los contratos fueron asignados a la Subdirecci</w:t>
      </w:r>
      <w:r w:rsidR="007F0541" w:rsidRPr="00C7012F">
        <w:rPr>
          <w:rFonts w:ascii="Arial" w:hAnsi="Arial" w:cs="Arial"/>
          <w:color w:val="000000" w:themeColor="text1"/>
          <w:sz w:val="22"/>
          <w:szCs w:val="22"/>
        </w:rPr>
        <w:t>ón</w:t>
      </w:r>
      <w:r w:rsidRPr="00C7012F">
        <w:rPr>
          <w:rFonts w:ascii="Arial" w:hAnsi="Arial" w:cs="Arial"/>
          <w:color w:val="000000" w:themeColor="text1"/>
          <w:sz w:val="22"/>
          <w:szCs w:val="22"/>
        </w:rPr>
        <w:t xml:space="preserve"> de Administración de Recursos Tecnológico [1</w:t>
      </w:r>
      <w:r w:rsidR="001C44CC" w:rsidRPr="00C7012F">
        <w:rPr>
          <w:rFonts w:ascii="Arial" w:hAnsi="Arial" w:cs="Arial"/>
          <w:color w:val="000000" w:themeColor="text1"/>
          <w:sz w:val="22"/>
          <w:szCs w:val="22"/>
        </w:rPr>
        <w:t>0</w:t>
      </w:r>
      <w:r w:rsidRPr="00C7012F">
        <w:rPr>
          <w:rFonts w:ascii="Arial" w:hAnsi="Arial" w:cs="Arial"/>
          <w:color w:val="000000" w:themeColor="text1"/>
          <w:sz w:val="22"/>
          <w:szCs w:val="22"/>
        </w:rPr>
        <w:t xml:space="preserve"> contratos] y </w:t>
      </w:r>
      <w:r w:rsidR="007F0541" w:rsidRPr="00C7012F">
        <w:rPr>
          <w:rFonts w:ascii="Arial" w:hAnsi="Arial" w:cs="Arial"/>
          <w:color w:val="000000" w:themeColor="text1"/>
          <w:sz w:val="22"/>
          <w:szCs w:val="22"/>
        </w:rPr>
        <w:t>la Subdirección de</w:t>
      </w:r>
      <w:r w:rsidRPr="00C7012F">
        <w:rPr>
          <w:rFonts w:ascii="Arial" w:hAnsi="Arial" w:cs="Arial"/>
          <w:color w:val="000000" w:themeColor="text1"/>
          <w:sz w:val="22"/>
          <w:szCs w:val="22"/>
        </w:rPr>
        <w:t xml:space="preserve"> Ingeniería de Software [</w:t>
      </w:r>
      <w:r w:rsidR="001C44CC" w:rsidRPr="00C7012F">
        <w:rPr>
          <w:rFonts w:ascii="Arial" w:hAnsi="Arial" w:cs="Arial"/>
          <w:color w:val="000000" w:themeColor="text1"/>
          <w:sz w:val="22"/>
          <w:szCs w:val="22"/>
        </w:rPr>
        <w:t>9</w:t>
      </w:r>
      <w:r w:rsidRPr="00C7012F">
        <w:rPr>
          <w:rFonts w:ascii="Arial" w:hAnsi="Arial" w:cs="Arial"/>
          <w:color w:val="000000" w:themeColor="text1"/>
          <w:sz w:val="22"/>
          <w:szCs w:val="22"/>
        </w:rPr>
        <w:t xml:space="preserve"> contratos], siendo esta</w:t>
      </w:r>
      <w:r w:rsidR="00007C72" w:rsidRPr="00C7012F">
        <w:rPr>
          <w:rFonts w:ascii="Arial" w:hAnsi="Arial" w:cs="Arial"/>
          <w:color w:val="000000" w:themeColor="text1"/>
          <w:sz w:val="22"/>
          <w:szCs w:val="22"/>
        </w:rPr>
        <w:t>s</w:t>
      </w:r>
      <w:r w:rsidR="00B21436" w:rsidRPr="00C7012F">
        <w:rPr>
          <w:rFonts w:ascii="Arial" w:hAnsi="Arial" w:cs="Arial"/>
          <w:color w:val="000000" w:themeColor="text1"/>
          <w:sz w:val="22"/>
          <w:szCs w:val="22"/>
        </w:rPr>
        <w:t xml:space="preserve"> </w:t>
      </w:r>
      <w:r w:rsidRPr="00C7012F">
        <w:rPr>
          <w:rFonts w:ascii="Arial" w:hAnsi="Arial" w:cs="Arial"/>
          <w:color w:val="000000" w:themeColor="text1"/>
          <w:sz w:val="22"/>
          <w:szCs w:val="22"/>
        </w:rPr>
        <w:t>dependencias</w:t>
      </w:r>
      <w:r w:rsidR="00B21436" w:rsidRPr="00C7012F">
        <w:rPr>
          <w:rFonts w:ascii="Arial" w:hAnsi="Arial" w:cs="Arial"/>
          <w:color w:val="000000" w:themeColor="text1"/>
          <w:sz w:val="22"/>
          <w:szCs w:val="22"/>
        </w:rPr>
        <w:t xml:space="preserve">, parte de la </w:t>
      </w:r>
      <w:r w:rsidRPr="00C7012F">
        <w:rPr>
          <w:rFonts w:ascii="Arial" w:hAnsi="Arial" w:cs="Arial"/>
          <w:color w:val="000000" w:themeColor="text1"/>
          <w:sz w:val="22"/>
          <w:szCs w:val="22"/>
        </w:rPr>
        <w:t>Dirección</w:t>
      </w:r>
      <w:r w:rsidR="00B21436" w:rsidRPr="00C7012F">
        <w:rPr>
          <w:rFonts w:ascii="Arial" w:hAnsi="Arial" w:cs="Arial"/>
          <w:color w:val="000000" w:themeColor="text1"/>
          <w:sz w:val="22"/>
          <w:szCs w:val="22"/>
        </w:rPr>
        <w:t xml:space="preserve"> de Tecnología</w:t>
      </w:r>
      <w:r w:rsidR="002B2E04" w:rsidRPr="00C7012F">
        <w:rPr>
          <w:rFonts w:ascii="Arial" w:hAnsi="Arial" w:cs="Arial"/>
          <w:color w:val="000000" w:themeColor="text1"/>
          <w:sz w:val="22"/>
          <w:szCs w:val="22"/>
        </w:rPr>
        <w:t>. De igual forma, se observó para la Dirección General de Crédito Público y Tesoro Nacional, present</w:t>
      </w:r>
      <w:r w:rsidR="001D6E06" w:rsidRPr="00C7012F">
        <w:rPr>
          <w:rFonts w:ascii="Arial" w:hAnsi="Arial" w:cs="Arial"/>
          <w:color w:val="000000" w:themeColor="text1"/>
          <w:sz w:val="22"/>
          <w:szCs w:val="22"/>
        </w:rPr>
        <w:t>ando</w:t>
      </w:r>
      <w:r w:rsidR="002B2E04" w:rsidRPr="00C7012F">
        <w:rPr>
          <w:rFonts w:ascii="Arial" w:hAnsi="Arial" w:cs="Arial"/>
          <w:color w:val="000000" w:themeColor="text1"/>
          <w:sz w:val="22"/>
          <w:szCs w:val="22"/>
        </w:rPr>
        <w:t xml:space="preserve"> una diminución de </w:t>
      </w:r>
      <w:r w:rsidR="003C6D5D" w:rsidRPr="00C7012F">
        <w:rPr>
          <w:rFonts w:ascii="Arial" w:hAnsi="Arial" w:cs="Arial"/>
          <w:color w:val="000000" w:themeColor="text1"/>
          <w:sz w:val="22"/>
          <w:szCs w:val="22"/>
        </w:rPr>
        <w:t>4</w:t>
      </w:r>
      <w:r w:rsidR="002B2E04" w:rsidRPr="00C7012F">
        <w:rPr>
          <w:rFonts w:ascii="Arial" w:hAnsi="Arial" w:cs="Arial"/>
          <w:color w:val="000000" w:themeColor="text1"/>
          <w:sz w:val="22"/>
          <w:szCs w:val="22"/>
        </w:rPr>
        <w:t xml:space="preserve"> contratos</w:t>
      </w:r>
      <w:r w:rsidR="001D6E06" w:rsidRPr="00C7012F">
        <w:rPr>
          <w:rFonts w:ascii="Arial" w:hAnsi="Arial" w:cs="Arial"/>
          <w:color w:val="000000" w:themeColor="text1"/>
          <w:sz w:val="22"/>
          <w:szCs w:val="22"/>
        </w:rPr>
        <w:t xml:space="preserve">, los cuales están distribuidos en </w:t>
      </w:r>
      <w:r w:rsidR="00C11597" w:rsidRPr="00C7012F">
        <w:rPr>
          <w:rFonts w:ascii="Arial" w:hAnsi="Arial" w:cs="Arial"/>
          <w:color w:val="000000" w:themeColor="text1"/>
          <w:sz w:val="22"/>
          <w:szCs w:val="22"/>
        </w:rPr>
        <w:t>2</w:t>
      </w:r>
      <w:r w:rsidR="001D6E06" w:rsidRPr="00C7012F">
        <w:rPr>
          <w:rFonts w:ascii="Arial" w:hAnsi="Arial" w:cs="Arial"/>
          <w:color w:val="000000" w:themeColor="text1"/>
          <w:sz w:val="22"/>
          <w:szCs w:val="22"/>
        </w:rPr>
        <w:t xml:space="preserve"> subdirecciones de dicha Dirección. </w:t>
      </w:r>
    </w:p>
    <w:p w14:paraId="7E92244B" w14:textId="77777777" w:rsidR="002A409B" w:rsidRPr="00C7012F" w:rsidRDefault="002A409B" w:rsidP="009A28FA">
      <w:pPr>
        <w:jc w:val="both"/>
        <w:rPr>
          <w:rFonts w:ascii="Arial" w:hAnsi="Arial" w:cs="Arial"/>
          <w:color w:val="000000" w:themeColor="text1"/>
          <w:sz w:val="22"/>
          <w:szCs w:val="22"/>
          <w:highlight w:val="yellow"/>
        </w:rPr>
      </w:pPr>
    </w:p>
    <w:p w14:paraId="36AE34BE" w14:textId="26515269" w:rsidR="00D07AE1" w:rsidRPr="00C7012F" w:rsidRDefault="00A66339" w:rsidP="009A28FA">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Por otra parte, </w:t>
      </w:r>
      <w:r w:rsidR="00190752" w:rsidRPr="00C7012F">
        <w:rPr>
          <w:rFonts w:ascii="Arial" w:hAnsi="Arial" w:cs="Arial"/>
          <w:color w:val="000000" w:themeColor="text1"/>
          <w:sz w:val="22"/>
          <w:szCs w:val="22"/>
        </w:rPr>
        <w:t xml:space="preserve">con base en </w:t>
      </w:r>
      <w:r w:rsidRPr="00C7012F">
        <w:rPr>
          <w:rFonts w:ascii="Arial" w:hAnsi="Arial" w:cs="Arial"/>
          <w:color w:val="000000" w:themeColor="text1"/>
          <w:sz w:val="22"/>
          <w:szCs w:val="22"/>
        </w:rPr>
        <w:t>la</w:t>
      </w:r>
      <w:r w:rsidR="00391651" w:rsidRPr="00C7012F">
        <w:rPr>
          <w:rFonts w:ascii="Arial" w:hAnsi="Arial" w:cs="Arial"/>
          <w:color w:val="000000" w:themeColor="text1"/>
          <w:sz w:val="22"/>
          <w:szCs w:val="22"/>
        </w:rPr>
        <w:t xml:space="preserve"> información allegada por el Grupo de </w:t>
      </w:r>
      <w:r w:rsidR="00E13504" w:rsidRPr="00C7012F">
        <w:rPr>
          <w:rFonts w:ascii="Arial" w:hAnsi="Arial" w:cs="Arial"/>
          <w:color w:val="000000" w:themeColor="text1"/>
          <w:sz w:val="22"/>
          <w:szCs w:val="22"/>
        </w:rPr>
        <w:t xml:space="preserve">Contratación Directa </w:t>
      </w:r>
      <w:r w:rsidR="00391651" w:rsidRPr="00C7012F">
        <w:rPr>
          <w:rFonts w:ascii="Arial" w:hAnsi="Arial" w:cs="Arial"/>
          <w:color w:val="000000" w:themeColor="text1"/>
          <w:sz w:val="22"/>
          <w:szCs w:val="22"/>
        </w:rPr>
        <w:t>[reportes</w:t>
      </w:r>
      <w:r w:rsidR="00391651" w:rsidRPr="00C7012F">
        <w:rPr>
          <w:rFonts w:ascii="Arial" w:hAnsi="Arial" w:cs="Arial"/>
          <w:b/>
          <w:color w:val="000000" w:themeColor="text1"/>
          <w:sz w:val="22"/>
          <w:szCs w:val="22"/>
        </w:rPr>
        <w:t xml:space="preserve"> </w:t>
      </w:r>
      <w:r w:rsidR="00391651" w:rsidRPr="00C7012F">
        <w:rPr>
          <w:rFonts w:ascii="Arial" w:hAnsi="Arial" w:cs="Arial"/>
          <w:color w:val="000000" w:themeColor="text1"/>
          <w:sz w:val="22"/>
          <w:szCs w:val="22"/>
        </w:rPr>
        <w:t>CON_R2173],</w:t>
      </w:r>
      <w:r w:rsidR="00EC2994">
        <w:rPr>
          <w:rFonts w:ascii="Arial" w:hAnsi="Arial" w:cs="Arial"/>
          <w:color w:val="000000" w:themeColor="text1"/>
          <w:sz w:val="22"/>
          <w:szCs w:val="22"/>
        </w:rPr>
        <w:t xml:space="preserve"> </w:t>
      </w:r>
      <w:r w:rsidR="00391651" w:rsidRPr="00C7012F">
        <w:rPr>
          <w:rFonts w:ascii="Arial" w:hAnsi="Arial" w:cs="Arial"/>
          <w:color w:val="000000" w:themeColor="text1"/>
          <w:sz w:val="22"/>
          <w:szCs w:val="22"/>
        </w:rPr>
        <w:t xml:space="preserve">se </w:t>
      </w:r>
      <w:r w:rsidR="005D408E" w:rsidRPr="00C7012F">
        <w:rPr>
          <w:rFonts w:ascii="Arial" w:hAnsi="Arial" w:cs="Arial"/>
          <w:color w:val="000000" w:themeColor="text1"/>
          <w:sz w:val="22"/>
          <w:szCs w:val="22"/>
        </w:rPr>
        <w:t xml:space="preserve">estableció que para el </w:t>
      </w:r>
      <w:r w:rsidR="00900F7C" w:rsidRPr="00C7012F">
        <w:rPr>
          <w:rFonts w:ascii="Arial" w:hAnsi="Arial" w:cs="Arial"/>
          <w:color w:val="000000" w:themeColor="text1"/>
          <w:sz w:val="22"/>
          <w:szCs w:val="22"/>
        </w:rPr>
        <w:t xml:space="preserve">tercer </w:t>
      </w:r>
      <w:r w:rsidR="005D408E" w:rsidRPr="00C7012F">
        <w:rPr>
          <w:rFonts w:ascii="Arial" w:hAnsi="Arial" w:cs="Arial"/>
          <w:color w:val="000000" w:themeColor="text1"/>
          <w:sz w:val="22"/>
          <w:szCs w:val="22"/>
        </w:rPr>
        <w:t>trimestre de 20</w:t>
      </w:r>
      <w:r w:rsidR="00E15BD1" w:rsidRPr="00C7012F">
        <w:rPr>
          <w:rFonts w:ascii="Arial" w:hAnsi="Arial" w:cs="Arial"/>
          <w:color w:val="000000" w:themeColor="text1"/>
          <w:sz w:val="22"/>
          <w:szCs w:val="22"/>
        </w:rPr>
        <w:t>20</w:t>
      </w:r>
      <w:r w:rsidR="005D408E" w:rsidRPr="00C7012F">
        <w:rPr>
          <w:rFonts w:ascii="Arial" w:hAnsi="Arial" w:cs="Arial"/>
          <w:color w:val="000000" w:themeColor="text1"/>
          <w:sz w:val="22"/>
          <w:szCs w:val="22"/>
        </w:rPr>
        <w:t xml:space="preserve"> </w:t>
      </w:r>
      <w:r w:rsidR="00391651" w:rsidRPr="00C7012F">
        <w:rPr>
          <w:rFonts w:ascii="Arial" w:hAnsi="Arial" w:cs="Arial"/>
          <w:color w:val="000000" w:themeColor="text1"/>
          <w:sz w:val="22"/>
          <w:szCs w:val="22"/>
        </w:rPr>
        <w:t xml:space="preserve">se suscribieron </w:t>
      </w:r>
      <w:r w:rsidR="00EC2994">
        <w:rPr>
          <w:rFonts w:ascii="Arial" w:hAnsi="Arial" w:cs="Arial"/>
          <w:color w:val="000000" w:themeColor="text1"/>
          <w:sz w:val="22"/>
          <w:szCs w:val="22"/>
        </w:rPr>
        <w:t xml:space="preserve">10 </w:t>
      </w:r>
      <w:r w:rsidR="00723396" w:rsidRPr="00C7012F">
        <w:rPr>
          <w:rFonts w:ascii="Arial" w:hAnsi="Arial" w:cs="Arial"/>
          <w:color w:val="000000" w:themeColor="text1"/>
          <w:sz w:val="22"/>
          <w:szCs w:val="22"/>
        </w:rPr>
        <w:t>contrat</w:t>
      </w:r>
      <w:r w:rsidR="00E15BD1" w:rsidRPr="00C7012F">
        <w:rPr>
          <w:rFonts w:ascii="Arial" w:hAnsi="Arial" w:cs="Arial"/>
          <w:color w:val="000000" w:themeColor="text1"/>
          <w:sz w:val="22"/>
          <w:szCs w:val="22"/>
        </w:rPr>
        <w:t xml:space="preserve">os </w:t>
      </w:r>
      <w:r w:rsidR="00A6285D" w:rsidRPr="00C7012F">
        <w:rPr>
          <w:rFonts w:ascii="Arial" w:hAnsi="Arial" w:cs="Arial"/>
          <w:color w:val="000000" w:themeColor="text1"/>
          <w:sz w:val="22"/>
          <w:szCs w:val="22"/>
        </w:rPr>
        <w:t>referentes a prestación de servicios profesionales y de apoyo a la gestión</w:t>
      </w:r>
      <w:r w:rsidR="00204BBD" w:rsidRPr="00C7012F">
        <w:rPr>
          <w:rFonts w:ascii="Arial" w:hAnsi="Arial" w:cs="Arial"/>
          <w:color w:val="000000" w:themeColor="text1"/>
          <w:sz w:val="22"/>
          <w:szCs w:val="22"/>
        </w:rPr>
        <w:t xml:space="preserve"> correspondiente</w:t>
      </w:r>
      <w:r w:rsidR="000A6466" w:rsidRPr="00C7012F">
        <w:rPr>
          <w:rFonts w:ascii="Arial" w:hAnsi="Arial" w:cs="Arial"/>
          <w:color w:val="000000" w:themeColor="text1"/>
          <w:sz w:val="22"/>
          <w:szCs w:val="22"/>
        </w:rPr>
        <w:t>s</w:t>
      </w:r>
      <w:r w:rsidR="00204BBD" w:rsidRPr="00C7012F">
        <w:rPr>
          <w:rFonts w:ascii="Arial" w:hAnsi="Arial" w:cs="Arial"/>
          <w:color w:val="000000" w:themeColor="text1"/>
          <w:sz w:val="22"/>
          <w:szCs w:val="22"/>
        </w:rPr>
        <w:t xml:space="preserve"> al rubro presupuestal A-02-02-02-008</w:t>
      </w:r>
      <w:r w:rsidR="00A6285D" w:rsidRPr="00C7012F">
        <w:rPr>
          <w:rFonts w:ascii="Arial" w:hAnsi="Arial" w:cs="Arial"/>
          <w:color w:val="000000" w:themeColor="text1"/>
          <w:sz w:val="22"/>
          <w:szCs w:val="22"/>
        </w:rPr>
        <w:t>, a saber</w:t>
      </w:r>
      <w:r w:rsidR="008F6A7D" w:rsidRPr="00C7012F">
        <w:rPr>
          <w:rFonts w:ascii="Arial" w:hAnsi="Arial" w:cs="Arial"/>
          <w:color w:val="000000" w:themeColor="text1"/>
          <w:sz w:val="22"/>
          <w:szCs w:val="22"/>
        </w:rPr>
        <w:t>:</w:t>
      </w:r>
    </w:p>
    <w:p w14:paraId="194E383D" w14:textId="77777777" w:rsidR="00DB1E4D" w:rsidRPr="00CA48AF" w:rsidRDefault="00DB1E4D" w:rsidP="009A28FA">
      <w:pPr>
        <w:jc w:val="both"/>
        <w:rPr>
          <w:rFonts w:ascii="Arial" w:hAnsi="Arial" w:cs="Arial"/>
          <w:color w:val="000000"/>
          <w:sz w:val="22"/>
          <w:szCs w:val="22"/>
          <w:highlight w:val="yellow"/>
        </w:rPr>
      </w:pPr>
    </w:p>
    <w:tbl>
      <w:tblPr>
        <w:tblStyle w:val="Tabladecuadrcula1clara-nfasis1"/>
        <w:tblW w:w="0" w:type="auto"/>
        <w:jc w:val="right"/>
        <w:tblLayout w:type="fixed"/>
        <w:tblLook w:val="04A0" w:firstRow="1" w:lastRow="0" w:firstColumn="1" w:lastColumn="0" w:noHBand="0" w:noVBand="1"/>
      </w:tblPr>
      <w:tblGrid>
        <w:gridCol w:w="2552"/>
        <w:gridCol w:w="1276"/>
        <w:gridCol w:w="1418"/>
        <w:gridCol w:w="1417"/>
        <w:gridCol w:w="1418"/>
        <w:gridCol w:w="1588"/>
      </w:tblGrid>
      <w:tr w:rsidR="00900F7C" w:rsidRPr="00A60CB2" w14:paraId="74CFD6C3" w14:textId="77777777" w:rsidTr="00A60CB2">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4F81BD" w:themeFill="accent1"/>
            <w:vAlign w:val="center"/>
            <w:hideMark/>
          </w:tcPr>
          <w:p w14:paraId="70A1C3CF" w14:textId="77777777" w:rsidR="00900F7C" w:rsidRPr="00A60CB2" w:rsidRDefault="00900F7C" w:rsidP="00A60CB2">
            <w:pPr>
              <w:widowControl w:val="0"/>
              <w:spacing w:before="40" w:after="20"/>
              <w:jc w:val="center"/>
              <w:rPr>
                <w:rFonts w:ascii="Arial" w:hAnsi="Arial" w:cs="Arial"/>
                <w:color w:val="FFFFFF" w:themeColor="background1"/>
                <w:sz w:val="20"/>
                <w:szCs w:val="20"/>
              </w:rPr>
            </w:pPr>
            <w:r w:rsidRPr="00A60CB2">
              <w:rPr>
                <w:rFonts w:ascii="Arial" w:hAnsi="Arial" w:cs="Arial"/>
                <w:color w:val="FFFFFF" w:themeColor="background1"/>
                <w:sz w:val="20"/>
                <w:szCs w:val="20"/>
              </w:rPr>
              <w:t xml:space="preserve">Dependencia </w:t>
            </w:r>
          </w:p>
        </w:tc>
        <w:tc>
          <w:tcPr>
            <w:tcW w:w="1276" w:type="dxa"/>
            <w:vMerge w:val="restart"/>
            <w:shd w:val="clear" w:color="auto" w:fill="4F81BD" w:themeFill="accent1"/>
            <w:vAlign w:val="center"/>
            <w:hideMark/>
          </w:tcPr>
          <w:p w14:paraId="08E1E1E0" w14:textId="77777777" w:rsidR="00900F7C" w:rsidRPr="00A60CB2" w:rsidRDefault="00900F7C" w:rsidP="00A60CB2">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60CB2">
              <w:rPr>
                <w:rFonts w:ascii="Arial" w:hAnsi="Arial" w:cs="Arial"/>
                <w:color w:val="FFFFFF" w:themeColor="background1"/>
                <w:sz w:val="20"/>
                <w:szCs w:val="20"/>
              </w:rPr>
              <w:t># Contratos</w:t>
            </w:r>
          </w:p>
        </w:tc>
        <w:tc>
          <w:tcPr>
            <w:tcW w:w="5841" w:type="dxa"/>
            <w:gridSpan w:val="4"/>
            <w:shd w:val="clear" w:color="auto" w:fill="4F81BD" w:themeFill="accent1"/>
            <w:vAlign w:val="center"/>
          </w:tcPr>
          <w:p w14:paraId="0C5F5352" w14:textId="7CD6F3FC" w:rsidR="00900F7C" w:rsidRPr="00A60CB2" w:rsidRDefault="00900F7C" w:rsidP="00A60CB2">
            <w:pPr>
              <w:widowControl w:val="0"/>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A60CB2">
              <w:rPr>
                <w:rFonts w:ascii="Arial" w:hAnsi="Arial" w:cs="Arial"/>
                <w:color w:val="FFFFFF" w:themeColor="background1"/>
                <w:sz w:val="20"/>
                <w:szCs w:val="20"/>
              </w:rPr>
              <w:t>Contratos Suscritos III Trimestre de 2020 ($)</w:t>
            </w:r>
          </w:p>
        </w:tc>
      </w:tr>
      <w:tr w:rsidR="00900F7C" w:rsidRPr="00A60CB2" w14:paraId="5604AC94"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4F81BD" w:themeFill="accent1"/>
            <w:vAlign w:val="center"/>
            <w:hideMark/>
          </w:tcPr>
          <w:p w14:paraId="646EE069" w14:textId="77777777" w:rsidR="00900F7C" w:rsidRPr="00A60CB2" w:rsidRDefault="00900F7C" w:rsidP="00A60CB2">
            <w:pPr>
              <w:widowControl w:val="0"/>
              <w:spacing w:before="40" w:after="20"/>
              <w:rPr>
                <w:rFonts w:ascii="Arial" w:hAnsi="Arial" w:cs="Arial"/>
                <w:color w:val="FFFFFF" w:themeColor="background1"/>
                <w:sz w:val="20"/>
                <w:szCs w:val="20"/>
              </w:rPr>
            </w:pPr>
          </w:p>
        </w:tc>
        <w:tc>
          <w:tcPr>
            <w:tcW w:w="1276" w:type="dxa"/>
            <w:vMerge/>
            <w:shd w:val="clear" w:color="auto" w:fill="4F81BD" w:themeFill="accent1"/>
            <w:vAlign w:val="center"/>
            <w:hideMark/>
          </w:tcPr>
          <w:p w14:paraId="0CA419CD" w14:textId="77777777" w:rsidR="00900F7C" w:rsidRPr="00A60CB2" w:rsidRDefault="00900F7C"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1418" w:type="dxa"/>
            <w:shd w:val="clear" w:color="auto" w:fill="4F81BD" w:themeFill="accent1"/>
            <w:vAlign w:val="center"/>
            <w:hideMark/>
          </w:tcPr>
          <w:p w14:paraId="0E7E9868" w14:textId="14462878" w:rsidR="00900F7C" w:rsidRPr="00A60CB2" w:rsidRDefault="002C4C58"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Julio </w:t>
            </w:r>
          </w:p>
        </w:tc>
        <w:tc>
          <w:tcPr>
            <w:tcW w:w="1417" w:type="dxa"/>
            <w:shd w:val="clear" w:color="auto" w:fill="4F81BD" w:themeFill="accent1"/>
            <w:vAlign w:val="center"/>
          </w:tcPr>
          <w:p w14:paraId="4AFED363" w14:textId="662380A9" w:rsidR="00900F7C" w:rsidRPr="00A60CB2" w:rsidRDefault="002C4C58"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Agosto </w:t>
            </w:r>
          </w:p>
        </w:tc>
        <w:tc>
          <w:tcPr>
            <w:tcW w:w="1418" w:type="dxa"/>
            <w:shd w:val="clear" w:color="auto" w:fill="4F81BD" w:themeFill="accent1"/>
            <w:vAlign w:val="center"/>
            <w:hideMark/>
          </w:tcPr>
          <w:p w14:paraId="29A97379" w14:textId="138306AE" w:rsidR="00900F7C" w:rsidRPr="00A60CB2" w:rsidRDefault="002C4C58"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Septiembre </w:t>
            </w:r>
          </w:p>
        </w:tc>
        <w:tc>
          <w:tcPr>
            <w:tcW w:w="1588" w:type="dxa"/>
            <w:shd w:val="clear" w:color="auto" w:fill="4F81BD" w:themeFill="accent1"/>
            <w:vAlign w:val="center"/>
            <w:hideMark/>
          </w:tcPr>
          <w:p w14:paraId="27FAA7D0" w14:textId="2512AE4B" w:rsidR="00900F7C" w:rsidRPr="00A60CB2" w:rsidRDefault="00900F7C"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 Valor Total de Contratos ($)</w:t>
            </w:r>
          </w:p>
        </w:tc>
      </w:tr>
      <w:tr w:rsidR="00DA1712" w:rsidRPr="00A60CB2" w14:paraId="4C67994E"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29E4E232" w14:textId="6E971293"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Subdirección Jurídica</w:t>
            </w:r>
          </w:p>
        </w:tc>
        <w:tc>
          <w:tcPr>
            <w:tcW w:w="1276" w:type="dxa"/>
            <w:noWrap/>
            <w:vAlign w:val="center"/>
          </w:tcPr>
          <w:p w14:paraId="4CC65980" w14:textId="34B073EF"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2</w:t>
            </w:r>
          </w:p>
        </w:tc>
        <w:tc>
          <w:tcPr>
            <w:tcW w:w="1418" w:type="dxa"/>
            <w:noWrap/>
            <w:vAlign w:val="center"/>
          </w:tcPr>
          <w:p w14:paraId="70646C52" w14:textId="705C6C44" w:rsidR="00DA1712" w:rsidRPr="00A60CB2" w:rsidRDefault="00DA1712" w:rsidP="00FA1DB8">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34.844.540 </w:t>
            </w:r>
          </w:p>
        </w:tc>
        <w:tc>
          <w:tcPr>
            <w:tcW w:w="1417" w:type="dxa"/>
            <w:vAlign w:val="center"/>
          </w:tcPr>
          <w:p w14:paraId="579C8A69" w14:textId="24B261BE"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418" w:type="dxa"/>
            <w:noWrap/>
            <w:vAlign w:val="center"/>
          </w:tcPr>
          <w:p w14:paraId="2B76CB77" w14:textId="6A5C855F"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63.395.000 </w:t>
            </w:r>
          </w:p>
        </w:tc>
        <w:tc>
          <w:tcPr>
            <w:tcW w:w="1588" w:type="dxa"/>
            <w:vAlign w:val="center"/>
          </w:tcPr>
          <w:p w14:paraId="07686E99" w14:textId="23AA2ADF"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98.239.540</w:t>
            </w:r>
          </w:p>
        </w:tc>
      </w:tr>
      <w:tr w:rsidR="00DA1712" w:rsidRPr="00A60CB2" w14:paraId="13B15721"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6677B052" w14:textId="2EA9C5B4"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Despacho del Ministro</w:t>
            </w:r>
          </w:p>
        </w:tc>
        <w:tc>
          <w:tcPr>
            <w:tcW w:w="1276" w:type="dxa"/>
            <w:noWrap/>
            <w:vAlign w:val="center"/>
          </w:tcPr>
          <w:p w14:paraId="18B416C7" w14:textId="777ABF3D"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4FDA93BA" w14:textId="4CD0F524" w:rsidR="00DA1712" w:rsidRPr="00A60CB2" w:rsidRDefault="00DA1712" w:rsidP="00FA1DB8">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67.980.000 </w:t>
            </w:r>
          </w:p>
        </w:tc>
        <w:tc>
          <w:tcPr>
            <w:tcW w:w="1417" w:type="dxa"/>
            <w:vAlign w:val="center"/>
          </w:tcPr>
          <w:p w14:paraId="0F6232B2" w14:textId="7BD3CE5D"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418" w:type="dxa"/>
            <w:noWrap/>
            <w:vAlign w:val="center"/>
          </w:tcPr>
          <w:p w14:paraId="453F8E43" w14:textId="3ACD4FA1"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588" w:type="dxa"/>
            <w:vAlign w:val="center"/>
          </w:tcPr>
          <w:p w14:paraId="324171A3" w14:textId="4BA0C531"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67.980.000</w:t>
            </w:r>
          </w:p>
        </w:tc>
      </w:tr>
      <w:tr w:rsidR="00DA1712" w:rsidRPr="00A60CB2" w14:paraId="42D6DF24"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2F81A8D5" w14:textId="36CF4F2B"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Dirección de Tecnología</w:t>
            </w:r>
          </w:p>
        </w:tc>
        <w:tc>
          <w:tcPr>
            <w:tcW w:w="1276" w:type="dxa"/>
            <w:noWrap/>
            <w:vAlign w:val="center"/>
          </w:tcPr>
          <w:p w14:paraId="1C36BF49" w14:textId="4E4C096C"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7B550711" w14:textId="2117EB4D" w:rsidR="00DA1712" w:rsidRPr="00A60CB2" w:rsidRDefault="00DA1712" w:rsidP="00FA1DB8">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71.153.539 </w:t>
            </w:r>
          </w:p>
        </w:tc>
        <w:tc>
          <w:tcPr>
            <w:tcW w:w="1417" w:type="dxa"/>
            <w:vAlign w:val="center"/>
          </w:tcPr>
          <w:p w14:paraId="07FD162F" w14:textId="2F8A7769"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14:paraId="1348B80F" w14:textId="72F74A25"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588" w:type="dxa"/>
            <w:vAlign w:val="center"/>
          </w:tcPr>
          <w:p w14:paraId="67C9C6A7" w14:textId="00EDE26A"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71.153.539</w:t>
            </w:r>
          </w:p>
        </w:tc>
      </w:tr>
      <w:tr w:rsidR="00DA1712" w:rsidRPr="00A60CB2" w14:paraId="0E4FB581"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0BF431E3" w14:textId="32C14673"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Dirección General de Regulación Económica de la Seguridad Social</w:t>
            </w:r>
          </w:p>
        </w:tc>
        <w:tc>
          <w:tcPr>
            <w:tcW w:w="1276" w:type="dxa"/>
            <w:noWrap/>
            <w:vAlign w:val="center"/>
          </w:tcPr>
          <w:p w14:paraId="322A8B29" w14:textId="3BB88B69"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2529787E" w14:textId="31C9089F" w:rsidR="00DA1712" w:rsidRPr="00A60CB2" w:rsidRDefault="00DA1712" w:rsidP="00FA1DB8">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 39.293.884  </w:t>
            </w:r>
          </w:p>
        </w:tc>
        <w:tc>
          <w:tcPr>
            <w:tcW w:w="1417" w:type="dxa"/>
            <w:vAlign w:val="center"/>
          </w:tcPr>
          <w:p w14:paraId="43003006" w14:textId="77777777"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8" w:type="dxa"/>
            <w:noWrap/>
            <w:vAlign w:val="center"/>
          </w:tcPr>
          <w:p w14:paraId="793F1D22" w14:textId="085C8E90"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588" w:type="dxa"/>
            <w:vAlign w:val="center"/>
          </w:tcPr>
          <w:p w14:paraId="054DA215" w14:textId="2B86E5E5"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39.293.884</w:t>
            </w:r>
          </w:p>
        </w:tc>
      </w:tr>
      <w:tr w:rsidR="00DA1712" w:rsidRPr="00A60CB2" w14:paraId="6134D129"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22F2E058" w14:textId="6303D310"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Oficina de Bonos Pensionales</w:t>
            </w:r>
          </w:p>
        </w:tc>
        <w:tc>
          <w:tcPr>
            <w:tcW w:w="1276" w:type="dxa"/>
            <w:noWrap/>
            <w:vAlign w:val="center"/>
          </w:tcPr>
          <w:p w14:paraId="5A955893" w14:textId="24C5048D"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2E73D99E" w14:textId="354C52BD" w:rsidR="00DA1712" w:rsidRPr="00A60CB2" w:rsidRDefault="00DA1712" w:rsidP="00FA1DB8">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57.859.901 </w:t>
            </w:r>
          </w:p>
        </w:tc>
        <w:tc>
          <w:tcPr>
            <w:tcW w:w="1417" w:type="dxa"/>
            <w:vAlign w:val="center"/>
          </w:tcPr>
          <w:p w14:paraId="2D70508D" w14:textId="4C0EFB5E"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418" w:type="dxa"/>
            <w:noWrap/>
            <w:vAlign w:val="center"/>
          </w:tcPr>
          <w:p w14:paraId="48CEF602" w14:textId="75CE35C3"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588" w:type="dxa"/>
            <w:vAlign w:val="center"/>
          </w:tcPr>
          <w:p w14:paraId="46C07AD3" w14:textId="16D5FB63"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57.859.901</w:t>
            </w:r>
          </w:p>
        </w:tc>
      </w:tr>
      <w:tr w:rsidR="00DA1712" w:rsidRPr="00A60CB2" w14:paraId="49E13100"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483B4630" w14:textId="513B7941"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Dirección General de Crédito Público y Tesoro Nacional</w:t>
            </w:r>
          </w:p>
        </w:tc>
        <w:tc>
          <w:tcPr>
            <w:tcW w:w="1276" w:type="dxa"/>
            <w:noWrap/>
            <w:vAlign w:val="center"/>
          </w:tcPr>
          <w:p w14:paraId="25007EAC" w14:textId="3C50AD05"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1F086128" w14:textId="2DAABB65"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vAlign w:val="center"/>
          </w:tcPr>
          <w:p w14:paraId="1F83F8C0" w14:textId="111CF4B6"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 33.509.178</w:t>
            </w:r>
          </w:p>
        </w:tc>
        <w:tc>
          <w:tcPr>
            <w:tcW w:w="1418" w:type="dxa"/>
            <w:noWrap/>
            <w:vAlign w:val="center"/>
          </w:tcPr>
          <w:p w14:paraId="24EAA097" w14:textId="59B3A306"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588" w:type="dxa"/>
            <w:vAlign w:val="center"/>
          </w:tcPr>
          <w:p w14:paraId="581F753B" w14:textId="3AEA7483"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33.509.178</w:t>
            </w:r>
          </w:p>
        </w:tc>
      </w:tr>
      <w:tr w:rsidR="00DA1712" w:rsidRPr="00A60CB2" w14:paraId="6ABF1B26"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522CD410" w14:textId="177A0CF0"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 xml:space="preserve">Despacho Viceministerio General </w:t>
            </w:r>
          </w:p>
        </w:tc>
        <w:tc>
          <w:tcPr>
            <w:tcW w:w="1276" w:type="dxa"/>
            <w:noWrap/>
            <w:vAlign w:val="center"/>
          </w:tcPr>
          <w:p w14:paraId="1CD05A95" w14:textId="76371DD0"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002FC7C5" w14:textId="3B7FA687"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417" w:type="dxa"/>
            <w:vAlign w:val="center"/>
          </w:tcPr>
          <w:p w14:paraId="440F888A" w14:textId="2B246D86"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  42.000.000 </w:t>
            </w:r>
          </w:p>
        </w:tc>
        <w:tc>
          <w:tcPr>
            <w:tcW w:w="1418" w:type="dxa"/>
            <w:noWrap/>
            <w:vAlign w:val="center"/>
          </w:tcPr>
          <w:p w14:paraId="22F5E3E9" w14:textId="77777777"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588" w:type="dxa"/>
            <w:vAlign w:val="center"/>
          </w:tcPr>
          <w:p w14:paraId="4E353856" w14:textId="2D60D695"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42.000.000</w:t>
            </w:r>
          </w:p>
        </w:tc>
      </w:tr>
      <w:tr w:rsidR="00DA1712" w:rsidRPr="00A60CB2" w14:paraId="7AEC99E5"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54CD0E18" w14:textId="46EEAEAD" w:rsidR="00DA1712" w:rsidRPr="00A60CB2" w:rsidRDefault="00DA1712" w:rsidP="00A60CB2">
            <w:pPr>
              <w:widowControl w:val="0"/>
              <w:spacing w:before="40" w:after="20"/>
              <w:jc w:val="center"/>
              <w:rPr>
                <w:rFonts w:ascii="Arial" w:hAnsi="Arial" w:cs="Arial"/>
                <w:color w:val="0F243E"/>
                <w:sz w:val="20"/>
                <w:szCs w:val="20"/>
              </w:rPr>
            </w:pPr>
            <w:r w:rsidRPr="00A60CB2">
              <w:rPr>
                <w:rFonts w:ascii="Arial" w:hAnsi="Arial" w:cs="Arial"/>
                <w:b w:val="0"/>
                <w:bCs w:val="0"/>
                <w:color w:val="0F243E" w:themeColor="text2" w:themeShade="80"/>
                <w:sz w:val="20"/>
                <w:szCs w:val="20"/>
              </w:rPr>
              <w:t>Dirección General de Política Macroeconómica</w:t>
            </w:r>
          </w:p>
        </w:tc>
        <w:tc>
          <w:tcPr>
            <w:tcW w:w="1276" w:type="dxa"/>
            <w:noWrap/>
            <w:vAlign w:val="center"/>
          </w:tcPr>
          <w:p w14:paraId="59A2869C" w14:textId="514E255D"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4B12EAFC" w14:textId="77777777"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417" w:type="dxa"/>
            <w:vAlign w:val="center"/>
          </w:tcPr>
          <w:p w14:paraId="2FCD96FF" w14:textId="78F760F3"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10253F"/>
                <w:sz w:val="20"/>
                <w:szCs w:val="20"/>
              </w:rPr>
            </w:pPr>
            <w:r w:rsidRPr="00A60CB2">
              <w:rPr>
                <w:rFonts w:ascii="Arial" w:hAnsi="Arial" w:cs="Arial"/>
                <w:color w:val="10253F"/>
                <w:sz w:val="20"/>
                <w:szCs w:val="20"/>
              </w:rPr>
              <w:t>9.997.500</w:t>
            </w:r>
          </w:p>
        </w:tc>
        <w:tc>
          <w:tcPr>
            <w:tcW w:w="1418" w:type="dxa"/>
            <w:noWrap/>
            <w:vAlign w:val="center"/>
          </w:tcPr>
          <w:p w14:paraId="7D26791E" w14:textId="77777777"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588" w:type="dxa"/>
            <w:vAlign w:val="center"/>
          </w:tcPr>
          <w:p w14:paraId="480174DA" w14:textId="7714E944"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9.997.500</w:t>
            </w:r>
          </w:p>
        </w:tc>
      </w:tr>
      <w:tr w:rsidR="00DA1712" w:rsidRPr="00A60CB2" w14:paraId="776FC8BC"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noWrap/>
            <w:vAlign w:val="center"/>
          </w:tcPr>
          <w:p w14:paraId="0B729A17" w14:textId="57B233DE" w:rsidR="00DA1712" w:rsidRPr="00A60CB2" w:rsidRDefault="00DA1712" w:rsidP="00A60CB2">
            <w:pPr>
              <w:widowControl w:val="0"/>
              <w:spacing w:before="40" w:after="20"/>
              <w:jc w:val="center"/>
              <w:rPr>
                <w:rFonts w:ascii="Arial" w:hAnsi="Arial" w:cs="Arial"/>
                <w:b w:val="0"/>
                <w:bCs w:val="0"/>
                <w:color w:val="0F243E" w:themeColor="text2" w:themeShade="80"/>
                <w:sz w:val="20"/>
                <w:szCs w:val="20"/>
              </w:rPr>
            </w:pPr>
            <w:r w:rsidRPr="00A60CB2">
              <w:rPr>
                <w:rFonts w:ascii="Arial" w:hAnsi="Arial" w:cs="Arial"/>
                <w:b w:val="0"/>
                <w:bCs w:val="0"/>
                <w:color w:val="0F243E" w:themeColor="text2" w:themeShade="80"/>
                <w:sz w:val="20"/>
                <w:szCs w:val="20"/>
              </w:rPr>
              <w:t>Oficina de Control Disciplinario Interno</w:t>
            </w:r>
          </w:p>
        </w:tc>
        <w:tc>
          <w:tcPr>
            <w:tcW w:w="1276" w:type="dxa"/>
            <w:noWrap/>
            <w:vAlign w:val="center"/>
          </w:tcPr>
          <w:p w14:paraId="468E1030" w14:textId="2D5D88DC" w:rsidR="00DA1712" w:rsidRPr="00A60CB2" w:rsidRDefault="00DA1712"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1</w:t>
            </w:r>
          </w:p>
        </w:tc>
        <w:tc>
          <w:tcPr>
            <w:tcW w:w="1418" w:type="dxa"/>
            <w:noWrap/>
            <w:vAlign w:val="center"/>
          </w:tcPr>
          <w:p w14:paraId="530FE53E" w14:textId="68D6B968"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xml:space="preserve">   </w:t>
            </w:r>
          </w:p>
        </w:tc>
        <w:tc>
          <w:tcPr>
            <w:tcW w:w="1417" w:type="dxa"/>
            <w:vAlign w:val="center"/>
          </w:tcPr>
          <w:p w14:paraId="23DA5344" w14:textId="64C41CCE"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 </w:t>
            </w:r>
          </w:p>
        </w:tc>
        <w:tc>
          <w:tcPr>
            <w:tcW w:w="1418" w:type="dxa"/>
            <w:noWrap/>
            <w:vAlign w:val="center"/>
          </w:tcPr>
          <w:p w14:paraId="09B92615" w14:textId="3F03EF66"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60CB2">
              <w:rPr>
                <w:rFonts w:ascii="Arial" w:hAnsi="Arial" w:cs="Arial"/>
                <w:color w:val="0F243E" w:themeColor="text2" w:themeShade="80"/>
                <w:sz w:val="20"/>
                <w:szCs w:val="20"/>
              </w:rPr>
              <w:t>20.188.000  </w:t>
            </w:r>
          </w:p>
        </w:tc>
        <w:tc>
          <w:tcPr>
            <w:tcW w:w="1588" w:type="dxa"/>
            <w:vAlign w:val="center"/>
          </w:tcPr>
          <w:p w14:paraId="1EF6A6F5" w14:textId="2B9906AE"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60CB2">
              <w:rPr>
                <w:rFonts w:ascii="Arial" w:hAnsi="Arial" w:cs="Arial"/>
                <w:b/>
                <w:bCs/>
                <w:color w:val="10253F"/>
                <w:sz w:val="20"/>
                <w:szCs w:val="20"/>
              </w:rPr>
              <w:t>20.188.000</w:t>
            </w:r>
          </w:p>
        </w:tc>
      </w:tr>
      <w:tr w:rsidR="00DA1712" w:rsidRPr="00A60CB2" w14:paraId="534C6268" w14:textId="77777777" w:rsidTr="00A60CB2">
        <w:trPr>
          <w:cantSplit/>
          <w:jc w:val="right"/>
        </w:trPr>
        <w:tc>
          <w:tcPr>
            <w:cnfStyle w:val="001000000000" w:firstRow="0" w:lastRow="0" w:firstColumn="1" w:lastColumn="0" w:oddVBand="0" w:evenVBand="0" w:oddHBand="0" w:evenHBand="0" w:firstRowFirstColumn="0" w:firstRowLastColumn="0" w:lastRowFirstColumn="0" w:lastRowLastColumn="0"/>
            <w:tcW w:w="2552" w:type="dxa"/>
            <w:shd w:val="clear" w:color="auto" w:fill="4F81BD" w:themeFill="accent1"/>
            <w:vAlign w:val="center"/>
          </w:tcPr>
          <w:p w14:paraId="4866D3DE" w14:textId="76F2195A" w:rsidR="00DA1712" w:rsidRPr="00A60CB2" w:rsidRDefault="00DA1712" w:rsidP="00A60CB2">
            <w:pPr>
              <w:widowControl w:val="0"/>
              <w:spacing w:before="40" w:after="20"/>
              <w:jc w:val="center"/>
              <w:rPr>
                <w:rFonts w:ascii="Arial" w:hAnsi="Arial" w:cs="Arial"/>
                <w:color w:val="FFFFFF" w:themeColor="background1"/>
                <w:sz w:val="20"/>
                <w:szCs w:val="20"/>
              </w:rPr>
            </w:pPr>
            <w:r w:rsidRPr="00A60CB2">
              <w:rPr>
                <w:rFonts w:ascii="Arial" w:hAnsi="Arial" w:cs="Arial"/>
                <w:color w:val="FFFFFF" w:themeColor="background1"/>
                <w:sz w:val="20"/>
                <w:szCs w:val="20"/>
              </w:rPr>
              <w:t>Total Contratos Suscritos</w:t>
            </w:r>
          </w:p>
        </w:tc>
        <w:tc>
          <w:tcPr>
            <w:tcW w:w="1276" w:type="dxa"/>
            <w:shd w:val="clear" w:color="auto" w:fill="4F81BD" w:themeFill="accent1"/>
            <w:noWrap/>
            <w:vAlign w:val="center"/>
          </w:tcPr>
          <w:p w14:paraId="2BDAB84D" w14:textId="50EA4005" w:rsidR="00DA1712" w:rsidRPr="00A60CB2" w:rsidRDefault="005D4C1B" w:rsidP="00A60CB2">
            <w:pPr>
              <w:widowControl w:val="0"/>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10</w:t>
            </w:r>
          </w:p>
        </w:tc>
        <w:tc>
          <w:tcPr>
            <w:tcW w:w="1418" w:type="dxa"/>
            <w:shd w:val="clear" w:color="auto" w:fill="4F81BD" w:themeFill="accent1"/>
            <w:noWrap/>
            <w:vAlign w:val="center"/>
          </w:tcPr>
          <w:p w14:paraId="00DD34D9" w14:textId="724BFD90" w:rsidR="00DA1712" w:rsidRPr="00A60CB2" w:rsidRDefault="00DA1712" w:rsidP="00A60CB2">
            <w:pPr>
              <w:spacing w:before="40" w:after="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 271.131.864 </w:t>
            </w:r>
          </w:p>
        </w:tc>
        <w:tc>
          <w:tcPr>
            <w:tcW w:w="1417" w:type="dxa"/>
            <w:shd w:val="clear" w:color="auto" w:fill="4F81BD" w:themeFill="accent1"/>
            <w:vAlign w:val="center"/>
          </w:tcPr>
          <w:p w14:paraId="12458439" w14:textId="7DA24871"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A60CB2">
              <w:rPr>
                <w:rFonts w:ascii="Arial" w:hAnsi="Arial" w:cs="Arial"/>
                <w:b/>
                <w:bCs/>
                <w:color w:val="FFFFFF" w:themeColor="background1"/>
                <w:sz w:val="20"/>
                <w:szCs w:val="20"/>
              </w:rPr>
              <w:t>85.506.678</w:t>
            </w:r>
          </w:p>
        </w:tc>
        <w:tc>
          <w:tcPr>
            <w:tcW w:w="1418" w:type="dxa"/>
            <w:shd w:val="clear" w:color="auto" w:fill="4F81BD" w:themeFill="accent1"/>
            <w:noWrap/>
            <w:vAlign w:val="center"/>
          </w:tcPr>
          <w:p w14:paraId="41411843" w14:textId="5AE8AEE0" w:rsidR="00DA1712" w:rsidRPr="00A60CB2" w:rsidRDefault="00DA1712" w:rsidP="00A60CB2">
            <w:pPr>
              <w:widowControl w:val="0"/>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A60CB2">
              <w:rPr>
                <w:rFonts w:ascii="Arial" w:hAnsi="Arial" w:cs="Arial"/>
                <w:b/>
                <w:bCs/>
                <w:color w:val="FFFFFF" w:themeColor="background1"/>
                <w:sz w:val="20"/>
                <w:szCs w:val="20"/>
              </w:rPr>
              <w:t xml:space="preserve">83.583.000 </w:t>
            </w:r>
          </w:p>
        </w:tc>
        <w:tc>
          <w:tcPr>
            <w:tcW w:w="1588" w:type="dxa"/>
            <w:shd w:val="clear" w:color="auto" w:fill="4F81BD" w:themeFill="accent1"/>
            <w:noWrap/>
            <w:vAlign w:val="center"/>
          </w:tcPr>
          <w:p w14:paraId="0AF0CF46" w14:textId="6C4B2688" w:rsidR="00DA1712" w:rsidRPr="00A60CB2" w:rsidRDefault="00DA1712" w:rsidP="00A60CB2">
            <w:pPr>
              <w:spacing w:before="4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A60CB2">
              <w:rPr>
                <w:rFonts w:ascii="Arial" w:hAnsi="Arial" w:cs="Arial"/>
                <w:b/>
                <w:bCs/>
                <w:color w:val="FFFFFF" w:themeColor="background1"/>
                <w:sz w:val="20"/>
                <w:szCs w:val="20"/>
              </w:rPr>
              <w:t>440.221.542</w:t>
            </w:r>
          </w:p>
        </w:tc>
      </w:tr>
    </w:tbl>
    <w:p w14:paraId="739D23C8" w14:textId="77777777" w:rsidR="00700504" w:rsidRPr="00CA48AF" w:rsidRDefault="00700504" w:rsidP="00926D75">
      <w:pPr>
        <w:autoSpaceDE w:val="0"/>
        <w:autoSpaceDN w:val="0"/>
        <w:jc w:val="both"/>
        <w:rPr>
          <w:rFonts w:ascii="Arial" w:hAnsi="Arial" w:cs="Arial"/>
          <w:color w:val="000000"/>
          <w:sz w:val="22"/>
          <w:szCs w:val="22"/>
          <w:highlight w:val="yellow"/>
        </w:rPr>
      </w:pPr>
    </w:p>
    <w:p w14:paraId="17290038" w14:textId="037C03E3" w:rsidR="00723396" w:rsidRPr="00C7012F" w:rsidRDefault="00807500" w:rsidP="00926D75">
      <w:pPr>
        <w:autoSpaceDE w:val="0"/>
        <w:autoSpaceDN w:val="0"/>
        <w:jc w:val="both"/>
        <w:rPr>
          <w:rFonts w:ascii="Arial" w:hAnsi="Arial" w:cs="Arial"/>
          <w:color w:val="000000"/>
          <w:sz w:val="22"/>
          <w:szCs w:val="22"/>
        </w:rPr>
      </w:pPr>
      <w:r w:rsidRPr="00C7012F">
        <w:rPr>
          <w:rFonts w:ascii="Arial" w:hAnsi="Arial" w:cs="Arial"/>
          <w:color w:val="000000"/>
          <w:sz w:val="22"/>
          <w:szCs w:val="22"/>
        </w:rPr>
        <w:t xml:space="preserve">Como actividad de verificación </w:t>
      </w:r>
      <w:r w:rsidR="00502103" w:rsidRPr="00C7012F">
        <w:rPr>
          <w:rFonts w:ascii="Arial" w:hAnsi="Arial" w:cs="Arial"/>
          <w:color w:val="000000"/>
          <w:sz w:val="22"/>
          <w:szCs w:val="22"/>
        </w:rPr>
        <w:t xml:space="preserve">se </w:t>
      </w:r>
      <w:r w:rsidR="0034572A" w:rsidRPr="00C7012F">
        <w:rPr>
          <w:rFonts w:ascii="Arial" w:hAnsi="Arial" w:cs="Arial"/>
          <w:color w:val="000000"/>
          <w:sz w:val="22"/>
          <w:szCs w:val="22"/>
        </w:rPr>
        <w:t>llevó</w:t>
      </w:r>
      <w:r w:rsidRPr="00C7012F">
        <w:rPr>
          <w:rFonts w:ascii="Arial" w:hAnsi="Arial" w:cs="Arial"/>
          <w:color w:val="000000"/>
          <w:sz w:val="22"/>
          <w:szCs w:val="22"/>
        </w:rPr>
        <w:t xml:space="preserve"> a cabo una revisión documental</w:t>
      </w:r>
      <w:r w:rsidR="00894F2D" w:rsidRPr="00C7012F">
        <w:rPr>
          <w:rFonts w:ascii="Arial" w:hAnsi="Arial" w:cs="Arial"/>
          <w:color w:val="000000"/>
          <w:sz w:val="22"/>
          <w:szCs w:val="22"/>
        </w:rPr>
        <w:t xml:space="preserve"> [soportes de forma electrónica],</w:t>
      </w:r>
      <w:r w:rsidR="003A56A1" w:rsidRPr="00C7012F">
        <w:rPr>
          <w:rFonts w:ascii="Arial" w:hAnsi="Arial" w:cs="Arial"/>
          <w:color w:val="000000"/>
          <w:sz w:val="22"/>
          <w:szCs w:val="22"/>
        </w:rPr>
        <w:t xml:space="preserve"> </w:t>
      </w:r>
      <w:r w:rsidRPr="00C7012F">
        <w:rPr>
          <w:rFonts w:ascii="Arial" w:hAnsi="Arial" w:cs="Arial"/>
          <w:color w:val="000000"/>
          <w:sz w:val="22"/>
          <w:szCs w:val="22"/>
        </w:rPr>
        <w:t>de los contratos</w:t>
      </w:r>
      <w:r w:rsidR="003A56A1" w:rsidRPr="00C7012F">
        <w:rPr>
          <w:rFonts w:ascii="Arial" w:hAnsi="Arial" w:cs="Arial"/>
          <w:color w:val="000000"/>
          <w:sz w:val="22"/>
          <w:szCs w:val="22"/>
        </w:rPr>
        <w:t xml:space="preserve"> suscritos durante el periodo analizado, </w:t>
      </w:r>
      <w:r w:rsidR="00DC46BB" w:rsidRPr="00C7012F">
        <w:rPr>
          <w:rFonts w:ascii="Arial" w:hAnsi="Arial" w:cs="Arial"/>
          <w:color w:val="000000"/>
          <w:sz w:val="22"/>
          <w:szCs w:val="22"/>
        </w:rPr>
        <w:t>identificando</w:t>
      </w:r>
      <w:r w:rsidR="0038177E" w:rsidRPr="00C7012F">
        <w:rPr>
          <w:rFonts w:ascii="Arial" w:hAnsi="Arial" w:cs="Arial"/>
          <w:color w:val="000000"/>
          <w:sz w:val="22"/>
          <w:szCs w:val="22"/>
        </w:rPr>
        <w:t xml:space="preserve"> en cada uno</w:t>
      </w:r>
      <w:r w:rsidR="00F0622C" w:rsidRPr="00C7012F">
        <w:rPr>
          <w:rFonts w:ascii="Arial" w:hAnsi="Arial" w:cs="Arial"/>
          <w:color w:val="000000"/>
          <w:sz w:val="22"/>
          <w:szCs w:val="22"/>
        </w:rPr>
        <w:t xml:space="preserve"> </w:t>
      </w:r>
      <w:r w:rsidR="00221FEF" w:rsidRPr="00C7012F">
        <w:rPr>
          <w:rFonts w:ascii="Arial" w:hAnsi="Arial" w:cs="Arial"/>
          <w:color w:val="000000"/>
          <w:sz w:val="22"/>
          <w:szCs w:val="22"/>
        </w:rPr>
        <w:t>la</w:t>
      </w:r>
      <w:r w:rsidR="002F107E" w:rsidRPr="00C7012F">
        <w:rPr>
          <w:rFonts w:ascii="Arial" w:hAnsi="Arial" w:cs="Arial"/>
          <w:color w:val="000000"/>
          <w:sz w:val="22"/>
          <w:szCs w:val="22"/>
        </w:rPr>
        <w:t xml:space="preserve"> </w:t>
      </w:r>
      <w:r w:rsidR="00083E90" w:rsidRPr="00C7012F">
        <w:rPr>
          <w:rFonts w:ascii="Arial" w:hAnsi="Arial" w:cs="Arial"/>
          <w:color w:val="000000"/>
          <w:sz w:val="22"/>
          <w:szCs w:val="22"/>
        </w:rPr>
        <w:t>c</w:t>
      </w:r>
      <w:r w:rsidR="006D4E50" w:rsidRPr="00C7012F">
        <w:rPr>
          <w:rFonts w:ascii="Arial" w:hAnsi="Arial" w:cs="Arial"/>
          <w:color w:val="000000"/>
          <w:sz w:val="22"/>
          <w:szCs w:val="22"/>
        </w:rPr>
        <w:t>ertificación</w:t>
      </w:r>
      <w:r w:rsidR="00221FEF" w:rsidRPr="00C7012F">
        <w:rPr>
          <w:rFonts w:ascii="Arial" w:hAnsi="Arial" w:cs="Arial"/>
          <w:color w:val="000000"/>
          <w:sz w:val="22"/>
          <w:szCs w:val="22"/>
        </w:rPr>
        <w:t xml:space="preserve"> </w:t>
      </w:r>
      <w:r w:rsidR="00BE2B63" w:rsidRPr="00C7012F">
        <w:rPr>
          <w:rFonts w:ascii="Arial" w:hAnsi="Arial" w:cs="Arial"/>
          <w:color w:val="000000"/>
          <w:sz w:val="22"/>
          <w:szCs w:val="22"/>
        </w:rPr>
        <w:t xml:space="preserve">expedida </w:t>
      </w:r>
      <w:r w:rsidR="00221FEF" w:rsidRPr="00C7012F">
        <w:rPr>
          <w:rFonts w:ascii="Arial" w:hAnsi="Arial" w:cs="Arial"/>
          <w:color w:val="000000"/>
          <w:sz w:val="22"/>
          <w:szCs w:val="22"/>
        </w:rPr>
        <w:t xml:space="preserve">por la </w:t>
      </w:r>
      <w:r w:rsidR="00F04372" w:rsidRPr="00C7012F">
        <w:rPr>
          <w:rFonts w:ascii="Arial" w:hAnsi="Arial" w:cs="Arial"/>
          <w:sz w:val="22"/>
          <w:szCs w:val="22"/>
        </w:rPr>
        <w:t>Subdirección de Gestión del Talento Humano</w:t>
      </w:r>
      <w:r w:rsidR="002F107E" w:rsidRPr="00C7012F">
        <w:rPr>
          <w:rFonts w:ascii="Arial" w:hAnsi="Arial" w:cs="Arial"/>
          <w:color w:val="000000"/>
          <w:sz w:val="22"/>
          <w:szCs w:val="22"/>
        </w:rPr>
        <w:t xml:space="preserve">, </w:t>
      </w:r>
      <w:r w:rsidR="00F35D7A" w:rsidRPr="00C7012F">
        <w:rPr>
          <w:rFonts w:ascii="Arial" w:hAnsi="Arial" w:cs="Arial"/>
          <w:color w:val="000000"/>
          <w:sz w:val="22"/>
          <w:szCs w:val="22"/>
        </w:rPr>
        <w:t>en donde dicha área</w:t>
      </w:r>
      <w:r w:rsidR="005E3700" w:rsidRPr="00C7012F">
        <w:rPr>
          <w:rFonts w:ascii="Arial" w:hAnsi="Arial" w:cs="Arial"/>
          <w:color w:val="000000"/>
          <w:sz w:val="22"/>
          <w:szCs w:val="22"/>
        </w:rPr>
        <w:t xml:space="preserve"> certificó </w:t>
      </w:r>
      <w:r w:rsidR="00F35D7A" w:rsidRPr="00C7012F">
        <w:rPr>
          <w:rFonts w:ascii="Arial" w:hAnsi="Arial" w:cs="Arial"/>
          <w:color w:val="000000"/>
          <w:sz w:val="22"/>
          <w:szCs w:val="22"/>
        </w:rPr>
        <w:t xml:space="preserve">la carencia de personal de planta </w:t>
      </w:r>
      <w:r w:rsidR="003A56A1" w:rsidRPr="00C7012F">
        <w:rPr>
          <w:rFonts w:ascii="Arial" w:hAnsi="Arial" w:cs="Arial"/>
          <w:color w:val="000000"/>
          <w:sz w:val="22"/>
          <w:szCs w:val="22"/>
        </w:rPr>
        <w:t xml:space="preserve">con capacidad para realizar las actividades que se </w:t>
      </w:r>
      <w:r w:rsidR="00384513" w:rsidRPr="00C7012F">
        <w:rPr>
          <w:rFonts w:ascii="Arial" w:hAnsi="Arial" w:cs="Arial"/>
          <w:color w:val="000000"/>
          <w:sz w:val="22"/>
          <w:szCs w:val="22"/>
        </w:rPr>
        <w:t>contratarían,</w:t>
      </w:r>
      <w:r w:rsidR="003A56A1" w:rsidRPr="00C7012F">
        <w:rPr>
          <w:rFonts w:ascii="Arial" w:hAnsi="Arial" w:cs="Arial"/>
          <w:color w:val="000000"/>
          <w:sz w:val="22"/>
          <w:szCs w:val="22"/>
        </w:rPr>
        <w:t xml:space="preserve"> </w:t>
      </w:r>
      <w:r w:rsidR="00D02070" w:rsidRPr="00C7012F">
        <w:rPr>
          <w:rFonts w:ascii="Arial" w:hAnsi="Arial" w:cs="Arial"/>
          <w:color w:val="000000"/>
          <w:sz w:val="22"/>
          <w:szCs w:val="22"/>
        </w:rPr>
        <w:t xml:space="preserve">en </w:t>
      </w:r>
      <w:r w:rsidR="003A56A1" w:rsidRPr="00C7012F">
        <w:rPr>
          <w:rFonts w:ascii="Arial" w:hAnsi="Arial" w:cs="Arial"/>
          <w:color w:val="000000"/>
          <w:sz w:val="22"/>
          <w:szCs w:val="22"/>
        </w:rPr>
        <w:t>virtud d</w:t>
      </w:r>
      <w:r w:rsidRPr="00C7012F">
        <w:rPr>
          <w:rFonts w:ascii="Arial" w:hAnsi="Arial" w:cs="Arial"/>
          <w:color w:val="000000"/>
          <w:sz w:val="22"/>
          <w:szCs w:val="22"/>
        </w:rPr>
        <w:t>e</w:t>
      </w:r>
      <w:r w:rsidR="00D02070" w:rsidRPr="00C7012F">
        <w:rPr>
          <w:rFonts w:ascii="Arial" w:hAnsi="Arial" w:cs="Arial"/>
          <w:color w:val="000000"/>
          <w:sz w:val="22"/>
          <w:szCs w:val="22"/>
        </w:rPr>
        <w:t xml:space="preserve"> </w:t>
      </w:r>
      <w:r w:rsidR="00723396" w:rsidRPr="00C7012F">
        <w:rPr>
          <w:rFonts w:ascii="Arial" w:hAnsi="Arial" w:cs="Arial"/>
          <w:color w:val="000000"/>
          <w:sz w:val="22"/>
          <w:szCs w:val="22"/>
        </w:rPr>
        <w:t xml:space="preserve">lo </w:t>
      </w:r>
      <w:r w:rsidR="00D02070" w:rsidRPr="00C7012F">
        <w:rPr>
          <w:rFonts w:ascii="Arial" w:hAnsi="Arial" w:cs="Arial"/>
          <w:color w:val="000000"/>
          <w:sz w:val="22"/>
          <w:szCs w:val="22"/>
        </w:rPr>
        <w:t>establecido e</w:t>
      </w:r>
      <w:r w:rsidR="00723396" w:rsidRPr="00C7012F">
        <w:rPr>
          <w:rFonts w:ascii="Arial" w:hAnsi="Arial" w:cs="Arial"/>
          <w:color w:val="000000"/>
          <w:sz w:val="22"/>
          <w:szCs w:val="22"/>
        </w:rPr>
        <w:t xml:space="preserve">n el artículo 2.8.4.4.5 del Título 4 </w:t>
      </w:r>
      <w:r w:rsidR="00723396" w:rsidRPr="00C7012F">
        <w:rPr>
          <w:rFonts w:ascii="Arial" w:hAnsi="Arial" w:cs="Arial"/>
          <w:i/>
          <w:color w:val="000000"/>
          <w:sz w:val="22"/>
          <w:szCs w:val="22"/>
        </w:rPr>
        <w:t>Medidas de Austeridad del Decreto Único Reglamentario 1068 de 2015</w:t>
      </w:r>
      <w:r w:rsidR="003A56A1" w:rsidRPr="00C7012F">
        <w:rPr>
          <w:rFonts w:ascii="Arial" w:hAnsi="Arial" w:cs="Arial"/>
          <w:i/>
          <w:color w:val="000000"/>
          <w:sz w:val="22"/>
          <w:szCs w:val="22"/>
        </w:rPr>
        <w:t xml:space="preserve">. </w:t>
      </w:r>
    </w:p>
    <w:p w14:paraId="1C0E6582" w14:textId="6A6B6DE6" w:rsidR="00F35D7A" w:rsidRPr="00C7012F" w:rsidRDefault="00F35D7A" w:rsidP="000727C7">
      <w:pPr>
        <w:autoSpaceDE w:val="0"/>
        <w:autoSpaceDN w:val="0"/>
        <w:spacing w:line="168" w:lineRule="auto"/>
        <w:jc w:val="both"/>
        <w:rPr>
          <w:rFonts w:ascii="Arial" w:hAnsi="Arial" w:cs="Arial"/>
          <w:color w:val="000000"/>
          <w:sz w:val="22"/>
          <w:szCs w:val="22"/>
          <w:highlight w:val="yellow"/>
        </w:rPr>
      </w:pPr>
    </w:p>
    <w:p w14:paraId="763DABE1" w14:textId="2BD96601" w:rsidR="00CA0752" w:rsidRPr="00C7012F" w:rsidRDefault="009C0D7A" w:rsidP="00A06C2C">
      <w:pPr>
        <w:autoSpaceDE w:val="0"/>
        <w:autoSpaceDN w:val="0"/>
        <w:jc w:val="both"/>
        <w:rPr>
          <w:rFonts w:ascii="Arial" w:eastAsia="Calibri" w:hAnsi="Arial" w:cs="Arial"/>
          <w:sz w:val="22"/>
          <w:szCs w:val="22"/>
          <w:highlight w:val="yellow"/>
        </w:rPr>
      </w:pPr>
      <w:r w:rsidRPr="00C7012F">
        <w:rPr>
          <w:rFonts w:ascii="Arial" w:hAnsi="Arial" w:cs="Arial"/>
          <w:color w:val="000000"/>
          <w:sz w:val="22"/>
          <w:szCs w:val="22"/>
        </w:rPr>
        <w:t xml:space="preserve">Aunado a lo anterior, se comparó los contratos suscritos en el </w:t>
      </w:r>
      <w:r w:rsidR="00FE7BB2" w:rsidRPr="00C7012F">
        <w:rPr>
          <w:rFonts w:ascii="Arial" w:hAnsi="Arial" w:cs="Arial"/>
          <w:color w:val="000000"/>
          <w:sz w:val="22"/>
          <w:szCs w:val="22"/>
        </w:rPr>
        <w:t xml:space="preserve">tercer </w:t>
      </w:r>
      <w:r w:rsidRPr="00C7012F">
        <w:rPr>
          <w:rFonts w:ascii="Arial" w:hAnsi="Arial" w:cs="Arial"/>
          <w:color w:val="000000"/>
          <w:sz w:val="22"/>
          <w:szCs w:val="22"/>
        </w:rPr>
        <w:t>trimestre de 20</w:t>
      </w:r>
      <w:r w:rsidR="00384513" w:rsidRPr="00C7012F">
        <w:rPr>
          <w:rFonts w:ascii="Arial" w:hAnsi="Arial" w:cs="Arial"/>
          <w:color w:val="000000"/>
          <w:sz w:val="22"/>
          <w:szCs w:val="22"/>
        </w:rPr>
        <w:t>20</w:t>
      </w:r>
      <w:r w:rsidR="00CC1719" w:rsidRPr="00C7012F">
        <w:rPr>
          <w:rFonts w:ascii="Arial" w:hAnsi="Arial" w:cs="Arial"/>
          <w:color w:val="000000"/>
          <w:sz w:val="22"/>
          <w:szCs w:val="22"/>
        </w:rPr>
        <w:t xml:space="preserve"> con el mismo </w:t>
      </w:r>
      <w:r w:rsidRPr="00C7012F">
        <w:rPr>
          <w:rFonts w:ascii="Arial" w:hAnsi="Arial" w:cs="Arial"/>
          <w:color w:val="000000"/>
          <w:sz w:val="22"/>
          <w:szCs w:val="22"/>
        </w:rPr>
        <w:t>periodo de la vigencia 201</w:t>
      </w:r>
      <w:r w:rsidR="00384513" w:rsidRPr="00C7012F">
        <w:rPr>
          <w:rFonts w:ascii="Arial" w:hAnsi="Arial" w:cs="Arial"/>
          <w:color w:val="000000"/>
          <w:sz w:val="22"/>
          <w:szCs w:val="22"/>
        </w:rPr>
        <w:t>9</w:t>
      </w:r>
      <w:r w:rsidR="00FE7BB2" w:rsidRPr="00C7012F">
        <w:rPr>
          <w:rFonts w:ascii="Arial" w:hAnsi="Arial" w:cs="Arial"/>
          <w:color w:val="000000"/>
          <w:sz w:val="22"/>
          <w:szCs w:val="22"/>
        </w:rPr>
        <w:t xml:space="preserve">. Para establecer la variación </w:t>
      </w:r>
      <w:r w:rsidR="0068794F" w:rsidRPr="00C7012F">
        <w:rPr>
          <w:rFonts w:ascii="Arial" w:hAnsi="Arial" w:cs="Arial"/>
          <w:color w:val="000000"/>
          <w:sz w:val="22"/>
          <w:szCs w:val="22"/>
        </w:rPr>
        <w:t xml:space="preserve">de la variable </w:t>
      </w:r>
      <w:r w:rsidR="00FE7BB2" w:rsidRPr="00C7012F">
        <w:rPr>
          <w:rFonts w:ascii="Arial" w:hAnsi="Arial" w:cs="Arial"/>
          <w:i/>
          <w:iCs/>
          <w:color w:val="000000"/>
          <w:sz w:val="22"/>
          <w:szCs w:val="22"/>
        </w:rPr>
        <w:t xml:space="preserve">valor </w:t>
      </w:r>
      <w:r w:rsidR="0068794F" w:rsidRPr="00C7012F">
        <w:rPr>
          <w:rFonts w:ascii="Arial" w:hAnsi="Arial" w:cs="Arial"/>
          <w:i/>
          <w:iCs/>
          <w:color w:val="000000"/>
          <w:sz w:val="22"/>
          <w:szCs w:val="22"/>
        </w:rPr>
        <w:t>contratado</w:t>
      </w:r>
      <w:r w:rsidR="0068794F" w:rsidRPr="00C7012F">
        <w:rPr>
          <w:rFonts w:ascii="Arial" w:hAnsi="Arial" w:cs="Arial"/>
          <w:color w:val="000000"/>
          <w:sz w:val="22"/>
          <w:szCs w:val="22"/>
        </w:rPr>
        <w:t xml:space="preserve">, se </w:t>
      </w:r>
      <w:r w:rsidR="005C7543" w:rsidRPr="00C7012F">
        <w:rPr>
          <w:rFonts w:ascii="Arial" w:hAnsi="Arial" w:cs="Arial"/>
          <w:color w:val="000000"/>
          <w:sz w:val="22"/>
          <w:szCs w:val="22"/>
        </w:rPr>
        <w:t>tomó el</w:t>
      </w:r>
      <w:r w:rsidR="0068794F" w:rsidRPr="00C7012F">
        <w:rPr>
          <w:rFonts w:ascii="Arial" w:hAnsi="Arial" w:cs="Arial"/>
          <w:color w:val="000000"/>
          <w:sz w:val="22"/>
          <w:szCs w:val="22"/>
        </w:rPr>
        <w:t xml:space="preserve"> valor correspondiente a la vigencia actual, dado que, </w:t>
      </w:r>
      <w:r w:rsidR="005C7543" w:rsidRPr="00C7012F">
        <w:rPr>
          <w:rFonts w:ascii="Arial" w:hAnsi="Arial" w:cs="Arial"/>
          <w:color w:val="000000"/>
          <w:sz w:val="22"/>
          <w:szCs w:val="22"/>
        </w:rPr>
        <w:t xml:space="preserve">durante </w:t>
      </w:r>
      <w:r w:rsidR="0054185A" w:rsidRPr="00C7012F">
        <w:rPr>
          <w:rFonts w:ascii="Arial" w:hAnsi="Arial" w:cs="Arial"/>
          <w:color w:val="000000"/>
          <w:sz w:val="22"/>
          <w:szCs w:val="22"/>
        </w:rPr>
        <w:t>el tercer trimestre de 2020 de los contratos suscritos</w:t>
      </w:r>
      <w:r w:rsidR="00C11597" w:rsidRPr="00C7012F">
        <w:rPr>
          <w:rFonts w:ascii="Arial" w:hAnsi="Arial" w:cs="Arial"/>
          <w:color w:val="000000"/>
          <w:sz w:val="22"/>
          <w:szCs w:val="22"/>
        </w:rPr>
        <w:t>,</w:t>
      </w:r>
      <w:r w:rsidR="0054185A" w:rsidRPr="00C7012F">
        <w:rPr>
          <w:rFonts w:ascii="Arial" w:hAnsi="Arial" w:cs="Arial"/>
          <w:color w:val="000000"/>
          <w:sz w:val="22"/>
          <w:szCs w:val="22"/>
        </w:rPr>
        <w:t xml:space="preserve"> 4 de ellos les fueron autorizadas </w:t>
      </w:r>
      <w:r w:rsidR="0068794F" w:rsidRPr="00C7012F">
        <w:rPr>
          <w:rFonts w:ascii="Arial" w:hAnsi="Arial" w:cs="Arial"/>
          <w:color w:val="000000"/>
          <w:sz w:val="22"/>
          <w:szCs w:val="22"/>
        </w:rPr>
        <w:t>vigencias futuras</w:t>
      </w:r>
      <w:r w:rsidR="005C7543" w:rsidRPr="00C7012F">
        <w:rPr>
          <w:rFonts w:ascii="Arial" w:hAnsi="Arial" w:cs="Arial"/>
          <w:color w:val="000000"/>
          <w:sz w:val="22"/>
          <w:szCs w:val="22"/>
        </w:rPr>
        <w:t>.</w:t>
      </w:r>
      <w:r w:rsidR="0068794F" w:rsidRPr="00C7012F">
        <w:rPr>
          <w:rFonts w:ascii="Arial" w:hAnsi="Arial" w:cs="Arial"/>
          <w:color w:val="000000"/>
          <w:sz w:val="22"/>
          <w:szCs w:val="22"/>
        </w:rPr>
        <w:t xml:space="preserve"> </w:t>
      </w:r>
      <w:r w:rsidR="005C7543" w:rsidRPr="00C7012F">
        <w:rPr>
          <w:rFonts w:ascii="Arial" w:hAnsi="Arial" w:cs="Arial"/>
          <w:color w:val="000000"/>
          <w:sz w:val="22"/>
          <w:szCs w:val="22"/>
        </w:rPr>
        <w:t>C</w:t>
      </w:r>
      <w:r w:rsidRPr="00C7012F">
        <w:rPr>
          <w:rFonts w:ascii="Arial" w:hAnsi="Arial" w:cs="Arial"/>
          <w:color w:val="000000"/>
          <w:sz w:val="22"/>
          <w:szCs w:val="22"/>
        </w:rPr>
        <w:t>omo resultado</w:t>
      </w:r>
      <w:r w:rsidR="005C7543" w:rsidRPr="00C7012F">
        <w:rPr>
          <w:rFonts w:ascii="Arial" w:hAnsi="Arial" w:cs="Arial"/>
          <w:color w:val="000000"/>
          <w:sz w:val="22"/>
          <w:szCs w:val="22"/>
        </w:rPr>
        <w:t xml:space="preserve">, se obtuvo que el valor de los contratos suscritos se </w:t>
      </w:r>
      <w:r w:rsidR="005C7543" w:rsidRPr="00C7012F">
        <w:rPr>
          <w:rFonts w:ascii="Arial" w:hAnsi="Arial" w:cs="Arial"/>
          <w:b/>
          <w:bCs/>
          <w:color w:val="000000"/>
          <w:sz w:val="22"/>
          <w:szCs w:val="22"/>
        </w:rPr>
        <w:t>incrementó</w:t>
      </w:r>
      <w:r w:rsidR="005C7543" w:rsidRPr="00C7012F">
        <w:rPr>
          <w:rFonts w:ascii="Arial" w:hAnsi="Arial" w:cs="Arial"/>
          <w:color w:val="000000"/>
          <w:sz w:val="22"/>
          <w:szCs w:val="22"/>
        </w:rPr>
        <w:t xml:space="preserve"> en $</w:t>
      </w:r>
      <w:r w:rsidR="009E52E7" w:rsidRPr="00C7012F">
        <w:rPr>
          <w:rFonts w:ascii="Arial" w:hAnsi="Arial" w:cs="Arial"/>
          <w:color w:val="000000"/>
          <w:sz w:val="22"/>
          <w:szCs w:val="22"/>
        </w:rPr>
        <w:t>92.788.703</w:t>
      </w:r>
      <w:r w:rsidR="005C7543" w:rsidRPr="00C7012F">
        <w:rPr>
          <w:rFonts w:ascii="Arial" w:hAnsi="Arial" w:cs="Arial"/>
          <w:color w:val="000000"/>
          <w:sz w:val="22"/>
          <w:szCs w:val="22"/>
        </w:rPr>
        <w:t xml:space="preserve"> representando un </w:t>
      </w:r>
      <w:r w:rsidR="009E52E7" w:rsidRPr="00C7012F">
        <w:rPr>
          <w:rFonts w:ascii="Arial" w:hAnsi="Arial" w:cs="Arial"/>
          <w:color w:val="000000"/>
          <w:sz w:val="22"/>
          <w:szCs w:val="22"/>
        </w:rPr>
        <w:t>41</w:t>
      </w:r>
      <w:r w:rsidR="00227A46" w:rsidRPr="00C7012F">
        <w:rPr>
          <w:rFonts w:ascii="Arial" w:hAnsi="Arial" w:cs="Arial"/>
          <w:color w:val="000000"/>
          <w:sz w:val="22"/>
          <w:szCs w:val="22"/>
        </w:rPr>
        <w:t>%</w:t>
      </w:r>
      <w:r w:rsidR="005B7793" w:rsidRPr="00C7012F">
        <w:rPr>
          <w:rFonts w:ascii="Arial" w:eastAsia="Calibri" w:hAnsi="Arial" w:cs="Arial"/>
          <w:sz w:val="22"/>
          <w:szCs w:val="22"/>
        </w:rPr>
        <w:t xml:space="preserve"> y </w:t>
      </w:r>
      <w:r w:rsidR="005C7543" w:rsidRPr="00C7012F">
        <w:rPr>
          <w:rFonts w:ascii="Arial" w:eastAsia="Calibri" w:hAnsi="Arial" w:cs="Arial"/>
          <w:sz w:val="22"/>
          <w:szCs w:val="22"/>
        </w:rPr>
        <w:t xml:space="preserve">la variable cantidad presentó un </w:t>
      </w:r>
      <w:r w:rsidR="005C7543" w:rsidRPr="00C7012F">
        <w:rPr>
          <w:rFonts w:ascii="Arial" w:eastAsia="Calibri" w:hAnsi="Arial" w:cs="Arial"/>
          <w:b/>
          <w:bCs/>
          <w:sz w:val="22"/>
          <w:szCs w:val="22"/>
        </w:rPr>
        <w:t>aumento</w:t>
      </w:r>
      <w:r w:rsidR="005C7543" w:rsidRPr="00C7012F">
        <w:rPr>
          <w:rFonts w:ascii="Arial" w:eastAsia="Calibri" w:hAnsi="Arial" w:cs="Arial"/>
          <w:sz w:val="22"/>
          <w:szCs w:val="22"/>
        </w:rPr>
        <w:t xml:space="preserve"> de </w:t>
      </w:r>
      <w:r w:rsidR="009E52E7" w:rsidRPr="00C7012F">
        <w:rPr>
          <w:rFonts w:ascii="Arial" w:eastAsia="Calibri" w:hAnsi="Arial" w:cs="Arial"/>
          <w:sz w:val="22"/>
          <w:szCs w:val="22"/>
        </w:rPr>
        <w:t>2</w:t>
      </w:r>
      <w:r w:rsidR="005C7543" w:rsidRPr="00C7012F">
        <w:rPr>
          <w:rFonts w:ascii="Arial" w:eastAsia="Calibri" w:hAnsi="Arial" w:cs="Arial"/>
          <w:sz w:val="22"/>
          <w:szCs w:val="22"/>
        </w:rPr>
        <w:t xml:space="preserve"> contrato</w:t>
      </w:r>
      <w:r w:rsidR="009E52E7" w:rsidRPr="00C7012F">
        <w:rPr>
          <w:rFonts w:ascii="Arial" w:eastAsia="Calibri" w:hAnsi="Arial" w:cs="Arial"/>
          <w:sz w:val="22"/>
          <w:szCs w:val="22"/>
        </w:rPr>
        <w:t>s</w:t>
      </w:r>
      <w:r w:rsidR="005C7543" w:rsidRPr="00C7012F">
        <w:rPr>
          <w:rFonts w:ascii="Arial" w:eastAsia="Calibri" w:hAnsi="Arial" w:cs="Arial"/>
          <w:sz w:val="22"/>
          <w:szCs w:val="22"/>
        </w:rPr>
        <w:t xml:space="preserve"> equivalente a un </w:t>
      </w:r>
      <w:r w:rsidR="009E52E7" w:rsidRPr="00C7012F">
        <w:rPr>
          <w:rFonts w:ascii="Arial" w:eastAsia="Calibri" w:hAnsi="Arial" w:cs="Arial"/>
          <w:sz w:val="22"/>
          <w:szCs w:val="22"/>
        </w:rPr>
        <w:t>25</w:t>
      </w:r>
      <w:r w:rsidR="005C7543" w:rsidRPr="00C7012F">
        <w:rPr>
          <w:rFonts w:ascii="Arial" w:eastAsia="Calibri" w:hAnsi="Arial" w:cs="Arial"/>
          <w:sz w:val="22"/>
          <w:szCs w:val="22"/>
        </w:rPr>
        <w:t>%.</w:t>
      </w:r>
    </w:p>
    <w:p w14:paraId="03EE458E" w14:textId="66EF03E4" w:rsidR="00FE7BB2" w:rsidRDefault="00FE7BB2" w:rsidP="00A06C2C">
      <w:pPr>
        <w:autoSpaceDE w:val="0"/>
        <w:autoSpaceDN w:val="0"/>
        <w:jc w:val="both"/>
        <w:rPr>
          <w:rFonts w:ascii="Arial" w:eastAsia="Calibri" w:hAnsi="Arial" w:cs="Arial"/>
          <w:sz w:val="22"/>
          <w:szCs w:val="22"/>
          <w:highlight w:val="yellow"/>
        </w:rPr>
      </w:pPr>
    </w:p>
    <w:tbl>
      <w:tblPr>
        <w:tblStyle w:val="Tabladecuadrcula1clara-nfasis1"/>
        <w:tblW w:w="0" w:type="auto"/>
        <w:tblLook w:val="04A0" w:firstRow="1" w:lastRow="0" w:firstColumn="1" w:lastColumn="0" w:noHBand="0" w:noVBand="1"/>
      </w:tblPr>
      <w:tblGrid>
        <w:gridCol w:w="4324"/>
        <w:gridCol w:w="2595"/>
        <w:gridCol w:w="2710"/>
      </w:tblGrid>
      <w:tr w:rsidR="005C7543" w:rsidRPr="005C7543" w14:paraId="3564ED7A" w14:textId="77777777" w:rsidTr="00A60CB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64D32F0" w14:textId="77777777" w:rsidR="005C7543" w:rsidRPr="005C7543" w:rsidRDefault="005C7543" w:rsidP="005C7543">
            <w:pPr>
              <w:spacing w:before="60" w:after="60"/>
              <w:jc w:val="center"/>
              <w:rPr>
                <w:rFonts w:ascii="Arial" w:hAnsi="Arial" w:cs="Arial"/>
                <w:color w:val="FFFFFF" w:themeColor="background1"/>
                <w:sz w:val="20"/>
                <w:szCs w:val="20"/>
              </w:rPr>
            </w:pPr>
            <w:r w:rsidRPr="005C7543">
              <w:rPr>
                <w:rFonts w:ascii="Arial" w:hAnsi="Arial" w:cs="Arial"/>
                <w:color w:val="FFFFFF" w:themeColor="background1"/>
                <w:sz w:val="20"/>
                <w:szCs w:val="20"/>
              </w:rPr>
              <w:lastRenderedPageBreak/>
              <w:t xml:space="preserve">Concepto </w:t>
            </w:r>
          </w:p>
        </w:tc>
        <w:tc>
          <w:tcPr>
            <w:tcW w:w="0" w:type="auto"/>
            <w:shd w:val="clear" w:color="auto" w:fill="4F81BD" w:themeFill="accent1"/>
            <w:vAlign w:val="center"/>
            <w:hideMark/>
          </w:tcPr>
          <w:p w14:paraId="1AA7F629" w14:textId="1243E97D" w:rsidR="005C7543" w:rsidRPr="005C7543" w:rsidRDefault="005C7543" w:rsidP="005C7543">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C7543">
              <w:rPr>
                <w:rFonts w:ascii="Arial" w:hAnsi="Arial" w:cs="Arial"/>
                <w:color w:val="FFFFFF" w:themeColor="background1"/>
                <w:sz w:val="20"/>
                <w:szCs w:val="20"/>
              </w:rPr>
              <w:t>Contratos Suscritos (Valor $)</w:t>
            </w:r>
          </w:p>
        </w:tc>
        <w:tc>
          <w:tcPr>
            <w:tcW w:w="0" w:type="auto"/>
            <w:shd w:val="clear" w:color="auto" w:fill="4F81BD" w:themeFill="accent1"/>
            <w:vAlign w:val="center"/>
            <w:hideMark/>
          </w:tcPr>
          <w:p w14:paraId="389B359F" w14:textId="77777777" w:rsidR="005C7543" w:rsidRPr="005C7543" w:rsidRDefault="005C7543" w:rsidP="005C754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C7543">
              <w:rPr>
                <w:rFonts w:ascii="Arial" w:hAnsi="Arial" w:cs="Arial"/>
                <w:color w:val="FFFFFF" w:themeColor="background1"/>
                <w:sz w:val="20"/>
                <w:szCs w:val="20"/>
              </w:rPr>
              <w:t xml:space="preserve">Contratos Suscritos (Cantidad)  </w:t>
            </w:r>
          </w:p>
        </w:tc>
      </w:tr>
      <w:tr w:rsidR="009E52E7" w:rsidRPr="005C7543" w14:paraId="009431A3"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BF73D8E" w14:textId="77777777" w:rsidR="009E52E7" w:rsidRPr="00062540" w:rsidRDefault="009E52E7" w:rsidP="009E52E7">
            <w:pPr>
              <w:spacing w:before="60" w:after="60"/>
              <w:jc w:val="center"/>
              <w:rPr>
                <w:rFonts w:ascii="Arial" w:hAnsi="Arial" w:cs="Arial"/>
                <w:b w:val="0"/>
                <w:bCs w:val="0"/>
                <w:color w:val="0F243E" w:themeColor="text2" w:themeShade="80"/>
                <w:sz w:val="20"/>
                <w:szCs w:val="20"/>
              </w:rPr>
            </w:pPr>
            <w:r w:rsidRPr="00062540">
              <w:rPr>
                <w:rFonts w:ascii="Arial" w:hAnsi="Arial" w:cs="Arial"/>
                <w:b w:val="0"/>
                <w:bCs w:val="0"/>
                <w:color w:val="0F243E" w:themeColor="text2" w:themeShade="80"/>
                <w:sz w:val="20"/>
                <w:szCs w:val="20"/>
              </w:rPr>
              <w:t>Valor Contratos Suscritos III Trimestre de 2020</w:t>
            </w:r>
          </w:p>
        </w:tc>
        <w:tc>
          <w:tcPr>
            <w:tcW w:w="0" w:type="auto"/>
            <w:vAlign w:val="center"/>
            <w:hideMark/>
          </w:tcPr>
          <w:p w14:paraId="5701616D" w14:textId="3CB616BF" w:rsidR="009E52E7" w:rsidRPr="00CB022A" w:rsidRDefault="009E52E7" w:rsidP="009E52E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440.221.542 </w:t>
            </w:r>
          </w:p>
        </w:tc>
        <w:tc>
          <w:tcPr>
            <w:tcW w:w="0" w:type="auto"/>
            <w:vMerge w:val="restart"/>
            <w:vAlign w:val="center"/>
            <w:hideMark/>
          </w:tcPr>
          <w:p w14:paraId="6B0381B7" w14:textId="16242FA2" w:rsidR="009E52E7" w:rsidRPr="00062540" w:rsidRDefault="009E52E7" w:rsidP="009E52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10</w:t>
            </w:r>
          </w:p>
        </w:tc>
      </w:tr>
      <w:tr w:rsidR="009E52E7" w:rsidRPr="005C7543" w14:paraId="710C3EBD"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40D9E9" w14:textId="77777777" w:rsidR="009E52E7" w:rsidRPr="00062540" w:rsidRDefault="009E52E7" w:rsidP="009E52E7">
            <w:pPr>
              <w:spacing w:before="60" w:after="60"/>
              <w:jc w:val="center"/>
              <w:rPr>
                <w:rFonts w:ascii="Arial" w:hAnsi="Arial" w:cs="Arial"/>
                <w:b w:val="0"/>
                <w:bCs w:val="0"/>
                <w:color w:val="0F243E" w:themeColor="text2" w:themeShade="80"/>
                <w:sz w:val="20"/>
                <w:szCs w:val="20"/>
              </w:rPr>
            </w:pPr>
            <w:r w:rsidRPr="00062540">
              <w:rPr>
                <w:rFonts w:ascii="Arial" w:hAnsi="Arial" w:cs="Arial"/>
                <w:b w:val="0"/>
                <w:bCs w:val="0"/>
                <w:color w:val="0F243E" w:themeColor="text2" w:themeShade="80"/>
                <w:sz w:val="20"/>
                <w:szCs w:val="20"/>
              </w:rPr>
              <w:t>(-) Vigencias Futuras 2021</w:t>
            </w:r>
          </w:p>
        </w:tc>
        <w:tc>
          <w:tcPr>
            <w:tcW w:w="0" w:type="auto"/>
            <w:vAlign w:val="center"/>
            <w:hideMark/>
          </w:tcPr>
          <w:p w14:paraId="62F4931D" w14:textId="24E45726" w:rsidR="009E52E7" w:rsidRPr="00062540" w:rsidRDefault="009E52E7" w:rsidP="009E52E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00000"/>
                <w:sz w:val="20"/>
                <w:szCs w:val="20"/>
              </w:rPr>
              <w:t xml:space="preserve">                   121.435.747 </w:t>
            </w:r>
          </w:p>
        </w:tc>
        <w:tc>
          <w:tcPr>
            <w:tcW w:w="0" w:type="auto"/>
            <w:vMerge/>
            <w:vAlign w:val="center"/>
            <w:hideMark/>
          </w:tcPr>
          <w:p w14:paraId="5BBCB22D" w14:textId="77777777" w:rsidR="009E52E7" w:rsidRPr="00062540" w:rsidRDefault="009E52E7" w:rsidP="009E52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9E52E7" w:rsidRPr="005C7543" w14:paraId="0713D4C9"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7DCFC30E" w14:textId="605E297A" w:rsidR="009E52E7" w:rsidRPr="00062540" w:rsidRDefault="009E52E7" w:rsidP="009E52E7">
            <w:pPr>
              <w:spacing w:before="60" w:after="60"/>
              <w:jc w:val="center"/>
              <w:rPr>
                <w:rFonts w:ascii="Arial" w:hAnsi="Arial" w:cs="Arial"/>
                <w:color w:val="0F243E" w:themeColor="text2" w:themeShade="80"/>
                <w:sz w:val="20"/>
                <w:szCs w:val="20"/>
              </w:rPr>
            </w:pPr>
            <w:r w:rsidRPr="00062540">
              <w:rPr>
                <w:rFonts w:ascii="Arial" w:hAnsi="Arial" w:cs="Arial"/>
                <w:color w:val="0F243E" w:themeColor="text2" w:themeShade="80"/>
                <w:sz w:val="20"/>
                <w:szCs w:val="20"/>
              </w:rPr>
              <w:t xml:space="preserve">Valor </w:t>
            </w:r>
            <w:r>
              <w:rPr>
                <w:rFonts w:ascii="Arial" w:hAnsi="Arial" w:cs="Arial"/>
                <w:color w:val="0F243E" w:themeColor="text2" w:themeShade="80"/>
                <w:sz w:val="20"/>
                <w:szCs w:val="20"/>
              </w:rPr>
              <w:t xml:space="preserve">Vigencia Actual </w:t>
            </w:r>
            <w:r w:rsidRPr="00062540">
              <w:rPr>
                <w:rFonts w:ascii="Arial" w:hAnsi="Arial" w:cs="Arial"/>
                <w:color w:val="0F243E" w:themeColor="text2" w:themeShade="80"/>
                <w:sz w:val="20"/>
                <w:szCs w:val="20"/>
              </w:rPr>
              <w:t>Contratos III Trimestre de 2020</w:t>
            </w:r>
          </w:p>
        </w:tc>
        <w:tc>
          <w:tcPr>
            <w:tcW w:w="0" w:type="auto"/>
            <w:shd w:val="clear" w:color="auto" w:fill="DBE5F1" w:themeFill="accent1" w:themeFillTint="33"/>
            <w:vAlign w:val="center"/>
            <w:hideMark/>
          </w:tcPr>
          <w:p w14:paraId="267AED98" w14:textId="2335DA13" w:rsidR="009E52E7" w:rsidRPr="00062540" w:rsidRDefault="009E52E7" w:rsidP="009E52E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00000"/>
                <w:sz w:val="20"/>
                <w:szCs w:val="20"/>
              </w:rPr>
              <w:t xml:space="preserve">                   318.785.795 </w:t>
            </w:r>
          </w:p>
        </w:tc>
        <w:tc>
          <w:tcPr>
            <w:tcW w:w="0" w:type="auto"/>
            <w:vMerge/>
            <w:vAlign w:val="center"/>
            <w:hideMark/>
          </w:tcPr>
          <w:p w14:paraId="54F99D49" w14:textId="77777777" w:rsidR="009E52E7" w:rsidRPr="00062540" w:rsidRDefault="009E52E7" w:rsidP="009E52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9E52E7" w:rsidRPr="005C7543" w14:paraId="18FDDCD2"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D6DFA4" w14:textId="77777777" w:rsidR="009E52E7" w:rsidRPr="00062540" w:rsidRDefault="009E52E7" w:rsidP="009E52E7">
            <w:pPr>
              <w:spacing w:before="60" w:after="60"/>
              <w:jc w:val="center"/>
              <w:rPr>
                <w:rFonts w:ascii="Arial" w:hAnsi="Arial" w:cs="Arial"/>
                <w:b w:val="0"/>
                <w:bCs w:val="0"/>
                <w:color w:val="0F243E" w:themeColor="text2" w:themeShade="80"/>
                <w:sz w:val="20"/>
                <w:szCs w:val="20"/>
              </w:rPr>
            </w:pPr>
            <w:r w:rsidRPr="00062540">
              <w:rPr>
                <w:rFonts w:ascii="Arial" w:hAnsi="Arial" w:cs="Arial"/>
                <w:b w:val="0"/>
                <w:bCs w:val="0"/>
                <w:color w:val="0F243E" w:themeColor="text2" w:themeShade="80"/>
                <w:sz w:val="20"/>
                <w:szCs w:val="20"/>
              </w:rPr>
              <w:t>Valor Contratos Suscritos III Trimestre de 2019</w:t>
            </w:r>
          </w:p>
        </w:tc>
        <w:tc>
          <w:tcPr>
            <w:tcW w:w="0" w:type="auto"/>
            <w:vAlign w:val="center"/>
            <w:hideMark/>
          </w:tcPr>
          <w:p w14:paraId="344E4808" w14:textId="513B41ED" w:rsidR="009E52E7" w:rsidRPr="00062540" w:rsidRDefault="009E52E7" w:rsidP="009E52E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00000"/>
                <w:sz w:val="20"/>
                <w:szCs w:val="20"/>
              </w:rPr>
              <w:t>254.641.392</w:t>
            </w:r>
          </w:p>
        </w:tc>
        <w:tc>
          <w:tcPr>
            <w:tcW w:w="0" w:type="auto"/>
            <w:vMerge w:val="restart"/>
            <w:vAlign w:val="center"/>
            <w:hideMark/>
          </w:tcPr>
          <w:p w14:paraId="3A2E3040" w14:textId="77777777" w:rsidR="009E52E7" w:rsidRPr="00062540" w:rsidRDefault="009E52E7" w:rsidP="009E52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40">
              <w:rPr>
                <w:rFonts w:ascii="Arial" w:hAnsi="Arial" w:cs="Arial"/>
                <w:color w:val="0F243E" w:themeColor="text2" w:themeShade="80"/>
                <w:sz w:val="20"/>
                <w:szCs w:val="20"/>
              </w:rPr>
              <w:t>8</w:t>
            </w:r>
          </w:p>
        </w:tc>
      </w:tr>
      <w:tr w:rsidR="009E52E7" w:rsidRPr="005C7543" w14:paraId="09B95F72"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0D2866" w14:textId="77777777" w:rsidR="009E52E7" w:rsidRPr="00062540" w:rsidRDefault="009E52E7" w:rsidP="009E52E7">
            <w:pPr>
              <w:spacing w:before="60" w:after="60"/>
              <w:jc w:val="center"/>
              <w:rPr>
                <w:rFonts w:ascii="Arial" w:hAnsi="Arial" w:cs="Arial"/>
                <w:b w:val="0"/>
                <w:bCs w:val="0"/>
                <w:color w:val="0F243E" w:themeColor="text2" w:themeShade="80"/>
                <w:sz w:val="20"/>
                <w:szCs w:val="20"/>
              </w:rPr>
            </w:pPr>
            <w:r w:rsidRPr="00062540">
              <w:rPr>
                <w:rFonts w:ascii="Arial" w:hAnsi="Arial" w:cs="Arial"/>
                <w:b w:val="0"/>
                <w:bCs w:val="0"/>
                <w:color w:val="0F243E" w:themeColor="text2" w:themeShade="80"/>
                <w:sz w:val="20"/>
                <w:szCs w:val="20"/>
              </w:rPr>
              <w:t>(-) Vigencias Futuras 2020</w:t>
            </w:r>
          </w:p>
        </w:tc>
        <w:tc>
          <w:tcPr>
            <w:tcW w:w="0" w:type="auto"/>
            <w:vAlign w:val="center"/>
            <w:hideMark/>
          </w:tcPr>
          <w:p w14:paraId="39D3AF2A" w14:textId="32F34E3E" w:rsidR="009E52E7" w:rsidRPr="00062540" w:rsidRDefault="009E52E7" w:rsidP="009E52E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00000"/>
                <w:sz w:val="20"/>
                <w:szCs w:val="20"/>
              </w:rPr>
              <w:t xml:space="preserve">                     28.644.300 </w:t>
            </w:r>
          </w:p>
        </w:tc>
        <w:tc>
          <w:tcPr>
            <w:tcW w:w="0" w:type="auto"/>
            <w:vMerge/>
            <w:vAlign w:val="center"/>
            <w:hideMark/>
          </w:tcPr>
          <w:p w14:paraId="08F3BD7F" w14:textId="77777777" w:rsidR="009E52E7" w:rsidRPr="005C7543" w:rsidRDefault="009E52E7" w:rsidP="009E52E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9E52E7" w:rsidRPr="005C7543" w14:paraId="78F09169"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278F55A2" w14:textId="01BD77C6" w:rsidR="009E52E7" w:rsidRPr="00062540" w:rsidRDefault="009E52E7" w:rsidP="009E52E7">
            <w:pPr>
              <w:spacing w:before="60" w:after="60"/>
              <w:jc w:val="center"/>
              <w:rPr>
                <w:rFonts w:ascii="Arial" w:hAnsi="Arial" w:cs="Arial"/>
                <w:color w:val="0F243E" w:themeColor="text2" w:themeShade="80"/>
                <w:sz w:val="20"/>
                <w:szCs w:val="20"/>
              </w:rPr>
            </w:pPr>
            <w:r w:rsidRPr="00062540">
              <w:rPr>
                <w:rFonts w:ascii="Arial" w:hAnsi="Arial" w:cs="Arial"/>
                <w:color w:val="0F243E" w:themeColor="text2" w:themeShade="80"/>
                <w:sz w:val="20"/>
                <w:szCs w:val="20"/>
              </w:rPr>
              <w:t xml:space="preserve">Valor </w:t>
            </w:r>
            <w:r>
              <w:rPr>
                <w:rFonts w:ascii="Arial" w:hAnsi="Arial" w:cs="Arial"/>
                <w:color w:val="0F243E" w:themeColor="text2" w:themeShade="80"/>
                <w:sz w:val="20"/>
                <w:szCs w:val="20"/>
              </w:rPr>
              <w:t xml:space="preserve">Vigencia Actual </w:t>
            </w:r>
            <w:r w:rsidRPr="00062540">
              <w:rPr>
                <w:rFonts w:ascii="Arial" w:hAnsi="Arial" w:cs="Arial"/>
                <w:color w:val="0F243E" w:themeColor="text2" w:themeShade="80"/>
                <w:sz w:val="20"/>
                <w:szCs w:val="20"/>
              </w:rPr>
              <w:t>Contratos III Trimestre de 20</w:t>
            </w:r>
            <w:r>
              <w:rPr>
                <w:rFonts w:ascii="Arial" w:hAnsi="Arial" w:cs="Arial"/>
                <w:color w:val="0F243E" w:themeColor="text2" w:themeShade="80"/>
                <w:sz w:val="20"/>
                <w:szCs w:val="20"/>
              </w:rPr>
              <w:t>19</w:t>
            </w:r>
          </w:p>
        </w:tc>
        <w:tc>
          <w:tcPr>
            <w:tcW w:w="0" w:type="auto"/>
            <w:shd w:val="clear" w:color="auto" w:fill="DBE5F1" w:themeFill="accent1" w:themeFillTint="33"/>
            <w:vAlign w:val="center"/>
            <w:hideMark/>
          </w:tcPr>
          <w:p w14:paraId="40D4EAB0" w14:textId="0EB1B83F" w:rsidR="009E52E7" w:rsidRPr="00062540" w:rsidRDefault="009E52E7" w:rsidP="009E52E7">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00000"/>
                <w:sz w:val="20"/>
                <w:szCs w:val="20"/>
              </w:rPr>
              <w:t xml:space="preserve">                   225.997.092 </w:t>
            </w:r>
          </w:p>
        </w:tc>
        <w:tc>
          <w:tcPr>
            <w:tcW w:w="0" w:type="auto"/>
            <w:vMerge/>
            <w:vAlign w:val="center"/>
            <w:hideMark/>
          </w:tcPr>
          <w:p w14:paraId="433C3CAD" w14:textId="77777777" w:rsidR="009E52E7" w:rsidRPr="005C7543" w:rsidRDefault="009E52E7" w:rsidP="009E52E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9E52E7" w:rsidRPr="005C7543" w14:paraId="5358FD01"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40075DCF" w14:textId="77777777" w:rsidR="009E52E7" w:rsidRPr="005C7543" w:rsidRDefault="009E52E7" w:rsidP="009E52E7">
            <w:pPr>
              <w:spacing w:before="60" w:after="60"/>
              <w:jc w:val="center"/>
              <w:rPr>
                <w:rFonts w:ascii="Arial" w:hAnsi="Arial" w:cs="Arial"/>
                <w:color w:val="FFFFFF" w:themeColor="background1"/>
                <w:sz w:val="20"/>
                <w:szCs w:val="20"/>
              </w:rPr>
            </w:pPr>
            <w:r w:rsidRPr="005C7543">
              <w:rPr>
                <w:rFonts w:ascii="Arial" w:hAnsi="Arial" w:cs="Arial"/>
                <w:color w:val="FFFFFF" w:themeColor="background1"/>
                <w:sz w:val="20"/>
                <w:szCs w:val="20"/>
              </w:rPr>
              <w:t xml:space="preserve">Variaciones </w:t>
            </w:r>
          </w:p>
        </w:tc>
        <w:tc>
          <w:tcPr>
            <w:tcW w:w="0" w:type="auto"/>
            <w:shd w:val="clear" w:color="auto" w:fill="4F81BD" w:themeFill="accent1"/>
            <w:vAlign w:val="center"/>
            <w:hideMark/>
          </w:tcPr>
          <w:p w14:paraId="75A6A0FE" w14:textId="41A8AFEA" w:rsidR="009E52E7" w:rsidRPr="009E52E7" w:rsidRDefault="009E52E7" w:rsidP="009E52E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52E7">
              <w:rPr>
                <w:rFonts w:ascii="Arial" w:hAnsi="Arial" w:cs="Arial"/>
                <w:b/>
                <w:bCs/>
                <w:color w:val="FFFFFF" w:themeColor="background1"/>
                <w:sz w:val="20"/>
                <w:szCs w:val="20"/>
              </w:rPr>
              <w:t xml:space="preserve">                     92.788.703 </w:t>
            </w:r>
          </w:p>
        </w:tc>
        <w:tc>
          <w:tcPr>
            <w:tcW w:w="0" w:type="auto"/>
            <w:shd w:val="clear" w:color="auto" w:fill="4F81BD" w:themeFill="accent1"/>
            <w:vAlign w:val="center"/>
            <w:hideMark/>
          </w:tcPr>
          <w:p w14:paraId="147B2577" w14:textId="150CCBC1" w:rsidR="009E52E7" w:rsidRPr="009E52E7" w:rsidRDefault="009E52E7" w:rsidP="009E52E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52E7">
              <w:rPr>
                <w:rFonts w:ascii="Arial" w:hAnsi="Arial" w:cs="Arial"/>
                <w:b/>
                <w:bCs/>
                <w:color w:val="FFFFFF" w:themeColor="background1"/>
                <w:sz w:val="20"/>
                <w:szCs w:val="20"/>
              </w:rPr>
              <w:t>2</w:t>
            </w:r>
          </w:p>
        </w:tc>
      </w:tr>
      <w:tr w:rsidR="009E52E7" w:rsidRPr="005C7543" w14:paraId="253502B5" w14:textId="77777777" w:rsidTr="00A60CB2">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17EEE0BD" w14:textId="77777777" w:rsidR="009E52E7" w:rsidRPr="005C7543" w:rsidRDefault="009E52E7" w:rsidP="009E52E7">
            <w:pPr>
              <w:spacing w:before="60" w:after="60"/>
              <w:rPr>
                <w:rFonts w:ascii="Arial" w:hAnsi="Arial" w:cs="Arial"/>
                <w:color w:val="FFFFFF" w:themeColor="background1"/>
                <w:sz w:val="20"/>
                <w:szCs w:val="20"/>
              </w:rPr>
            </w:pPr>
          </w:p>
        </w:tc>
        <w:tc>
          <w:tcPr>
            <w:tcW w:w="0" w:type="auto"/>
            <w:shd w:val="clear" w:color="auto" w:fill="4F81BD" w:themeFill="accent1"/>
            <w:vAlign w:val="center"/>
            <w:hideMark/>
          </w:tcPr>
          <w:p w14:paraId="4230702D" w14:textId="7BE59FDF" w:rsidR="009E52E7" w:rsidRPr="009E52E7" w:rsidRDefault="009E52E7" w:rsidP="005D4C1B">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52E7">
              <w:rPr>
                <w:rFonts w:ascii="Arial" w:hAnsi="Arial" w:cs="Arial"/>
                <w:b/>
                <w:bCs/>
                <w:color w:val="FFFFFF" w:themeColor="background1"/>
                <w:sz w:val="20"/>
                <w:szCs w:val="20"/>
              </w:rPr>
              <w:t>41%</w:t>
            </w:r>
          </w:p>
        </w:tc>
        <w:tc>
          <w:tcPr>
            <w:tcW w:w="0" w:type="auto"/>
            <w:shd w:val="clear" w:color="auto" w:fill="4F81BD" w:themeFill="accent1"/>
            <w:vAlign w:val="center"/>
            <w:hideMark/>
          </w:tcPr>
          <w:p w14:paraId="574C4D0E" w14:textId="2FE6DBF6" w:rsidR="009E52E7" w:rsidRPr="009E52E7" w:rsidRDefault="009E52E7" w:rsidP="00CF628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9E52E7">
              <w:rPr>
                <w:rFonts w:ascii="Arial" w:hAnsi="Arial" w:cs="Arial"/>
                <w:b/>
                <w:bCs/>
                <w:color w:val="FFFFFF" w:themeColor="background1"/>
                <w:sz w:val="20"/>
                <w:szCs w:val="20"/>
              </w:rPr>
              <w:t>25%</w:t>
            </w:r>
          </w:p>
        </w:tc>
      </w:tr>
    </w:tbl>
    <w:p w14:paraId="1144A227" w14:textId="77777777" w:rsidR="00E44738" w:rsidRPr="00CA48AF" w:rsidRDefault="00E44738" w:rsidP="00756173">
      <w:pPr>
        <w:jc w:val="both"/>
        <w:rPr>
          <w:rFonts w:ascii="Arial" w:hAnsi="Arial" w:cs="Arial"/>
          <w:sz w:val="22"/>
          <w:szCs w:val="22"/>
          <w:highlight w:val="yellow"/>
        </w:rPr>
      </w:pPr>
    </w:p>
    <w:p w14:paraId="68BB144C" w14:textId="378DEB4F" w:rsidR="000C5436" w:rsidRPr="00C7012F" w:rsidRDefault="00820810" w:rsidP="00863871">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De </w:t>
      </w:r>
      <w:r w:rsidR="00252449" w:rsidRPr="00C7012F">
        <w:rPr>
          <w:rFonts w:ascii="Arial" w:hAnsi="Arial" w:cs="Arial"/>
          <w:color w:val="000000" w:themeColor="text1"/>
          <w:sz w:val="22"/>
          <w:szCs w:val="22"/>
        </w:rPr>
        <w:t>otra parte, c</w:t>
      </w:r>
      <w:r w:rsidR="00756173" w:rsidRPr="00C7012F">
        <w:rPr>
          <w:rFonts w:ascii="Arial" w:hAnsi="Arial" w:cs="Arial"/>
          <w:color w:val="000000" w:themeColor="text1"/>
          <w:sz w:val="22"/>
          <w:szCs w:val="22"/>
        </w:rPr>
        <w:t>on corte a 3</w:t>
      </w:r>
      <w:r w:rsidR="008E6626" w:rsidRPr="00C7012F">
        <w:rPr>
          <w:rFonts w:ascii="Arial" w:hAnsi="Arial" w:cs="Arial"/>
          <w:color w:val="000000" w:themeColor="text1"/>
          <w:sz w:val="22"/>
          <w:szCs w:val="22"/>
        </w:rPr>
        <w:t>0</w:t>
      </w:r>
      <w:r w:rsidR="00756173" w:rsidRPr="00C7012F">
        <w:rPr>
          <w:rFonts w:ascii="Arial" w:hAnsi="Arial" w:cs="Arial"/>
          <w:color w:val="000000" w:themeColor="text1"/>
          <w:sz w:val="22"/>
          <w:szCs w:val="22"/>
        </w:rPr>
        <w:t xml:space="preserve"> de </w:t>
      </w:r>
      <w:r w:rsidR="00F92E99" w:rsidRPr="00C7012F">
        <w:rPr>
          <w:rFonts w:ascii="Arial" w:hAnsi="Arial" w:cs="Arial"/>
          <w:color w:val="000000" w:themeColor="text1"/>
          <w:sz w:val="22"/>
          <w:szCs w:val="22"/>
        </w:rPr>
        <w:t>septiembre de</w:t>
      </w:r>
      <w:r w:rsidR="00756173" w:rsidRPr="00C7012F">
        <w:rPr>
          <w:rFonts w:ascii="Arial" w:hAnsi="Arial" w:cs="Arial"/>
          <w:color w:val="000000" w:themeColor="text1"/>
          <w:sz w:val="22"/>
          <w:szCs w:val="22"/>
        </w:rPr>
        <w:t xml:space="preserve"> 20</w:t>
      </w:r>
      <w:r w:rsidR="00321382" w:rsidRPr="00C7012F">
        <w:rPr>
          <w:rFonts w:ascii="Arial" w:hAnsi="Arial" w:cs="Arial"/>
          <w:color w:val="000000" w:themeColor="text1"/>
          <w:sz w:val="22"/>
          <w:szCs w:val="22"/>
        </w:rPr>
        <w:t>20</w:t>
      </w:r>
      <w:r w:rsidR="002A3D27" w:rsidRPr="00C7012F">
        <w:rPr>
          <w:rFonts w:ascii="Arial" w:hAnsi="Arial" w:cs="Arial"/>
          <w:color w:val="000000" w:themeColor="text1"/>
          <w:sz w:val="22"/>
          <w:szCs w:val="22"/>
        </w:rPr>
        <w:t xml:space="preserve"> y 2019</w:t>
      </w:r>
      <w:r w:rsidR="00252449" w:rsidRPr="00C7012F">
        <w:rPr>
          <w:rFonts w:ascii="Arial" w:hAnsi="Arial" w:cs="Arial"/>
          <w:color w:val="000000" w:themeColor="text1"/>
          <w:sz w:val="22"/>
          <w:szCs w:val="22"/>
        </w:rPr>
        <w:t xml:space="preserve"> </w:t>
      </w:r>
      <w:r w:rsidR="00756173" w:rsidRPr="00C7012F">
        <w:rPr>
          <w:rFonts w:ascii="Arial" w:hAnsi="Arial" w:cs="Arial"/>
          <w:color w:val="000000" w:themeColor="text1"/>
          <w:sz w:val="22"/>
          <w:szCs w:val="22"/>
        </w:rPr>
        <w:t>se consult</w:t>
      </w:r>
      <w:r w:rsidR="00137153" w:rsidRPr="00C7012F">
        <w:rPr>
          <w:rFonts w:ascii="Arial" w:hAnsi="Arial" w:cs="Arial"/>
          <w:color w:val="000000" w:themeColor="text1"/>
          <w:sz w:val="22"/>
          <w:szCs w:val="22"/>
        </w:rPr>
        <w:t>ó</w:t>
      </w:r>
      <w:r w:rsidR="00756173" w:rsidRPr="00C7012F">
        <w:rPr>
          <w:rFonts w:ascii="Arial" w:hAnsi="Arial" w:cs="Arial"/>
          <w:color w:val="000000" w:themeColor="text1"/>
          <w:sz w:val="22"/>
          <w:szCs w:val="22"/>
        </w:rPr>
        <w:t xml:space="preserve"> en el SIIF las obligaciones</w:t>
      </w:r>
      <w:r w:rsidR="00497F50" w:rsidRPr="00C7012F">
        <w:rPr>
          <w:rFonts w:ascii="Arial" w:hAnsi="Arial" w:cs="Arial"/>
          <w:color w:val="000000" w:themeColor="text1"/>
          <w:sz w:val="22"/>
          <w:szCs w:val="22"/>
        </w:rPr>
        <w:t xml:space="preserve"> </w:t>
      </w:r>
      <w:r w:rsidR="000A6466" w:rsidRPr="00C7012F">
        <w:rPr>
          <w:rFonts w:ascii="Arial" w:hAnsi="Arial" w:cs="Arial"/>
          <w:color w:val="000000" w:themeColor="text1"/>
          <w:sz w:val="22"/>
          <w:szCs w:val="22"/>
        </w:rPr>
        <w:t xml:space="preserve">de </w:t>
      </w:r>
      <w:r w:rsidR="00D84CC2" w:rsidRPr="00C7012F">
        <w:rPr>
          <w:rFonts w:ascii="Arial" w:hAnsi="Arial" w:cs="Arial"/>
          <w:color w:val="000000" w:themeColor="text1"/>
          <w:sz w:val="22"/>
          <w:szCs w:val="22"/>
        </w:rPr>
        <w:t>los</w:t>
      </w:r>
      <w:r w:rsidR="00863871" w:rsidRPr="00C7012F">
        <w:rPr>
          <w:rFonts w:ascii="Arial" w:hAnsi="Arial" w:cs="Arial"/>
          <w:color w:val="000000" w:themeColor="text1"/>
          <w:sz w:val="22"/>
          <w:szCs w:val="22"/>
        </w:rPr>
        <w:t xml:space="preserve"> contratos de prestación de servicios y de apoyo a la gestión para los</w:t>
      </w:r>
      <w:r w:rsidR="00D84CC2" w:rsidRPr="00C7012F">
        <w:rPr>
          <w:rFonts w:ascii="Arial" w:hAnsi="Arial" w:cs="Arial"/>
          <w:color w:val="000000" w:themeColor="text1"/>
          <w:sz w:val="22"/>
          <w:szCs w:val="22"/>
        </w:rPr>
        <w:t xml:space="preserve"> </w:t>
      </w:r>
      <w:r w:rsidR="00497F50" w:rsidRPr="00C7012F">
        <w:rPr>
          <w:rFonts w:ascii="Arial" w:hAnsi="Arial" w:cs="Arial"/>
          <w:color w:val="000000" w:themeColor="text1"/>
          <w:sz w:val="22"/>
          <w:szCs w:val="22"/>
        </w:rPr>
        <w:t>periodo</w:t>
      </w:r>
      <w:r w:rsidR="00D84CC2" w:rsidRPr="00C7012F">
        <w:rPr>
          <w:rFonts w:ascii="Arial" w:hAnsi="Arial" w:cs="Arial"/>
          <w:color w:val="000000" w:themeColor="text1"/>
          <w:sz w:val="22"/>
          <w:szCs w:val="22"/>
        </w:rPr>
        <w:t>s</w:t>
      </w:r>
      <w:r w:rsidR="00497F50" w:rsidRPr="00C7012F">
        <w:rPr>
          <w:rFonts w:ascii="Arial" w:hAnsi="Arial" w:cs="Arial"/>
          <w:color w:val="000000" w:themeColor="text1"/>
          <w:sz w:val="22"/>
          <w:szCs w:val="22"/>
        </w:rPr>
        <w:t xml:space="preserve"> que conforma</w:t>
      </w:r>
      <w:r w:rsidR="00D84CC2" w:rsidRPr="00C7012F">
        <w:rPr>
          <w:rFonts w:ascii="Arial" w:hAnsi="Arial" w:cs="Arial"/>
          <w:color w:val="000000" w:themeColor="text1"/>
          <w:sz w:val="22"/>
          <w:szCs w:val="22"/>
        </w:rPr>
        <w:t>n</w:t>
      </w:r>
      <w:r w:rsidR="00497F50" w:rsidRPr="00C7012F">
        <w:rPr>
          <w:rFonts w:ascii="Arial" w:hAnsi="Arial" w:cs="Arial"/>
          <w:color w:val="000000" w:themeColor="text1"/>
          <w:sz w:val="22"/>
          <w:szCs w:val="22"/>
        </w:rPr>
        <w:t xml:space="preserve"> el trimestre analizado [</w:t>
      </w:r>
      <w:r w:rsidR="00BC1FE9" w:rsidRPr="00C7012F">
        <w:rPr>
          <w:rFonts w:ascii="Arial" w:hAnsi="Arial" w:cs="Arial"/>
          <w:color w:val="000000" w:themeColor="text1"/>
          <w:sz w:val="22"/>
          <w:szCs w:val="22"/>
        </w:rPr>
        <w:t>julio, agosto y septiembre]</w:t>
      </w:r>
      <w:r w:rsidR="000C5436" w:rsidRPr="00C7012F">
        <w:rPr>
          <w:rFonts w:ascii="Arial" w:hAnsi="Arial" w:cs="Arial"/>
          <w:color w:val="000000" w:themeColor="text1"/>
          <w:sz w:val="22"/>
          <w:szCs w:val="22"/>
        </w:rPr>
        <w:t xml:space="preserve">, </w:t>
      </w:r>
      <w:r w:rsidR="00863871" w:rsidRPr="00C7012F">
        <w:rPr>
          <w:rFonts w:ascii="Arial" w:hAnsi="Arial" w:cs="Arial"/>
          <w:color w:val="000000" w:themeColor="text1"/>
          <w:sz w:val="22"/>
          <w:szCs w:val="22"/>
        </w:rPr>
        <w:t xml:space="preserve">teniendo en cuenta los siguientes criterios: </w:t>
      </w:r>
    </w:p>
    <w:p w14:paraId="109B965A" w14:textId="77777777" w:rsidR="00863871" w:rsidRPr="00C7012F" w:rsidRDefault="00863871" w:rsidP="00863871">
      <w:pPr>
        <w:jc w:val="both"/>
        <w:rPr>
          <w:rFonts w:ascii="Arial" w:hAnsi="Arial" w:cs="Arial"/>
          <w:color w:val="000000" w:themeColor="text1"/>
          <w:sz w:val="22"/>
          <w:szCs w:val="22"/>
        </w:rPr>
      </w:pPr>
    </w:p>
    <w:p w14:paraId="7C993F45" w14:textId="55FFFC68" w:rsidR="000C5436" w:rsidRPr="00C7012F" w:rsidRDefault="000C5436" w:rsidP="0077095A">
      <w:pPr>
        <w:pStyle w:val="Prrafodelista"/>
        <w:numPr>
          <w:ilvl w:val="0"/>
          <w:numId w:val="30"/>
        </w:numPr>
        <w:spacing w:after="120"/>
        <w:ind w:left="360"/>
        <w:contextualSpacing w:val="0"/>
        <w:rPr>
          <w:rFonts w:ascii="Arial" w:hAnsi="Arial" w:cs="Arial"/>
          <w:color w:val="000000" w:themeColor="text1"/>
          <w:sz w:val="22"/>
          <w:szCs w:val="22"/>
        </w:rPr>
      </w:pPr>
      <w:r w:rsidRPr="00C7012F">
        <w:rPr>
          <w:rFonts w:ascii="Arial" w:hAnsi="Arial" w:cs="Arial"/>
          <w:color w:val="000000" w:themeColor="text1"/>
          <w:sz w:val="22"/>
          <w:szCs w:val="22"/>
        </w:rPr>
        <w:t>C</w:t>
      </w:r>
      <w:r w:rsidR="00756173" w:rsidRPr="00C7012F">
        <w:rPr>
          <w:rFonts w:ascii="Arial" w:hAnsi="Arial" w:cs="Arial"/>
          <w:color w:val="000000" w:themeColor="text1"/>
          <w:sz w:val="22"/>
          <w:szCs w:val="22"/>
        </w:rPr>
        <w:t>ontratos de prestación de servicios</w:t>
      </w:r>
      <w:r w:rsidR="00883289" w:rsidRPr="00C7012F">
        <w:rPr>
          <w:rFonts w:ascii="Arial" w:hAnsi="Arial" w:cs="Arial"/>
          <w:color w:val="000000" w:themeColor="text1"/>
          <w:sz w:val="22"/>
          <w:szCs w:val="22"/>
        </w:rPr>
        <w:t xml:space="preserve"> profesionales vigentes</w:t>
      </w:r>
      <w:r w:rsidRPr="00C7012F">
        <w:rPr>
          <w:rFonts w:ascii="Arial" w:hAnsi="Arial" w:cs="Arial"/>
          <w:color w:val="000000" w:themeColor="text1"/>
          <w:sz w:val="22"/>
          <w:szCs w:val="22"/>
        </w:rPr>
        <w:t xml:space="preserve"> con corte a 30 de </w:t>
      </w:r>
      <w:r w:rsidR="00BC1FE9" w:rsidRPr="00C7012F">
        <w:rPr>
          <w:rFonts w:ascii="Arial" w:hAnsi="Arial" w:cs="Arial"/>
          <w:color w:val="000000" w:themeColor="text1"/>
          <w:sz w:val="22"/>
          <w:szCs w:val="22"/>
        </w:rPr>
        <w:t xml:space="preserve">septiembre </w:t>
      </w:r>
      <w:r w:rsidRPr="00C7012F">
        <w:rPr>
          <w:rFonts w:ascii="Arial" w:hAnsi="Arial" w:cs="Arial"/>
          <w:color w:val="000000" w:themeColor="text1"/>
          <w:sz w:val="22"/>
          <w:szCs w:val="22"/>
        </w:rPr>
        <w:t>de 2020 y 2019.</w:t>
      </w:r>
    </w:p>
    <w:p w14:paraId="5F3D3209" w14:textId="42A96EC7" w:rsidR="0077095A" w:rsidRPr="00C7012F" w:rsidRDefault="000C5436" w:rsidP="0077095A">
      <w:pPr>
        <w:pStyle w:val="Prrafodelista"/>
        <w:numPr>
          <w:ilvl w:val="0"/>
          <w:numId w:val="30"/>
        </w:numPr>
        <w:spacing w:after="120"/>
        <w:ind w:left="360"/>
        <w:contextualSpacing w:val="0"/>
        <w:rPr>
          <w:rFonts w:ascii="Arial" w:hAnsi="Arial" w:cs="Arial"/>
          <w:color w:val="000000" w:themeColor="text1"/>
          <w:sz w:val="22"/>
          <w:szCs w:val="22"/>
        </w:rPr>
      </w:pPr>
      <w:r w:rsidRPr="00C7012F">
        <w:rPr>
          <w:rFonts w:ascii="Arial" w:hAnsi="Arial" w:cs="Arial"/>
          <w:color w:val="000000" w:themeColor="text1"/>
          <w:sz w:val="22"/>
          <w:szCs w:val="22"/>
        </w:rPr>
        <w:t xml:space="preserve">Contratos de prestación de servicios profesionales </w:t>
      </w:r>
      <w:r w:rsidR="0077095A" w:rsidRPr="00C7012F">
        <w:rPr>
          <w:rFonts w:ascii="Arial" w:hAnsi="Arial" w:cs="Arial"/>
          <w:color w:val="000000" w:themeColor="text1"/>
          <w:sz w:val="22"/>
          <w:szCs w:val="22"/>
        </w:rPr>
        <w:t>que culminaron el plazo de ejecución al 30 de</w:t>
      </w:r>
      <w:r w:rsidR="00BC1FE9" w:rsidRPr="00C7012F">
        <w:rPr>
          <w:rFonts w:ascii="Arial" w:hAnsi="Arial" w:cs="Arial"/>
          <w:color w:val="000000" w:themeColor="text1"/>
          <w:sz w:val="22"/>
          <w:szCs w:val="22"/>
        </w:rPr>
        <w:t xml:space="preserve"> septiembre </w:t>
      </w:r>
      <w:r w:rsidR="0077095A" w:rsidRPr="00C7012F">
        <w:rPr>
          <w:rFonts w:ascii="Arial" w:hAnsi="Arial" w:cs="Arial"/>
          <w:color w:val="000000" w:themeColor="text1"/>
          <w:sz w:val="22"/>
          <w:szCs w:val="22"/>
        </w:rPr>
        <w:t xml:space="preserve">de 2020 y 2019. </w:t>
      </w:r>
    </w:p>
    <w:p w14:paraId="73C44521" w14:textId="6BF2126E" w:rsidR="0077095A" w:rsidRPr="00C7012F" w:rsidRDefault="0077095A" w:rsidP="0077095A">
      <w:pPr>
        <w:pStyle w:val="Prrafodelista"/>
        <w:numPr>
          <w:ilvl w:val="0"/>
          <w:numId w:val="30"/>
        </w:numPr>
        <w:ind w:left="360"/>
        <w:rPr>
          <w:rFonts w:ascii="Arial" w:hAnsi="Arial" w:cs="Arial"/>
          <w:color w:val="000000" w:themeColor="text1"/>
          <w:sz w:val="22"/>
          <w:szCs w:val="22"/>
        </w:rPr>
      </w:pPr>
      <w:r w:rsidRPr="00C7012F">
        <w:rPr>
          <w:rFonts w:ascii="Arial" w:hAnsi="Arial" w:cs="Arial"/>
          <w:color w:val="000000" w:themeColor="text1"/>
          <w:sz w:val="22"/>
          <w:szCs w:val="22"/>
        </w:rPr>
        <w:t xml:space="preserve">Contratos de prestación de servicios profesionales que presentaron </w:t>
      </w:r>
      <w:r w:rsidR="00D84CC2" w:rsidRPr="00C7012F">
        <w:rPr>
          <w:rFonts w:ascii="Arial" w:hAnsi="Arial" w:cs="Arial"/>
          <w:color w:val="000000" w:themeColor="text1"/>
          <w:sz w:val="22"/>
          <w:szCs w:val="22"/>
        </w:rPr>
        <w:t>terminación anticipada</w:t>
      </w:r>
      <w:r w:rsidRPr="00C7012F">
        <w:rPr>
          <w:rFonts w:ascii="Arial" w:hAnsi="Arial" w:cs="Arial"/>
          <w:color w:val="000000" w:themeColor="text1"/>
          <w:sz w:val="22"/>
          <w:szCs w:val="22"/>
        </w:rPr>
        <w:t xml:space="preserve"> durante el </w:t>
      </w:r>
      <w:r w:rsidR="00BC1FE9" w:rsidRPr="00C7012F">
        <w:rPr>
          <w:rFonts w:ascii="Arial" w:hAnsi="Arial" w:cs="Arial"/>
          <w:color w:val="000000" w:themeColor="text1"/>
          <w:sz w:val="22"/>
          <w:szCs w:val="22"/>
        </w:rPr>
        <w:t xml:space="preserve">tercer </w:t>
      </w:r>
      <w:r w:rsidRPr="00C7012F">
        <w:rPr>
          <w:rFonts w:ascii="Arial" w:hAnsi="Arial" w:cs="Arial"/>
          <w:color w:val="000000" w:themeColor="text1"/>
          <w:sz w:val="22"/>
          <w:szCs w:val="22"/>
        </w:rPr>
        <w:t xml:space="preserve">trimestre de 2020 y 2019. </w:t>
      </w:r>
    </w:p>
    <w:p w14:paraId="381E9286" w14:textId="77777777" w:rsidR="00BC1FE9" w:rsidRPr="00C7012F" w:rsidRDefault="00BC1FE9" w:rsidP="00756173">
      <w:pPr>
        <w:jc w:val="both"/>
        <w:rPr>
          <w:rFonts w:ascii="Arial" w:hAnsi="Arial" w:cs="Arial"/>
          <w:color w:val="000000" w:themeColor="text1"/>
          <w:sz w:val="22"/>
          <w:szCs w:val="22"/>
        </w:rPr>
      </w:pPr>
    </w:p>
    <w:p w14:paraId="4A3B99E9" w14:textId="175AA55B" w:rsidR="00756173" w:rsidRPr="00C7012F" w:rsidRDefault="00756173" w:rsidP="00756173">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Con </w:t>
      </w:r>
      <w:r w:rsidR="0077095A" w:rsidRPr="00C7012F">
        <w:rPr>
          <w:rFonts w:ascii="Arial" w:hAnsi="Arial" w:cs="Arial"/>
          <w:color w:val="000000" w:themeColor="text1"/>
          <w:sz w:val="22"/>
          <w:szCs w:val="22"/>
        </w:rPr>
        <w:t>base en la anterior i</w:t>
      </w:r>
      <w:r w:rsidRPr="00C7012F">
        <w:rPr>
          <w:rFonts w:ascii="Arial" w:hAnsi="Arial" w:cs="Arial"/>
          <w:color w:val="000000" w:themeColor="text1"/>
          <w:sz w:val="22"/>
          <w:szCs w:val="22"/>
        </w:rPr>
        <w:t xml:space="preserve">nformación, se efectúo la comparación </w:t>
      </w:r>
      <w:r w:rsidR="00F64180" w:rsidRPr="00C7012F">
        <w:rPr>
          <w:rFonts w:ascii="Arial" w:hAnsi="Arial" w:cs="Arial"/>
          <w:color w:val="000000" w:themeColor="text1"/>
          <w:sz w:val="22"/>
          <w:szCs w:val="22"/>
        </w:rPr>
        <w:t xml:space="preserve">de </w:t>
      </w:r>
      <w:r w:rsidRPr="00C7012F">
        <w:rPr>
          <w:rFonts w:ascii="Arial" w:hAnsi="Arial" w:cs="Arial"/>
          <w:color w:val="000000" w:themeColor="text1"/>
          <w:sz w:val="22"/>
          <w:szCs w:val="22"/>
        </w:rPr>
        <w:t xml:space="preserve">las obligaciones correspondientes al </w:t>
      </w:r>
      <w:r w:rsidR="00BC1FE9" w:rsidRPr="00C7012F">
        <w:rPr>
          <w:rFonts w:ascii="Arial" w:hAnsi="Arial" w:cs="Arial"/>
          <w:color w:val="000000" w:themeColor="text1"/>
          <w:sz w:val="22"/>
          <w:szCs w:val="22"/>
        </w:rPr>
        <w:t>tercer trimestre</w:t>
      </w:r>
      <w:r w:rsidRPr="00C7012F">
        <w:rPr>
          <w:rFonts w:ascii="Arial" w:hAnsi="Arial" w:cs="Arial"/>
          <w:color w:val="000000" w:themeColor="text1"/>
          <w:sz w:val="22"/>
          <w:szCs w:val="22"/>
        </w:rPr>
        <w:t xml:space="preserve"> de 20</w:t>
      </w:r>
      <w:r w:rsidR="002D3065" w:rsidRPr="00C7012F">
        <w:rPr>
          <w:rFonts w:ascii="Arial" w:hAnsi="Arial" w:cs="Arial"/>
          <w:color w:val="000000" w:themeColor="text1"/>
          <w:sz w:val="22"/>
          <w:szCs w:val="22"/>
        </w:rPr>
        <w:t>20</w:t>
      </w:r>
      <w:r w:rsidR="00F64180" w:rsidRPr="00C7012F">
        <w:rPr>
          <w:rFonts w:ascii="Arial" w:hAnsi="Arial" w:cs="Arial"/>
          <w:color w:val="000000" w:themeColor="text1"/>
          <w:sz w:val="22"/>
          <w:szCs w:val="22"/>
        </w:rPr>
        <w:t xml:space="preserve"> y 201</w:t>
      </w:r>
      <w:r w:rsidR="002D3065" w:rsidRPr="00C7012F">
        <w:rPr>
          <w:rFonts w:ascii="Arial" w:hAnsi="Arial" w:cs="Arial"/>
          <w:color w:val="000000" w:themeColor="text1"/>
          <w:sz w:val="22"/>
          <w:szCs w:val="22"/>
        </w:rPr>
        <w:t>9</w:t>
      </w:r>
      <w:r w:rsidRPr="00C7012F">
        <w:rPr>
          <w:rFonts w:ascii="Arial" w:hAnsi="Arial" w:cs="Arial"/>
          <w:color w:val="000000" w:themeColor="text1"/>
          <w:sz w:val="22"/>
          <w:szCs w:val="22"/>
        </w:rPr>
        <w:t xml:space="preserve">. A continuación, se presentan las variaciones establecidas para el trimestre objeto de análisis: </w:t>
      </w:r>
    </w:p>
    <w:p w14:paraId="68ED92A5" w14:textId="77777777" w:rsidR="00427944" w:rsidRPr="00F92E99" w:rsidRDefault="00427944" w:rsidP="00756173">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1980"/>
        <w:gridCol w:w="2143"/>
        <w:gridCol w:w="2109"/>
        <w:gridCol w:w="1465"/>
        <w:gridCol w:w="1579"/>
      </w:tblGrid>
      <w:tr w:rsidR="002A3D27" w:rsidRPr="00CA48AF" w14:paraId="4988E373" w14:textId="77777777" w:rsidTr="00AC433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4F81BD" w:themeFill="accent1"/>
            <w:vAlign w:val="center"/>
            <w:hideMark/>
          </w:tcPr>
          <w:p w14:paraId="095E46D1" w14:textId="79492711" w:rsidR="000B21B5" w:rsidRPr="00BC1FE9" w:rsidRDefault="008E6D31" w:rsidP="00A60CB2">
            <w:pPr>
              <w:spacing w:before="100" w:after="100"/>
              <w:jc w:val="center"/>
              <w:rPr>
                <w:rFonts w:ascii="Arial" w:hAnsi="Arial" w:cs="Arial"/>
                <w:color w:val="FFFFFF" w:themeColor="background1"/>
                <w:sz w:val="20"/>
                <w:szCs w:val="20"/>
              </w:rPr>
            </w:pPr>
            <w:bookmarkStart w:id="2" w:name="_Hlk45719439"/>
            <w:r w:rsidRPr="00BC1FE9">
              <w:rPr>
                <w:rFonts w:ascii="Arial" w:hAnsi="Arial" w:cs="Arial"/>
                <w:color w:val="FFFFFF" w:themeColor="background1"/>
                <w:sz w:val="20"/>
                <w:szCs w:val="20"/>
              </w:rPr>
              <w:br w:type="page"/>
            </w:r>
            <w:r w:rsidR="000B21B5" w:rsidRPr="00BC1FE9">
              <w:rPr>
                <w:rFonts w:ascii="Arial" w:hAnsi="Arial" w:cs="Arial"/>
                <w:color w:val="FFFFFF" w:themeColor="background1"/>
                <w:sz w:val="20"/>
                <w:szCs w:val="20"/>
              </w:rPr>
              <w:t>Periodo</w:t>
            </w:r>
          </w:p>
        </w:tc>
        <w:tc>
          <w:tcPr>
            <w:tcW w:w="4252" w:type="dxa"/>
            <w:gridSpan w:val="2"/>
            <w:shd w:val="clear" w:color="auto" w:fill="4F81BD" w:themeFill="accent1"/>
            <w:vAlign w:val="center"/>
            <w:hideMark/>
          </w:tcPr>
          <w:p w14:paraId="00CF74FB" w14:textId="77777777" w:rsidR="000B21B5" w:rsidRPr="00BC1FE9" w:rsidRDefault="000B21B5" w:rsidP="00A60CB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1FE9">
              <w:rPr>
                <w:rFonts w:ascii="Arial" w:hAnsi="Arial" w:cs="Arial"/>
                <w:color w:val="FFFFFF" w:themeColor="background1"/>
                <w:sz w:val="20"/>
                <w:szCs w:val="20"/>
              </w:rPr>
              <w:t>Valor Obligado ($)</w:t>
            </w:r>
          </w:p>
        </w:tc>
        <w:tc>
          <w:tcPr>
            <w:tcW w:w="3044" w:type="dxa"/>
            <w:gridSpan w:val="2"/>
            <w:shd w:val="clear" w:color="auto" w:fill="4F81BD" w:themeFill="accent1"/>
            <w:vAlign w:val="center"/>
            <w:hideMark/>
          </w:tcPr>
          <w:p w14:paraId="31C76560" w14:textId="77777777" w:rsidR="000B21B5" w:rsidRPr="00BC1FE9" w:rsidRDefault="000B21B5" w:rsidP="00A60CB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1FE9">
              <w:rPr>
                <w:rFonts w:ascii="Arial" w:hAnsi="Arial" w:cs="Arial"/>
                <w:color w:val="FFFFFF" w:themeColor="background1"/>
                <w:sz w:val="20"/>
                <w:szCs w:val="20"/>
              </w:rPr>
              <w:t>Variaciones</w:t>
            </w:r>
          </w:p>
        </w:tc>
      </w:tr>
      <w:tr w:rsidR="002A3D27" w:rsidRPr="00CA48AF" w14:paraId="7DF0A3C7" w14:textId="77777777" w:rsidTr="00E11E11">
        <w:trPr>
          <w:cantSplit/>
          <w:jc w:val="center"/>
        </w:trPr>
        <w:tc>
          <w:tcPr>
            <w:cnfStyle w:val="001000000000" w:firstRow="0" w:lastRow="0" w:firstColumn="1" w:lastColumn="0" w:oddVBand="0" w:evenVBand="0" w:oddHBand="0" w:evenHBand="0" w:firstRowFirstColumn="0" w:firstRowLastColumn="0" w:lastRowFirstColumn="0" w:lastRowLastColumn="0"/>
            <w:tcW w:w="1980" w:type="dxa"/>
            <w:vMerge/>
            <w:tcBorders>
              <w:bottom w:val="nil"/>
            </w:tcBorders>
            <w:shd w:val="clear" w:color="auto" w:fill="4F81BD" w:themeFill="accent1"/>
            <w:vAlign w:val="center"/>
            <w:hideMark/>
          </w:tcPr>
          <w:p w14:paraId="238A9460" w14:textId="77777777" w:rsidR="000B21B5" w:rsidRPr="00BC1FE9" w:rsidRDefault="000B21B5" w:rsidP="00A60CB2">
            <w:pPr>
              <w:spacing w:before="100" w:after="100"/>
              <w:rPr>
                <w:rFonts w:ascii="Arial" w:hAnsi="Arial" w:cs="Arial"/>
                <w:color w:val="FFFFFF" w:themeColor="background1"/>
                <w:sz w:val="20"/>
                <w:szCs w:val="20"/>
              </w:rPr>
            </w:pPr>
          </w:p>
        </w:tc>
        <w:tc>
          <w:tcPr>
            <w:tcW w:w="2143" w:type="dxa"/>
            <w:tcBorders>
              <w:bottom w:val="nil"/>
            </w:tcBorders>
            <w:shd w:val="clear" w:color="auto" w:fill="4F81BD" w:themeFill="accent1"/>
            <w:vAlign w:val="center"/>
            <w:hideMark/>
          </w:tcPr>
          <w:p w14:paraId="166ADDBA" w14:textId="6B4A6354" w:rsidR="000B21B5" w:rsidRPr="00BC1FE9" w:rsidRDefault="00BC1FE9"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I</w:t>
            </w:r>
            <w:r w:rsidR="00FA7C7E" w:rsidRPr="00BC1FE9">
              <w:rPr>
                <w:rFonts w:ascii="Arial" w:hAnsi="Arial" w:cs="Arial"/>
                <w:b/>
                <w:bCs/>
                <w:color w:val="FFFFFF" w:themeColor="background1"/>
                <w:sz w:val="20"/>
                <w:szCs w:val="20"/>
              </w:rPr>
              <w:t>I</w:t>
            </w:r>
            <w:r w:rsidR="00B67C1C" w:rsidRPr="00BC1FE9">
              <w:rPr>
                <w:rFonts w:ascii="Arial" w:hAnsi="Arial" w:cs="Arial"/>
                <w:b/>
                <w:bCs/>
                <w:color w:val="FFFFFF" w:themeColor="background1"/>
                <w:sz w:val="20"/>
                <w:szCs w:val="20"/>
              </w:rPr>
              <w:t>I</w:t>
            </w:r>
            <w:r w:rsidR="000B21B5" w:rsidRPr="00BC1FE9">
              <w:rPr>
                <w:rFonts w:ascii="Arial" w:hAnsi="Arial" w:cs="Arial"/>
                <w:b/>
                <w:bCs/>
                <w:color w:val="FFFFFF" w:themeColor="background1"/>
                <w:sz w:val="20"/>
                <w:szCs w:val="20"/>
              </w:rPr>
              <w:t xml:space="preserve"> Trimestre 20</w:t>
            </w:r>
            <w:r w:rsidR="002A3D27" w:rsidRPr="00BC1FE9">
              <w:rPr>
                <w:rFonts w:ascii="Arial" w:hAnsi="Arial" w:cs="Arial"/>
                <w:b/>
                <w:bCs/>
                <w:color w:val="FFFFFF" w:themeColor="background1"/>
                <w:sz w:val="20"/>
                <w:szCs w:val="20"/>
              </w:rPr>
              <w:t>20</w:t>
            </w:r>
          </w:p>
        </w:tc>
        <w:tc>
          <w:tcPr>
            <w:tcW w:w="2109" w:type="dxa"/>
            <w:tcBorders>
              <w:bottom w:val="nil"/>
            </w:tcBorders>
            <w:shd w:val="clear" w:color="auto" w:fill="4F81BD" w:themeFill="accent1"/>
            <w:vAlign w:val="center"/>
            <w:hideMark/>
          </w:tcPr>
          <w:p w14:paraId="1CC8DA8D" w14:textId="0B864477" w:rsidR="000B21B5" w:rsidRPr="00BC1FE9" w:rsidRDefault="00BC1FE9"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I</w:t>
            </w:r>
            <w:r w:rsidR="00B67C1C" w:rsidRPr="00BC1FE9">
              <w:rPr>
                <w:rFonts w:ascii="Arial" w:hAnsi="Arial" w:cs="Arial"/>
                <w:b/>
                <w:bCs/>
                <w:color w:val="FFFFFF" w:themeColor="background1"/>
                <w:sz w:val="20"/>
                <w:szCs w:val="20"/>
              </w:rPr>
              <w:t>I</w:t>
            </w:r>
            <w:r w:rsidR="00FA7C7E" w:rsidRPr="00BC1FE9">
              <w:rPr>
                <w:rFonts w:ascii="Arial" w:hAnsi="Arial" w:cs="Arial"/>
                <w:b/>
                <w:bCs/>
                <w:color w:val="FFFFFF" w:themeColor="background1"/>
                <w:sz w:val="20"/>
                <w:szCs w:val="20"/>
              </w:rPr>
              <w:t>I</w:t>
            </w:r>
            <w:r w:rsidR="000B21B5" w:rsidRPr="00BC1FE9">
              <w:rPr>
                <w:rFonts w:ascii="Arial" w:hAnsi="Arial" w:cs="Arial"/>
                <w:b/>
                <w:bCs/>
                <w:color w:val="FFFFFF" w:themeColor="background1"/>
                <w:sz w:val="20"/>
                <w:szCs w:val="20"/>
              </w:rPr>
              <w:t xml:space="preserve"> Trimestre 20</w:t>
            </w:r>
            <w:r w:rsidR="002A3D27" w:rsidRPr="00BC1FE9">
              <w:rPr>
                <w:rFonts w:ascii="Arial" w:hAnsi="Arial" w:cs="Arial"/>
                <w:b/>
                <w:bCs/>
                <w:color w:val="FFFFFF" w:themeColor="background1"/>
                <w:sz w:val="20"/>
                <w:szCs w:val="20"/>
              </w:rPr>
              <w:t>19</w:t>
            </w:r>
          </w:p>
        </w:tc>
        <w:tc>
          <w:tcPr>
            <w:tcW w:w="1465" w:type="dxa"/>
            <w:tcBorders>
              <w:bottom w:val="nil"/>
            </w:tcBorders>
            <w:shd w:val="clear" w:color="auto" w:fill="4F81BD" w:themeFill="accent1"/>
            <w:vAlign w:val="center"/>
            <w:hideMark/>
          </w:tcPr>
          <w:p w14:paraId="60750C9E" w14:textId="77777777" w:rsidR="000B21B5" w:rsidRPr="00BC1FE9" w:rsidRDefault="000B21B5"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C1FE9">
              <w:rPr>
                <w:rFonts w:ascii="Arial" w:hAnsi="Arial" w:cs="Arial"/>
                <w:b/>
                <w:bCs/>
                <w:color w:val="FFFFFF" w:themeColor="background1"/>
                <w:sz w:val="20"/>
                <w:szCs w:val="20"/>
              </w:rPr>
              <w:t>Absoluta $</w:t>
            </w:r>
          </w:p>
        </w:tc>
        <w:tc>
          <w:tcPr>
            <w:tcW w:w="1579" w:type="dxa"/>
            <w:tcBorders>
              <w:bottom w:val="nil"/>
            </w:tcBorders>
            <w:shd w:val="clear" w:color="auto" w:fill="4F81BD" w:themeFill="accent1"/>
            <w:vAlign w:val="center"/>
            <w:hideMark/>
          </w:tcPr>
          <w:p w14:paraId="0571E87D" w14:textId="77777777" w:rsidR="000B21B5" w:rsidRPr="00BC1FE9" w:rsidRDefault="000B21B5"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BC1FE9">
              <w:rPr>
                <w:rFonts w:ascii="Arial" w:hAnsi="Arial" w:cs="Arial"/>
                <w:b/>
                <w:bCs/>
                <w:color w:val="FFFFFF" w:themeColor="background1"/>
                <w:sz w:val="20"/>
                <w:szCs w:val="20"/>
              </w:rPr>
              <w:t>Relativa %</w:t>
            </w:r>
          </w:p>
        </w:tc>
      </w:tr>
      <w:tr w:rsidR="00CD189F" w:rsidRPr="00CA48AF" w14:paraId="3E61780C" w14:textId="77777777" w:rsidTr="0047018D">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13C7F51E" w14:textId="57D9795C" w:rsidR="00CD189F" w:rsidRPr="00062540" w:rsidRDefault="00CD189F" w:rsidP="00A60CB2">
            <w:pPr>
              <w:spacing w:before="100" w:after="100"/>
              <w:rPr>
                <w:rFonts w:ascii="Arial" w:hAnsi="Arial" w:cs="Arial"/>
                <w:b w:val="0"/>
                <w:color w:val="0F243E" w:themeColor="text2" w:themeShade="80"/>
                <w:sz w:val="20"/>
                <w:szCs w:val="20"/>
              </w:rPr>
            </w:pPr>
            <w:r w:rsidRPr="00062540">
              <w:rPr>
                <w:rFonts w:ascii="Arial" w:hAnsi="Arial" w:cs="Arial"/>
                <w:b w:val="0"/>
                <w:color w:val="0F243E" w:themeColor="text2" w:themeShade="80"/>
                <w:sz w:val="20"/>
                <w:szCs w:val="20"/>
              </w:rPr>
              <w:t>Julio</w:t>
            </w:r>
          </w:p>
        </w:tc>
        <w:tc>
          <w:tcPr>
            <w:tcW w:w="2143" w:type="dxa"/>
            <w:tcBorders>
              <w:top w:val="nil"/>
              <w:left w:val="nil"/>
              <w:bottom w:val="nil"/>
              <w:right w:val="nil"/>
            </w:tcBorders>
            <w:vAlign w:val="center"/>
          </w:tcPr>
          <w:p w14:paraId="7913420F" w14:textId="0773A242"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573.165.245 </w:t>
            </w:r>
          </w:p>
        </w:tc>
        <w:tc>
          <w:tcPr>
            <w:tcW w:w="2109" w:type="dxa"/>
            <w:tcBorders>
              <w:top w:val="nil"/>
              <w:left w:val="nil"/>
              <w:bottom w:val="nil"/>
              <w:right w:val="nil"/>
            </w:tcBorders>
            <w:vAlign w:val="center"/>
          </w:tcPr>
          <w:p w14:paraId="72DA2232" w14:textId="3293C37E"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562.074.075 </w:t>
            </w:r>
          </w:p>
        </w:tc>
        <w:tc>
          <w:tcPr>
            <w:tcW w:w="1465" w:type="dxa"/>
            <w:tcBorders>
              <w:top w:val="nil"/>
              <w:left w:val="nil"/>
              <w:bottom w:val="nil"/>
              <w:right w:val="nil"/>
            </w:tcBorders>
            <w:vAlign w:val="center"/>
          </w:tcPr>
          <w:p w14:paraId="355ED5F8" w14:textId="5FE8B3E6"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11.091.170 </w:t>
            </w:r>
          </w:p>
        </w:tc>
        <w:tc>
          <w:tcPr>
            <w:tcW w:w="1579" w:type="dxa"/>
            <w:tcBorders>
              <w:top w:val="nil"/>
              <w:left w:val="nil"/>
              <w:bottom w:val="nil"/>
              <w:right w:val="nil"/>
            </w:tcBorders>
            <w:vAlign w:val="center"/>
          </w:tcPr>
          <w:p w14:paraId="12436409" w14:textId="4C33ECFA" w:rsidR="00CD189F" w:rsidRPr="00CD189F" w:rsidRDefault="00CD189F"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D189F">
              <w:rPr>
                <w:rFonts w:ascii="Arial" w:hAnsi="Arial" w:cs="Arial"/>
                <w:b/>
                <w:bCs/>
                <w:color w:val="0F243E" w:themeColor="text2" w:themeShade="80"/>
                <w:sz w:val="20"/>
                <w:szCs w:val="20"/>
              </w:rPr>
              <w:t>2%</w:t>
            </w:r>
          </w:p>
        </w:tc>
      </w:tr>
      <w:tr w:rsidR="00CD189F" w:rsidRPr="00CA48AF" w14:paraId="5F611AEF" w14:textId="77777777" w:rsidTr="0047018D">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3C4748D7" w14:textId="5D3CAC2C" w:rsidR="00CD189F" w:rsidRPr="00062540" w:rsidRDefault="00CD189F" w:rsidP="00A60CB2">
            <w:pPr>
              <w:spacing w:before="100" w:after="100"/>
              <w:rPr>
                <w:rFonts w:ascii="Arial" w:hAnsi="Arial" w:cs="Arial"/>
                <w:b w:val="0"/>
                <w:color w:val="0F243E" w:themeColor="text2" w:themeShade="80"/>
                <w:sz w:val="20"/>
                <w:szCs w:val="20"/>
              </w:rPr>
            </w:pPr>
            <w:r w:rsidRPr="00062540">
              <w:rPr>
                <w:rFonts w:ascii="Arial" w:hAnsi="Arial" w:cs="Arial"/>
                <w:b w:val="0"/>
                <w:color w:val="0F243E" w:themeColor="text2" w:themeShade="80"/>
                <w:sz w:val="20"/>
                <w:szCs w:val="20"/>
              </w:rPr>
              <w:t xml:space="preserve">Agosto </w:t>
            </w:r>
          </w:p>
        </w:tc>
        <w:tc>
          <w:tcPr>
            <w:tcW w:w="2143" w:type="dxa"/>
            <w:tcBorders>
              <w:top w:val="nil"/>
              <w:left w:val="nil"/>
              <w:bottom w:val="nil"/>
              <w:right w:val="nil"/>
            </w:tcBorders>
            <w:vAlign w:val="center"/>
          </w:tcPr>
          <w:p w14:paraId="15C229D6" w14:textId="7A247798"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522.229.916 </w:t>
            </w:r>
          </w:p>
        </w:tc>
        <w:tc>
          <w:tcPr>
            <w:tcW w:w="2109" w:type="dxa"/>
            <w:tcBorders>
              <w:top w:val="nil"/>
              <w:left w:val="nil"/>
              <w:bottom w:val="nil"/>
              <w:right w:val="nil"/>
            </w:tcBorders>
            <w:vAlign w:val="center"/>
          </w:tcPr>
          <w:p w14:paraId="54CBC664" w14:textId="69BF96A8"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617.433.059 </w:t>
            </w:r>
          </w:p>
        </w:tc>
        <w:tc>
          <w:tcPr>
            <w:tcW w:w="1465" w:type="dxa"/>
            <w:tcBorders>
              <w:top w:val="nil"/>
              <w:left w:val="nil"/>
              <w:bottom w:val="nil"/>
              <w:right w:val="nil"/>
            </w:tcBorders>
            <w:vAlign w:val="center"/>
          </w:tcPr>
          <w:p w14:paraId="2886C764" w14:textId="19116850"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CD189F">
              <w:rPr>
                <w:rFonts w:ascii="Arial" w:hAnsi="Arial" w:cs="Arial"/>
                <w:color w:val="0F243E" w:themeColor="text2" w:themeShade="80"/>
                <w:sz w:val="20"/>
                <w:szCs w:val="20"/>
              </w:rPr>
              <w:t>95.203.144</w:t>
            </w:r>
            <w:r>
              <w:rPr>
                <w:rFonts w:ascii="Arial" w:hAnsi="Arial" w:cs="Arial"/>
                <w:color w:val="0F243E" w:themeColor="text2" w:themeShade="80"/>
                <w:sz w:val="20"/>
                <w:szCs w:val="20"/>
              </w:rPr>
              <w:t>)</w:t>
            </w:r>
            <w:r w:rsidRPr="00CD189F">
              <w:rPr>
                <w:rFonts w:ascii="Arial" w:hAnsi="Arial" w:cs="Arial"/>
                <w:color w:val="0F243E" w:themeColor="text2" w:themeShade="80"/>
                <w:sz w:val="20"/>
                <w:szCs w:val="20"/>
              </w:rPr>
              <w:t xml:space="preserve"> </w:t>
            </w:r>
          </w:p>
        </w:tc>
        <w:tc>
          <w:tcPr>
            <w:tcW w:w="1579" w:type="dxa"/>
            <w:tcBorders>
              <w:top w:val="nil"/>
              <w:left w:val="nil"/>
              <w:bottom w:val="nil"/>
              <w:right w:val="nil"/>
            </w:tcBorders>
            <w:vAlign w:val="center"/>
          </w:tcPr>
          <w:p w14:paraId="559C11BB" w14:textId="0834FB6B" w:rsidR="00CD189F" w:rsidRPr="00CD189F" w:rsidRDefault="00CD189F"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CD189F">
              <w:rPr>
                <w:rFonts w:ascii="Arial" w:hAnsi="Arial" w:cs="Arial"/>
                <w:b/>
                <w:bCs/>
                <w:color w:val="0F243E" w:themeColor="text2" w:themeShade="80"/>
                <w:sz w:val="20"/>
                <w:szCs w:val="20"/>
              </w:rPr>
              <w:t>15%</w:t>
            </w:r>
            <w:r>
              <w:rPr>
                <w:rFonts w:ascii="Arial" w:hAnsi="Arial" w:cs="Arial"/>
                <w:b/>
                <w:bCs/>
                <w:color w:val="0F243E" w:themeColor="text2" w:themeShade="80"/>
                <w:sz w:val="20"/>
                <w:szCs w:val="20"/>
              </w:rPr>
              <w:t>)</w:t>
            </w:r>
          </w:p>
        </w:tc>
      </w:tr>
      <w:tr w:rsidR="00CD189F" w:rsidRPr="00CA48AF" w14:paraId="1FDE04DA" w14:textId="77777777" w:rsidTr="0047018D">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double" w:sz="4" w:space="0" w:color="4F81BD" w:themeColor="accent1"/>
              <w:right w:val="nil"/>
            </w:tcBorders>
            <w:vAlign w:val="center"/>
            <w:hideMark/>
          </w:tcPr>
          <w:p w14:paraId="2B532129" w14:textId="7264F6B4" w:rsidR="00CD189F" w:rsidRPr="00062540" w:rsidRDefault="00CD189F" w:rsidP="00A60CB2">
            <w:pPr>
              <w:spacing w:before="100" w:after="100"/>
              <w:rPr>
                <w:rFonts w:ascii="Arial" w:hAnsi="Arial" w:cs="Arial"/>
                <w:b w:val="0"/>
                <w:color w:val="0F243E" w:themeColor="text2" w:themeShade="80"/>
                <w:sz w:val="20"/>
                <w:szCs w:val="20"/>
              </w:rPr>
            </w:pPr>
            <w:r w:rsidRPr="00062540">
              <w:rPr>
                <w:rFonts w:ascii="Arial" w:hAnsi="Arial" w:cs="Arial"/>
                <w:b w:val="0"/>
                <w:color w:val="0F243E" w:themeColor="text2" w:themeShade="80"/>
                <w:sz w:val="20"/>
                <w:szCs w:val="20"/>
              </w:rPr>
              <w:t xml:space="preserve">Septiembre </w:t>
            </w:r>
          </w:p>
        </w:tc>
        <w:tc>
          <w:tcPr>
            <w:tcW w:w="2143" w:type="dxa"/>
            <w:tcBorders>
              <w:top w:val="nil"/>
              <w:left w:val="nil"/>
              <w:bottom w:val="double" w:sz="4" w:space="0" w:color="4F81BD" w:themeColor="accent1"/>
              <w:right w:val="nil"/>
            </w:tcBorders>
            <w:vAlign w:val="center"/>
          </w:tcPr>
          <w:p w14:paraId="2F2BEFAC" w14:textId="640CF635"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521.515.725 </w:t>
            </w:r>
          </w:p>
        </w:tc>
        <w:tc>
          <w:tcPr>
            <w:tcW w:w="2109" w:type="dxa"/>
            <w:tcBorders>
              <w:top w:val="nil"/>
              <w:left w:val="nil"/>
              <w:bottom w:val="double" w:sz="4" w:space="0" w:color="4F81BD" w:themeColor="accent1"/>
              <w:right w:val="nil"/>
            </w:tcBorders>
            <w:vAlign w:val="center"/>
          </w:tcPr>
          <w:p w14:paraId="439661CA" w14:textId="76039BB8"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CD189F">
              <w:rPr>
                <w:rFonts w:ascii="Arial" w:hAnsi="Arial" w:cs="Arial"/>
                <w:color w:val="0F243E" w:themeColor="text2" w:themeShade="80"/>
                <w:sz w:val="20"/>
                <w:szCs w:val="20"/>
              </w:rPr>
              <w:t xml:space="preserve">570.118.212 </w:t>
            </w:r>
          </w:p>
        </w:tc>
        <w:tc>
          <w:tcPr>
            <w:tcW w:w="1465" w:type="dxa"/>
            <w:tcBorders>
              <w:top w:val="nil"/>
              <w:left w:val="nil"/>
              <w:bottom w:val="double" w:sz="4" w:space="0" w:color="4F81BD" w:themeColor="accent1"/>
              <w:right w:val="nil"/>
            </w:tcBorders>
            <w:vAlign w:val="center"/>
          </w:tcPr>
          <w:p w14:paraId="7B326715" w14:textId="530C1406"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CD189F">
              <w:rPr>
                <w:rFonts w:ascii="Arial" w:hAnsi="Arial" w:cs="Arial"/>
                <w:color w:val="0F243E" w:themeColor="text2" w:themeShade="80"/>
                <w:sz w:val="20"/>
                <w:szCs w:val="20"/>
              </w:rPr>
              <w:t>48.602.487</w:t>
            </w:r>
            <w:r>
              <w:rPr>
                <w:rFonts w:ascii="Arial" w:hAnsi="Arial" w:cs="Arial"/>
                <w:color w:val="0F243E" w:themeColor="text2" w:themeShade="80"/>
                <w:sz w:val="20"/>
                <w:szCs w:val="20"/>
              </w:rPr>
              <w:t>)</w:t>
            </w:r>
            <w:r w:rsidRPr="00CD189F">
              <w:rPr>
                <w:rFonts w:ascii="Arial" w:hAnsi="Arial" w:cs="Arial"/>
                <w:color w:val="0F243E" w:themeColor="text2" w:themeShade="80"/>
                <w:sz w:val="20"/>
                <w:szCs w:val="20"/>
              </w:rPr>
              <w:t xml:space="preserve"> </w:t>
            </w:r>
          </w:p>
        </w:tc>
        <w:tc>
          <w:tcPr>
            <w:tcW w:w="1579" w:type="dxa"/>
            <w:tcBorders>
              <w:top w:val="nil"/>
              <w:left w:val="nil"/>
              <w:bottom w:val="double" w:sz="4" w:space="0" w:color="4F81BD" w:themeColor="accent1"/>
              <w:right w:val="nil"/>
            </w:tcBorders>
            <w:vAlign w:val="center"/>
          </w:tcPr>
          <w:p w14:paraId="57A995A0" w14:textId="2EFCC509" w:rsidR="00CD189F" w:rsidRPr="00CD189F" w:rsidRDefault="00CD189F"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CD189F">
              <w:rPr>
                <w:rFonts w:ascii="Arial" w:hAnsi="Arial" w:cs="Arial"/>
                <w:b/>
                <w:bCs/>
                <w:color w:val="0F243E" w:themeColor="text2" w:themeShade="80"/>
                <w:sz w:val="20"/>
                <w:szCs w:val="20"/>
              </w:rPr>
              <w:t>9%</w:t>
            </w:r>
            <w:r>
              <w:rPr>
                <w:rFonts w:ascii="Arial" w:hAnsi="Arial" w:cs="Arial"/>
                <w:b/>
                <w:bCs/>
                <w:color w:val="0F243E" w:themeColor="text2" w:themeShade="80"/>
                <w:sz w:val="20"/>
                <w:szCs w:val="20"/>
              </w:rPr>
              <w:t>)</w:t>
            </w:r>
          </w:p>
        </w:tc>
      </w:tr>
      <w:tr w:rsidR="00CD189F" w:rsidRPr="00CA48AF" w14:paraId="250AC51D" w14:textId="77777777" w:rsidTr="00E11E11">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4F81BD" w:themeColor="accent1"/>
              <w:left w:val="nil"/>
              <w:bottom w:val="double" w:sz="4" w:space="0" w:color="4F81BD" w:themeColor="accent1"/>
              <w:right w:val="nil"/>
            </w:tcBorders>
            <w:vAlign w:val="center"/>
            <w:hideMark/>
          </w:tcPr>
          <w:p w14:paraId="236CDDFD" w14:textId="77777777" w:rsidR="00CD189F" w:rsidRPr="00062540" w:rsidRDefault="00CD189F" w:rsidP="00A60CB2">
            <w:pPr>
              <w:spacing w:before="100" w:after="100"/>
              <w:rPr>
                <w:rFonts w:ascii="Arial" w:hAnsi="Arial" w:cs="Arial"/>
                <w:color w:val="0F243E" w:themeColor="text2" w:themeShade="80"/>
                <w:sz w:val="20"/>
                <w:szCs w:val="20"/>
              </w:rPr>
            </w:pPr>
            <w:r w:rsidRPr="00062540">
              <w:rPr>
                <w:rFonts w:ascii="Arial" w:hAnsi="Arial" w:cs="Arial"/>
                <w:color w:val="0F243E" w:themeColor="text2" w:themeShade="80"/>
                <w:sz w:val="20"/>
                <w:szCs w:val="20"/>
              </w:rPr>
              <w:t>Total</w:t>
            </w:r>
          </w:p>
        </w:tc>
        <w:tc>
          <w:tcPr>
            <w:tcW w:w="2143" w:type="dxa"/>
            <w:tcBorders>
              <w:top w:val="double" w:sz="4" w:space="0" w:color="4F81BD" w:themeColor="accent1"/>
              <w:left w:val="nil"/>
              <w:bottom w:val="double" w:sz="4" w:space="0" w:color="4F81BD" w:themeColor="accent1"/>
              <w:right w:val="nil"/>
            </w:tcBorders>
            <w:vAlign w:val="center"/>
          </w:tcPr>
          <w:p w14:paraId="228CEEA1" w14:textId="604E2FFC"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D189F">
              <w:rPr>
                <w:rFonts w:ascii="Arial" w:hAnsi="Arial" w:cs="Arial"/>
                <w:b/>
                <w:bCs/>
                <w:color w:val="0F243E" w:themeColor="text2" w:themeShade="80"/>
                <w:sz w:val="20"/>
                <w:szCs w:val="20"/>
              </w:rPr>
              <w:t xml:space="preserve">1.616.910.886 </w:t>
            </w:r>
          </w:p>
        </w:tc>
        <w:tc>
          <w:tcPr>
            <w:tcW w:w="2109" w:type="dxa"/>
            <w:tcBorders>
              <w:top w:val="double" w:sz="4" w:space="0" w:color="4F81BD" w:themeColor="accent1"/>
              <w:left w:val="nil"/>
              <w:bottom w:val="double" w:sz="4" w:space="0" w:color="4F81BD" w:themeColor="accent1"/>
              <w:right w:val="nil"/>
            </w:tcBorders>
            <w:vAlign w:val="center"/>
          </w:tcPr>
          <w:p w14:paraId="13AB676A" w14:textId="11690BD0"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CD189F">
              <w:rPr>
                <w:rFonts w:ascii="Arial" w:hAnsi="Arial" w:cs="Arial"/>
                <w:b/>
                <w:bCs/>
                <w:color w:val="0F243E" w:themeColor="text2" w:themeShade="80"/>
                <w:sz w:val="20"/>
                <w:szCs w:val="20"/>
              </w:rPr>
              <w:t xml:space="preserve">1.749.625.346 </w:t>
            </w:r>
          </w:p>
        </w:tc>
        <w:tc>
          <w:tcPr>
            <w:tcW w:w="1465" w:type="dxa"/>
            <w:tcBorders>
              <w:top w:val="double" w:sz="4" w:space="0" w:color="4F81BD" w:themeColor="accent1"/>
              <w:left w:val="nil"/>
              <w:bottom w:val="double" w:sz="4" w:space="0" w:color="4F81BD" w:themeColor="accent1"/>
              <w:right w:val="nil"/>
            </w:tcBorders>
            <w:vAlign w:val="center"/>
          </w:tcPr>
          <w:p w14:paraId="31AB0794" w14:textId="2121001C" w:rsidR="00CD189F" w:rsidRPr="00CD189F" w:rsidRDefault="00CD189F" w:rsidP="00A60CB2">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CD189F">
              <w:rPr>
                <w:rFonts w:ascii="Arial" w:hAnsi="Arial" w:cs="Arial"/>
                <w:b/>
                <w:bCs/>
                <w:color w:val="0F243E" w:themeColor="text2" w:themeShade="80"/>
                <w:sz w:val="20"/>
                <w:szCs w:val="20"/>
              </w:rPr>
              <w:t>132.714.460</w:t>
            </w:r>
            <w:r>
              <w:rPr>
                <w:rFonts w:ascii="Arial" w:hAnsi="Arial" w:cs="Arial"/>
                <w:b/>
                <w:bCs/>
                <w:color w:val="0F243E" w:themeColor="text2" w:themeShade="80"/>
                <w:sz w:val="20"/>
                <w:szCs w:val="20"/>
              </w:rPr>
              <w:t>)</w:t>
            </w:r>
            <w:r w:rsidRPr="00CD189F">
              <w:rPr>
                <w:rFonts w:ascii="Arial" w:hAnsi="Arial" w:cs="Arial"/>
                <w:b/>
                <w:bCs/>
                <w:color w:val="0F243E" w:themeColor="text2" w:themeShade="80"/>
                <w:sz w:val="20"/>
                <w:szCs w:val="20"/>
              </w:rPr>
              <w:t xml:space="preserve"> </w:t>
            </w:r>
          </w:p>
        </w:tc>
        <w:tc>
          <w:tcPr>
            <w:tcW w:w="1579" w:type="dxa"/>
            <w:tcBorders>
              <w:top w:val="double" w:sz="4" w:space="0" w:color="4F81BD" w:themeColor="accent1"/>
              <w:left w:val="nil"/>
              <w:bottom w:val="double" w:sz="4" w:space="0" w:color="4F81BD" w:themeColor="accent1"/>
              <w:right w:val="nil"/>
            </w:tcBorders>
            <w:vAlign w:val="center"/>
          </w:tcPr>
          <w:p w14:paraId="094E89D7" w14:textId="055F1819" w:rsidR="00CD189F" w:rsidRPr="00CD189F" w:rsidRDefault="00CD189F" w:rsidP="00A60CB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CD189F">
              <w:rPr>
                <w:rFonts w:ascii="Arial" w:hAnsi="Arial" w:cs="Arial"/>
                <w:b/>
                <w:bCs/>
                <w:color w:val="0F243E" w:themeColor="text2" w:themeShade="80"/>
                <w:sz w:val="20"/>
                <w:szCs w:val="20"/>
              </w:rPr>
              <w:t>8%</w:t>
            </w:r>
            <w:r>
              <w:rPr>
                <w:rFonts w:ascii="Arial" w:hAnsi="Arial" w:cs="Arial"/>
                <w:b/>
                <w:bCs/>
                <w:color w:val="0F243E" w:themeColor="text2" w:themeShade="80"/>
                <w:sz w:val="20"/>
                <w:szCs w:val="20"/>
              </w:rPr>
              <w:t>)</w:t>
            </w:r>
          </w:p>
        </w:tc>
      </w:tr>
      <w:bookmarkEnd w:id="2"/>
    </w:tbl>
    <w:p w14:paraId="59F87029" w14:textId="77777777" w:rsidR="00CA0752" w:rsidRPr="00CA48AF" w:rsidRDefault="00CA0752" w:rsidP="000948AF">
      <w:pPr>
        <w:jc w:val="both"/>
        <w:rPr>
          <w:rFonts w:ascii="Arial" w:hAnsi="Arial" w:cs="Arial"/>
          <w:sz w:val="22"/>
          <w:szCs w:val="22"/>
          <w:highlight w:val="yellow"/>
        </w:rPr>
      </w:pPr>
    </w:p>
    <w:p w14:paraId="79B8C7ED" w14:textId="3E265766" w:rsidR="000126EF" w:rsidRPr="00C7012F" w:rsidRDefault="00B51E6E" w:rsidP="000948AF">
      <w:pPr>
        <w:jc w:val="both"/>
        <w:rPr>
          <w:rFonts w:ascii="Arial" w:hAnsi="Arial" w:cs="Arial"/>
          <w:sz w:val="22"/>
          <w:szCs w:val="22"/>
        </w:rPr>
      </w:pPr>
      <w:r w:rsidRPr="00C7012F">
        <w:rPr>
          <w:rFonts w:ascii="Arial" w:hAnsi="Arial" w:cs="Arial"/>
          <w:sz w:val="22"/>
          <w:szCs w:val="22"/>
        </w:rPr>
        <w:t xml:space="preserve">Como resultado de las variaciones, se observó </w:t>
      </w:r>
      <w:r w:rsidR="004419BE" w:rsidRPr="00C7012F">
        <w:rPr>
          <w:rFonts w:ascii="Arial" w:hAnsi="Arial" w:cs="Arial"/>
          <w:sz w:val="22"/>
          <w:szCs w:val="22"/>
        </w:rPr>
        <w:t>un</w:t>
      </w:r>
      <w:r w:rsidR="004B5622" w:rsidRPr="00C7012F">
        <w:rPr>
          <w:rFonts w:ascii="Arial" w:hAnsi="Arial" w:cs="Arial"/>
          <w:sz w:val="22"/>
          <w:szCs w:val="22"/>
        </w:rPr>
        <w:t xml:space="preserve">a </w:t>
      </w:r>
      <w:r w:rsidR="004B5622" w:rsidRPr="00C7012F">
        <w:rPr>
          <w:rFonts w:ascii="Arial" w:hAnsi="Arial" w:cs="Arial"/>
          <w:b/>
          <w:bCs/>
          <w:sz w:val="22"/>
          <w:szCs w:val="22"/>
        </w:rPr>
        <w:t>disminución</w:t>
      </w:r>
      <w:r w:rsidR="00863871" w:rsidRPr="00C7012F">
        <w:rPr>
          <w:rFonts w:ascii="Arial" w:hAnsi="Arial" w:cs="Arial"/>
          <w:sz w:val="22"/>
          <w:szCs w:val="22"/>
        </w:rPr>
        <w:t xml:space="preserve"> de</w:t>
      </w:r>
      <w:r w:rsidR="004B5622" w:rsidRPr="00C7012F">
        <w:rPr>
          <w:rFonts w:ascii="Arial" w:hAnsi="Arial" w:cs="Arial"/>
          <w:sz w:val="22"/>
          <w:szCs w:val="22"/>
        </w:rPr>
        <w:t xml:space="preserve"> </w:t>
      </w:r>
      <w:r w:rsidR="00863871" w:rsidRPr="00C7012F">
        <w:rPr>
          <w:rFonts w:ascii="Arial" w:hAnsi="Arial" w:cs="Arial"/>
          <w:sz w:val="22"/>
          <w:szCs w:val="22"/>
        </w:rPr>
        <w:t xml:space="preserve">las obligaciones registradas durante los periodos de </w:t>
      </w:r>
      <w:r w:rsidR="00062540" w:rsidRPr="00C7012F">
        <w:rPr>
          <w:rFonts w:ascii="Arial" w:hAnsi="Arial" w:cs="Arial"/>
          <w:sz w:val="22"/>
          <w:szCs w:val="22"/>
        </w:rPr>
        <w:t>julio</w:t>
      </w:r>
      <w:r w:rsidR="00863871" w:rsidRPr="00C7012F">
        <w:rPr>
          <w:rFonts w:ascii="Arial" w:hAnsi="Arial" w:cs="Arial"/>
          <w:sz w:val="22"/>
          <w:szCs w:val="22"/>
        </w:rPr>
        <w:t xml:space="preserve">, </w:t>
      </w:r>
      <w:r w:rsidR="00062540" w:rsidRPr="00C7012F">
        <w:rPr>
          <w:rFonts w:ascii="Arial" w:hAnsi="Arial" w:cs="Arial"/>
          <w:sz w:val="22"/>
          <w:szCs w:val="22"/>
        </w:rPr>
        <w:t xml:space="preserve">agosto </w:t>
      </w:r>
      <w:r w:rsidR="00863871" w:rsidRPr="00C7012F">
        <w:rPr>
          <w:rFonts w:ascii="Arial" w:hAnsi="Arial" w:cs="Arial"/>
          <w:sz w:val="22"/>
          <w:szCs w:val="22"/>
        </w:rPr>
        <w:t xml:space="preserve">y </w:t>
      </w:r>
      <w:r w:rsidR="00062540" w:rsidRPr="00C7012F">
        <w:rPr>
          <w:rFonts w:ascii="Arial" w:hAnsi="Arial" w:cs="Arial"/>
          <w:sz w:val="22"/>
          <w:szCs w:val="22"/>
        </w:rPr>
        <w:t xml:space="preserve">septiembre </w:t>
      </w:r>
      <w:r w:rsidR="00863871" w:rsidRPr="00C7012F">
        <w:rPr>
          <w:rFonts w:ascii="Arial" w:hAnsi="Arial" w:cs="Arial"/>
          <w:sz w:val="22"/>
          <w:szCs w:val="22"/>
        </w:rPr>
        <w:t xml:space="preserve">de 2020 comparados con los mismos meses del año 2019 correspondiente a </w:t>
      </w:r>
      <w:r w:rsidR="00646C58" w:rsidRPr="00C7012F">
        <w:rPr>
          <w:rFonts w:ascii="Arial" w:hAnsi="Arial" w:cs="Arial"/>
          <w:bCs/>
          <w:sz w:val="22"/>
          <w:szCs w:val="22"/>
        </w:rPr>
        <w:t>$</w:t>
      </w:r>
      <w:r w:rsidR="001F21D6" w:rsidRPr="00C7012F">
        <w:rPr>
          <w:rFonts w:ascii="Arial" w:hAnsi="Arial" w:cs="Arial"/>
          <w:bCs/>
          <w:sz w:val="22"/>
          <w:szCs w:val="22"/>
        </w:rPr>
        <w:t xml:space="preserve"> </w:t>
      </w:r>
      <w:r w:rsidR="00331795" w:rsidRPr="00C7012F">
        <w:rPr>
          <w:rFonts w:ascii="Arial" w:hAnsi="Arial" w:cs="Arial"/>
          <w:bCs/>
          <w:sz w:val="22"/>
          <w:szCs w:val="22"/>
        </w:rPr>
        <w:t>132.714.460</w:t>
      </w:r>
      <w:r w:rsidR="001F21D6" w:rsidRPr="00C7012F">
        <w:rPr>
          <w:rFonts w:ascii="Arial" w:hAnsi="Arial" w:cs="Arial"/>
          <w:bCs/>
          <w:sz w:val="22"/>
          <w:szCs w:val="22"/>
        </w:rPr>
        <w:t xml:space="preserve"> </w:t>
      </w:r>
      <w:r w:rsidR="004419BE" w:rsidRPr="00C7012F">
        <w:rPr>
          <w:rFonts w:ascii="Arial" w:hAnsi="Arial" w:cs="Arial"/>
          <w:bCs/>
          <w:sz w:val="22"/>
          <w:szCs w:val="22"/>
        </w:rPr>
        <w:t xml:space="preserve">representando un </w:t>
      </w:r>
      <w:r w:rsidR="00062540" w:rsidRPr="00C7012F">
        <w:rPr>
          <w:rFonts w:ascii="Arial" w:hAnsi="Arial" w:cs="Arial"/>
          <w:bCs/>
          <w:sz w:val="22"/>
          <w:szCs w:val="22"/>
        </w:rPr>
        <w:t>8</w:t>
      </w:r>
      <w:r w:rsidR="004419BE" w:rsidRPr="00C7012F">
        <w:rPr>
          <w:rFonts w:ascii="Arial" w:hAnsi="Arial" w:cs="Arial"/>
          <w:bCs/>
          <w:sz w:val="22"/>
          <w:szCs w:val="22"/>
        </w:rPr>
        <w:t>%</w:t>
      </w:r>
      <w:r w:rsidR="00863871" w:rsidRPr="00C7012F">
        <w:rPr>
          <w:rFonts w:ascii="Arial" w:hAnsi="Arial" w:cs="Arial"/>
          <w:bCs/>
          <w:sz w:val="22"/>
          <w:szCs w:val="22"/>
        </w:rPr>
        <w:t xml:space="preserve">. </w:t>
      </w:r>
      <w:r w:rsidR="004B5622" w:rsidRPr="00C7012F">
        <w:rPr>
          <w:rFonts w:ascii="Arial" w:hAnsi="Arial" w:cs="Arial"/>
          <w:bCs/>
          <w:sz w:val="22"/>
          <w:szCs w:val="22"/>
        </w:rPr>
        <w:t xml:space="preserve"> </w:t>
      </w:r>
      <w:r w:rsidR="007A6B90" w:rsidRPr="00C7012F">
        <w:rPr>
          <w:rFonts w:ascii="Arial" w:hAnsi="Arial" w:cs="Arial"/>
          <w:sz w:val="22"/>
          <w:szCs w:val="22"/>
        </w:rPr>
        <w:t xml:space="preserve">En este punto, se aclara que </w:t>
      </w:r>
      <w:r w:rsidR="00321F43" w:rsidRPr="00C7012F">
        <w:rPr>
          <w:rFonts w:ascii="Arial" w:hAnsi="Arial" w:cs="Arial"/>
          <w:sz w:val="22"/>
          <w:szCs w:val="22"/>
        </w:rPr>
        <w:t xml:space="preserve">dichas </w:t>
      </w:r>
      <w:r w:rsidR="00975594" w:rsidRPr="00C7012F">
        <w:rPr>
          <w:rFonts w:ascii="Arial" w:hAnsi="Arial" w:cs="Arial"/>
          <w:sz w:val="22"/>
          <w:szCs w:val="22"/>
        </w:rPr>
        <w:t xml:space="preserve">obligaciones </w:t>
      </w:r>
      <w:r w:rsidR="007A6B90" w:rsidRPr="00C7012F">
        <w:rPr>
          <w:rFonts w:ascii="Arial" w:hAnsi="Arial" w:cs="Arial"/>
          <w:sz w:val="22"/>
          <w:szCs w:val="22"/>
        </w:rPr>
        <w:t xml:space="preserve">son </w:t>
      </w:r>
      <w:r w:rsidR="00975594" w:rsidRPr="00C7012F">
        <w:rPr>
          <w:rFonts w:ascii="Arial" w:hAnsi="Arial" w:cs="Arial"/>
          <w:sz w:val="22"/>
          <w:szCs w:val="22"/>
        </w:rPr>
        <w:t>registra</w:t>
      </w:r>
      <w:r w:rsidR="007A6B90" w:rsidRPr="00C7012F">
        <w:rPr>
          <w:rFonts w:ascii="Arial" w:hAnsi="Arial" w:cs="Arial"/>
          <w:sz w:val="22"/>
          <w:szCs w:val="22"/>
        </w:rPr>
        <w:t>das</w:t>
      </w:r>
      <w:r w:rsidR="00975594" w:rsidRPr="00C7012F">
        <w:rPr>
          <w:rFonts w:ascii="Arial" w:hAnsi="Arial" w:cs="Arial"/>
          <w:sz w:val="22"/>
          <w:szCs w:val="22"/>
        </w:rPr>
        <w:t xml:space="preserve"> durante cada periodo de acuerdo con lo pactado en las condiciones de pago y en la medida que fueron suscritas las contrataciones</w:t>
      </w:r>
      <w:r w:rsidR="000126EF" w:rsidRPr="00C7012F">
        <w:rPr>
          <w:rFonts w:ascii="Arial" w:hAnsi="Arial" w:cs="Arial"/>
          <w:sz w:val="22"/>
          <w:szCs w:val="22"/>
        </w:rPr>
        <w:t xml:space="preserve">. </w:t>
      </w:r>
    </w:p>
    <w:p w14:paraId="5FF3B114" w14:textId="77777777" w:rsidR="00A60CB2" w:rsidRPr="00C7012F" w:rsidRDefault="00A60CB2" w:rsidP="000948AF">
      <w:pPr>
        <w:jc w:val="both"/>
        <w:rPr>
          <w:rFonts w:ascii="Arial" w:hAnsi="Arial" w:cs="Arial"/>
          <w:sz w:val="22"/>
          <w:szCs w:val="22"/>
        </w:rPr>
      </w:pPr>
    </w:p>
    <w:p w14:paraId="022C8144" w14:textId="4EB7E959" w:rsidR="004D305F" w:rsidRDefault="00F33042" w:rsidP="004D305F">
      <w:pPr>
        <w:jc w:val="both"/>
        <w:rPr>
          <w:rFonts w:ascii="Arial" w:hAnsi="Arial" w:cs="Arial"/>
          <w:color w:val="000000"/>
          <w:sz w:val="22"/>
          <w:szCs w:val="22"/>
        </w:rPr>
      </w:pPr>
      <w:r w:rsidRPr="002B327A">
        <w:rPr>
          <w:rFonts w:ascii="Arial" w:hAnsi="Arial" w:cs="Arial"/>
          <w:sz w:val="22"/>
          <w:szCs w:val="22"/>
        </w:rPr>
        <w:lastRenderedPageBreak/>
        <w:t>Frente a los anteriores resultados, el Grupo de Contratación Directa manifestó que la situación de coyuntura presentada con ocasión a la Emergencia Económica, Social y Ecológica derivada por el COVID-19</w:t>
      </w:r>
      <w:r w:rsidR="00962F5E" w:rsidRPr="002B327A">
        <w:rPr>
          <w:rFonts w:ascii="Arial" w:hAnsi="Arial" w:cs="Arial"/>
          <w:sz w:val="22"/>
          <w:szCs w:val="22"/>
        </w:rPr>
        <w:t xml:space="preserve">, </w:t>
      </w:r>
      <w:r w:rsidRPr="002B327A">
        <w:rPr>
          <w:rFonts w:ascii="Arial" w:hAnsi="Arial" w:cs="Arial"/>
          <w:sz w:val="22"/>
          <w:szCs w:val="22"/>
        </w:rPr>
        <w:t>no impact</w:t>
      </w:r>
      <w:r w:rsidR="000F63B3" w:rsidRPr="002B327A">
        <w:rPr>
          <w:rFonts w:ascii="Arial" w:hAnsi="Arial" w:cs="Arial"/>
          <w:sz w:val="22"/>
          <w:szCs w:val="22"/>
        </w:rPr>
        <w:t>ó</w:t>
      </w:r>
      <w:r w:rsidRPr="002B327A">
        <w:rPr>
          <w:rFonts w:ascii="Arial" w:hAnsi="Arial" w:cs="Arial"/>
          <w:sz w:val="22"/>
          <w:szCs w:val="22"/>
        </w:rPr>
        <w:t xml:space="preserve"> las variaciones antes presentadas</w:t>
      </w:r>
      <w:r w:rsidR="00806FBD" w:rsidRPr="002B327A">
        <w:rPr>
          <w:rFonts w:ascii="Arial" w:hAnsi="Arial" w:cs="Arial"/>
          <w:sz w:val="22"/>
          <w:szCs w:val="22"/>
        </w:rPr>
        <w:t>,</w:t>
      </w:r>
      <w:r w:rsidR="00AE4748">
        <w:rPr>
          <w:rFonts w:ascii="Arial" w:hAnsi="Arial" w:cs="Arial"/>
          <w:sz w:val="22"/>
          <w:szCs w:val="22"/>
        </w:rPr>
        <w:t xml:space="preserve"> especialmente para las contrataciones suscritas las cuales presentaron incrementos, </w:t>
      </w:r>
      <w:r w:rsidR="00806FBD" w:rsidRPr="002B327A">
        <w:rPr>
          <w:rFonts w:ascii="Arial" w:hAnsi="Arial" w:cs="Arial"/>
          <w:sz w:val="22"/>
          <w:szCs w:val="22"/>
        </w:rPr>
        <w:t>es decir, que el</w:t>
      </w:r>
      <w:r w:rsidRPr="002B327A">
        <w:rPr>
          <w:rFonts w:ascii="Arial" w:hAnsi="Arial" w:cs="Arial"/>
          <w:sz w:val="22"/>
          <w:szCs w:val="22"/>
        </w:rPr>
        <w:t xml:space="preserve"> comportamiento obedec</w:t>
      </w:r>
      <w:r w:rsidR="00806FBD" w:rsidRPr="002B327A">
        <w:rPr>
          <w:rFonts w:ascii="Arial" w:hAnsi="Arial" w:cs="Arial"/>
          <w:sz w:val="22"/>
          <w:szCs w:val="22"/>
        </w:rPr>
        <w:t xml:space="preserve">ió </w:t>
      </w:r>
      <w:r w:rsidRPr="002B327A">
        <w:rPr>
          <w:rFonts w:ascii="Arial" w:hAnsi="Arial" w:cs="Arial"/>
          <w:sz w:val="22"/>
          <w:szCs w:val="22"/>
        </w:rPr>
        <w:t xml:space="preserve">a los lineamientos y directrices que este Ministerio ha venido aplicando </w:t>
      </w:r>
      <w:r w:rsidR="00806FBD" w:rsidRPr="002B327A">
        <w:rPr>
          <w:rFonts w:ascii="Arial" w:hAnsi="Arial" w:cs="Arial"/>
          <w:sz w:val="22"/>
          <w:szCs w:val="22"/>
        </w:rPr>
        <w:t>referente a la contratación de servicios profesionales</w:t>
      </w:r>
      <w:r w:rsidR="00E117ED">
        <w:rPr>
          <w:rFonts w:ascii="Arial" w:hAnsi="Arial" w:cs="Arial"/>
          <w:sz w:val="22"/>
          <w:szCs w:val="22"/>
        </w:rPr>
        <w:t xml:space="preserve"> </w:t>
      </w:r>
      <w:r w:rsidR="00E117ED" w:rsidRPr="00E117ED">
        <w:rPr>
          <w:rFonts w:ascii="Arial" w:hAnsi="Arial" w:cs="Arial"/>
          <w:sz w:val="22"/>
          <w:szCs w:val="22"/>
        </w:rPr>
        <w:t>requeridos para cumplir con la misionalidad</w:t>
      </w:r>
      <w:r w:rsidR="006D5BB2">
        <w:rPr>
          <w:rFonts w:ascii="Arial" w:hAnsi="Arial" w:cs="Arial"/>
          <w:sz w:val="22"/>
          <w:szCs w:val="22"/>
        </w:rPr>
        <w:t xml:space="preserve"> y las funciones</w:t>
      </w:r>
      <w:r w:rsidR="00E117ED" w:rsidRPr="00E117ED">
        <w:rPr>
          <w:rFonts w:ascii="Arial" w:hAnsi="Arial" w:cs="Arial"/>
          <w:sz w:val="22"/>
          <w:szCs w:val="22"/>
        </w:rPr>
        <w:t xml:space="preserve"> asignada a esta Entidad.</w:t>
      </w:r>
      <w:r w:rsidR="00396934">
        <w:rPr>
          <w:rFonts w:ascii="Arial" w:hAnsi="Arial" w:cs="Arial"/>
          <w:sz w:val="22"/>
          <w:szCs w:val="22"/>
        </w:rPr>
        <w:t xml:space="preserve"> Sin embargo, es de resaltar que</w:t>
      </w:r>
      <w:r w:rsidR="004D305F">
        <w:rPr>
          <w:rFonts w:ascii="Arial" w:hAnsi="Arial" w:cs="Arial"/>
          <w:sz w:val="22"/>
          <w:szCs w:val="22"/>
        </w:rPr>
        <w:t xml:space="preserve"> la </w:t>
      </w:r>
      <w:r w:rsidR="00396934">
        <w:rPr>
          <w:rFonts w:ascii="Arial" w:hAnsi="Arial" w:cs="Arial"/>
          <w:sz w:val="22"/>
          <w:szCs w:val="22"/>
        </w:rPr>
        <w:t xml:space="preserve">contratación total vigente a 30 de septiembre de 2020 comparado con el mismo periodo de 2019, </w:t>
      </w:r>
      <w:r w:rsidR="004D305F">
        <w:rPr>
          <w:rFonts w:ascii="Arial" w:hAnsi="Arial" w:cs="Arial"/>
          <w:color w:val="000000"/>
          <w:sz w:val="22"/>
          <w:szCs w:val="22"/>
        </w:rPr>
        <w:t xml:space="preserve">no </w:t>
      </w:r>
      <w:r w:rsidR="004D305F" w:rsidRPr="00EE0107">
        <w:rPr>
          <w:rFonts w:ascii="Arial" w:hAnsi="Arial" w:cs="Arial"/>
          <w:color w:val="000000"/>
          <w:sz w:val="22"/>
          <w:szCs w:val="22"/>
        </w:rPr>
        <w:t xml:space="preserve">presentó </w:t>
      </w:r>
      <w:r w:rsidR="004D305F">
        <w:rPr>
          <w:rFonts w:ascii="Arial" w:hAnsi="Arial" w:cs="Arial"/>
          <w:color w:val="000000"/>
          <w:sz w:val="22"/>
          <w:szCs w:val="22"/>
        </w:rPr>
        <w:t xml:space="preserve">variaciones, es decir, se mantuvo la misma cantidad de contratos para los periodos objeto de verificación. </w:t>
      </w:r>
    </w:p>
    <w:p w14:paraId="433C2DBF" w14:textId="5EA78746" w:rsidR="001620DF" w:rsidRDefault="001620DF" w:rsidP="000948AF">
      <w:pPr>
        <w:jc w:val="both"/>
        <w:rPr>
          <w:rFonts w:ascii="Arial" w:hAnsi="Arial" w:cs="Arial"/>
          <w:sz w:val="22"/>
          <w:szCs w:val="22"/>
        </w:rPr>
      </w:pPr>
    </w:p>
    <w:p w14:paraId="5BFD70E1" w14:textId="77777777" w:rsidR="00A60CB2" w:rsidRPr="00CA48AF" w:rsidRDefault="00A60CB2" w:rsidP="000948AF">
      <w:pPr>
        <w:jc w:val="both"/>
        <w:rPr>
          <w:rFonts w:ascii="Arial" w:hAnsi="Arial" w:cs="Arial"/>
          <w:sz w:val="22"/>
          <w:szCs w:val="22"/>
        </w:rPr>
      </w:pPr>
    </w:p>
    <w:p w14:paraId="60697512" w14:textId="473C1294" w:rsidR="00B83072" w:rsidRPr="00CA48AF" w:rsidRDefault="00AD2AB0" w:rsidP="00D153E8">
      <w:pPr>
        <w:pStyle w:val="Prrafodelista"/>
        <w:numPr>
          <w:ilvl w:val="0"/>
          <w:numId w:val="4"/>
        </w:numPr>
        <w:ind w:left="284" w:hanging="284"/>
        <w:contextualSpacing w:val="0"/>
        <w:jc w:val="left"/>
        <w:rPr>
          <w:rFonts w:ascii="Arial" w:hAnsi="Arial" w:cs="Arial"/>
          <w:b/>
          <w:sz w:val="22"/>
          <w:szCs w:val="22"/>
        </w:rPr>
      </w:pPr>
      <w:r w:rsidRPr="00CA48AF">
        <w:rPr>
          <w:rFonts w:ascii="Arial" w:hAnsi="Arial" w:cs="Arial"/>
          <w:b/>
          <w:color w:val="000000"/>
          <w:sz w:val="22"/>
          <w:szCs w:val="22"/>
        </w:rPr>
        <w:t>GASTOS DE TIQUETES AÉREOS Y VIÁTICOS</w:t>
      </w:r>
      <w:r w:rsidRPr="00CA48AF">
        <w:rPr>
          <w:rFonts w:ascii="Arial" w:hAnsi="Arial" w:cs="Arial"/>
          <w:b/>
          <w:sz w:val="22"/>
          <w:szCs w:val="22"/>
        </w:rPr>
        <w:t xml:space="preserve"> </w:t>
      </w:r>
    </w:p>
    <w:p w14:paraId="66A19859" w14:textId="630B721A" w:rsidR="00BD07E3" w:rsidRPr="00CA48AF" w:rsidRDefault="00BD07E3" w:rsidP="00D153E8">
      <w:pPr>
        <w:rPr>
          <w:rFonts w:ascii="Arial" w:hAnsi="Arial" w:cs="Arial"/>
          <w:b/>
          <w:sz w:val="22"/>
          <w:szCs w:val="22"/>
          <w:highlight w:val="yellow"/>
        </w:rPr>
      </w:pPr>
    </w:p>
    <w:p w14:paraId="1A6D084E" w14:textId="7FA33B9A" w:rsidR="00971D41" w:rsidRPr="00CA48AF" w:rsidRDefault="00971D41" w:rsidP="00D153E8">
      <w:pPr>
        <w:jc w:val="both"/>
        <w:rPr>
          <w:rFonts w:ascii="Arial" w:hAnsi="Arial" w:cs="Arial"/>
          <w:sz w:val="22"/>
          <w:szCs w:val="22"/>
        </w:rPr>
      </w:pPr>
      <w:r w:rsidRPr="00CA48AF">
        <w:rPr>
          <w:rFonts w:ascii="Arial" w:hAnsi="Arial" w:cs="Arial"/>
          <w:sz w:val="22"/>
          <w:szCs w:val="22"/>
        </w:rPr>
        <w:t xml:space="preserve">En atención a lo previsto en </w:t>
      </w:r>
      <w:r w:rsidR="00E36F8E" w:rsidRPr="00CA48AF">
        <w:rPr>
          <w:rFonts w:ascii="Arial" w:hAnsi="Arial" w:cs="Arial"/>
          <w:sz w:val="22"/>
          <w:szCs w:val="22"/>
        </w:rPr>
        <w:t xml:space="preserve">la </w:t>
      </w:r>
      <w:r w:rsidRPr="00CA48AF">
        <w:rPr>
          <w:rFonts w:ascii="Arial" w:hAnsi="Arial" w:cs="Arial"/>
          <w:sz w:val="22"/>
          <w:szCs w:val="22"/>
        </w:rPr>
        <w:t>Directiva Presidencial 009 de 2018</w:t>
      </w:r>
      <w:r w:rsidR="00E36F8E" w:rsidRPr="00CA48AF">
        <w:rPr>
          <w:rFonts w:ascii="Arial" w:hAnsi="Arial" w:cs="Arial"/>
          <w:sz w:val="22"/>
          <w:szCs w:val="22"/>
        </w:rPr>
        <w:t xml:space="preserve"> y el Decreto 1009 de 2020, </w:t>
      </w:r>
      <w:r w:rsidRPr="00CA48AF">
        <w:rPr>
          <w:rFonts w:ascii="Arial" w:hAnsi="Arial" w:cs="Arial"/>
          <w:sz w:val="22"/>
          <w:szCs w:val="22"/>
        </w:rPr>
        <w:t xml:space="preserve">para el caso de los tiquetes aéreos, indicó que los viajes aéreos nacionales e internacionales deberán hacerse en clase económica, </w:t>
      </w:r>
      <w:r w:rsidRPr="00CA48AF">
        <w:rPr>
          <w:rFonts w:ascii="Arial" w:hAnsi="Arial" w:cs="Aharoni"/>
          <w:sz w:val="22"/>
          <w:szCs w:val="22"/>
        </w:rPr>
        <w:t>excepto lo señalado en el artículo 2.2.5.5.28 del Decreto 1083 de 2015</w:t>
      </w:r>
      <w:r w:rsidRPr="00CA48AF">
        <w:rPr>
          <w:rFonts w:ascii="Arial" w:hAnsi="Arial" w:cs="Arial"/>
          <w:sz w:val="22"/>
          <w:szCs w:val="22"/>
        </w:rPr>
        <w:t xml:space="preserve">. Referente a los viáticos, señaló que cada entidad adoptaría las medidas necesarias para garantizar la austeridad en este tipo de gastos. </w:t>
      </w:r>
    </w:p>
    <w:p w14:paraId="49254A1A" w14:textId="63E44AD6" w:rsidR="00971D41" w:rsidRPr="00CA48AF" w:rsidRDefault="00971D41" w:rsidP="00D153E8">
      <w:pPr>
        <w:rPr>
          <w:rFonts w:ascii="Arial" w:hAnsi="Arial" w:cs="Arial"/>
          <w:b/>
          <w:sz w:val="22"/>
          <w:szCs w:val="22"/>
          <w:highlight w:val="yellow"/>
        </w:rPr>
      </w:pPr>
    </w:p>
    <w:p w14:paraId="685C4565" w14:textId="011F48D1" w:rsidR="00EF0030" w:rsidRPr="00CA48AF" w:rsidRDefault="004B3DB6" w:rsidP="00D153E8">
      <w:pPr>
        <w:jc w:val="both"/>
        <w:rPr>
          <w:rFonts w:ascii="Arial" w:hAnsi="Arial" w:cs="Arial"/>
          <w:b/>
          <w:sz w:val="22"/>
          <w:szCs w:val="22"/>
        </w:rPr>
      </w:pPr>
      <w:r w:rsidRPr="00A5063F">
        <w:rPr>
          <w:rFonts w:ascii="Arial" w:hAnsi="Arial" w:cs="Arial"/>
          <w:bCs/>
          <w:sz w:val="22"/>
          <w:szCs w:val="22"/>
        </w:rPr>
        <w:t>Sobre este punto,</w:t>
      </w:r>
      <w:r w:rsidR="00EF0030" w:rsidRPr="00A5063F">
        <w:rPr>
          <w:rFonts w:ascii="Arial" w:hAnsi="Arial" w:cs="Arial"/>
          <w:bCs/>
          <w:sz w:val="22"/>
          <w:szCs w:val="22"/>
        </w:rPr>
        <w:t xml:space="preserve"> </w:t>
      </w:r>
      <w:r w:rsidR="00240490" w:rsidRPr="00A5063F">
        <w:rPr>
          <w:rFonts w:ascii="Arial" w:hAnsi="Arial" w:cs="Arial"/>
          <w:bCs/>
          <w:sz w:val="22"/>
          <w:szCs w:val="22"/>
        </w:rPr>
        <w:t xml:space="preserve">es importante mencionar que </w:t>
      </w:r>
      <w:r w:rsidR="00EF0030" w:rsidRPr="00A5063F">
        <w:rPr>
          <w:rFonts w:ascii="Arial" w:hAnsi="Arial" w:cs="Arial"/>
          <w:bCs/>
          <w:sz w:val="22"/>
          <w:szCs w:val="22"/>
        </w:rPr>
        <w:t xml:space="preserve">el Gobierno Nacional mediante </w:t>
      </w:r>
      <w:r w:rsidR="00EF0030" w:rsidRPr="00A5063F">
        <w:rPr>
          <w:rFonts w:ascii="Arial" w:hAnsi="Arial" w:cs="Arial"/>
          <w:color w:val="000000"/>
          <w:sz w:val="22"/>
          <w:szCs w:val="22"/>
        </w:rPr>
        <w:t xml:space="preserve">los Decretos 439, 569 y 636 de 2020, entre otros, ordenó la suspensión del transporte domestico por vía aérea, exceptuando los desplazamientos autorizados en dicha normatividad. Lo anterior, </w:t>
      </w:r>
      <w:r w:rsidR="00A5063F">
        <w:rPr>
          <w:rFonts w:ascii="Arial" w:hAnsi="Arial" w:cs="Arial"/>
          <w:color w:val="000000"/>
          <w:sz w:val="22"/>
          <w:szCs w:val="22"/>
        </w:rPr>
        <w:t xml:space="preserve">en virtud </w:t>
      </w:r>
      <w:r w:rsidR="00EF0030" w:rsidRPr="00A5063F">
        <w:rPr>
          <w:rFonts w:ascii="Arial" w:hAnsi="Arial" w:cs="Arial"/>
          <w:color w:val="000000"/>
          <w:sz w:val="22"/>
          <w:szCs w:val="22"/>
        </w:rPr>
        <w:t xml:space="preserve">del aislamiento preventivo obligatorio por causa de </w:t>
      </w:r>
      <w:r w:rsidR="00EF0030" w:rsidRPr="00A5063F">
        <w:rPr>
          <w:rFonts w:ascii="Arial" w:hAnsi="Arial" w:cs="Arial"/>
          <w:bCs/>
          <w:sz w:val="22"/>
          <w:szCs w:val="22"/>
        </w:rPr>
        <w:t xml:space="preserve">la declaratoria de Estado de </w:t>
      </w:r>
      <w:r w:rsidR="00EF0030" w:rsidRPr="00A5063F">
        <w:rPr>
          <w:rFonts w:ascii="Arial" w:hAnsi="Arial" w:cs="Arial"/>
          <w:color w:val="000000"/>
          <w:sz w:val="22"/>
          <w:szCs w:val="22"/>
        </w:rPr>
        <w:t>Emergencia Económica, Social y Ecológica derivado del COVID-19.</w:t>
      </w:r>
      <w:r w:rsidR="00EF0030" w:rsidRPr="00CA48AF">
        <w:rPr>
          <w:rFonts w:ascii="Arial" w:hAnsi="Arial" w:cs="Arial"/>
          <w:color w:val="000000"/>
          <w:sz w:val="22"/>
          <w:szCs w:val="22"/>
        </w:rPr>
        <w:t xml:space="preserve"> </w:t>
      </w:r>
    </w:p>
    <w:p w14:paraId="49F5737C" w14:textId="73E47FAC" w:rsidR="00EF0030" w:rsidRPr="00CA48AF" w:rsidRDefault="00EF0030" w:rsidP="00D153E8">
      <w:pPr>
        <w:rPr>
          <w:rFonts w:ascii="Arial" w:hAnsi="Arial" w:cs="Arial"/>
          <w:bCs/>
          <w:sz w:val="22"/>
          <w:szCs w:val="22"/>
        </w:rPr>
      </w:pPr>
    </w:p>
    <w:p w14:paraId="134A1822" w14:textId="77777777" w:rsidR="00EE7B9D" w:rsidRPr="00CA48AF" w:rsidRDefault="00772F33" w:rsidP="00D153E8">
      <w:pPr>
        <w:jc w:val="both"/>
        <w:rPr>
          <w:rFonts w:ascii="Arial" w:hAnsi="Arial" w:cs="Arial"/>
          <w:b/>
          <w:sz w:val="22"/>
          <w:szCs w:val="22"/>
        </w:rPr>
      </w:pPr>
      <w:r w:rsidRPr="00CA48AF">
        <w:rPr>
          <w:rFonts w:ascii="Arial" w:hAnsi="Arial" w:cs="Arial"/>
          <w:bCs/>
          <w:sz w:val="22"/>
          <w:szCs w:val="22"/>
        </w:rPr>
        <w:t>Por tal razón</w:t>
      </w:r>
      <w:r w:rsidR="00BF0842" w:rsidRPr="00CA48AF">
        <w:rPr>
          <w:rFonts w:ascii="Arial" w:hAnsi="Arial" w:cs="Arial"/>
          <w:bCs/>
          <w:sz w:val="22"/>
          <w:szCs w:val="22"/>
        </w:rPr>
        <w:t xml:space="preserve"> y </w:t>
      </w:r>
      <w:r w:rsidR="004B3DB6" w:rsidRPr="00CA48AF">
        <w:rPr>
          <w:rFonts w:ascii="Arial" w:hAnsi="Arial" w:cs="Arial"/>
          <w:bCs/>
          <w:sz w:val="22"/>
          <w:szCs w:val="22"/>
        </w:rPr>
        <w:t>atención a las instrucciones de intervención, respuesta y contención del COVID-</w:t>
      </w:r>
      <w:r w:rsidR="00E36F8E" w:rsidRPr="00CA48AF">
        <w:rPr>
          <w:rFonts w:ascii="Arial" w:hAnsi="Arial" w:cs="Arial"/>
          <w:bCs/>
          <w:sz w:val="22"/>
          <w:szCs w:val="22"/>
        </w:rPr>
        <w:t xml:space="preserve">19 </w:t>
      </w:r>
      <w:r w:rsidR="004B3DB6" w:rsidRPr="00CA48AF">
        <w:rPr>
          <w:rFonts w:ascii="Arial" w:hAnsi="Arial" w:cs="Arial"/>
          <w:color w:val="000000"/>
          <w:sz w:val="22"/>
          <w:szCs w:val="22"/>
        </w:rPr>
        <w:t xml:space="preserve">el Ministerio de Hacienda y Crédito Público </w:t>
      </w:r>
      <w:r w:rsidR="00E36F8E" w:rsidRPr="00CA48AF">
        <w:rPr>
          <w:rFonts w:ascii="Arial" w:hAnsi="Arial" w:cs="Arial"/>
          <w:color w:val="000000"/>
          <w:sz w:val="22"/>
          <w:szCs w:val="22"/>
        </w:rPr>
        <w:t xml:space="preserve">adoptó, entre otras medidas, la establecida en </w:t>
      </w:r>
      <w:r w:rsidR="00971D41" w:rsidRPr="00CA48AF">
        <w:rPr>
          <w:rFonts w:ascii="Arial" w:hAnsi="Arial" w:cs="Arial"/>
          <w:color w:val="000000"/>
          <w:sz w:val="22"/>
          <w:szCs w:val="22"/>
        </w:rPr>
        <w:t>la Circular 010 del 16 de marzo de 2020</w:t>
      </w:r>
      <w:r w:rsidR="00E36F8E" w:rsidRPr="00CA48AF">
        <w:rPr>
          <w:rFonts w:ascii="Arial" w:hAnsi="Arial" w:cs="Arial"/>
          <w:color w:val="000000"/>
          <w:sz w:val="22"/>
          <w:szCs w:val="22"/>
        </w:rPr>
        <w:t>, en la cual indicó</w:t>
      </w:r>
      <w:r w:rsidR="00BF0842" w:rsidRPr="00CA48AF">
        <w:rPr>
          <w:rFonts w:ascii="Arial" w:hAnsi="Arial" w:cs="Arial"/>
          <w:color w:val="000000"/>
          <w:sz w:val="22"/>
          <w:szCs w:val="22"/>
        </w:rPr>
        <w:t xml:space="preserve"> que no </w:t>
      </w:r>
      <w:r w:rsidR="00E36F8E" w:rsidRPr="00CA48AF">
        <w:rPr>
          <w:rFonts w:ascii="Arial" w:hAnsi="Arial" w:cs="Arial"/>
          <w:color w:val="000000"/>
          <w:sz w:val="22"/>
          <w:szCs w:val="22"/>
        </w:rPr>
        <w:t>autorizar</w:t>
      </w:r>
      <w:r w:rsidR="00BF0842" w:rsidRPr="00CA48AF">
        <w:rPr>
          <w:rFonts w:ascii="Arial" w:hAnsi="Arial" w:cs="Arial"/>
          <w:color w:val="000000"/>
          <w:sz w:val="22"/>
          <w:szCs w:val="22"/>
        </w:rPr>
        <w:t>ía</w:t>
      </w:r>
      <w:r w:rsidR="00E36F8E" w:rsidRPr="00CA48AF">
        <w:rPr>
          <w:rFonts w:ascii="Arial" w:hAnsi="Arial" w:cs="Arial"/>
          <w:color w:val="000000"/>
          <w:sz w:val="22"/>
          <w:szCs w:val="22"/>
        </w:rPr>
        <w:t xml:space="preserve"> </w:t>
      </w:r>
      <w:r w:rsidR="00971D41" w:rsidRPr="00CA48AF">
        <w:rPr>
          <w:rFonts w:ascii="Arial" w:hAnsi="Arial" w:cs="Arial"/>
          <w:color w:val="000000"/>
          <w:sz w:val="22"/>
          <w:szCs w:val="22"/>
        </w:rPr>
        <w:t>comisiones al exterior</w:t>
      </w:r>
      <w:r w:rsidR="00E36F8E" w:rsidRPr="00CA48AF">
        <w:rPr>
          <w:rFonts w:ascii="Arial" w:hAnsi="Arial" w:cs="Arial"/>
          <w:color w:val="000000"/>
          <w:sz w:val="22"/>
          <w:szCs w:val="22"/>
        </w:rPr>
        <w:t xml:space="preserve">. Referente a </w:t>
      </w:r>
      <w:r w:rsidR="00971D41" w:rsidRPr="00CA48AF">
        <w:rPr>
          <w:rFonts w:ascii="Arial" w:hAnsi="Arial" w:cs="Arial"/>
          <w:color w:val="000000"/>
          <w:sz w:val="22"/>
          <w:szCs w:val="22"/>
        </w:rPr>
        <w:t xml:space="preserve">las comisiones al </w:t>
      </w:r>
      <w:r w:rsidR="00E36F8E" w:rsidRPr="00CA48AF">
        <w:rPr>
          <w:rFonts w:ascii="Arial" w:hAnsi="Arial" w:cs="Arial"/>
          <w:color w:val="000000"/>
          <w:sz w:val="22"/>
          <w:szCs w:val="22"/>
        </w:rPr>
        <w:t>interior, se</w:t>
      </w:r>
      <w:r w:rsidR="00971D41" w:rsidRPr="00CA48AF">
        <w:rPr>
          <w:rFonts w:ascii="Arial" w:hAnsi="Arial" w:cs="Arial"/>
          <w:color w:val="000000"/>
          <w:sz w:val="22"/>
          <w:szCs w:val="22"/>
        </w:rPr>
        <w:t xml:space="preserve"> restringi</w:t>
      </w:r>
      <w:r w:rsidR="00EF6E44" w:rsidRPr="00CA48AF">
        <w:rPr>
          <w:rFonts w:ascii="Arial" w:hAnsi="Arial" w:cs="Arial"/>
          <w:color w:val="000000"/>
          <w:sz w:val="22"/>
          <w:szCs w:val="22"/>
        </w:rPr>
        <w:t>eron</w:t>
      </w:r>
      <w:r w:rsidR="00971D41" w:rsidRPr="00CA48AF">
        <w:rPr>
          <w:rFonts w:ascii="Arial" w:hAnsi="Arial" w:cs="Arial"/>
          <w:color w:val="000000"/>
          <w:sz w:val="22"/>
          <w:szCs w:val="22"/>
        </w:rPr>
        <w:t xml:space="preserve"> al máximo</w:t>
      </w:r>
      <w:r w:rsidR="00BF0842" w:rsidRPr="00CA48AF">
        <w:rPr>
          <w:rFonts w:ascii="Arial" w:hAnsi="Arial" w:cs="Arial"/>
          <w:color w:val="000000"/>
          <w:sz w:val="22"/>
          <w:szCs w:val="22"/>
        </w:rPr>
        <w:t xml:space="preserve">. </w:t>
      </w:r>
      <w:r w:rsidR="00EE7B9D">
        <w:rPr>
          <w:rFonts w:ascii="Arial" w:hAnsi="Arial" w:cs="Arial"/>
          <w:color w:val="000000"/>
          <w:sz w:val="22"/>
          <w:szCs w:val="22"/>
        </w:rPr>
        <w:t xml:space="preserve">Sin embargo, a partir del 1° de septiembre de 2020 el Gobierno Nacional autorizó la reactivación de los vuelos domésticos en el marco de la fase de aislamiento selectivo de acuerdo con el Decreto 1168 de 2020, en el cual estableció una etapa que reduce las restricciones de movilidad. </w:t>
      </w:r>
    </w:p>
    <w:p w14:paraId="3BF8B529" w14:textId="77777777" w:rsidR="00240490" w:rsidRPr="00CA48AF" w:rsidRDefault="00240490" w:rsidP="00D153E8">
      <w:pPr>
        <w:rPr>
          <w:rFonts w:ascii="Arial" w:hAnsi="Arial" w:cs="Arial"/>
          <w:color w:val="000000"/>
          <w:sz w:val="22"/>
          <w:szCs w:val="22"/>
          <w:highlight w:val="yellow"/>
        </w:rPr>
      </w:pPr>
    </w:p>
    <w:p w14:paraId="0C008E96" w14:textId="456E0266" w:rsidR="004B3DB6" w:rsidRPr="00CA48AF" w:rsidRDefault="00EE7B9D" w:rsidP="00D153E8">
      <w:pPr>
        <w:jc w:val="both"/>
        <w:rPr>
          <w:rFonts w:ascii="Calibri" w:hAnsi="Calibri" w:cs="Calibri"/>
          <w:color w:val="000000"/>
          <w:sz w:val="22"/>
          <w:szCs w:val="22"/>
          <w:lang w:eastAsia="en-US"/>
        </w:rPr>
      </w:pPr>
      <w:r>
        <w:rPr>
          <w:rFonts w:ascii="Arial" w:hAnsi="Arial" w:cs="Arial"/>
          <w:color w:val="000000"/>
          <w:sz w:val="22"/>
          <w:szCs w:val="22"/>
        </w:rPr>
        <w:t>Frente a lo anterior y c</w:t>
      </w:r>
      <w:r w:rsidR="00BF0842" w:rsidRPr="00CA48AF">
        <w:rPr>
          <w:rFonts w:ascii="Arial" w:hAnsi="Arial" w:cs="Arial"/>
          <w:color w:val="000000"/>
          <w:sz w:val="22"/>
          <w:szCs w:val="22"/>
        </w:rPr>
        <w:t xml:space="preserve">omo resultado de </w:t>
      </w:r>
      <w:r w:rsidR="00240490" w:rsidRPr="00CA48AF">
        <w:rPr>
          <w:rFonts w:ascii="Arial" w:hAnsi="Arial" w:cs="Arial"/>
          <w:color w:val="000000"/>
          <w:sz w:val="22"/>
          <w:szCs w:val="22"/>
        </w:rPr>
        <w:t>la</w:t>
      </w:r>
      <w:r w:rsidR="00E502E9" w:rsidRPr="00CA48AF">
        <w:rPr>
          <w:rFonts w:ascii="Arial" w:hAnsi="Arial" w:cs="Arial"/>
          <w:color w:val="000000"/>
          <w:sz w:val="22"/>
          <w:szCs w:val="22"/>
        </w:rPr>
        <w:t>s</w:t>
      </w:r>
      <w:r w:rsidR="00240490" w:rsidRPr="00CA48AF">
        <w:rPr>
          <w:rFonts w:ascii="Arial" w:hAnsi="Arial" w:cs="Arial"/>
          <w:color w:val="000000"/>
          <w:sz w:val="22"/>
          <w:szCs w:val="22"/>
        </w:rPr>
        <w:t xml:space="preserve"> m</w:t>
      </w:r>
      <w:r w:rsidR="00BF0842" w:rsidRPr="00CA48AF">
        <w:rPr>
          <w:rFonts w:ascii="Arial" w:hAnsi="Arial" w:cs="Arial"/>
          <w:color w:val="000000"/>
          <w:sz w:val="22"/>
          <w:szCs w:val="22"/>
        </w:rPr>
        <w:t>edida</w:t>
      </w:r>
      <w:r w:rsidR="00E502E9" w:rsidRPr="00CA48AF">
        <w:rPr>
          <w:rFonts w:ascii="Arial" w:hAnsi="Arial" w:cs="Arial"/>
          <w:color w:val="000000"/>
          <w:sz w:val="22"/>
          <w:szCs w:val="22"/>
        </w:rPr>
        <w:t>s antes</w:t>
      </w:r>
      <w:r w:rsidR="00240490" w:rsidRPr="00CA48AF">
        <w:rPr>
          <w:rFonts w:ascii="Arial" w:hAnsi="Arial" w:cs="Arial"/>
          <w:color w:val="000000"/>
          <w:sz w:val="22"/>
          <w:szCs w:val="22"/>
        </w:rPr>
        <w:t xml:space="preserve"> mencionada</w:t>
      </w:r>
      <w:r w:rsidR="00E502E9" w:rsidRPr="00CA48AF">
        <w:rPr>
          <w:rFonts w:ascii="Arial" w:hAnsi="Arial" w:cs="Arial"/>
          <w:color w:val="000000"/>
          <w:sz w:val="22"/>
          <w:szCs w:val="22"/>
        </w:rPr>
        <w:t>s</w:t>
      </w:r>
      <w:r w:rsidR="00240490" w:rsidRPr="00CA48AF">
        <w:rPr>
          <w:rFonts w:ascii="Arial" w:hAnsi="Arial" w:cs="Arial"/>
          <w:color w:val="000000"/>
          <w:sz w:val="22"/>
          <w:szCs w:val="22"/>
        </w:rPr>
        <w:t>,</w:t>
      </w:r>
      <w:r w:rsidR="00BF0842" w:rsidRPr="00CA48AF">
        <w:rPr>
          <w:rFonts w:ascii="Arial" w:hAnsi="Arial" w:cs="Arial"/>
          <w:color w:val="000000"/>
          <w:sz w:val="22"/>
          <w:szCs w:val="22"/>
        </w:rPr>
        <w:t xml:space="preserve"> </w:t>
      </w:r>
      <w:r w:rsidR="00AE528B" w:rsidRPr="00CA48AF">
        <w:rPr>
          <w:rFonts w:ascii="Arial" w:hAnsi="Arial" w:cs="Arial"/>
          <w:color w:val="000000"/>
          <w:sz w:val="22"/>
          <w:szCs w:val="22"/>
        </w:rPr>
        <w:t xml:space="preserve">la Subdirección de Gestión de Talento Humano informó que </w:t>
      </w:r>
      <w:r w:rsidR="00971D41" w:rsidRPr="00CA48AF">
        <w:rPr>
          <w:rFonts w:ascii="Arial" w:hAnsi="Arial" w:cs="Arial"/>
          <w:color w:val="000000"/>
          <w:sz w:val="22"/>
          <w:szCs w:val="22"/>
        </w:rPr>
        <w:t xml:space="preserve">durante </w:t>
      </w:r>
      <w:r w:rsidR="00E36F8E" w:rsidRPr="00CA48AF">
        <w:rPr>
          <w:rFonts w:ascii="Arial" w:hAnsi="Arial" w:cs="Arial"/>
          <w:color w:val="000000"/>
          <w:sz w:val="22"/>
          <w:szCs w:val="22"/>
        </w:rPr>
        <w:t xml:space="preserve">el </w:t>
      </w:r>
      <w:r w:rsidR="005769B0" w:rsidRPr="00CA48AF">
        <w:rPr>
          <w:rFonts w:ascii="Arial" w:hAnsi="Arial" w:cs="Arial"/>
          <w:color w:val="000000"/>
          <w:sz w:val="22"/>
          <w:szCs w:val="22"/>
        </w:rPr>
        <w:t xml:space="preserve">tercer </w:t>
      </w:r>
      <w:r w:rsidR="00E36F8E" w:rsidRPr="00CA48AF">
        <w:rPr>
          <w:rFonts w:ascii="Arial" w:hAnsi="Arial" w:cs="Arial"/>
          <w:color w:val="000000"/>
          <w:sz w:val="22"/>
          <w:szCs w:val="22"/>
        </w:rPr>
        <w:t>trimestre de 2020</w:t>
      </w:r>
      <w:r w:rsidR="00346D4D" w:rsidRPr="00CA48AF">
        <w:rPr>
          <w:rFonts w:ascii="Arial" w:hAnsi="Arial" w:cs="Arial"/>
          <w:color w:val="000000"/>
          <w:sz w:val="22"/>
          <w:szCs w:val="22"/>
        </w:rPr>
        <w:t xml:space="preserve"> </w:t>
      </w:r>
      <w:r w:rsidR="005769B0" w:rsidRPr="00CA48AF">
        <w:rPr>
          <w:rFonts w:ascii="Arial" w:hAnsi="Arial" w:cs="Arial"/>
          <w:color w:val="000000"/>
          <w:sz w:val="22"/>
          <w:szCs w:val="22"/>
        </w:rPr>
        <w:t>se gener</w:t>
      </w:r>
      <w:r w:rsidR="008E1676">
        <w:rPr>
          <w:rFonts w:ascii="Arial" w:hAnsi="Arial" w:cs="Arial"/>
          <w:color w:val="000000"/>
          <w:sz w:val="22"/>
          <w:szCs w:val="22"/>
        </w:rPr>
        <w:t>aron</w:t>
      </w:r>
      <w:r w:rsidR="005769B0" w:rsidRPr="00CA48AF">
        <w:rPr>
          <w:rFonts w:ascii="Arial" w:hAnsi="Arial" w:cs="Arial"/>
          <w:color w:val="000000"/>
          <w:sz w:val="22"/>
          <w:szCs w:val="22"/>
        </w:rPr>
        <w:t xml:space="preserve"> </w:t>
      </w:r>
      <w:r w:rsidR="00971D41" w:rsidRPr="00CA48AF">
        <w:rPr>
          <w:rFonts w:ascii="Arial" w:hAnsi="Arial" w:cs="Arial"/>
          <w:color w:val="000000"/>
          <w:sz w:val="22"/>
          <w:szCs w:val="22"/>
        </w:rPr>
        <w:t>gasto</w:t>
      </w:r>
      <w:r w:rsidR="00E36F8E" w:rsidRPr="00CA48AF">
        <w:rPr>
          <w:rFonts w:ascii="Arial" w:hAnsi="Arial" w:cs="Arial"/>
          <w:color w:val="000000"/>
          <w:sz w:val="22"/>
          <w:szCs w:val="22"/>
        </w:rPr>
        <w:t>s</w:t>
      </w:r>
      <w:r w:rsidR="00971D41" w:rsidRPr="00CA48AF">
        <w:rPr>
          <w:rFonts w:ascii="Arial" w:hAnsi="Arial" w:cs="Arial"/>
          <w:color w:val="000000"/>
          <w:sz w:val="22"/>
          <w:szCs w:val="22"/>
        </w:rPr>
        <w:t xml:space="preserve"> por concepto de tiquetes</w:t>
      </w:r>
      <w:r w:rsidR="005769B0" w:rsidRPr="00CA48AF">
        <w:rPr>
          <w:rFonts w:ascii="Arial" w:hAnsi="Arial" w:cs="Arial"/>
          <w:color w:val="000000"/>
          <w:sz w:val="22"/>
          <w:szCs w:val="22"/>
        </w:rPr>
        <w:t xml:space="preserve"> aéreos por valor de $ 309.450</w:t>
      </w:r>
      <w:r w:rsidR="002959CF" w:rsidRPr="00CA48AF">
        <w:rPr>
          <w:rFonts w:ascii="Arial" w:hAnsi="Arial" w:cs="Arial"/>
          <w:color w:val="000000"/>
          <w:sz w:val="22"/>
          <w:szCs w:val="22"/>
        </w:rPr>
        <w:t>,</w:t>
      </w:r>
      <w:r w:rsidR="005769B0" w:rsidRPr="00CA48AF">
        <w:rPr>
          <w:rFonts w:ascii="Arial" w:hAnsi="Arial" w:cs="Arial"/>
          <w:color w:val="000000"/>
          <w:sz w:val="22"/>
          <w:szCs w:val="22"/>
        </w:rPr>
        <w:t xml:space="preserve"> el cual correspondió a una comisión a la ciudad de Cartagena de la funcionaria del despacho del Viceministerio General, la cual tuvo como objetivo el cierre de </w:t>
      </w:r>
      <w:r w:rsidR="000F1F73" w:rsidRPr="00CA48AF">
        <w:rPr>
          <w:rFonts w:ascii="Arial" w:hAnsi="Arial" w:cs="Arial"/>
          <w:color w:val="000000"/>
          <w:sz w:val="22"/>
          <w:szCs w:val="22"/>
        </w:rPr>
        <w:t>la transacción de venta de Electricaribe.</w:t>
      </w:r>
      <w:r w:rsidR="00E36F8E" w:rsidRPr="00CA48AF">
        <w:rPr>
          <w:rFonts w:ascii="Arial" w:hAnsi="Arial" w:cs="Arial"/>
          <w:color w:val="000000"/>
          <w:sz w:val="22"/>
          <w:szCs w:val="22"/>
        </w:rPr>
        <w:t xml:space="preserve"> Para el caso de los </w:t>
      </w:r>
      <w:r w:rsidR="00971D41" w:rsidRPr="00CA48AF">
        <w:rPr>
          <w:rFonts w:ascii="Arial" w:hAnsi="Arial" w:cs="Arial"/>
          <w:color w:val="000000"/>
          <w:sz w:val="22"/>
          <w:szCs w:val="22"/>
        </w:rPr>
        <w:t xml:space="preserve">viáticos, </w:t>
      </w:r>
      <w:r w:rsidR="00E502E9" w:rsidRPr="00CA48AF">
        <w:rPr>
          <w:rFonts w:ascii="Arial" w:hAnsi="Arial" w:cs="Arial"/>
          <w:color w:val="000000"/>
          <w:sz w:val="22"/>
          <w:szCs w:val="22"/>
        </w:rPr>
        <w:t xml:space="preserve">el gasto ascendió a </w:t>
      </w:r>
      <w:r w:rsidR="00C91F5A" w:rsidRPr="00CA48AF">
        <w:rPr>
          <w:rFonts w:ascii="Arial" w:hAnsi="Arial" w:cs="Arial"/>
          <w:bCs/>
          <w:sz w:val="22"/>
          <w:szCs w:val="22"/>
        </w:rPr>
        <w:t>$</w:t>
      </w:r>
      <w:r w:rsidR="000F1F73" w:rsidRPr="00CA48AF">
        <w:rPr>
          <w:rFonts w:ascii="Arial" w:hAnsi="Arial" w:cs="Arial"/>
          <w:bCs/>
          <w:sz w:val="22"/>
          <w:szCs w:val="22"/>
        </w:rPr>
        <w:t xml:space="preserve"> </w:t>
      </w:r>
      <w:r w:rsidR="000F1F73" w:rsidRPr="00CA48AF">
        <w:rPr>
          <w:rFonts w:ascii="Arial" w:hAnsi="Arial" w:cs="Arial"/>
          <w:color w:val="000000"/>
          <w:sz w:val="22"/>
          <w:szCs w:val="22"/>
          <w:lang w:eastAsia="en-US"/>
        </w:rPr>
        <w:t>7.385.060</w:t>
      </w:r>
      <w:r w:rsidR="000F1F73" w:rsidRPr="00CA48AF">
        <w:rPr>
          <w:rFonts w:ascii="Calibri" w:hAnsi="Calibri" w:cs="Calibri"/>
          <w:color w:val="000000"/>
          <w:sz w:val="22"/>
          <w:szCs w:val="22"/>
          <w:lang w:eastAsia="en-US"/>
        </w:rPr>
        <w:t xml:space="preserve"> </w:t>
      </w:r>
      <w:r w:rsidR="000F1F73" w:rsidRPr="00CA48AF">
        <w:rPr>
          <w:rFonts w:ascii="Arial" w:hAnsi="Arial" w:cs="Arial"/>
          <w:bCs/>
          <w:sz w:val="22"/>
          <w:szCs w:val="22"/>
        </w:rPr>
        <w:t>concerniente</w:t>
      </w:r>
      <w:r w:rsidR="00E36F8E" w:rsidRPr="00CA48AF">
        <w:rPr>
          <w:rFonts w:ascii="Arial" w:hAnsi="Arial" w:cs="Arial"/>
          <w:color w:val="000000"/>
          <w:sz w:val="22"/>
          <w:szCs w:val="22"/>
        </w:rPr>
        <w:t xml:space="preserve"> </w:t>
      </w:r>
      <w:r w:rsidR="00971D41" w:rsidRPr="00CA48AF">
        <w:rPr>
          <w:rFonts w:ascii="Arial" w:hAnsi="Arial" w:cs="Arial"/>
          <w:color w:val="000000"/>
          <w:sz w:val="22"/>
          <w:szCs w:val="22"/>
        </w:rPr>
        <w:t>únicamente</w:t>
      </w:r>
      <w:r w:rsidR="00F269E9" w:rsidRPr="00CA48AF">
        <w:rPr>
          <w:rFonts w:ascii="Arial" w:hAnsi="Arial" w:cs="Arial"/>
          <w:color w:val="000000"/>
          <w:sz w:val="22"/>
          <w:szCs w:val="22"/>
        </w:rPr>
        <w:t xml:space="preserve"> a</w:t>
      </w:r>
      <w:r w:rsidR="00971D41" w:rsidRPr="00CA48AF">
        <w:rPr>
          <w:rFonts w:ascii="Arial" w:hAnsi="Arial" w:cs="Arial"/>
          <w:color w:val="000000"/>
          <w:sz w:val="22"/>
          <w:szCs w:val="22"/>
        </w:rPr>
        <w:t xml:space="preserve"> las comisiones </w:t>
      </w:r>
      <w:r w:rsidR="00F269E9" w:rsidRPr="00CA48AF">
        <w:rPr>
          <w:rFonts w:ascii="Arial" w:hAnsi="Arial" w:cs="Arial"/>
          <w:color w:val="000000"/>
          <w:sz w:val="22"/>
          <w:szCs w:val="22"/>
        </w:rPr>
        <w:t>de</w:t>
      </w:r>
      <w:r w:rsidR="00971D41" w:rsidRPr="00CA48AF">
        <w:rPr>
          <w:rFonts w:ascii="Arial" w:hAnsi="Arial" w:cs="Arial"/>
          <w:color w:val="000000"/>
          <w:sz w:val="22"/>
          <w:szCs w:val="22"/>
        </w:rPr>
        <w:t xml:space="preserve">l personal de seguridad y conductores vinculados al </w:t>
      </w:r>
      <w:r w:rsidR="000F1F73" w:rsidRPr="00CA48AF">
        <w:rPr>
          <w:rFonts w:ascii="Arial" w:hAnsi="Arial" w:cs="Arial"/>
          <w:color w:val="000000"/>
          <w:sz w:val="22"/>
          <w:szCs w:val="22"/>
        </w:rPr>
        <w:t xml:space="preserve">esquema de seguridad del </w:t>
      </w:r>
      <w:r w:rsidR="00D879E1" w:rsidRPr="00CA48AF">
        <w:rPr>
          <w:rFonts w:ascii="Arial" w:hAnsi="Arial" w:cs="Arial"/>
          <w:color w:val="000000"/>
          <w:sz w:val="22"/>
          <w:szCs w:val="22"/>
        </w:rPr>
        <w:t>Viceministro</w:t>
      </w:r>
      <w:r w:rsidR="00971D41" w:rsidRPr="00CA48AF">
        <w:rPr>
          <w:rFonts w:ascii="Arial" w:hAnsi="Arial" w:cs="Arial"/>
          <w:color w:val="000000"/>
          <w:sz w:val="22"/>
          <w:szCs w:val="22"/>
        </w:rPr>
        <w:t xml:space="preserve"> General.</w:t>
      </w:r>
      <w:r w:rsidR="004B3DB6" w:rsidRPr="00CA48AF">
        <w:rPr>
          <w:rFonts w:ascii="Arial" w:hAnsi="Arial" w:cs="Arial"/>
          <w:color w:val="000000"/>
          <w:sz w:val="22"/>
          <w:szCs w:val="22"/>
        </w:rPr>
        <w:t xml:space="preserve"> </w:t>
      </w:r>
    </w:p>
    <w:p w14:paraId="23CFB08F" w14:textId="77777777" w:rsidR="004B3DB6" w:rsidRPr="00CA48AF" w:rsidRDefault="004B3DB6" w:rsidP="00D153E8">
      <w:pPr>
        <w:rPr>
          <w:rFonts w:ascii="Arial" w:hAnsi="Arial" w:cs="Arial"/>
          <w:bCs/>
          <w:sz w:val="22"/>
          <w:szCs w:val="22"/>
          <w:highlight w:val="yellow"/>
        </w:rPr>
      </w:pPr>
    </w:p>
    <w:p w14:paraId="19EB2970" w14:textId="2E1694EF" w:rsidR="00B652E6" w:rsidRPr="00CA48AF" w:rsidRDefault="0057083E" w:rsidP="00D153E8">
      <w:pPr>
        <w:jc w:val="both"/>
        <w:rPr>
          <w:rFonts w:ascii="Arial" w:hAnsi="Arial" w:cs="Arial"/>
          <w:color w:val="000000" w:themeColor="text1"/>
          <w:sz w:val="22"/>
          <w:szCs w:val="22"/>
        </w:rPr>
      </w:pPr>
      <w:r w:rsidRPr="00CA48AF">
        <w:rPr>
          <w:rFonts w:ascii="Arial" w:hAnsi="Arial" w:cs="Arial"/>
          <w:bCs/>
          <w:color w:val="000000" w:themeColor="text1"/>
          <w:sz w:val="22"/>
          <w:szCs w:val="22"/>
        </w:rPr>
        <w:t>Al</w:t>
      </w:r>
      <w:r w:rsidR="006F609C" w:rsidRPr="00CA48AF">
        <w:rPr>
          <w:rFonts w:ascii="Arial" w:hAnsi="Arial" w:cs="Arial"/>
          <w:bCs/>
          <w:color w:val="000000" w:themeColor="text1"/>
          <w:sz w:val="22"/>
          <w:szCs w:val="22"/>
        </w:rPr>
        <w:t xml:space="preserve"> comparar el comportamiento del gasto para los conceptos</w:t>
      </w:r>
      <w:r w:rsidRPr="00CA48AF">
        <w:rPr>
          <w:rFonts w:ascii="Arial" w:hAnsi="Arial" w:cs="Arial"/>
          <w:bCs/>
          <w:color w:val="000000" w:themeColor="text1"/>
          <w:sz w:val="22"/>
          <w:szCs w:val="22"/>
        </w:rPr>
        <w:t xml:space="preserve"> de viáticos y pasajes aéreos </w:t>
      </w:r>
      <w:r w:rsidR="006F609C" w:rsidRPr="00CA48AF">
        <w:rPr>
          <w:rFonts w:ascii="Arial" w:hAnsi="Arial" w:cs="Arial"/>
          <w:bCs/>
          <w:color w:val="000000" w:themeColor="text1"/>
          <w:sz w:val="22"/>
          <w:szCs w:val="22"/>
        </w:rPr>
        <w:t>durante</w:t>
      </w:r>
      <w:r w:rsidRPr="00CA48AF">
        <w:rPr>
          <w:rFonts w:ascii="Arial" w:hAnsi="Arial" w:cs="Arial"/>
          <w:bCs/>
          <w:color w:val="000000" w:themeColor="text1"/>
          <w:sz w:val="22"/>
          <w:szCs w:val="22"/>
        </w:rPr>
        <w:t xml:space="preserve"> </w:t>
      </w:r>
      <w:r w:rsidR="00D62F3B">
        <w:rPr>
          <w:rFonts w:ascii="Arial" w:hAnsi="Arial" w:cs="Arial"/>
          <w:bCs/>
          <w:color w:val="000000" w:themeColor="text1"/>
          <w:sz w:val="22"/>
          <w:szCs w:val="22"/>
        </w:rPr>
        <w:t xml:space="preserve">el tercer trimestre de 2020 y 2019, </w:t>
      </w:r>
      <w:r w:rsidR="006F609C" w:rsidRPr="00CA48AF">
        <w:rPr>
          <w:rFonts w:ascii="Arial" w:hAnsi="Arial" w:cs="Arial"/>
          <w:bCs/>
          <w:color w:val="000000" w:themeColor="text1"/>
          <w:sz w:val="22"/>
          <w:szCs w:val="22"/>
        </w:rPr>
        <w:t>se observ</w:t>
      </w:r>
      <w:r w:rsidR="00D62F3B">
        <w:rPr>
          <w:rFonts w:ascii="Arial" w:hAnsi="Arial" w:cs="Arial"/>
          <w:bCs/>
          <w:color w:val="000000" w:themeColor="text1"/>
          <w:sz w:val="22"/>
          <w:szCs w:val="22"/>
        </w:rPr>
        <w:t xml:space="preserve">aron reducciones </w:t>
      </w:r>
      <w:r w:rsidR="003B10C9">
        <w:rPr>
          <w:rFonts w:ascii="Arial" w:hAnsi="Arial" w:cs="Arial"/>
          <w:bCs/>
          <w:color w:val="000000" w:themeColor="text1"/>
          <w:sz w:val="22"/>
          <w:szCs w:val="22"/>
        </w:rPr>
        <w:t>significativas</w:t>
      </w:r>
      <w:r w:rsidR="00EE7D94">
        <w:rPr>
          <w:rFonts w:ascii="Arial" w:hAnsi="Arial" w:cs="Arial"/>
          <w:bCs/>
          <w:color w:val="000000" w:themeColor="text1"/>
          <w:sz w:val="22"/>
          <w:szCs w:val="22"/>
        </w:rPr>
        <w:t xml:space="preserve"> </w:t>
      </w:r>
      <w:r w:rsidR="003B10C9">
        <w:rPr>
          <w:rFonts w:ascii="Arial" w:hAnsi="Arial" w:cs="Arial"/>
          <w:bCs/>
          <w:color w:val="000000" w:themeColor="text1"/>
          <w:sz w:val="22"/>
          <w:szCs w:val="22"/>
        </w:rPr>
        <w:t xml:space="preserve">para los dos conceptos analizados. </w:t>
      </w:r>
      <w:r w:rsidR="00EE7D94">
        <w:rPr>
          <w:rFonts w:ascii="Arial" w:hAnsi="Arial" w:cs="Arial"/>
          <w:bCs/>
          <w:color w:val="000000" w:themeColor="text1"/>
          <w:sz w:val="22"/>
          <w:szCs w:val="22"/>
        </w:rPr>
        <w:t>E</w:t>
      </w:r>
      <w:r w:rsidR="003B10C9">
        <w:rPr>
          <w:rFonts w:ascii="Arial" w:hAnsi="Arial" w:cs="Arial"/>
          <w:bCs/>
          <w:color w:val="000000" w:themeColor="text1"/>
          <w:sz w:val="22"/>
          <w:szCs w:val="22"/>
        </w:rPr>
        <w:t>l gasto por viáticos, para julio y agosto presentó un ahorro del 94%, para septiembre</w:t>
      </w:r>
      <w:r w:rsidR="00EE7D94">
        <w:rPr>
          <w:rFonts w:ascii="Arial" w:hAnsi="Arial" w:cs="Arial"/>
          <w:bCs/>
          <w:color w:val="000000" w:themeColor="text1"/>
          <w:sz w:val="22"/>
          <w:szCs w:val="22"/>
        </w:rPr>
        <w:t xml:space="preserve"> se presentó una reducción del </w:t>
      </w:r>
      <w:r w:rsidR="003B10C9">
        <w:rPr>
          <w:rFonts w:ascii="Arial" w:hAnsi="Arial" w:cs="Arial"/>
          <w:bCs/>
          <w:color w:val="000000" w:themeColor="text1"/>
          <w:sz w:val="22"/>
          <w:szCs w:val="22"/>
        </w:rPr>
        <w:t xml:space="preserve">93%. Respecto a los gastos de pasajes aéreos, se presentó una disminución del 100% para los meses de julio y agosto, toda vez que, durante dichos periodos de la vigencia 2020 no se generaron gastos. Para el periodo de septiembre la disminución fue del 99%. </w:t>
      </w:r>
    </w:p>
    <w:p w14:paraId="714579A0" w14:textId="34011789" w:rsidR="00B652E6" w:rsidRDefault="00B652E6" w:rsidP="00D153E8">
      <w:pPr>
        <w:jc w:val="both"/>
        <w:rPr>
          <w:rFonts w:ascii="Arial" w:hAnsi="Arial" w:cs="Arial"/>
          <w:bCs/>
          <w:color w:val="000000" w:themeColor="text1"/>
          <w:sz w:val="22"/>
          <w:szCs w:val="22"/>
          <w:highlight w:val="yellow"/>
        </w:rPr>
      </w:pPr>
    </w:p>
    <w:p w14:paraId="3A941105" w14:textId="56AB9BEA" w:rsidR="00D62F3B" w:rsidRDefault="00D62F3B" w:rsidP="00D153E8">
      <w:pPr>
        <w:jc w:val="both"/>
        <w:rPr>
          <w:rFonts w:ascii="Arial" w:hAnsi="Arial" w:cs="Arial"/>
          <w:bCs/>
          <w:color w:val="000000" w:themeColor="text1"/>
          <w:sz w:val="22"/>
          <w:szCs w:val="22"/>
          <w:highlight w:val="yellow"/>
        </w:rPr>
      </w:pPr>
    </w:p>
    <w:p w14:paraId="108944A4" w14:textId="7D1AF8E1" w:rsidR="00244706" w:rsidRDefault="00244706" w:rsidP="00D153E8">
      <w:pPr>
        <w:jc w:val="both"/>
        <w:rPr>
          <w:rFonts w:ascii="Arial" w:hAnsi="Arial" w:cs="Arial"/>
          <w:bCs/>
          <w:color w:val="000000" w:themeColor="text1"/>
          <w:sz w:val="22"/>
          <w:szCs w:val="22"/>
          <w:highlight w:val="yellow"/>
        </w:rPr>
      </w:pPr>
    </w:p>
    <w:p w14:paraId="0ECABD83" w14:textId="12D5021D" w:rsidR="00244706" w:rsidRDefault="00244706" w:rsidP="00D153E8">
      <w:pPr>
        <w:jc w:val="both"/>
        <w:rPr>
          <w:rFonts w:ascii="Arial" w:hAnsi="Arial" w:cs="Arial"/>
          <w:bCs/>
          <w:color w:val="000000" w:themeColor="text1"/>
          <w:sz w:val="22"/>
          <w:szCs w:val="22"/>
          <w:highlight w:val="yellow"/>
        </w:rPr>
      </w:pPr>
    </w:p>
    <w:p w14:paraId="10BEDCDE" w14:textId="052BEB52" w:rsidR="00244706" w:rsidRDefault="00244706" w:rsidP="00D153E8">
      <w:pPr>
        <w:jc w:val="both"/>
        <w:rPr>
          <w:rFonts w:ascii="Arial" w:hAnsi="Arial" w:cs="Arial"/>
          <w:bCs/>
          <w:color w:val="000000" w:themeColor="text1"/>
          <w:sz w:val="22"/>
          <w:szCs w:val="22"/>
          <w:highlight w:val="yellow"/>
        </w:rPr>
      </w:pPr>
    </w:p>
    <w:tbl>
      <w:tblPr>
        <w:tblW w:w="10331" w:type="dxa"/>
        <w:tblCellMar>
          <w:left w:w="70" w:type="dxa"/>
          <w:right w:w="70" w:type="dxa"/>
        </w:tblCellMar>
        <w:tblLook w:val="04A0" w:firstRow="1" w:lastRow="0" w:firstColumn="1" w:lastColumn="0" w:noHBand="0" w:noVBand="1"/>
      </w:tblPr>
      <w:tblGrid>
        <w:gridCol w:w="2523"/>
        <w:gridCol w:w="2139"/>
        <w:gridCol w:w="1217"/>
        <w:gridCol w:w="1217"/>
        <w:gridCol w:w="1337"/>
        <w:gridCol w:w="1898"/>
      </w:tblGrid>
      <w:tr w:rsidR="00244706" w:rsidRPr="00244706" w14:paraId="1710CC14" w14:textId="77777777" w:rsidTr="0081031A">
        <w:trPr>
          <w:trHeight w:val="294"/>
        </w:trPr>
        <w:tc>
          <w:tcPr>
            <w:tcW w:w="2523" w:type="dxa"/>
            <w:tcBorders>
              <w:top w:val="nil"/>
              <w:left w:val="nil"/>
              <w:bottom w:val="nil"/>
              <w:right w:val="nil"/>
            </w:tcBorders>
            <w:shd w:val="clear" w:color="auto" w:fill="auto"/>
            <w:noWrap/>
            <w:vAlign w:val="bottom"/>
            <w:hideMark/>
          </w:tcPr>
          <w:p w14:paraId="795A331C" w14:textId="6D6DA1E4" w:rsidR="00244706" w:rsidRPr="00244706" w:rsidRDefault="00990A31" w:rsidP="00244706">
            <w:pPr>
              <w:rPr>
                <w:rFonts w:ascii="Calibri" w:hAnsi="Calibri"/>
                <w:color w:val="000000"/>
                <w:sz w:val="22"/>
                <w:szCs w:val="22"/>
              </w:rPr>
            </w:pPr>
            <w:r w:rsidRPr="00244706">
              <w:rPr>
                <w:rFonts w:ascii="Calibri" w:hAnsi="Calibri"/>
                <w:noProof/>
                <w:color w:val="000000"/>
                <w:sz w:val="22"/>
                <w:szCs w:val="22"/>
                <w:lang w:val="en-US" w:eastAsia="en-US"/>
              </w:rPr>
              <w:lastRenderedPageBreak/>
              <w:drawing>
                <wp:anchor distT="0" distB="0" distL="114300" distR="114300" simplePos="0" relativeHeight="252419072" behindDoc="0" locked="0" layoutInCell="1" allowOverlap="1" wp14:anchorId="16EF674A" wp14:editId="6D44677B">
                  <wp:simplePos x="0" y="0"/>
                  <wp:positionH relativeFrom="column">
                    <wp:posOffset>3074670</wp:posOffset>
                  </wp:positionH>
                  <wp:positionV relativeFrom="paragraph">
                    <wp:posOffset>23495</wp:posOffset>
                  </wp:positionV>
                  <wp:extent cx="3295650" cy="2828925"/>
                  <wp:effectExtent l="0" t="0" r="0" b="0"/>
                  <wp:wrapNone/>
                  <wp:docPr id="39" name="Gráfico 39">
                    <a:extLst xmlns:a="http://schemas.openxmlformats.org/drawingml/2006/main">
                      <a:ext uri="{FF2B5EF4-FFF2-40B4-BE49-F238E27FC236}">
                        <a16:creationId xmlns:a16="http://schemas.microsoft.com/office/drawing/2014/main" id="{15459B25-3F2B-44BE-A775-1223550C13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B0022" w:rsidRPr="00244706">
              <w:rPr>
                <w:rFonts w:ascii="Calibri" w:hAnsi="Calibri"/>
                <w:noProof/>
                <w:color w:val="000000"/>
                <w:sz w:val="22"/>
                <w:szCs w:val="22"/>
                <w:lang w:val="en-US" w:eastAsia="en-US"/>
              </w:rPr>
              <w:drawing>
                <wp:anchor distT="0" distB="0" distL="114300" distR="114300" simplePos="0" relativeHeight="252418048" behindDoc="0" locked="0" layoutInCell="1" allowOverlap="1" wp14:anchorId="451021D9" wp14:editId="49101C05">
                  <wp:simplePos x="0" y="0"/>
                  <wp:positionH relativeFrom="column">
                    <wp:posOffset>-201930</wp:posOffset>
                  </wp:positionH>
                  <wp:positionV relativeFrom="paragraph">
                    <wp:posOffset>52070</wp:posOffset>
                  </wp:positionV>
                  <wp:extent cx="3152775" cy="2800350"/>
                  <wp:effectExtent l="0" t="0" r="0" b="0"/>
                  <wp:wrapNone/>
                  <wp:docPr id="44" name="Gráfico 44">
                    <a:extLst xmlns:a="http://schemas.openxmlformats.org/drawingml/2006/main">
                      <a:ext uri="{FF2B5EF4-FFF2-40B4-BE49-F238E27FC236}">
                        <a16:creationId xmlns:a16="http://schemas.microsoft.com/office/drawing/2014/main" id="{41100D52-5D4C-48A2-8C8D-63E6F17B9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383"/>
            </w:tblGrid>
            <w:tr w:rsidR="00244706" w:rsidRPr="00244706" w14:paraId="6670F563" w14:textId="77777777" w:rsidTr="0081031A">
              <w:trPr>
                <w:trHeight w:val="294"/>
                <w:tblCellSpacing w:w="0" w:type="dxa"/>
              </w:trPr>
              <w:tc>
                <w:tcPr>
                  <w:tcW w:w="2383" w:type="dxa"/>
                  <w:tcBorders>
                    <w:top w:val="nil"/>
                    <w:left w:val="nil"/>
                    <w:bottom w:val="nil"/>
                    <w:right w:val="nil"/>
                  </w:tcBorders>
                  <w:shd w:val="clear" w:color="auto" w:fill="auto"/>
                  <w:noWrap/>
                  <w:vAlign w:val="bottom"/>
                  <w:hideMark/>
                </w:tcPr>
                <w:p w14:paraId="14679FFA" w14:textId="77777777" w:rsidR="00244706" w:rsidRPr="00244706" w:rsidRDefault="00244706" w:rsidP="00244706">
                  <w:pPr>
                    <w:rPr>
                      <w:rFonts w:ascii="Calibri" w:hAnsi="Calibri"/>
                      <w:color w:val="000000"/>
                      <w:sz w:val="22"/>
                      <w:szCs w:val="22"/>
                    </w:rPr>
                  </w:pPr>
                </w:p>
              </w:tc>
            </w:tr>
          </w:tbl>
          <w:p w14:paraId="1682C051" w14:textId="77777777" w:rsidR="00244706" w:rsidRPr="00244706" w:rsidRDefault="00244706" w:rsidP="00244706">
            <w:pPr>
              <w:rPr>
                <w:rFonts w:ascii="Calibri" w:hAnsi="Calibri"/>
                <w:color w:val="000000"/>
                <w:sz w:val="22"/>
                <w:szCs w:val="22"/>
              </w:rPr>
            </w:pPr>
          </w:p>
        </w:tc>
        <w:tc>
          <w:tcPr>
            <w:tcW w:w="2139" w:type="dxa"/>
            <w:tcBorders>
              <w:top w:val="nil"/>
              <w:left w:val="nil"/>
              <w:bottom w:val="nil"/>
              <w:right w:val="nil"/>
            </w:tcBorders>
            <w:shd w:val="clear" w:color="auto" w:fill="auto"/>
            <w:noWrap/>
            <w:vAlign w:val="bottom"/>
            <w:hideMark/>
          </w:tcPr>
          <w:p w14:paraId="3118A5BD"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99B13FC"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D5A7998"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42F7AE43"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32E50580" w14:textId="77777777" w:rsidR="00244706" w:rsidRPr="00244706" w:rsidRDefault="00244706" w:rsidP="00244706">
            <w:pPr>
              <w:rPr>
                <w:sz w:val="20"/>
                <w:szCs w:val="20"/>
              </w:rPr>
            </w:pPr>
          </w:p>
        </w:tc>
      </w:tr>
      <w:tr w:rsidR="00244706" w:rsidRPr="00244706" w14:paraId="29599B5C" w14:textId="77777777" w:rsidTr="0081031A">
        <w:trPr>
          <w:trHeight w:val="294"/>
        </w:trPr>
        <w:tc>
          <w:tcPr>
            <w:tcW w:w="2523" w:type="dxa"/>
            <w:tcBorders>
              <w:top w:val="nil"/>
              <w:left w:val="nil"/>
              <w:bottom w:val="nil"/>
              <w:right w:val="nil"/>
            </w:tcBorders>
            <w:shd w:val="clear" w:color="auto" w:fill="auto"/>
            <w:noWrap/>
            <w:vAlign w:val="bottom"/>
            <w:hideMark/>
          </w:tcPr>
          <w:p w14:paraId="7A71E72A"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7EBE3688"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23EFE68"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25B2D77D"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5901ABFA"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302F804B" w14:textId="77777777" w:rsidR="00244706" w:rsidRPr="00244706" w:rsidRDefault="00244706" w:rsidP="00244706">
            <w:pPr>
              <w:rPr>
                <w:sz w:val="20"/>
                <w:szCs w:val="20"/>
              </w:rPr>
            </w:pPr>
          </w:p>
        </w:tc>
      </w:tr>
      <w:tr w:rsidR="00244706" w:rsidRPr="00244706" w14:paraId="15355F5A" w14:textId="77777777" w:rsidTr="0081031A">
        <w:trPr>
          <w:trHeight w:val="294"/>
        </w:trPr>
        <w:tc>
          <w:tcPr>
            <w:tcW w:w="2523" w:type="dxa"/>
            <w:tcBorders>
              <w:top w:val="nil"/>
              <w:left w:val="nil"/>
              <w:bottom w:val="nil"/>
              <w:right w:val="nil"/>
            </w:tcBorders>
            <w:shd w:val="clear" w:color="auto" w:fill="auto"/>
            <w:noWrap/>
            <w:vAlign w:val="bottom"/>
            <w:hideMark/>
          </w:tcPr>
          <w:p w14:paraId="6DA9D14A"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26CEFEEB"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E163ABC"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5D8356E"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3286B5F9"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74FFD258" w14:textId="77777777" w:rsidR="00244706" w:rsidRPr="00244706" w:rsidRDefault="00244706" w:rsidP="00244706">
            <w:pPr>
              <w:rPr>
                <w:sz w:val="20"/>
                <w:szCs w:val="20"/>
              </w:rPr>
            </w:pPr>
          </w:p>
        </w:tc>
      </w:tr>
      <w:tr w:rsidR="00244706" w:rsidRPr="00244706" w14:paraId="3D2FB4B3" w14:textId="77777777" w:rsidTr="0081031A">
        <w:trPr>
          <w:trHeight w:val="294"/>
        </w:trPr>
        <w:tc>
          <w:tcPr>
            <w:tcW w:w="2523" w:type="dxa"/>
            <w:tcBorders>
              <w:top w:val="nil"/>
              <w:left w:val="nil"/>
              <w:bottom w:val="nil"/>
              <w:right w:val="nil"/>
            </w:tcBorders>
            <w:shd w:val="clear" w:color="auto" w:fill="auto"/>
            <w:noWrap/>
            <w:vAlign w:val="bottom"/>
            <w:hideMark/>
          </w:tcPr>
          <w:p w14:paraId="3B97AA08"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4462C06F"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B7D3FC3"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2F03E2B9"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431DA69A"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638D4227" w14:textId="77777777" w:rsidR="00244706" w:rsidRPr="00244706" w:rsidRDefault="00244706" w:rsidP="00244706">
            <w:pPr>
              <w:rPr>
                <w:sz w:val="20"/>
                <w:szCs w:val="20"/>
              </w:rPr>
            </w:pPr>
          </w:p>
        </w:tc>
      </w:tr>
      <w:tr w:rsidR="00244706" w:rsidRPr="00244706" w14:paraId="6B0E0264" w14:textId="77777777" w:rsidTr="0081031A">
        <w:trPr>
          <w:trHeight w:val="294"/>
        </w:trPr>
        <w:tc>
          <w:tcPr>
            <w:tcW w:w="2523" w:type="dxa"/>
            <w:tcBorders>
              <w:top w:val="nil"/>
              <w:left w:val="nil"/>
              <w:bottom w:val="nil"/>
              <w:right w:val="nil"/>
            </w:tcBorders>
            <w:shd w:val="clear" w:color="auto" w:fill="auto"/>
            <w:noWrap/>
            <w:vAlign w:val="bottom"/>
            <w:hideMark/>
          </w:tcPr>
          <w:p w14:paraId="6A340B65"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69A60FC2"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22B77F2A"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74962122"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3E81FC01"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1BAD8683" w14:textId="77777777" w:rsidR="00244706" w:rsidRPr="00244706" w:rsidRDefault="00244706" w:rsidP="00244706">
            <w:pPr>
              <w:rPr>
                <w:sz w:val="20"/>
                <w:szCs w:val="20"/>
              </w:rPr>
            </w:pPr>
          </w:p>
        </w:tc>
      </w:tr>
      <w:tr w:rsidR="00244706" w:rsidRPr="00244706" w14:paraId="5B61DB66" w14:textId="77777777" w:rsidTr="0081031A">
        <w:trPr>
          <w:trHeight w:val="294"/>
        </w:trPr>
        <w:tc>
          <w:tcPr>
            <w:tcW w:w="2523" w:type="dxa"/>
            <w:tcBorders>
              <w:top w:val="nil"/>
              <w:left w:val="nil"/>
              <w:bottom w:val="nil"/>
              <w:right w:val="nil"/>
            </w:tcBorders>
            <w:shd w:val="clear" w:color="auto" w:fill="auto"/>
            <w:noWrap/>
            <w:vAlign w:val="bottom"/>
            <w:hideMark/>
          </w:tcPr>
          <w:p w14:paraId="137E9604"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7A4DC947"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52FA0FB"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5F3F7E25"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21D73DCA"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596A3AE2" w14:textId="77777777" w:rsidR="00244706" w:rsidRPr="00244706" w:rsidRDefault="00244706" w:rsidP="00244706">
            <w:pPr>
              <w:rPr>
                <w:sz w:val="20"/>
                <w:szCs w:val="20"/>
              </w:rPr>
            </w:pPr>
          </w:p>
        </w:tc>
      </w:tr>
      <w:tr w:rsidR="00244706" w:rsidRPr="00244706" w14:paraId="690B8042" w14:textId="77777777" w:rsidTr="0081031A">
        <w:trPr>
          <w:trHeight w:val="294"/>
        </w:trPr>
        <w:tc>
          <w:tcPr>
            <w:tcW w:w="2523" w:type="dxa"/>
            <w:tcBorders>
              <w:top w:val="nil"/>
              <w:left w:val="nil"/>
              <w:bottom w:val="nil"/>
              <w:right w:val="nil"/>
            </w:tcBorders>
            <w:shd w:val="clear" w:color="auto" w:fill="auto"/>
            <w:noWrap/>
            <w:vAlign w:val="bottom"/>
            <w:hideMark/>
          </w:tcPr>
          <w:p w14:paraId="542AB617"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059868A0"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42F2748D"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A6E286D"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1F11CA52"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088B74C6" w14:textId="77777777" w:rsidR="00244706" w:rsidRPr="00244706" w:rsidRDefault="00244706" w:rsidP="00244706">
            <w:pPr>
              <w:rPr>
                <w:sz w:val="20"/>
                <w:szCs w:val="20"/>
              </w:rPr>
            </w:pPr>
          </w:p>
        </w:tc>
      </w:tr>
      <w:tr w:rsidR="00244706" w:rsidRPr="00244706" w14:paraId="177D858A" w14:textId="77777777" w:rsidTr="0081031A">
        <w:trPr>
          <w:trHeight w:val="294"/>
        </w:trPr>
        <w:tc>
          <w:tcPr>
            <w:tcW w:w="2523" w:type="dxa"/>
            <w:tcBorders>
              <w:top w:val="nil"/>
              <w:left w:val="nil"/>
              <w:bottom w:val="nil"/>
              <w:right w:val="nil"/>
            </w:tcBorders>
            <w:shd w:val="clear" w:color="auto" w:fill="auto"/>
            <w:noWrap/>
            <w:vAlign w:val="bottom"/>
            <w:hideMark/>
          </w:tcPr>
          <w:p w14:paraId="794443E2"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4AED221F"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0642E432"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4F38F8FA"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57B46C1B"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3FA4271E" w14:textId="77777777" w:rsidR="00244706" w:rsidRPr="00244706" w:rsidRDefault="00244706" w:rsidP="00244706">
            <w:pPr>
              <w:rPr>
                <w:sz w:val="20"/>
                <w:szCs w:val="20"/>
              </w:rPr>
            </w:pPr>
          </w:p>
        </w:tc>
      </w:tr>
      <w:tr w:rsidR="00244706" w:rsidRPr="00244706" w14:paraId="2FE144CF" w14:textId="77777777" w:rsidTr="0081031A">
        <w:trPr>
          <w:trHeight w:val="294"/>
        </w:trPr>
        <w:tc>
          <w:tcPr>
            <w:tcW w:w="2523" w:type="dxa"/>
            <w:tcBorders>
              <w:top w:val="nil"/>
              <w:left w:val="nil"/>
              <w:bottom w:val="nil"/>
              <w:right w:val="nil"/>
            </w:tcBorders>
            <w:shd w:val="clear" w:color="auto" w:fill="auto"/>
            <w:noWrap/>
            <w:vAlign w:val="bottom"/>
            <w:hideMark/>
          </w:tcPr>
          <w:p w14:paraId="4578B83A"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434072A5"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A7AFB29"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7B0217DA"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1A59FCBC"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09417990" w14:textId="77777777" w:rsidR="00244706" w:rsidRPr="00244706" w:rsidRDefault="00244706" w:rsidP="00244706">
            <w:pPr>
              <w:rPr>
                <w:sz w:val="20"/>
                <w:szCs w:val="20"/>
              </w:rPr>
            </w:pPr>
          </w:p>
        </w:tc>
      </w:tr>
      <w:tr w:rsidR="00244706" w:rsidRPr="00244706" w14:paraId="67B9C6BF" w14:textId="77777777" w:rsidTr="0081031A">
        <w:trPr>
          <w:trHeight w:val="294"/>
        </w:trPr>
        <w:tc>
          <w:tcPr>
            <w:tcW w:w="2523" w:type="dxa"/>
            <w:tcBorders>
              <w:top w:val="nil"/>
              <w:left w:val="nil"/>
              <w:bottom w:val="nil"/>
              <w:right w:val="nil"/>
            </w:tcBorders>
            <w:shd w:val="clear" w:color="auto" w:fill="auto"/>
            <w:noWrap/>
            <w:vAlign w:val="bottom"/>
            <w:hideMark/>
          </w:tcPr>
          <w:p w14:paraId="70197537"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1BB2ABC7"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3074C13E"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0A263A19"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778F8B00"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58D4687F" w14:textId="77777777" w:rsidR="00244706" w:rsidRPr="00244706" w:rsidRDefault="00244706" w:rsidP="00244706">
            <w:pPr>
              <w:rPr>
                <w:sz w:val="20"/>
                <w:szCs w:val="20"/>
              </w:rPr>
            </w:pPr>
          </w:p>
        </w:tc>
      </w:tr>
      <w:tr w:rsidR="00244706" w:rsidRPr="00244706" w14:paraId="4622A763" w14:textId="77777777" w:rsidTr="0081031A">
        <w:trPr>
          <w:trHeight w:val="294"/>
        </w:trPr>
        <w:tc>
          <w:tcPr>
            <w:tcW w:w="2523" w:type="dxa"/>
            <w:tcBorders>
              <w:top w:val="nil"/>
              <w:left w:val="nil"/>
              <w:bottom w:val="nil"/>
              <w:right w:val="nil"/>
            </w:tcBorders>
            <w:shd w:val="clear" w:color="auto" w:fill="auto"/>
            <w:noWrap/>
            <w:vAlign w:val="bottom"/>
            <w:hideMark/>
          </w:tcPr>
          <w:p w14:paraId="5D0A7BD4"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763D6A2D"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2D1F2B59"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FCEB77F"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58624586"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4D11FCF8" w14:textId="77777777" w:rsidR="00244706" w:rsidRPr="00244706" w:rsidRDefault="00244706" w:rsidP="00244706">
            <w:pPr>
              <w:rPr>
                <w:sz w:val="20"/>
                <w:szCs w:val="20"/>
              </w:rPr>
            </w:pPr>
          </w:p>
        </w:tc>
      </w:tr>
      <w:tr w:rsidR="00244706" w:rsidRPr="00244706" w14:paraId="49DB29F1" w14:textId="77777777" w:rsidTr="0081031A">
        <w:trPr>
          <w:trHeight w:val="294"/>
        </w:trPr>
        <w:tc>
          <w:tcPr>
            <w:tcW w:w="2523" w:type="dxa"/>
            <w:tcBorders>
              <w:top w:val="nil"/>
              <w:left w:val="nil"/>
              <w:bottom w:val="nil"/>
              <w:right w:val="nil"/>
            </w:tcBorders>
            <w:shd w:val="clear" w:color="auto" w:fill="auto"/>
            <w:noWrap/>
            <w:vAlign w:val="bottom"/>
            <w:hideMark/>
          </w:tcPr>
          <w:p w14:paraId="3A7C4D05"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4DA37A4E"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397D2BD"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427C4C51"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358886FC"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51AF36EE" w14:textId="77777777" w:rsidR="00244706" w:rsidRPr="00244706" w:rsidRDefault="00244706" w:rsidP="00244706">
            <w:pPr>
              <w:rPr>
                <w:sz w:val="20"/>
                <w:szCs w:val="20"/>
              </w:rPr>
            </w:pPr>
          </w:p>
        </w:tc>
      </w:tr>
      <w:tr w:rsidR="00244706" w:rsidRPr="00244706" w14:paraId="72DF7E3F" w14:textId="77777777" w:rsidTr="0081031A">
        <w:trPr>
          <w:trHeight w:val="294"/>
        </w:trPr>
        <w:tc>
          <w:tcPr>
            <w:tcW w:w="2523" w:type="dxa"/>
            <w:tcBorders>
              <w:top w:val="nil"/>
              <w:left w:val="nil"/>
              <w:bottom w:val="nil"/>
              <w:right w:val="nil"/>
            </w:tcBorders>
            <w:shd w:val="clear" w:color="auto" w:fill="auto"/>
            <w:noWrap/>
            <w:vAlign w:val="bottom"/>
            <w:hideMark/>
          </w:tcPr>
          <w:p w14:paraId="77E4E873"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23B6852E"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2C2003DD"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340FA11"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4EC654A3"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29A9D1B9" w14:textId="77777777" w:rsidR="00244706" w:rsidRPr="00244706" w:rsidRDefault="00244706" w:rsidP="00244706">
            <w:pPr>
              <w:rPr>
                <w:sz w:val="20"/>
                <w:szCs w:val="20"/>
              </w:rPr>
            </w:pPr>
          </w:p>
        </w:tc>
      </w:tr>
      <w:tr w:rsidR="00244706" w:rsidRPr="00244706" w14:paraId="1E349A65" w14:textId="77777777" w:rsidTr="0081031A">
        <w:trPr>
          <w:trHeight w:val="294"/>
        </w:trPr>
        <w:tc>
          <w:tcPr>
            <w:tcW w:w="2523" w:type="dxa"/>
            <w:tcBorders>
              <w:top w:val="nil"/>
              <w:left w:val="nil"/>
              <w:bottom w:val="nil"/>
              <w:right w:val="nil"/>
            </w:tcBorders>
            <w:shd w:val="clear" w:color="auto" w:fill="auto"/>
            <w:noWrap/>
            <w:vAlign w:val="bottom"/>
            <w:hideMark/>
          </w:tcPr>
          <w:p w14:paraId="02FB2124"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77330511"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7B5656B5"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3A496680"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2CEE0302"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41F63AA5" w14:textId="77777777" w:rsidR="00244706" w:rsidRPr="00244706" w:rsidRDefault="00244706" w:rsidP="00244706">
            <w:pPr>
              <w:rPr>
                <w:sz w:val="20"/>
                <w:szCs w:val="20"/>
              </w:rPr>
            </w:pPr>
          </w:p>
        </w:tc>
      </w:tr>
      <w:tr w:rsidR="00244706" w:rsidRPr="00244706" w14:paraId="6E1BD293" w14:textId="77777777" w:rsidTr="0081031A">
        <w:trPr>
          <w:trHeight w:val="90"/>
        </w:trPr>
        <w:tc>
          <w:tcPr>
            <w:tcW w:w="2523" w:type="dxa"/>
            <w:tcBorders>
              <w:top w:val="nil"/>
              <w:left w:val="nil"/>
              <w:bottom w:val="nil"/>
              <w:right w:val="nil"/>
            </w:tcBorders>
            <w:shd w:val="clear" w:color="auto" w:fill="auto"/>
            <w:noWrap/>
            <w:vAlign w:val="bottom"/>
            <w:hideMark/>
          </w:tcPr>
          <w:p w14:paraId="6313CEFC" w14:textId="77777777" w:rsidR="00244706" w:rsidRPr="00244706" w:rsidRDefault="00244706" w:rsidP="00244706">
            <w:pPr>
              <w:rPr>
                <w:sz w:val="20"/>
                <w:szCs w:val="20"/>
              </w:rPr>
            </w:pPr>
          </w:p>
        </w:tc>
        <w:tc>
          <w:tcPr>
            <w:tcW w:w="2139" w:type="dxa"/>
            <w:tcBorders>
              <w:top w:val="nil"/>
              <w:left w:val="nil"/>
              <w:bottom w:val="nil"/>
              <w:right w:val="nil"/>
            </w:tcBorders>
            <w:shd w:val="clear" w:color="auto" w:fill="auto"/>
            <w:noWrap/>
            <w:vAlign w:val="bottom"/>
            <w:hideMark/>
          </w:tcPr>
          <w:p w14:paraId="09F87F87"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1D4119B0" w14:textId="77777777" w:rsidR="00244706" w:rsidRPr="00244706" w:rsidRDefault="00244706" w:rsidP="00244706">
            <w:pPr>
              <w:rPr>
                <w:sz w:val="20"/>
                <w:szCs w:val="20"/>
              </w:rPr>
            </w:pPr>
          </w:p>
        </w:tc>
        <w:tc>
          <w:tcPr>
            <w:tcW w:w="1217" w:type="dxa"/>
            <w:tcBorders>
              <w:top w:val="nil"/>
              <w:left w:val="nil"/>
              <w:bottom w:val="nil"/>
              <w:right w:val="nil"/>
            </w:tcBorders>
            <w:shd w:val="clear" w:color="auto" w:fill="auto"/>
            <w:noWrap/>
            <w:vAlign w:val="bottom"/>
            <w:hideMark/>
          </w:tcPr>
          <w:p w14:paraId="65833EE4" w14:textId="77777777" w:rsidR="00244706" w:rsidRPr="00244706" w:rsidRDefault="00244706" w:rsidP="00244706">
            <w:pPr>
              <w:rPr>
                <w:sz w:val="20"/>
                <w:szCs w:val="20"/>
              </w:rPr>
            </w:pPr>
          </w:p>
        </w:tc>
        <w:tc>
          <w:tcPr>
            <w:tcW w:w="1337" w:type="dxa"/>
            <w:tcBorders>
              <w:top w:val="nil"/>
              <w:left w:val="nil"/>
              <w:bottom w:val="nil"/>
              <w:right w:val="nil"/>
            </w:tcBorders>
            <w:shd w:val="clear" w:color="auto" w:fill="auto"/>
            <w:noWrap/>
            <w:vAlign w:val="bottom"/>
            <w:hideMark/>
          </w:tcPr>
          <w:p w14:paraId="77109561" w14:textId="77777777" w:rsidR="00244706" w:rsidRPr="00244706" w:rsidRDefault="00244706" w:rsidP="00244706">
            <w:pPr>
              <w:rPr>
                <w:sz w:val="20"/>
                <w:szCs w:val="20"/>
              </w:rPr>
            </w:pPr>
          </w:p>
        </w:tc>
        <w:tc>
          <w:tcPr>
            <w:tcW w:w="1898" w:type="dxa"/>
            <w:tcBorders>
              <w:top w:val="nil"/>
              <w:left w:val="nil"/>
              <w:bottom w:val="nil"/>
              <w:right w:val="nil"/>
            </w:tcBorders>
            <w:shd w:val="clear" w:color="auto" w:fill="auto"/>
            <w:noWrap/>
            <w:vAlign w:val="bottom"/>
            <w:hideMark/>
          </w:tcPr>
          <w:p w14:paraId="523FA14C" w14:textId="77777777" w:rsidR="00244706" w:rsidRPr="00244706" w:rsidRDefault="00244706" w:rsidP="00244706">
            <w:pPr>
              <w:rPr>
                <w:sz w:val="20"/>
                <w:szCs w:val="20"/>
              </w:rPr>
            </w:pPr>
          </w:p>
        </w:tc>
      </w:tr>
    </w:tbl>
    <w:p w14:paraId="109F4102" w14:textId="2D6C00FB" w:rsidR="005B0022" w:rsidRDefault="005B0022" w:rsidP="00F7440E">
      <w:pPr>
        <w:jc w:val="both"/>
        <w:rPr>
          <w:rFonts w:ascii="Arial" w:hAnsi="Arial" w:cs="Arial"/>
          <w:color w:val="000000" w:themeColor="text1"/>
          <w:sz w:val="22"/>
          <w:szCs w:val="22"/>
        </w:rPr>
      </w:pPr>
    </w:p>
    <w:p w14:paraId="236E5827" w14:textId="77777777" w:rsidR="006B2DDA" w:rsidRDefault="006B2DDA" w:rsidP="00F7440E">
      <w:pPr>
        <w:jc w:val="both"/>
        <w:rPr>
          <w:rFonts w:ascii="Arial" w:hAnsi="Arial" w:cs="Arial"/>
          <w:color w:val="000000" w:themeColor="text1"/>
          <w:sz w:val="22"/>
          <w:szCs w:val="22"/>
        </w:rPr>
      </w:pPr>
    </w:p>
    <w:p w14:paraId="23011E63" w14:textId="268327EC" w:rsidR="00D879E1" w:rsidRPr="00CD0B90" w:rsidRDefault="003B10C9" w:rsidP="00F7440E">
      <w:pPr>
        <w:jc w:val="both"/>
        <w:rPr>
          <w:rFonts w:ascii="Arial" w:hAnsi="Arial" w:cs="Arial"/>
          <w:color w:val="000000" w:themeColor="text1"/>
          <w:sz w:val="22"/>
          <w:szCs w:val="22"/>
        </w:rPr>
      </w:pPr>
      <w:r>
        <w:rPr>
          <w:rFonts w:ascii="Arial" w:hAnsi="Arial" w:cs="Arial"/>
          <w:color w:val="000000" w:themeColor="text1"/>
          <w:sz w:val="22"/>
          <w:szCs w:val="22"/>
        </w:rPr>
        <w:t>C</w:t>
      </w:r>
      <w:r w:rsidR="00CD0B90">
        <w:rPr>
          <w:rFonts w:ascii="Arial" w:hAnsi="Arial" w:cs="Arial"/>
          <w:color w:val="000000" w:themeColor="text1"/>
          <w:sz w:val="22"/>
          <w:szCs w:val="22"/>
        </w:rPr>
        <w:t xml:space="preserve">on base en la información suministrada por la Subdirección de Gestión del Talento Humano, </w:t>
      </w:r>
      <w:r w:rsidR="00D879E1" w:rsidRPr="00CD0B90">
        <w:rPr>
          <w:rFonts w:ascii="Arial" w:hAnsi="Arial" w:cs="Arial"/>
          <w:color w:val="000000" w:themeColor="text1"/>
          <w:sz w:val="22"/>
          <w:szCs w:val="22"/>
        </w:rPr>
        <w:t xml:space="preserve">para el </w:t>
      </w:r>
      <w:r w:rsidR="00CD0B90">
        <w:rPr>
          <w:rFonts w:ascii="Arial" w:hAnsi="Arial" w:cs="Arial"/>
          <w:color w:val="000000" w:themeColor="text1"/>
          <w:sz w:val="22"/>
          <w:szCs w:val="22"/>
        </w:rPr>
        <w:t xml:space="preserve">tercer </w:t>
      </w:r>
      <w:r w:rsidR="00D879E1" w:rsidRPr="00CD0B90">
        <w:rPr>
          <w:rFonts w:ascii="Arial" w:hAnsi="Arial" w:cs="Arial"/>
          <w:color w:val="000000" w:themeColor="text1"/>
          <w:sz w:val="22"/>
          <w:szCs w:val="22"/>
        </w:rPr>
        <w:t xml:space="preserve">trimestre de 2020 comparado con el mismo periodo de 2019, el gasto por viáticos presentó una </w:t>
      </w:r>
      <w:r w:rsidR="00D879E1" w:rsidRPr="00CD0B90">
        <w:rPr>
          <w:rFonts w:ascii="Arial" w:hAnsi="Arial" w:cs="Arial"/>
          <w:b/>
          <w:bCs/>
          <w:color w:val="000000" w:themeColor="text1"/>
          <w:sz w:val="22"/>
          <w:szCs w:val="22"/>
        </w:rPr>
        <w:t>disminución</w:t>
      </w:r>
      <w:r w:rsidR="00D879E1" w:rsidRPr="00CD0B90">
        <w:rPr>
          <w:rFonts w:ascii="Arial" w:hAnsi="Arial" w:cs="Arial"/>
          <w:b/>
          <w:color w:val="000000" w:themeColor="text1"/>
          <w:sz w:val="22"/>
          <w:szCs w:val="22"/>
        </w:rPr>
        <w:t xml:space="preserve"> del 9</w:t>
      </w:r>
      <w:r w:rsidR="00CD0B90" w:rsidRPr="00CD0B90">
        <w:rPr>
          <w:rFonts w:ascii="Arial" w:hAnsi="Arial" w:cs="Arial"/>
          <w:b/>
          <w:color w:val="000000" w:themeColor="text1"/>
          <w:sz w:val="22"/>
          <w:szCs w:val="22"/>
        </w:rPr>
        <w:t>4</w:t>
      </w:r>
      <w:r w:rsidR="00D879E1" w:rsidRPr="00CD0B90">
        <w:rPr>
          <w:rFonts w:ascii="Arial" w:hAnsi="Arial" w:cs="Arial"/>
          <w:b/>
          <w:color w:val="000000" w:themeColor="text1"/>
          <w:sz w:val="22"/>
          <w:szCs w:val="22"/>
        </w:rPr>
        <w:t>%</w:t>
      </w:r>
      <w:r w:rsidR="00D879E1" w:rsidRPr="00CD0B90">
        <w:rPr>
          <w:rFonts w:ascii="Arial" w:hAnsi="Arial" w:cs="Arial"/>
          <w:color w:val="000000" w:themeColor="text1"/>
          <w:sz w:val="22"/>
          <w:szCs w:val="22"/>
        </w:rPr>
        <w:t xml:space="preserve"> y el gasto de </w:t>
      </w:r>
      <w:r w:rsidR="00434960" w:rsidRPr="00CD0B90">
        <w:rPr>
          <w:rFonts w:ascii="Arial" w:hAnsi="Arial" w:cs="Arial"/>
          <w:color w:val="000000" w:themeColor="text1"/>
          <w:sz w:val="22"/>
          <w:szCs w:val="22"/>
        </w:rPr>
        <w:t>tiquetes aéreos</w:t>
      </w:r>
      <w:r w:rsidR="00D879E1" w:rsidRPr="00CD0B90">
        <w:rPr>
          <w:rFonts w:ascii="Arial" w:hAnsi="Arial" w:cs="Arial"/>
          <w:color w:val="000000" w:themeColor="text1"/>
          <w:sz w:val="22"/>
          <w:szCs w:val="22"/>
        </w:rPr>
        <w:t xml:space="preserve"> se </w:t>
      </w:r>
      <w:r w:rsidR="00D879E1" w:rsidRPr="00CD0B90">
        <w:rPr>
          <w:rFonts w:ascii="Arial" w:hAnsi="Arial" w:cs="Arial"/>
          <w:b/>
          <w:bCs/>
          <w:color w:val="000000" w:themeColor="text1"/>
          <w:sz w:val="22"/>
          <w:szCs w:val="22"/>
        </w:rPr>
        <w:t>redujo</w:t>
      </w:r>
      <w:r w:rsidR="00D879E1" w:rsidRPr="00CD0B90">
        <w:rPr>
          <w:rFonts w:ascii="Arial" w:hAnsi="Arial" w:cs="Arial"/>
          <w:b/>
          <w:color w:val="000000" w:themeColor="text1"/>
          <w:sz w:val="22"/>
          <w:szCs w:val="22"/>
        </w:rPr>
        <w:t xml:space="preserve"> en un </w:t>
      </w:r>
      <w:r w:rsidR="00CD0B90" w:rsidRPr="00CD0B90">
        <w:rPr>
          <w:rFonts w:ascii="Arial" w:hAnsi="Arial" w:cs="Arial"/>
          <w:b/>
          <w:color w:val="000000" w:themeColor="text1"/>
          <w:sz w:val="22"/>
          <w:szCs w:val="22"/>
        </w:rPr>
        <w:t>99,8</w:t>
      </w:r>
      <w:r w:rsidR="00CD0B90">
        <w:rPr>
          <w:rFonts w:ascii="Arial" w:hAnsi="Arial" w:cs="Arial"/>
          <w:b/>
          <w:color w:val="000000" w:themeColor="text1"/>
          <w:sz w:val="22"/>
          <w:szCs w:val="22"/>
        </w:rPr>
        <w:t>%</w:t>
      </w:r>
      <w:r w:rsidR="008E1676" w:rsidRPr="008E1676">
        <w:rPr>
          <w:rFonts w:ascii="Arial" w:hAnsi="Arial" w:cs="Arial"/>
          <w:bCs/>
          <w:color w:val="000000" w:themeColor="text1"/>
          <w:sz w:val="22"/>
          <w:szCs w:val="22"/>
        </w:rPr>
        <w:t>,</w:t>
      </w:r>
      <w:r w:rsidR="008E1676">
        <w:rPr>
          <w:rFonts w:ascii="Arial" w:hAnsi="Arial" w:cs="Arial"/>
          <w:b/>
          <w:color w:val="000000" w:themeColor="text1"/>
          <w:sz w:val="22"/>
          <w:szCs w:val="22"/>
        </w:rPr>
        <w:t xml:space="preserve"> </w:t>
      </w:r>
      <w:r w:rsidR="00D45032" w:rsidRPr="00CD0B90">
        <w:rPr>
          <w:rFonts w:ascii="Arial" w:hAnsi="Arial" w:cs="Arial"/>
          <w:color w:val="000000" w:themeColor="text1"/>
          <w:sz w:val="22"/>
          <w:szCs w:val="22"/>
        </w:rPr>
        <w:t xml:space="preserve">toda vez </w:t>
      </w:r>
      <w:r w:rsidR="00D879E1" w:rsidRPr="00CD0B90">
        <w:rPr>
          <w:rFonts w:ascii="Arial" w:hAnsi="Arial" w:cs="Arial"/>
          <w:color w:val="000000" w:themeColor="text1"/>
          <w:sz w:val="22"/>
          <w:szCs w:val="22"/>
        </w:rPr>
        <w:t>que, para el periodo de la vigencia actual</w:t>
      </w:r>
      <w:r w:rsidR="00CD0B90">
        <w:rPr>
          <w:rFonts w:ascii="Arial" w:hAnsi="Arial" w:cs="Arial"/>
          <w:color w:val="000000" w:themeColor="text1"/>
          <w:sz w:val="22"/>
          <w:szCs w:val="22"/>
        </w:rPr>
        <w:t xml:space="preserve"> se aplicaron las restricciones </w:t>
      </w:r>
      <w:r w:rsidR="00434960" w:rsidRPr="00CD0B90">
        <w:rPr>
          <w:rFonts w:ascii="Arial" w:hAnsi="Arial" w:cs="Arial"/>
          <w:color w:val="000000" w:themeColor="text1"/>
          <w:sz w:val="22"/>
          <w:szCs w:val="22"/>
        </w:rPr>
        <w:t xml:space="preserve">impartidas por el Gobierno Nacional </w:t>
      </w:r>
      <w:r w:rsidR="00CD0B90">
        <w:rPr>
          <w:rFonts w:ascii="Arial" w:hAnsi="Arial" w:cs="Arial"/>
          <w:color w:val="000000" w:themeColor="text1"/>
          <w:sz w:val="22"/>
          <w:szCs w:val="22"/>
        </w:rPr>
        <w:t xml:space="preserve">y las directrices internas determinadas en la </w:t>
      </w:r>
      <w:r w:rsidR="00CD0B90" w:rsidRPr="00CA48AF">
        <w:rPr>
          <w:rFonts w:ascii="Arial" w:hAnsi="Arial" w:cs="Arial"/>
          <w:color w:val="000000"/>
          <w:sz w:val="22"/>
          <w:szCs w:val="22"/>
        </w:rPr>
        <w:t>Circular 010 del 16 de marzo de 2020</w:t>
      </w:r>
      <w:r w:rsidR="00CD0B90">
        <w:rPr>
          <w:rFonts w:ascii="Arial" w:hAnsi="Arial" w:cs="Arial"/>
          <w:color w:val="000000"/>
          <w:sz w:val="22"/>
          <w:szCs w:val="22"/>
        </w:rPr>
        <w:t xml:space="preserve"> en virtud de </w:t>
      </w:r>
      <w:r w:rsidR="00434960" w:rsidRPr="00CD0B90">
        <w:rPr>
          <w:rFonts w:ascii="Arial" w:hAnsi="Arial" w:cs="Arial"/>
          <w:color w:val="000000"/>
          <w:sz w:val="22"/>
          <w:szCs w:val="22"/>
        </w:rPr>
        <w:t>la emergencia sanitaria</w:t>
      </w:r>
      <w:r w:rsidR="009A675A" w:rsidRPr="00CD0B90">
        <w:rPr>
          <w:rFonts w:ascii="Arial" w:hAnsi="Arial" w:cs="Arial"/>
          <w:color w:val="000000"/>
          <w:sz w:val="22"/>
          <w:szCs w:val="22"/>
        </w:rPr>
        <w:t xml:space="preserve"> [COVID-19].</w:t>
      </w:r>
    </w:p>
    <w:p w14:paraId="65880DF9" w14:textId="625EFB7A" w:rsidR="00BE670C" w:rsidRPr="00CD0B90" w:rsidRDefault="00BE670C" w:rsidP="00F7440E">
      <w:pPr>
        <w:jc w:val="both"/>
        <w:rPr>
          <w:rFonts w:ascii="Arial" w:hAnsi="Arial" w:cs="Arial"/>
          <w:color w:val="000000" w:themeColor="text1"/>
          <w:sz w:val="22"/>
          <w:szCs w:val="22"/>
        </w:rPr>
      </w:pPr>
    </w:p>
    <w:p w14:paraId="70E25594" w14:textId="6E37DEAE" w:rsidR="00CA48AF" w:rsidRPr="00CA48AF" w:rsidRDefault="00CA48AF" w:rsidP="00F7440E">
      <w:pPr>
        <w:jc w:val="both"/>
        <w:rPr>
          <w:rFonts w:ascii="Arial" w:hAnsi="Arial" w:cs="Arial"/>
          <w:color w:val="000000" w:themeColor="text1"/>
          <w:sz w:val="22"/>
          <w:szCs w:val="22"/>
          <w:highlight w:val="yellow"/>
        </w:rPr>
      </w:pPr>
    </w:p>
    <w:tbl>
      <w:tblPr>
        <w:tblStyle w:val="Tabladecuadrcula1clara-nfasis1"/>
        <w:tblW w:w="5962" w:type="dxa"/>
        <w:jc w:val="center"/>
        <w:tblLook w:val="04A0" w:firstRow="1" w:lastRow="0" w:firstColumn="1" w:lastColumn="0" w:noHBand="0" w:noVBand="1"/>
      </w:tblPr>
      <w:tblGrid>
        <w:gridCol w:w="2547"/>
        <w:gridCol w:w="1953"/>
        <w:gridCol w:w="1462"/>
      </w:tblGrid>
      <w:tr w:rsidR="00CA48AF" w:rsidRPr="00CA48AF" w14:paraId="1DD35241" w14:textId="77777777" w:rsidTr="006D566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4F81BD" w:themeFill="accent1"/>
            <w:noWrap/>
            <w:hideMark/>
          </w:tcPr>
          <w:p w14:paraId="5078F12F" w14:textId="77777777" w:rsidR="00CA48AF" w:rsidRPr="00CA48AF" w:rsidRDefault="00CA48AF" w:rsidP="006D5663">
            <w:pPr>
              <w:spacing w:before="60" w:after="80"/>
              <w:jc w:val="center"/>
              <w:rPr>
                <w:rFonts w:ascii="Arial" w:hAnsi="Arial" w:cs="Arial"/>
                <w:color w:val="FFFFFF"/>
                <w:sz w:val="20"/>
                <w:szCs w:val="20"/>
                <w:lang w:eastAsia="en-US"/>
              </w:rPr>
            </w:pPr>
            <w:r w:rsidRPr="00CA48AF">
              <w:rPr>
                <w:rFonts w:ascii="Arial" w:hAnsi="Arial" w:cs="Arial"/>
                <w:color w:val="FFFFFF"/>
                <w:sz w:val="20"/>
                <w:szCs w:val="20"/>
                <w:lang w:eastAsia="en-US"/>
              </w:rPr>
              <w:t>Concepto</w:t>
            </w:r>
          </w:p>
        </w:tc>
        <w:tc>
          <w:tcPr>
            <w:tcW w:w="1953" w:type="dxa"/>
            <w:shd w:val="clear" w:color="auto" w:fill="4F81BD" w:themeFill="accent1"/>
            <w:noWrap/>
            <w:hideMark/>
          </w:tcPr>
          <w:p w14:paraId="4AC967DF" w14:textId="77777777" w:rsidR="00CA48AF" w:rsidRPr="00CA48AF" w:rsidRDefault="00CA48AF" w:rsidP="006D566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CA48AF">
              <w:rPr>
                <w:rFonts w:ascii="Arial" w:hAnsi="Arial" w:cs="Arial"/>
                <w:color w:val="FFFFFF"/>
                <w:sz w:val="20"/>
                <w:szCs w:val="20"/>
                <w:lang w:eastAsia="en-US"/>
              </w:rPr>
              <w:t>Viáticos ($)</w:t>
            </w:r>
          </w:p>
        </w:tc>
        <w:tc>
          <w:tcPr>
            <w:tcW w:w="1462" w:type="dxa"/>
            <w:shd w:val="clear" w:color="auto" w:fill="4F81BD" w:themeFill="accent1"/>
            <w:noWrap/>
            <w:hideMark/>
          </w:tcPr>
          <w:p w14:paraId="2BA2C103" w14:textId="77777777" w:rsidR="00CA48AF" w:rsidRPr="00CA48AF" w:rsidRDefault="00CA48AF" w:rsidP="006D5663">
            <w:pPr>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lang w:eastAsia="en-US"/>
              </w:rPr>
            </w:pPr>
            <w:r w:rsidRPr="00CA48AF">
              <w:rPr>
                <w:rFonts w:ascii="Arial" w:hAnsi="Arial" w:cs="Arial"/>
                <w:color w:val="FFFFFF"/>
                <w:sz w:val="20"/>
                <w:szCs w:val="20"/>
                <w:lang w:eastAsia="en-US"/>
              </w:rPr>
              <w:t>Pasajes ($)</w:t>
            </w:r>
          </w:p>
        </w:tc>
      </w:tr>
      <w:tr w:rsidR="00CA48AF" w:rsidRPr="00CA48AF" w14:paraId="5FC2B366" w14:textId="77777777" w:rsidTr="006D5663">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F074A00" w14:textId="77777777" w:rsidR="00CA48AF" w:rsidRPr="00CA48AF" w:rsidRDefault="00CA48AF" w:rsidP="006D5663">
            <w:pPr>
              <w:spacing w:before="60" w:after="80"/>
              <w:rPr>
                <w:rFonts w:ascii="Arial" w:hAnsi="Arial" w:cs="Arial"/>
                <w:b w:val="0"/>
                <w:color w:val="0F243E" w:themeColor="text2" w:themeShade="80"/>
                <w:sz w:val="20"/>
                <w:szCs w:val="20"/>
                <w:lang w:eastAsia="en-US"/>
              </w:rPr>
            </w:pPr>
            <w:r w:rsidRPr="00CA48AF">
              <w:rPr>
                <w:rFonts w:ascii="Arial" w:hAnsi="Arial" w:cs="Arial"/>
                <w:b w:val="0"/>
                <w:color w:val="0F243E" w:themeColor="text2" w:themeShade="80"/>
                <w:sz w:val="20"/>
                <w:szCs w:val="20"/>
                <w:lang w:eastAsia="en-US"/>
              </w:rPr>
              <w:t>III Trimestre de 2020</w:t>
            </w:r>
          </w:p>
        </w:tc>
        <w:tc>
          <w:tcPr>
            <w:tcW w:w="1953" w:type="dxa"/>
            <w:noWrap/>
            <w:hideMark/>
          </w:tcPr>
          <w:p w14:paraId="65AEB94A" w14:textId="77777777"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7.385.060</w:t>
            </w:r>
          </w:p>
        </w:tc>
        <w:tc>
          <w:tcPr>
            <w:tcW w:w="1462" w:type="dxa"/>
            <w:noWrap/>
            <w:hideMark/>
          </w:tcPr>
          <w:p w14:paraId="7B073D2C" w14:textId="77777777"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309.450</w:t>
            </w:r>
          </w:p>
        </w:tc>
      </w:tr>
      <w:tr w:rsidR="00CA48AF" w:rsidRPr="00CA48AF" w14:paraId="27BFDB32" w14:textId="77777777" w:rsidTr="00CD0B90">
        <w:trPr>
          <w:trHeight w:val="449"/>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F81BD" w:themeColor="accent1"/>
            </w:tcBorders>
            <w:noWrap/>
            <w:hideMark/>
          </w:tcPr>
          <w:p w14:paraId="4B6937FB" w14:textId="77777777" w:rsidR="00CA48AF" w:rsidRPr="00CA48AF" w:rsidRDefault="00CA48AF" w:rsidP="006D5663">
            <w:pPr>
              <w:spacing w:before="60" w:after="80"/>
              <w:rPr>
                <w:rFonts w:ascii="Arial" w:hAnsi="Arial" w:cs="Arial"/>
                <w:b w:val="0"/>
                <w:color w:val="0F243E" w:themeColor="text2" w:themeShade="80"/>
                <w:sz w:val="20"/>
                <w:szCs w:val="20"/>
                <w:lang w:eastAsia="en-US"/>
              </w:rPr>
            </w:pPr>
            <w:r w:rsidRPr="00CA48AF">
              <w:rPr>
                <w:rFonts w:ascii="Arial" w:hAnsi="Arial" w:cs="Arial"/>
                <w:b w:val="0"/>
                <w:color w:val="0F243E" w:themeColor="text2" w:themeShade="80"/>
                <w:sz w:val="20"/>
                <w:szCs w:val="20"/>
                <w:lang w:eastAsia="en-US"/>
              </w:rPr>
              <w:t>III Trimestre de 2019</w:t>
            </w:r>
          </w:p>
        </w:tc>
        <w:tc>
          <w:tcPr>
            <w:tcW w:w="1953" w:type="dxa"/>
            <w:tcBorders>
              <w:bottom w:val="single" w:sz="12" w:space="0" w:color="4F81BD" w:themeColor="accent1"/>
            </w:tcBorders>
            <w:noWrap/>
            <w:hideMark/>
          </w:tcPr>
          <w:p w14:paraId="1E956F8D" w14:textId="77777777"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122.157.494</w:t>
            </w:r>
          </w:p>
        </w:tc>
        <w:tc>
          <w:tcPr>
            <w:tcW w:w="1462" w:type="dxa"/>
            <w:tcBorders>
              <w:bottom w:val="single" w:sz="12" w:space="0" w:color="4F81BD" w:themeColor="accent1"/>
            </w:tcBorders>
            <w:noWrap/>
            <w:hideMark/>
          </w:tcPr>
          <w:p w14:paraId="65E5461E" w14:textId="77777777"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158.283.503</w:t>
            </w:r>
          </w:p>
        </w:tc>
      </w:tr>
      <w:tr w:rsidR="00CA48AF" w:rsidRPr="00CA48AF" w14:paraId="3C8145BC" w14:textId="77777777" w:rsidTr="00CD0B90">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F81BD" w:themeColor="accent1"/>
            </w:tcBorders>
            <w:shd w:val="clear" w:color="auto" w:fill="FFFFFF" w:themeFill="background1"/>
            <w:noWrap/>
            <w:hideMark/>
          </w:tcPr>
          <w:p w14:paraId="0648CF08" w14:textId="77777777" w:rsidR="00CA48AF" w:rsidRPr="00CA48AF" w:rsidRDefault="00CA48AF" w:rsidP="006D5663">
            <w:pPr>
              <w:spacing w:before="60" w:after="8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Variación Absoluta</w:t>
            </w:r>
          </w:p>
        </w:tc>
        <w:tc>
          <w:tcPr>
            <w:tcW w:w="1953" w:type="dxa"/>
            <w:tcBorders>
              <w:top w:val="single" w:sz="12" w:space="0" w:color="4F81BD" w:themeColor="accent1"/>
            </w:tcBorders>
            <w:shd w:val="clear" w:color="auto" w:fill="FFFFFF" w:themeFill="background1"/>
            <w:noWrap/>
            <w:hideMark/>
          </w:tcPr>
          <w:p w14:paraId="323B0C6C" w14:textId="5742A728"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CD0B90">
              <w:rPr>
                <w:rFonts w:ascii="Arial" w:hAnsi="Arial" w:cs="Arial"/>
                <w:b/>
                <w:bCs/>
                <w:color w:val="0F243E" w:themeColor="text2" w:themeShade="80"/>
                <w:sz w:val="20"/>
                <w:szCs w:val="20"/>
                <w:lang w:eastAsia="en-US"/>
              </w:rPr>
              <w:t>(</w:t>
            </w:r>
            <w:r w:rsidRPr="00CA48AF">
              <w:rPr>
                <w:rFonts w:ascii="Arial" w:hAnsi="Arial" w:cs="Arial"/>
                <w:b/>
                <w:bCs/>
                <w:color w:val="0F243E" w:themeColor="text2" w:themeShade="80"/>
                <w:sz w:val="20"/>
                <w:szCs w:val="20"/>
                <w:lang w:eastAsia="en-US"/>
              </w:rPr>
              <w:t>114.772.433</w:t>
            </w:r>
            <w:r w:rsidRPr="00CD0B90">
              <w:rPr>
                <w:rFonts w:ascii="Arial" w:hAnsi="Arial" w:cs="Arial"/>
                <w:b/>
                <w:bCs/>
                <w:color w:val="0F243E" w:themeColor="text2" w:themeShade="80"/>
                <w:sz w:val="20"/>
                <w:szCs w:val="20"/>
                <w:lang w:eastAsia="en-US"/>
              </w:rPr>
              <w:t>)</w:t>
            </w:r>
          </w:p>
        </w:tc>
        <w:tc>
          <w:tcPr>
            <w:tcW w:w="1462" w:type="dxa"/>
            <w:tcBorders>
              <w:top w:val="single" w:sz="12" w:space="0" w:color="4F81BD" w:themeColor="accent1"/>
            </w:tcBorders>
            <w:shd w:val="clear" w:color="auto" w:fill="FFFFFF" w:themeFill="background1"/>
            <w:noWrap/>
            <w:hideMark/>
          </w:tcPr>
          <w:p w14:paraId="1E584CA6" w14:textId="3D6415F8" w:rsidR="00CA48AF" w:rsidRPr="00CA48AF" w:rsidRDefault="00CA48AF" w:rsidP="006D5663">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6D5663">
              <w:rPr>
                <w:rFonts w:ascii="Arial" w:hAnsi="Arial" w:cs="Arial"/>
                <w:b/>
                <w:bCs/>
                <w:color w:val="0F243E" w:themeColor="text2" w:themeShade="80"/>
                <w:sz w:val="20"/>
                <w:szCs w:val="20"/>
                <w:lang w:eastAsia="en-US"/>
              </w:rPr>
              <w:t>(</w:t>
            </w:r>
            <w:r w:rsidRPr="00CA48AF">
              <w:rPr>
                <w:rFonts w:ascii="Arial" w:hAnsi="Arial" w:cs="Arial"/>
                <w:b/>
                <w:bCs/>
                <w:color w:val="0F243E" w:themeColor="text2" w:themeShade="80"/>
                <w:sz w:val="20"/>
                <w:szCs w:val="20"/>
                <w:lang w:eastAsia="en-US"/>
              </w:rPr>
              <w:t>157.974.053</w:t>
            </w:r>
            <w:r w:rsidRPr="006D5663">
              <w:rPr>
                <w:rFonts w:ascii="Arial" w:hAnsi="Arial" w:cs="Arial"/>
                <w:b/>
                <w:bCs/>
                <w:color w:val="0F243E" w:themeColor="text2" w:themeShade="80"/>
                <w:sz w:val="20"/>
                <w:szCs w:val="20"/>
                <w:lang w:eastAsia="en-US"/>
              </w:rPr>
              <w:t>)</w:t>
            </w:r>
          </w:p>
        </w:tc>
      </w:tr>
      <w:tr w:rsidR="00CA48AF" w:rsidRPr="00CA48AF" w14:paraId="331C482C" w14:textId="77777777" w:rsidTr="00CD0B90">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noWrap/>
            <w:hideMark/>
          </w:tcPr>
          <w:p w14:paraId="465D1770" w14:textId="77777777" w:rsidR="00CA48AF" w:rsidRPr="00CA48AF" w:rsidRDefault="00CA48AF" w:rsidP="006D5663">
            <w:pPr>
              <w:spacing w:before="60" w:after="80"/>
              <w:rPr>
                <w:rFonts w:ascii="Arial" w:hAnsi="Arial" w:cs="Arial"/>
                <w:color w:val="0F243E" w:themeColor="text2" w:themeShade="80"/>
                <w:sz w:val="20"/>
                <w:szCs w:val="20"/>
                <w:lang w:eastAsia="en-US"/>
              </w:rPr>
            </w:pPr>
            <w:r w:rsidRPr="00CA48AF">
              <w:rPr>
                <w:rFonts w:ascii="Arial" w:hAnsi="Arial" w:cs="Arial"/>
                <w:color w:val="0F243E" w:themeColor="text2" w:themeShade="80"/>
                <w:sz w:val="20"/>
                <w:szCs w:val="20"/>
                <w:lang w:eastAsia="en-US"/>
              </w:rPr>
              <w:t xml:space="preserve">Variación Relativa </w:t>
            </w:r>
          </w:p>
        </w:tc>
        <w:tc>
          <w:tcPr>
            <w:tcW w:w="1953" w:type="dxa"/>
            <w:shd w:val="clear" w:color="auto" w:fill="FFFFFF" w:themeFill="background1"/>
            <w:noWrap/>
            <w:hideMark/>
          </w:tcPr>
          <w:p w14:paraId="7C58EADE" w14:textId="3C062B6F" w:rsidR="00CA48AF" w:rsidRPr="00CA48AF" w:rsidRDefault="00CA48AF" w:rsidP="006D566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CD0B90">
              <w:rPr>
                <w:rFonts w:ascii="Arial" w:hAnsi="Arial" w:cs="Arial"/>
                <w:b/>
                <w:bCs/>
                <w:color w:val="0F243E" w:themeColor="text2" w:themeShade="80"/>
                <w:sz w:val="20"/>
                <w:szCs w:val="20"/>
                <w:lang w:eastAsia="en-US"/>
              </w:rPr>
              <w:t>(</w:t>
            </w:r>
            <w:r w:rsidRPr="00CA48AF">
              <w:rPr>
                <w:rFonts w:ascii="Arial" w:hAnsi="Arial" w:cs="Arial"/>
                <w:b/>
                <w:bCs/>
                <w:color w:val="0F243E" w:themeColor="text2" w:themeShade="80"/>
                <w:sz w:val="20"/>
                <w:szCs w:val="20"/>
                <w:lang w:eastAsia="en-US"/>
              </w:rPr>
              <w:t>94,0%</w:t>
            </w:r>
            <w:r w:rsidRPr="00CD0B90">
              <w:rPr>
                <w:rFonts w:ascii="Arial" w:hAnsi="Arial" w:cs="Arial"/>
                <w:b/>
                <w:bCs/>
                <w:color w:val="0F243E" w:themeColor="text2" w:themeShade="80"/>
                <w:sz w:val="20"/>
                <w:szCs w:val="20"/>
                <w:lang w:eastAsia="en-US"/>
              </w:rPr>
              <w:t>)</w:t>
            </w:r>
          </w:p>
        </w:tc>
        <w:tc>
          <w:tcPr>
            <w:tcW w:w="1462" w:type="dxa"/>
            <w:shd w:val="clear" w:color="auto" w:fill="FFFFFF" w:themeFill="background1"/>
            <w:noWrap/>
            <w:hideMark/>
          </w:tcPr>
          <w:p w14:paraId="7A3735EA" w14:textId="6796DD6F" w:rsidR="00CA48AF" w:rsidRPr="00CA48AF" w:rsidRDefault="00CA48AF" w:rsidP="006D566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6D5663">
              <w:rPr>
                <w:rFonts w:ascii="Arial" w:hAnsi="Arial" w:cs="Arial"/>
                <w:b/>
                <w:bCs/>
                <w:color w:val="0F243E" w:themeColor="text2" w:themeShade="80"/>
                <w:sz w:val="20"/>
                <w:szCs w:val="20"/>
                <w:lang w:eastAsia="en-US"/>
              </w:rPr>
              <w:t>(</w:t>
            </w:r>
            <w:r w:rsidRPr="00CA48AF">
              <w:rPr>
                <w:rFonts w:ascii="Arial" w:hAnsi="Arial" w:cs="Arial"/>
                <w:b/>
                <w:bCs/>
                <w:color w:val="0F243E" w:themeColor="text2" w:themeShade="80"/>
                <w:sz w:val="20"/>
                <w:szCs w:val="20"/>
                <w:lang w:eastAsia="en-US"/>
              </w:rPr>
              <w:t>99,8%</w:t>
            </w:r>
            <w:r w:rsidRPr="006D5663">
              <w:rPr>
                <w:rFonts w:ascii="Arial" w:hAnsi="Arial" w:cs="Arial"/>
                <w:b/>
                <w:bCs/>
                <w:color w:val="0F243E" w:themeColor="text2" w:themeShade="80"/>
                <w:sz w:val="20"/>
                <w:szCs w:val="20"/>
                <w:lang w:eastAsia="en-US"/>
              </w:rPr>
              <w:t>)</w:t>
            </w:r>
          </w:p>
        </w:tc>
      </w:tr>
      <w:tr w:rsidR="00CA48AF" w:rsidRPr="00CA48AF" w14:paraId="74CB755F" w14:textId="77777777" w:rsidTr="006D5663">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4F81BD" w:themeFill="accent1"/>
            <w:noWrap/>
            <w:hideMark/>
          </w:tcPr>
          <w:p w14:paraId="5F0984B1" w14:textId="77777777" w:rsidR="00CA48AF" w:rsidRPr="00CA48AF" w:rsidRDefault="00CA48AF" w:rsidP="006D5663">
            <w:pPr>
              <w:spacing w:before="60" w:after="80"/>
              <w:rPr>
                <w:rFonts w:ascii="Arial" w:hAnsi="Arial" w:cs="Arial"/>
                <w:color w:val="FFFFFF" w:themeColor="background1"/>
                <w:sz w:val="20"/>
                <w:szCs w:val="20"/>
                <w:lang w:eastAsia="en-US"/>
              </w:rPr>
            </w:pPr>
            <w:r w:rsidRPr="00CA48AF">
              <w:rPr>
                <w:rFonts w:ascii="Arial" w:hAnsi="Arial" w:cs="Arial"/>
                <w:color w:val="FFFFFF" w:themeColor="background1"/>
                <w:sz w:val="20"/>
                <w:szCs w:val="20"/>
                <w:lang w:eastAsia="en-US"/>
              </w:rPr>
              <w:t xml:space="preserve">Variación Relativa Total </w:t>
            </w:r>
          </w:p>
        </w:tc>
        <w:tc>
          <w:tcPr>
            <w:tcW w:w="3415" w:type="dxa"/>
            <w:gridSpan w:val="2"/>
            <w:shd w:val="clear" w:color="auto" w:fill="4F81BD" w:themeFill="accent1"/>
            <w:noWrap/>
            <w:hideMark/>
          </w:tcPr>
          <w:p w14:paraId="0B3469CC" w14:textId="0353DCD0" w:rsidR="00CA48AF" w:rsidRPr="00CA48AF" w:rsidRDefault="006D5663" w:rsidP="006D5663">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6D5663">
              <w:rPr>
                <w:rFonts w:ascii="Arial" w:hAnsi="Arial" w:cs="Arial"/>
                <w:b/>
                <w:color w:val="FFFFFF" w:themeColor="background1"/>
                <w:sz w:val="20"/>
                <w:szCs w:val="20"/>
                <w:lang w:eastAsia="en-US"/>
              </w:rPr>
              <w:t>(97,3</w:t>
            </w:r>
            <w:r w:rsidR="00CA48AF" w:rsidRPr="00CA48AF">
              <w:rPr>
                <w:rFonts w:ascii="Arial" w:hAnsi="Arial" w:cs="Arial"/>
                <w:b/>
                <w:color w:val="FFFFFF" w:themeColor="background1"/>
                <w:sz w:val="20"/>
                <w:szCs w:val="20"/>
                <w:lang w:eastAsia="en-US"/>
              </w:rPr>
              <w:t>%</w:t>
            </w:r>
            <w:r w:rsidRPr="006D5663">
              <w:rPr>
                <w:rFonts w:ascii="Arial" w:hAnsi="Arial" w:cs="Arial"/>
                <w:b/>
                <w:color w:val="FFFFFF" w:themeColor="background1"/>
                <w:sz w:val="20"/>
                <w:szCs w:val="20"/>
                <w:lang w:eastAsia="en-US"/>
              </w:rPr>
              <w:t>)</w:t>
            </w:r>
          </w:p>
        </w:tc>
      </w:tr>
    </w:tbl>
    <w:p w14:paraId="24FB299D" w14:textId="77777777" w:rsidR="00CA48AF" w:rsidRPr="00CA48AF" w:rsidRDefault="00CA48AF" w:rsidP="00F7440E">
      <w:pPr>
        <w:jc w:val="both"/>
        <w:rPr>
          <w:rFonts w:ascii="Arial" w:hAnsi="Arial" w:cs="Arial"/>
          <w:color w:val="000000" w:themeColor="text1"/>
          <w:sz w:val="22"/>
          <w:szCs w:val="22"/>
          <w:highlight w:val="yellow"/>
        </w:rPr>
      </w:pPr>
    </w:p>
    <w:p w14:paraId="553C1F3B" w14:textId="20891C6F" w:rsidR="00B974CF" w:rsidRPr="00CA48AF" w:rsidRDefault="00700DDC" w:rsidP="00B974CF">
      <w:pPr>
        <w:jc w:val="both"/>
        <w:rPr>
          <w:rFonts w:ascii="Arial" w:hAnsi="Arial" w:cs="Arial"/>
          <w:color w:val="000000" w:themeColor="text1"/>
          <w:sz w:val="22"/>
          <w:szCs w:val="22"/>
          <w:highlight w:val="yellow"/>
        </w:rPr>
      </w:pPr>
      <w:r>
        <w:rPr>
          <w:rFonts w:ascii="Arial" w:hAnsi="Arial" w:cs="Arial"/>
          <w:bCs/>
          <w:color w:val="000000" w:themeColor="text1"/>
          <w:sz w:val="22"/>
          <w:szCs w:val="22"/>
        </w:rPr>
        <w:t xml:space="preserve">Frente a los </w:t>
      </w:r>
      <w:r w:rsidR="00B974CF" w:rsidRPr="00700DDC">
        <w:rPr>
          <w:rFonts w:ascii="Arial" w:hAnsi="Arial" w:cs="Arial"/>
          <w:bCs/>
          <w:color w:val="000000" w:themeColor="text1"/>
          <w:sz w:val="22"/>
          <w:szCs w:val="22"/>
        </w:rPr>
        <w:t>concepto</w:t>
      </w:r>
      <w:r>
        <w:rPr>
          <w:rFonts w:ascii="Arial" w:hAnsi="Arial" w:cs="Arial"/>
          <w:bCs/>
          <w:color w:val="000000" w:themeColor="text1"/>
          <w:sz w:val="22"/>
          <w:szCs w:val="22"/>
        </w:rPr>
        <w:t>s</w:t>
      </w:r>
      <w:r w:rsidR="00B974CF" w:rsidRPr="00700DDC">
        <w:rPr>
          <w:rFonts w:ascii="Arial" w:hAnsi="Arial" w:cs="Arial"/>
          <w:bCs/>
          <w:color w:val="000000" w:themeColor="text1"/>
          <w:sz w:val="22"/>
          <w:szCs w:val="22"/>
        </w:rPr>
        <w:t xml:space="preserve"> analizado</w:t>
      </w:r>
      <w:r>
        <w:rPr>
          <w:rFonts w:ascii="Arial" w:hAnsi="Arial" w:cs="Arial"/>
          <w:bCs/>
          <w:color w:val="000000" w:themeColor="text1"/>
          <w:sz w:val="22"/>
          <w:szCs w:val="22"/>
        </w:rPr>
        <w:t>s</w:t>
      </w:r>
      <w:r w:rsidR="00B974CF" w:rsidRPr="00700DDC">
        <w:rPr>
          <w:rFonts w:ascii="Arial" w:hAnsi="Arial" w:cs="Arial"/>
          <w:bCs/>
          <w:color w:val="000000" w:themeColor="text1"/>
          <w:sz w:val="22"/>
          <w:szCs w:val="22"/>
        </w:rPr>
        <w:t xml:space="preserve">, se concluye que la reducción en el gasto </w:t>
      </w:r>
      <w:r w:rsidR="00EF5DB6" w:rsidRPr="00700DDC">
        <w:rPr>
          <w:rFonts w:ascii="Arial" w:hAnsi="Arial" w:cs="Arial"/>
          <w:bCs/>
          <w:color w:val="000000" w:themeColor="text1"/>
          <w:sz w:val="22"/>
          <w:szCs w:val="22"/>
        </w:rPr>
        <w:t xml:space="preserve">presentado en el </w:t>
      </w:r>
      <w:r>
        <w:rPr>
          <w:rFonts w:ascii="Arial" w:hAnsi="Arial" w:cs="Arial"/>
          <w:bCs/>
          <w:color w:val="000000" w:themeColor="text1"/>
          <w:sz w:val="22"/>
          <w:szCs w:val="22"/>
        </w:rPr>
        <w:t xml:space="preserve">tercer </w:t>
      </w:r>
      <w:r w:rsidRPr="00700DDC">
        <w:rPr>
          <w:rFonts w:ascii="Arial" w:hAnsi="Arial" w:cs="Arial"/>
          <w:bCs/>
          <w:color w:val="000000" w:themeColor="text1"/>
          <w:sz w:val="22"/>
          <w:szCs w:val="22"/>
        </w:rPr>
        <w:t>trimestre</w:t>
      </w:r>
      <w:r w:rsidR="00EF5DB6" w:rsidRPr="00700DDC">
        <w:rPr>
          <w:rFonts w:ascii="Arial" w:hAnsi="Arial" w:cs="Arial"/>
          <w:bCs/>
          <w:color w:val="000000" w:themeColor="text1"/>
          <w:sz w:val="22"/>
          <w:szCs w:val="22"/>
        </w:rPr>
        <w:t xml:space="preserve"> </w:t>
      </w:r>
      <w:r w:rsidR="00B46C30">
        <w:rPr>
          <w:rFonts w:ascii="Arial" w:hAnsi="Arial" w:cs="Arial"/>
          <w:bCs/>
          <w:color w:val="000000" w:themeColor="text1"/>
          <w:sz w:val="22"/>
          <w:szCs w:val="22"/>
        </w:rPr>
        <w:t xml:space="preserve">2020-2019, </w:t>
      </w:r>
      <w:r w:rsidR="00EF5DB6" w:rsidRPr="00700DDC">
        <w:rPr>
          <w:rFonts w:ascii="Arial" w:hAnsi="Arial" w:cs="Arial"/>
          <w:bCs/>
          <w:color w:val="000000" w:themeColor="text1"/>
          <w:sz w:val="22"/>
          <w:szCs w:val="22"/>
        </w:rPr>
        <w:t xml:space="preserve">fue </w:t>
      </w:r>
      <w:r>
        <w:rPr>
          <w:rFonts w:ascii="Arial" w:hAnsi="Arial" w:cs="Arial"/>
          <w:bCs/>
          <w:color w:val="000000" w:themeColor="text1"/>
          <w:sz w:val="22"/>
          <w:szCs w:val="22"/>
        </w:rPr>
        <w:t xml:space="preserve">generado </w:t>
      </w:r>
      <w:r w:rsidR="00B974CF" w:rsidRPr="00700DDC">
        <w:rPr>
          <w:rFonts w:ascii="Arial" w:hAnsi="Arial" w:cs="Arial"/>
          <w:bCs/>
          <w:color w:val="000000" w:themeColor="text1"/>
          <w:sz w:val="22"/>
          <w:szCs w:val="22"/>
        </w:rPr>
        <w:t xml:space="preserve">por las medidas </w:t>
      </w:r>
      <w:r w:rsidR="00EF5DB6" w:rsidRPr="00700DDC">
        <w:rPr>
          <w:rFonts w:ascii="Arial" w:hAnsi="Arial" w:cs="Arial"/>
          <w:bCs/>
          <w:color w:val="000000" w:themeColor="text1"/>
          <w:sz w:val="22"/>
          <w:szCs w:val="22"/>
        </w:rPr>
        <w:t>aplicadas p</w:t>
      </w:r>
      <w:r w:rsidR="00B974CF" w:rsidRPr="00700DDC">
        <w:rPr>
          <w:rFonts w:ascii="Arial" w:hAnsi="Arial" w:cs="Arial"/>
          <w:bCs/>
          <w:color w:val="000000" w:themeColor="text1"/>
          <w:sz w:val="22"/>
          <w:szCs w:val="22"/>
        </w:rPr>
        <w:t xml:space="preserve">or </w:t>
      </w:r>
      <w:r w:rsidR="00EF5DB6" w:rsidRPr="00700DDC">
        <w:rPr>
          <w:rFonts w:ascii="Arial" w:hAnsi="Arial" w:cs="Arial"/>
          <w:bCs/>
          <w:color w:val="000000" w:themeColor="text1"/>
          <w:sz w:val="22"/>
          <w:szCs w:val="22"/>
        </w:rPr>
        <w:t xml:space="preserve">el </w:t>
      </w:r>
      <w:r w:rsidR="00B974CF" w:rsidRPr="00700DDC">
        <w:rPr>
          <w:rFonts w:ascii="Arial" w:hAnsi="Arial" w:cs="Arial"/>
          <w:bCs/>
          <w:color w:val="000000" w:themeColor="text1"/>
          <w:sz w:val="22"/>
          <w:szCs w:val="22"/>
        </w:rPr>
        <w:t>Ministerio</w:t>
      </w:r>
      <w:r w:rsidR="00EF5DB6" w:rsidRPr="00700DDC">
        <w:rPr>
          <w:rFonts w:ascii="Arial" w:hAnsi="Arial" w:cs="Arial"/>
          <w:bCs/>
          <w:color w:val="000000" w:themeColor="text1"/>
          <w:sz w:val="22"/>
          <w:szCs w:val="22"/>
        </w:rPr>
        <w:t xml:space="preserve"> de Hacienda y Crédito Público</w:t>
      </w:r>
      <w:r w:rsidR="00B974CF" w:rsidRPr="00700DDC">
        <w:rPr>
          <w:rFonts w:ascii="Arial" w:hAnsi="Arial" w:cs="Arial"/>
          <w:bCs/>
          <w:color w:val="000000" w:themeColor="text1"/>
          <w:sz w:val="22"/>
          <w:szCs w:val="22"/>
        </w:rPr>
        <w:t xml:space="preserve"> en concordancia con las disposiciones impartidas por el Gobierno Nacional frente a las restricciones de movilidad aérea en aras de mitigar </w:t>
      </w:r>
      <w:r w:rsidR="00B974CF" w:rsidRPr="00700DDC">
        <w:rPr>
          <w:rFonts w:ascii="Arial" w:hAnsi="Arial" w:cs="Arial"/>
          <w:color w:val="000000" w:themeColor="text1"/>
          <w:sz w:val="22"/>
          <w:szCs w:val="22"/>
        </w:rPr>
        <w:t>el riesgo de propagación del virus COVID -19, bajo la declaratoria de Estado de Emergencia Económica, Social y Ecológica.</w:t>
      </w:r>
      <w:r w:rsidR="00B974CF" w:rsidRPr="00CA48AF">
        <w:rPr>
          <w:rFonts w:ascii="Arial" w:hAnsi="Arial" w:cs="Arial"/>
          <w:color w:val="000000" w:themeColor="text1"/>
          <w:sz w:val="22"/>
          <w:szCs w:val="22"/>
          <w:highlight w:val="yellow"/>
        </w:rPr>
        <w:t xml:space="preserve"> </w:t>
      </w:r>
    </w:p>
    <w:p w14:paraId="1A92A2F6" w14:textId="06827EC7" w:rsidR="00BE670C" w:rsidRPr="00CA48AF" w:rsidRDefault="00BE670C" w:rsidP="00F7440E">
      <w:pPr>
        <w:jc w:val="both"/>
        <w:rPr>
          <w:rFonts w:ascii="Arial" w:hAnsi="Arial" w:cs="Arial"/>
          <w:sz w:val="22"/>
          <w:szCs w:val="22"/>
          <w:highlight w:val="yellow"/>
        </w:rPr>
      </w:pPr>
    </w:p>
    <w:p w14:paraId="380E6F21" w14:textId="77777777" w:rsidR="00424574" w:rsidRPr="00E7388C" w:rsidRDefault="00424574" w:rsidP="00F7440E">
      <w:pPr>
        <w:jc w:val="both"/>
        <w:rPr>
          <w:rFonts w:ascii="Arial" w:hAnsi="Arial" w:cs="Arial"/>
          <w:sz w:val="22"/>
          <w:szCs w:val="22"/>
        </w:rPr>
      </w:pPr>
    </w:p>
    <w:p w14:paraId="2835F01F" w14:textId="77777777" w:rsidR="00B83072" w:rsidRPr="00E7388C" w:rsidRDefault="008001E7" w:rsidP="00D90499">
      <w:pPr>
        <w:pStyle w:val="Prrafodelista"/>
        <w:numPr>
          <w:ilvl w:val="0"/>
          <w:numId w:val="4"/>
        </w:numPr>
        <w:ind w:left="284" w:hanging="284"/>
        <w:rPr>
          <w:rFonts w:ascii="Arial" w:hAnsi="Arial" w:cs="Arial"/>
          <w:b/>
          <w:sz w:val="22"/>
          <w:szCs w:val="22"/>
        </w:rPr>
      </w:pPr>
      <w:r w:rsidRPr="00E7388C">
        <w:rPr>
          <w:rFonts w:ascii="Arial" w:hAnsi="Arial" w:cs="Arial"/>
          <w:b/>
          <w:sz w:val="22"/>
          <w:szCs w:val="22"/>
        </w:rPr>
        <w:t>CAPACITACIONES</w:t>
      </w:r>
    </w:p>
    <w:p w14:paraId="3849A67C" w14:textId="77777777" w:rsidR="0075698D" w:rsidRPr="00E7388C" w:rsidRDefault="0075698D" w:rsidP="00B83072">
      <w:pPr>
        <w:rPr>
          <w:rFonts w:ascii="Arial" w:hAnsi="Arial" w:cs="Arial"/>
          <w:sz w:val="22"/>
          <w:szCs w:val="22"/>
        </w:rPr>
      </w:pPr>
    </w:p>
    <w:p w14:paraId="702FD016" w14:textId="77777777" w:rsidR="000A33C7" w:rsidRPr="00E7388C" w:rsidRDefault="00152953" w:rsidP="00733329">
      <w:pPr>
        <w:jc w:val="both"/>
        <w:rPr>
          <w:rFonts w:ascii="Arial" w:hAnsi="Arial" w:cs="Arial"/>
          <w:sz w:val="22"/>
          <w:szCs w:val="22"/>
        </w:rPr>
      </w:pPr>
      <w:r w:rsidRPr="00E7388C">
        <w:rPr>
          <w:rFonts w:ascii="Arial" w:hAnsi="Arial" w:cs="Arial"/>
          <w:sz w:val="22"/>
          <w:szCs w:val="22"/>
        </w:rPr>
        <w:t>La Directiva Presidencial 09 de 2018</w:t>
      </w:r>
      <w:r w:rsidR="000A33C7" w:rsidRPr="00E7388C">
        <w:rPr>
          <w:rFonts w:ascii="Arial" w:hAnsi="Arial" w:cs="Arial"/>
          <w:sz w:val="22"/>
          <w:szCs w:val="22"/>
        </w:rPr>
        <w:t xml:space="preserve"> y el Decreto 1009 de 2020, establecieron las</w:t>
      </w:r>
      <w:r w:rsidR="00B2393A" w:rsidRPr="00E7388C">
        <w:rPr>
          <w:rFonts w:ascii="Arial" w:hAnsi="Arial" w:cs="Arial"/>
          <w:sz w:val="22"/>
          <w:szCs w:val="22"/>
        </w:rPr>
        <w:t xml:space="preserve"> medidas frente al concepto de gastos por capacitaciones </w:t>
      </w:r>
      <w:r w:rsidR="000A33C7" w:rsidRPr="00E7388C">
        <w:rPr>
          <w:rFonts w:ascii="Arial" w:hAnsi="Arial" w:cs="Arial"/>
          <w:sz w:val="22"/>
          <w:szCs w:val="22"/>
        </w:rPr>
        <w:t xml:space="preserve">y eventos </w:t>
      </w:r>
      <w:r w:rsidR="00B2393A" w:rsidRPr="00E7388C">
        <w:rPr>
          <w:rFonts w:ascii="Arial" w:hAnsi="Arial" w:cs="Arial"/>
          <w:sz w:val="22"/>
          <w:szCs w:val="22"/>
        </w:rPr>
        <w:t xml:space="preserve">que se </w:t>
      </w:r>
      <w:r w:rsidR="00A2689D" w:rsidRPr="00E7388C">
        <w:rPr>
          <w:rFonts w:ascii="Arial" w:hAnsi="Arial" w:cs="Arial"/>
          <w:sz w:val="22"/>
          <w:szCs w:val="22"/>
        </w:rPr>
        <w:t xml:space="preserve">debe </w:t>
      </w:r>
      <w:r w:rsidR="00B2393A" w:rsidRPr="00E7388C">
        <w:rPr>
          <w:rFonts w:ascii="Arial" w:hAnsi="Arial" w:cs="Arial"/>
          <w:sz w:val="22"/>
          <w:szCs w:val="22"/>
        </w:rPr>
        <w:t>observar en el marco de la austeridad.</w:t>
      </w:r>
      <w:r w:rsidR="00BE7120" w:rsidRPr="00E7388C">
        <w:rPr>
          <w:rFonts w:ascii="Arial" w:hAnsi="Arial" w:cs="Arial"/>
          <w:sz w:val="22"/>
          <w:szCs w:val="22"/>
        </w:rPr>
        <w:t xml:space="preserve"> </w:t>
      </w:r>
    </w:p>
    <w:p w14:paraId="5ECEF6B8" w14:textId="68FFF821" w:rsidR="000A33C7" w:rsidRPr="007645E6" w:rsidRDefault="00E3680E" w:rsidP="00733329">
      <w:pPr>
        <w:jc w:val="both"/>
        <w:rPr>
          <w:rFonts w:ascii="Arial" w:hAnsi="Arial" w:cs="Arial"/>
          <w:color w:val="000000"/>
          <w:sz w:val="22"/>
          <w:szCs w:val="22"/>
        </w:rPr>
      </w:pPr>
      <w:r w:rsidRPr="007645E6">
        <w:rPr>
          <w:rFonts w:ascii="Arial" w:hAnsi="Arial" w:cs="Arial"/>
          <w:sz w:val="22"/>
          <w:szCs w:val="22"/>
        </w:rPr>
        <w:lastRenderedPageBreak/>
        <w:t>Sobre el particular</w:t>
      </w:r>
      <w:r w:rsidR="00FD2CC2" w:rsidRPr="007645E6">
        <w:rPr>
          <w:rFonts w:ascii="Arial" w:hAnsi="Arial" w:cs="Arial"/>
          <w:sz w:val="22"/>
          <w:szCs w:val="22"/>
        </w:rPr>
        <w:t xml:space="preserve">, </w:t>
      </w:r>
      <w:r w:rsidR="00BE7120" w:rsidRPr="007645E6">
        <w:rPr>
          <w:rFonts w:ascii="Arial" w:hAnsi="Arial" w:cs="Arial"/>
          <w:sz w:val="22"/>
          <w:szCs w:val="22"/>
        </w:rPr>
        <w:t xml:space="preserve">la </w:t>
      </w:r>
      <w:r w:rsidR="00F04372" w:rsidRPr="007645E6">
        <w:rPr>
          <w:rFonts w:ascii="Arial" w:hAnsi="Arial" w:cs="Arial"/>
          <w:sz w:val="22"/>
          <w:szCs w:val="22"/>
        </w:rPr>
        <w:t>Subdirección de Gestión del Talento Humano</w:t>
      </w:r>
      <w:r w:rsidR="00FD2CC2" w:rsidRPr="007645E6">
        <w:rPr>
          <w:rFonts w:ascii="Arial" w:hAnsi="Arial" w:cs="Arial"/>
          <w:sz w:val="22"/>
          <w:szCs w:val="22"/>
        </w:rPr>
        <w:t xml:space="preserve"> </w:t>
      </w:r>
      <w:r w:rsidR="00BE7120" w:rsidRPr="007645E6">
        <w:rPr>
          <w:rFonts w:ascii="Arial" w:hAnsi="Arial" w:cs="Arial"/>
          <w:sz w:val="22"/>
          <w:szCs w:val="22"/>
        </w:rPr>
        <w:t>inform</w:t>
      </w:r>
      <w:r w:rsidR="00E80C10" w:rsidRPr="007645E6">
        <w:rPr>
          <w:rFonts w:ascii="Arial" w:hAnsi="Arial" w:cs="Arial"/>
          <w:sz w:val="22"/>
          <w:szCs w:val="22"/>
        </w:rPr>
        <w:t>ó</w:t>
      </w:r>
      <w:r w:rsidR="000A33C7" w:rsidRPr="007645E6">
        <w:rPr>
          <w:rFonts w:ascii="Arial" w:hAnsi="Arial" w:cs="Arial"/>
          <w:sz w:val="22"/>
          <w:szCs w:val="22"/>
        </w:rPr>
        <w:t xml:space="preserve"> que, en </w:t>
      </w:r>
      <w:r w:rsidR="000A33C7" w:rsidRPr="007645E6">
        <w:rPr>
          <w:rFonts w:ascii="Arial" w:hAnsi="Arial" w:cs="Arial"/>
          <w:color w:val="000000"/>
          <w:sz w:val="22"/>
          <w:szCs w:val="22"/>
        </w:rPr>
        <w:t>cuanto a las capacitaciones</w:t>
      </w:r>
      <w:r w:rsidR="00F049AE">
        <w:rPr>
          <w:rFonts w:ascii="Arial" w:hAnsi="Arial" w:cs="Arial"/>
          <w:color w:val="000000"/>
          <w:sz w:val="22"/>
          <w:szCs w:val="22"/>
        </w:rPr>
        <w:t xml:space="preserve"> </w:t>
      </w:r>
      <w:r w:rsidR="000A33C7" w:rsidRPr="007645E6">
        <w:rPr>
          <w:rFonts w:ascii="Arial" w:hAnsi="Arial" w:cs="Arial"/>
          <w:color w:val="000000"/>
          <w:sz w:val="22"/>
          <w:szCs w:val="22"/>
        </w:rPr>
        <w:t xml:space="preserve">se ha cumplido a cabalidad con la estrategia de austeridad orientada por el Gobierno Nacional, toda vez que, </w:t>
      </w:r>
      <w:r w:rsidR="00625B5F">
        <w:rPr>
          <w:rFonts w:ascii="Arial" w:hAnsi="Arial" w:cs="Arial"/>
          <w:color w:val="000000"/>
          <w:sz w:val="22"/>
          <w:szCs w:val="22"/>
        </w:rPr>
        <w:t xml:space="preserve">en virtud de la emergencia sanitaria derivada del </w:t>
      </w:r>
      <w:r w:rsidR="000A33C7" w:rsidRPr="007645E6">
        <w:rPr>
          <w:rFonts w:ascii="Arial" w:hAnsi="Arial" w:cs="Arial"/>
          <w:color w:val="000000"/>
          <w:sz w:val="22"/>
          <w:szCs w:val="22"/>
        </w:rPr>
        <w:t>COVID-19</w:t>
      </w:r>
      <w:r w:rsidR="00F049AE">
        <w:rPr>
          <w:rFonts w:ascii="Arial" w:hAnsi="Arial" w:cs="Arial"/>
          <w:color w:val="000000"/>
          <w:sz w:val="22"/>
          <w:szCs w:val="22"/>
        </w:rPr>
        <w:t xml:space="preserve"> </w:t>
      </w:r>
      <w:r w:rsidR="000A33C7" w:rsidRPr="007645E6">
        <w:rPr>
          <w:rFonts w:ascii="Arial" w:hAnsi="Arial" w:cs="Arial"/>
          <w:color w:val="000000"/>
          <w:sz w:val="22"/>
          <w:szCs w:val="22"/>
        </w:rPr>
        <w:t xml:space="preserve">la metodología presencial de las capacitaciones y su organización logística se transformó y se adecuó al espacio virtual, a través de </w:t>
      </w:r>
      <w:r w:rsidR="001252D4" w:rsidRPr="007645E6">
        <w:rPr>
          <w:rFonts w:ascii="Arial" w:hAnsi="Arial" w:cs="Arial"/>
          <w:color w:val="000000"/>
          <w:sz w:val="22"/>
          <w:szCs w:val="22"/>
        </w:rPr>
        <w:t xml:space="preserve">la plataforma Microsoft </w:t>
      </w:r>
      <w:proofErr w:type="spellStart"/>
      <w:r w:rsidR="001252D4" w:rsidRPr="007645E6">
        <w:rPr>
          <w:rFonts w:ascii="Arial" w:hAnsi="Arial" w:cs="Arial"/>
          <w:color w:val="000000"/>
          <w:sz w:val="22"/>
          <w:szCs w:val="22"/>
        </w:rPr>
        <w:t>Teams</w:t>
      </w:r>
      <w:proofErr w:type="spellEnd"/>
      <w:r w:rsidR="001252D4" w:rsidRPr="007645E6">
        <w:rPr>
          <w:rFonts w:ascii="Arial" w:hAnsi="Arial" w:cs="Arial"/>
          <w:color w:val="000000"/>
          <w:sz w:val="22"/>
          <w:szCs w:val="22"/>
        </w:rPr>
        <w:t xml:space="preserve">  y</w:t>
      </w:r>
      <w:r w:rsidR="000A33C7" w:rsidRPr="007645E6">
        <w:rPr>
          <w:rFonts w:ascii="Arial" w:hAnsi="Arial" w:cs="Arial"/>
          <w:color w:val="000000"/>
          <w:sz w:val="22"/>
          <w:szCs w:val="22"/>
        </w:rPr>
        <w:t xml:space="preserve"> demás aplicativos con los que cuentan las Entidades de la red institucional que apoyan </w:t>
      </w:r>
      <w:r w:rsidR="00A7146D" w:rsidRPr="007645E6">
        <w:rPr>
          <w:rFonts w:ascii="Arial" w:hAnsi="Arial" w:cs="Arial"/>
          <w:color w:val="000000"/>
          <w:sz w:val="22"/>
          <w:szCs w:val="22"/>
        </w:rPr>
        <w:t>los</w:t>
      </w:r>
      <w:r w:rsidR="000A33C7" w:rsidRPr="007645E6">
        <w:rPr>
          <w:rFonts w:ascii="Arial" w:hAnsi="Arial" w:cs="Arial"/>
          <w:color w:val="000000"/>
          <w:sz w:val="22"/>
          <w:szCs w:val="22"/>
        </w:rPr>
        <w:t xml:space="preserve"> procesos de capacitación</w:t>
      </w:r>
      <w:r w:rsidR="00977CE6" w:rsidRPr="007645E6">
        <w:rPr>
          <w:rFonts w:ascii="Arial" w:hAnsi="Arial" w:cs="Arial"/>
          <w:color w:val="000000"/>
          <w:sz w:val="22"/>
          <w:szCs w:val="22"/>
        </w:rPr>
        <w:t>,</w:t>
      </w:r>
      <w:r w:rsidR="000A33C7" w:rsidRPr="007645E6">
        <w:rPr>
          <w:rFonts w:ascii="Arial" w:hAnsi="Arial" w:cs="Arial"/>
          <w:color w:val="000000"/>
          <w:sz w:val="22"/>
          <w:szCs w:val="22"/>
        </w:rPr>
        <w:t xml:space="preserve"> tales como la </w:t>
      </w:r>
      <w:r w:rsidR="000A33C7" w:rsidRPr="007645E6">
        <w:rPr>
          <w:rFonts w:ascii="Arial" w:hAnsi="Arial" w:cs="Arial"/>
          <w:sz w:val="22"/>
          <w:szCs w:val="22"/>
        </w:rPr>
        <w:t>Escuela Superior de Administración Pública</w:t>
      </w:r>
      <w:r w:rsidR="000A33C7" w:rsidRPr="007645E6">
        <w:rPr>
          <w:rFonts w:ascii="Arial" w:hAnsi="Arial" w:cs="Arial"/>
          <w:color w:val="000000"/>
          <w:sz w:val="22"/>
          <w:szCs w:val="22"/>
        </w:rPr>
        <w:t xml:space="preserve"> </w:t>
      </w:r>
      <w:r w:rsidR="002B1CF2">
        <w:rPr>
          <w:rFonts w:ascii="Arial" w:hAnsi="Arial" w:cs="Arial"/>
          <w:color w:val="000000"/>
          <w:sz w:val="22"/>
          <w:szCs w:val="22"/>
        </w:rPr>
        <w:t xml:space="preserve">(ESAP), </w:t>
      </w:r>
      <w:r w:rsidR="000A33C7" w:rsidRPr="007645E6">
        <w:rPr>
          <w:rFonts w:ascii="Arial" w:hAnsi="Arial" w:cs="Arial"/>
          <w:sz w:val="22"/>
          <w:szCs w:val="22"/>
        </w:rPr>
        <w:t>Departamento Administrativo de la Función Pública</w:t>
      </w:r>
      <w:r w:rsidR="002B1CF2">
        <w:rPr>
          <w:rFonts w:ascii="Arial" w:hAnsi="Arial" w:cs="Arial"/>
          <w:sz w:val="22"/>
          <w:szCs w:val="22"/>
        </w:rPr>
        <w:t xml:space="preserve"> (DAFP) y</w:t>
      </w:r>
      <w:r w:rsidR="008154C0">
        <w:rPr>
          <w:rFonts w:ascii="Arial" w:hAnsi="Arial" w:cs="Arial"/>
          <w:sz w:val="22"/>
          <w:szCs w:val="22"/>
        </w:rPr>
        <w:t xml:space="preserve"> </w:t>
      </w:r>
      <w:r w:rsidR="008154C0" w:rsidRPr="008154C0">
        <w:rPr>
          <w:rFonts w:ascii="Arial" w:hAnsi="Arial" w:cs="Arial"/>
          <w:sz w:val="22"/>
          <w:szCs w:val="22"/>
        </w:rPr>
        <w:t>Centro Latinoamericano de Administración para el Desarrollo</w:t>
      </w:r>
      <w:r w:rsidR="008154C0">
        <w:rPr>
          <w:rFonts w:ascii="Arial" w:hAnsi="Arial" w:cs="Arial"/>
          <w:sz w:val="22"/>
          <w:szCs w:val="22"/>
        </w:rPr>
        <w:t xml:space="preserve"> (CLAD),</w:t>
      </w:r>
      <w:r w:rsidR="007645E6">
        <w:rPr>
          <w:rFonts w:ascii="Arial" w:hAnsi="Arial" w:cs="Arial"/>
          <w:color w:val="000000"/>
          <w:sz w:val="22"/>
          <w:szCs w:val="22"/>
        </w:rPr>
        <w:t xml:space="preserve"> entre otras. </w:t>
      </w:r>
    </w:p>
    <w:p w14:paraId="2BBE96D8" w14:textId="49AD9E41" w:rsidR="00475770" w:rsidRPr="00CA48AF" w:rsidRDefault="00475770" w:rsidP="00733329">
      <w:pPr>
        <w:jc w:val="both"/>
        <w:rPr>
          <w:rFonts w:ascii="Arial" w:hAnsi="Arial" w:cs="Arial"/>
          <w:color w:val="000000"/>
          <w:sz w:val="22"/>
          <w:szCs w:val="22"/>
          <w:highlight w:val="yellow"/>
        </w:rPr>
      </w:pPr>
    </w:p>
    <w:p w14:paraId="7C84B8FC" w14:textId="3C565370" w:rsidR="00BE7120" w:rsidRPr="007645E6" w:rsidRDefault="00FD2CC2" w:rsidP="00733329">
      <w:pPr>
        <w:jc w:val="both"/>
        <w:rPr>
          <w:rFonts w:ascii="Arial" w:hAnsi="Arial" w:cs="Arial"/>
          <w:sz w:val="22"/>
          <w:szCs w:val="22"/>
        </w:rPr>
      </w:pPr>
      <w:r w:rsidRPr="007645E6">
        <w:rPr>
          <w:rFonts w:ascii="Arial" w:hAnsi="Arial" w:cs="Arial"/>
          <w:sz w:val="22"/>
          <w:szCs w:val="22"/>
        </w:rPr>
        <w:t xml:space="preserve"> </w:t>
      </w:r>
      <w:r w:rsidR="00A7146D" w:rsidRPr="007645E6">
        <w:rPr>
          <w:rFonts w:ascii="Arial" w:hAnsi="Arial" w:cs="Arial"/>
          <w:sz w:val="22"/>
          <w:szCs w:val="22"/>
        </w:rPr>
        <w:t xml:space="preserve">A continuación, se relacionan las medidas de austeridad frente al concepto de capacitaciones y </w:t>
      </w:r>
      <w:r w:rsidR="00657156" w:rsidRPr="007645E6">
        <w:rPr>
          <w:rFonts w:ascii="Arial" w:hAnsi="Arial" w:cs="Arial"/>
          <w:sz w:val="22"/>
          <w:szCs w:val="22"/>
        </w:rPr>
        <w:t>eventos, correspondientes</w:t>
      </w:r>
      <w:r w:rsidRPr="007645E6">
        <w:rPr>
          <w:rFonts w:ascii="Arial" w:hAnsi="Arial" w:cs="Arial"/>
          <w:sz w:val="22"/>
          <w:szCs w:val="22"/>
        </w:rPr>
        <w:t xml:space="preserve"> al </w:t>
      </w:r>
      <w:r w:rsidR="007645E6">
        <w:rPr>
          <w:rFonts w:ascii="Arial" w:hAnsi="Arial" w:cs="Arial"/>
          <w:sz w:val="22"/>
          <w:szCs w:val="22"/>
        </w:rPr>
        <w:t xml:space="preserve">tercer </w:t>
      </w:r>
      <w:r w:rsidRPr="007645E6">
        <w:rPr>
          <w:rFonts w:ascii="Arial" w:hAnsi="Arial" w:cs="Arial"/>
          <w:sz w:val="22"/>
          <w:szCs w:val="22"/>
        </w:rPr>
        <w:t xml:space="preserve">trimestre </w:t>
      </w:r>
      <w:r w:rsidR="00E80C10" w:rsidRPr="007645E6">
        <w:rPr>
          <w:rFonts w:ascii="Arial" w:hAnsi="Arial" w:cs="Arial"/>
          <w:sz w:val="22"/>
          <w:szCs w:val="22"/>
        </w:rPr>
        <w:t xml:space="preserve">de </w:t>
      </w:r>
      <w:r w:rsidRPr="007645E6">
        <w:rPr>
          <w:rFonts w:ascii="Arial" w:hAnsi="Arial" w:cs="Arial"/>
          <w:sz w:val="22"/>
          <w:szCs w:val="22"/>
        </w:rPr>
        <w:t>2020</w:t>
      </w:r>
      <w:r w:rsidR="00E962BF" w:rsidRPr="007645E6">
        <w:rPr>
          <w:rFonts w:ascii="Arial" w:hAnsi="Arial" w:cs="Arial"/>
          <w:sz w:val="22"/>
          <w:szCs w:val="22"/>
        </w:rPr>
        <w:t xml:space="preserve">: </w:t>
      </w:r>
    </w:p>
    <w:p w14:paraId="35A00B20" w14:textId="77777777" w:rsidR="007645E6" w:rsidRPr="007645E6" w:rsidRDefault="007645E6" w:rsidP="00733329">
      <w:pPr>
        <w:jc w:val="both"/>
        <w:rPr>
          <w:rFonts w:ascii="Arial" w:hAnsi="Arial" w:cs="Arial"/>
          <w:sz w:val="22"/>
          <w:szCs w:val="22"/>
        </w:rPr>
      </w:pPr>
    </w:p>
    <w:tbl>
      <w:tblPr>
        <w:tblStyle w:val="Tabladecuadrcula1clara-nfasis1"/>
        <w:tblW w:w="0" w:type="auto"/>
        <w:tblLook w:val="04A0" w:firstRow="1" w:lastRow="0" w:firstColumn="1" w:lastColumn="0" w:noHBand="0" w:noVBand="1"/>
      </w:tblPr>
      <w:tblGrid>
        <w:gridCol w:w="4674"/>
        <w:gridCol w:w="4955"/>
      </w:tblGrid>
      <w:tr w:rsidR="000A33C7" w:rsidRPr="00CA48AF" w14:paraId="3C3DA4F5" w14:textId="77777777" w:rsidTr="005145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3B0F71C0" w14:textId="50EED155" w:rsidR="000A33C7" w:rsidRPr="007645E6" w:rsidRDefault="00A7146D" w:rsidP="005145A8">
            <w:pPr>
              <w:widowControl w:val="0"/>
              <w:spacing w:before="60" w:after="60"/>
              <w:jc w:val="center"/>
              <w:rPr>
                <w:rFonts w:ascii="Arial" w:hAnsi="Arial" w:cs="Arial"/>
                <w:color w:val="FFFFFF" w:themeColor="background1"/>
                <w:sz w:val="20"/>
                <w:szCs w:val="20"/>
              </w:rPr>
            </w:pPr>
            <w:r w:rsidRPr="007645E6">
              <w:rPr>
                <w:rFonts w:ascii="Arial" w:hAnsi="Arial" w:cs="Arial"/>
                <w:color w:val="FFFFFF" w:themeColor="background1"/>
                <w:sz w:val="20"/>
                <w:szCs w:val="20"/>
              </w:rPr>
              <w:t>Medida de Austeridad</w:t>
            </w:r>
          </w:p>
        </w:tc>
        <w:tc>
          <w:tcPr>
            <w:tcW w:w="0" w:type="auto"/>
            <w:shd w:val="clear" w:color="auto" w:fill="4F81BD" w:themeFill="accent1"/>
            <w:vAlign w:val="center"/>
            <w:hideMark/>
          </w:tcPr>
          <w:p w14:paraId="5A8BB222" w14:textId="14801DDC" w:rsidR="000A33C7" w:rsidRPr="007645E6" w:rsidRDefault="000A33C7" w:rsidP="005145A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7645E6">
              <w:rPr>
                <w:rFonts w:ascii="Arial" w:hAnsi="Arial" w:cs="Arial"/>
                <w:color w:val="FFFFFF" w:themeColor="background1"/>
                <w:sz w:val="20"/>
                <w:szCs w:val="20"/>
              </w:rPr>
              <w:t xml:space="preserve">Información Subdirección de Gestión del Talento Humano </w:t>
            </w:r>
          </w:p>
        </w:tc>
      </w:tr>
      <w:tr w:rsidR="000A33C7" w:rsidRPr="00CA48AF" w14:paraId="569AF7E0" w14:textId="77777777" w:rsidTr="00204765">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1C18F" w14:textId="77777777" w:rsidR="000A33C7" w:rsidRPr="00904313" w:rsidRDefault="000A33C7" w:rsidP="005145A8">
            <w:pPr>
              <w:widowControl w:val="0"/>
              <w:spacing w:before="60" w:after="60"/>
              <w:jc w:val="both"/>
              <w:rPr>
                <w:rFonts w:ascii="Arial" w:hAnsi="Arial" w:cs="Arial"/>
                <w:b w:val="0"/>
                <w:bCs w:val="0"/>
                <w:color w:val="0F243E" w:themeColor="text2" w:themeShade="80"/>
                <w:sz w:val="20"/>
                <w:szCs w:val="20"/>
              </w:rPr>
            </w:pPr>
            <w:r w:rsidRPr="00904313">
              <w:rPr>
                <w:rFonts w:ascii="Arial" w:hAnsi="Arial" w:cs="Arial"/>
                <w:b w:val="0"/>
                <w:bCs w:val="0"/>
                <w:color w:val="0F243E" w:themeColor="text2" w:themeShade="80"/>
                <w:sz w:val="20"/>
                <w:szCs w:val="20"/>
              </w:rPr>
              <w:t xml:space="preserve">Realizar únicamente los eventos que sean estrictamente necesarios para la entidad y privilegiar, en su organización y desarrollo, el uso de auditorios o espacios institucionales. </w:t>
            </w:r>
          </w:p>
        </w:tc>
        <w:tc>
          <w:tcPr>
            <w:tcW w:w="0" w:type="auto"/>
            <w:vAlign w:val="center"/>
          </w:tcPr>
          <w:p w14:paraId="60EEF6D4" w14:textId="63EE66B7" w:rsidR="00904313" w:rsidRDefault="00475770"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04313">
              <w:rPr>
                <w:rFonts w:ascii="Arial" w:hAnsi="Arial" w:cs="Arial"/>
                <w:color w:val="0F243E" w:themeColor="text2" w:themeShade="80"/>
                <w:sz w:val="20"/>
                <w:szCs w:val="20"/>
              </w:rPr>
              <w:t xml:space="preserve">En desarrollo del Plan Institucional de Capacitación (PIC) del MHCP, durante el </w:t>
            </w:r>
            <w:r w:rsidR="00904313">
              <w:rPr>
                <w:rFonts w:ascii="Arial" w:hAnsi="Arial" w:cs="Arial"/>
                <w:color w:val="0F243E" w:themeColor="text2" w:themeShade="80"/>
                <w:sz w:val="20"/>
                <w:szCs w:val="20"/>
              </w:rPr>
              <w:t xml:space="preserve">tercer </w:t>
            </w:r>
            <w:r w:rsidRPr="00904313">
              <w:rPr>
                <w:rFonts w:ascii="Arial" w:hAnsi="Arial" w:cs="Arial"/>
                <w:color w:val="0F243E" w:themeColor="text2" w:themeShade="80"/>
                <w:sz w:val="20"/>
                <w:szCs w:val="20"/>
              </w:rPr>
              <w:t xml:space="preserve">trimestre del año 2020 se realizaron </w:t>
            </w:r>
            <w:r w:rsidR="00904313">
              <w:rPr>
                <w:rFonts w:ascii="Arial" w:hAnsi="Arial" w:cs="Arial"/>
                <w:color w:val="0F243E" w:themeColor="text2" w:themeShade="80"/>
                <w:sz w:val="20"/>
                <w:szCs w:val="20"/>
              </w:rPr>
              <w:t xml:space="preserve">15 </w:t>
            </w:r>
            <w:r w:rsidRPr="00904313">
              <w:rPr>
                <w:rFonts w:ascii="Arial" w:hAnsi="Arial" w:cs="Arial"/>
                <w:color w:val="0F243E" w:themeColor="text2" w:themeShade="80"/>
                <w:sz w:val="20"/>
                <w:szCs w:val="20"/>
              </w:rPr>
              <w:t>actividades de capacitación entre las cuales se encuentran</w:t>
            </w:r>
            <w:r w:rsidR="001A318B">
              <w:rPr>
                <w:rFonts w:ascii="Arial" w:hAnsi="Arial" w:cs="Arial"/>
                <w:color w:val="0F243E" w:themeColor="text2" w:themeShade="80"/>
                <w:sz w:val="20"/>
                <w:szCs w:val="20"/>
              </w:rPr>
              <w:t xml:space="preserve"> </w:t>
            </w:r>
            <w:r w:rsidRPr="00904313">
              <w:rPr>
                <w:rFonts w:ascii="Arial" w:hAnsi="Arial" w:cs="Arial"/>
                <w:color w:val="0F243E" w:themeColor="text2" w:themeShade="80"/>
                <w:sz w:val="20"/>
                <w:szCs w:val="20"/>
              </w:rPr>
              <w:t>cursos y</w:t>
            </w:r>
            <w:r w:rsidR="00904313">
              <w:rPr>
                <w:rFonts w:ascii="Arial" w:hAnsi="Arial" w:cs="Arial"/>
                <w:color w:val="0F243E" w:themeColor="text2" w:themeShade="80"/>
                <w:sz w:val="20"/>
                <w:szCs w:val="20"/>
              </w:rPr>
              <w:t xml:space="preserve"> diplomados</w:t>
            </w:r>
            <w:r w:rsidR="001A318B">
              <w:rPr>
                <w:rFonts w:ascii="Arial" w:hAnsi="Arial" w:cs="Arial"/>
                <w:color w:val="0F243E" w:themeColor="text2" w:themeShade="80"/>
                <w:sz w:val="20"/>
                <w:szCs w:val="20"/>
              </w:rPr>
              <w:t xml:space="preserve">, </w:t>
            </w:r>
            <w:r w:rsidRPr="00904313">
              <w:rPr>
                <w:rFonts w:ascii="Arial" w:hAnsi="Arial" w:cs="Arial"/>
                <w:color w:val="0F243E" w:themeColor="text2" w:themeShade="80"/>
                <w:sz w:val="20"/>
                <w:szCs w:val="20"/>
              </w:rPr>
              <w:t>aborda</w:t>
            </w:r>
            <w:r w:rsidR="001A318B">
              <w:rPr>
                <w:rFonts w:ascii="Arial" w:hAnsi="Arial" w:cs="Arial"/>
                <w:color w:val="0F243E" w:themeColor="text2" w:themeShade="80"/>
                <w:sz w:val="20"/>
                <w:szCs w:val="20"/>
              </w:rPr>
              <w:t xml:space="preserve">ndo </w:t>
            </w:r>
            <w:r w:rsidRPr="00904313">
              <w:rPr>
                <w:rFonts w:ascii="Arial" w:hAnsi="Arial" w:cs="Arial"/>
                <w:color w:val="0F243E" w:themeColor="text2" w:themeShade="80"/>
                <w:sz w:val="20"/>
                <w:szCs w:val="20"/>
              </w:rPr>
              <w:t xml:space="preserve">los cuatro Ejes del PIC 2020. </w:t>
            </w:r>
          </w:p>
          <w:p w14:paraId="101012FE" w14:textId="671D6037" w:rsidR="00475770" w:rsidRPr="00904313" w:rsidRDefault="00904313" w:rsidP="005145A8">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Es de precisar que, d</w:t>
            </w:r>
            <w:r w:rsidRPr="00904313">
              <w:rPr>
                <w:rFonts w:ascii="Arial" w:hAnsi="Arial" w:cs="Arial"/>
                <w:color w:val="0F243E" w:themeColor="text2" w:themeShade="80"/>
                <w:sz w:val="20"/>
                <w:szCs w:val="20"/>
              </w:rPr>
              <w:t xml:space="preserve">e </w:t>
            </w:r>
            <w:r>
              <w:rPr>
                <w:rFonts w:ascii="Arial" w:hAnsi="Arial" w:cs="Arial"/>
                <w:color w:val="0F243E" w:themeColor="text2" w:themeShade="80"/>
                <w:sz w:val="20"/>
                <w:szCs w:val="20"/>
              </w:rPr>
              <w:t xml:space="preserve">las 15 </w:t>
            </w:r>
            <w:r w:rsidRPr="00904313">
              <w:rPr>
                <w:rFonts w:ascii="Arial" w:hAnsi="Arial" w:cs="Arial"/>
                <w:color w:val="0F243E" w:themeColor="text2" w:themeShade="80"/>
                <w:sz w:val="20"/>
                <w:szCs w:val="20"/>
              </w:rPr>
              <w:t xml:space="preserve">actividades de capacitación, </w:t>
            </w:r>
            <w:r>
              <w:rPr>
                <w:rFonts w:ascii="Arial" w:hAnsi="Arial" w:cs="Arial"/>
                <w:color w:val="0F243E" w:themeColor="text2" w:themeShade="80"/>
                <w:sz w:val="20"/>
                <w:szCs w:val="20"/>
              </w:rPr>
              <w:t xml:space="preserve">1 de ellas </w:t>
            </w:r>
            <w:r w:rsidRPr="00904313">
              <w:rPr>
                <w:rFonts w:ascii="Arial" w:hAnsi="Arial" w:cs="Arial"/>
                <w:color w:val="0F243E" w:themeColor="text2" w:themeShade="80"/>
                <w:sz w:val="20"/>
                <w:szCs w:val="20"/>
              </w:rPr>
              <w:t>se encuentra en ejecución.</w:t>
            </w:r>
            <w:r>
              <w:rPr>
                <w:rFonts w:ascii="Arial" w:hAnsi="Arial" w:cs="Arial"/>
                <w:color w:val="0F243E" w:themeColor="text2" w:themeShade="80"/>
                <w:sz w:val="20"/>
                <w:szCs w:val="20"/>
              </w:rPr>
              <w:t xml:space="preserve"> </w:t>
            </w:r>
          </w:p>
        </w:tc>
      </w:tr>
      <w:tr w:rsidR="000A33C7" w:rsidRPr="00CA48AF" w14:paraId="1F958BD7" w14:textId="77777777" w:rsidTr="00204765">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226367" w14:textId="77777777" w:rsidR="000A33C7" w:rsidRPr="00CA48AF" w:rsidRDefault="000A33C7" w:rsidP="005145A8">
            <w:pPr>
              <w:widowControl w:val="0"/>
              <w:spacing w:before="60" w:after="60"/>
              <w:jc w:val="both"/>
              <w:rPr>
                <w:rFonts w:ascii="Arial" w:hAnsi="Arial" w:cs="Arial"/>
                <w:b w:val="0"/>
                <w:bCs w:val="0"/>
                <w:color w:val="0F243E" w:themeColor="text2" w:themeShade="80"/>
                <w:sz w:val="20"/>
                <w:szCs w:val="20"/>
                <w:highlight w:val="yellow"/>
              </w:rPr>
            </w:pPr>
            <w:r w:rsidRPr="00380880">
              <w:rPr>
                <w:rFonts w:ascii="Arial" w:hAnsi="Arial" w:cs="Arial"/>
                <w:b w:val="0"/>
                <w:bCs w:val="0"/>
                <w:color w:val="0F243E" w:themeColor="text2" w:themeShade="80"/>
                <w:sz w:val="20"/>
                <w:szCs w:val="20"/>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0" w:type="auto"/>
            <w:vAlign w:val="center"/>
          </w:tcPr>
          <w:p w14:paraId="1BA4C46B" w14:textId="23A85C86" w:rsidR="00380880" w:rsidRPr="00380880" w:rsidRDefault="00380880" w:rsidP="005145A8">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380880">
              <w:rPr>
                <w:rFonts w:ascii="Arial" w:hAnsi="Arial" w:cs="Arial"/>
                <w:color w:val="0F243E" w:themeColor="text2" w:themeShade="80"/>
                <w:sz w:val="20"/>
                <w:szCs w:val="20"/>
              </w:rPr>
              <w:t xml:space="preserve">Las actividades de capacitación llevadas a cabo durante el tercer trimestre de 2020 en el MHCP fueron realizadas a cero costos, a través de plataformas virtuales de entidades tales como: DAFP, la ESAP, el CLAD y MHCP. </w:t>
            </w:r>
          </w:p>
          <w:p w14:paraId="0A104A0F" w14:textId="77777777" w:rsidR="00380880" w:rsidRPr="00380880" w:rsidRDefault="00380880" w:rsidP="00853086">
            <w:pPr>
              <w:widowControl w:val="0"/>
              <w:spacing w:before="60" w:after="60"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51B01DC3" w14:textId="5B52944E" w:rsidR="00380880" w:rsidRPr="00380880" w:rsidRDefault="00380880"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380880">
              <w:rPr>
                <w:rFonts w:ascii="Arial" w:hAnsi="Arial" w:cs="Arial"/>
                <w:color w:val="0F243E" w:themeColor="text2" w:themeShade="80"/>
                <w:sz w:val="20"/>
                <w:szCs w:val="20"/>
              </w:rPr>
              <w:t>Lo anterior, como resultado de la colaboración y coordinación con entidades aliadas en respuesta a la gestión adelantada por el equipo humano del Eje de Aprendizaje de la Subdirección de Gestión del Talento Humano.</w:t>
            </w:r>
          </w:p>
          <w:p w14:paraId="042FCF5C" w14:textId="77777777" w:rsidR="00380880" w:rsidRDefault="00380880" w:rsidP="00853086">
            <w:pPr>
              <w:widowControl w:val="0"/>
              <w:spacing w:before="60" w:after="60"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p>
          <w:p w14:paraId="5312C4D0" w14:textId="5012EA20" w:rsidR="000A33C7" w:rsidRPr="00380880" w:rsidRDefault="00380880"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Pr>
                <w:rFonts w:ascii="Arial" w:hAnsi="Arial" w:cs="Arial"/>
                <w:color w:val="0F243E" w:themeColor="text2" w:themeShade="80"/>
                <w:sz w:val="20"/>
                <w:szCs w:val="20"/>
              </w:rPr>
              <w:t>Frente</w:t>
            </w:r>
            <w:r w:rsidR="002D075A">
              <w:rPr>
                <w:rFonts w:ascii="Arial" w:hAnsi="Arial" w:cs="Arial"/>
                <w:color w:val="0F243E" w:themeColor="text2" w:themeShade="80"/>
                <w:sz w:val="20"/>
                <w:szCs w:val="20"/>
              </w:rPr>
              <w:t xml:space="preserve"> a </w:t>
            </w:r>
            <w:r w:rsidR="002D075A" w:rsidRPr="00380880">
              <w:rPr>
                <w:rFonts w:ascii="Arial" w:hAnsi="Arial" w:cs="Arial"/>
                <w:color w:val="0F243E" w:themeColor="text2" w:themeShade="80"/>
                <w:sz w:val="20"/>
                <w:szCs w:val="20"/>
              </w:rPr>
              <w:t>las capacitaciones desarrolladas en</w:t>
            </w:r>
            <w:r w:rsidR="002D075A">
              <w:rPr>
                <w:rFonts w:ascii="Arial" w:hAnsi="Arial" w:cs="Arial"/>
                <w:color w:val="0F243E" w:themeColor="text2" w:themeShade="80"/>
                <w:sz w:val="20"/>
                <w:szCs w:val="20"/>
              </w:rPr>
              <w:t xml:space="preserve"> </w:t>
            </w:r>
            <w:r w:rsidR="002D075A" w:rsidRPr="00380880">
              <w:rPr>
                <w:rFonts w:ascii="Arial" w:hAnsi="Arial" w:cs="Arial"/>
                <w:color w:val="0F243E" w:themeColor="text2" w:themeShade="80"/>
                <w:sz w:val="20"/>
                <w:szCs w:val="20"/>
              </w:rPr>
              <w:t>el tercer trimestre de 2020</w:t>
            </w:r>
            <w:r w:rsidR="002D075A">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 xml:space="preserve">se estimó </w:t>
            </w:r>
            <w:r w:rsidRPr="00380880">
              <w:rPr>
                <w:rFonts w:ascii="Arial" w:hAnsi="Arial" w:cs="Arial"/>
                <w:color w:val="0F243E" w:themeColor="text2" w:themeShade="80"/>
                <w:sz w:val="20"/>
                <w:szCs w:val="20"/>
              </w:rPr>
              <w:t>que el ahorro alcanzado</w:t>
            </w:r>
            <w:r w:rsidR="009631C6">
              <w:rPr>
                <w:rFonts w:ascii="Arial" w:hAnsi="Arial" w:cs="Arial"/>
                <w:color w:val="0F243E" w:themeColor="text2" w:themeShade="80"/>
                <w:sz w:val="20"/>
                <w:szCs w:val="20"/>
              </w:rPr>
              <w:t xml:space="preserve"> </w:t>
            </w:r>
            <w:r w:rsidR="002D075A">
              <w:rPr>
                <w:rFonts w:ascii="Arial" w:hAnsi="Arial" w:cs="Arial"/>
                <w:color w:val="0F243E" w:themeColor="text2" w:themeShade="80"/>
                <w:sz w:val="20"/>
                <w:szCs w:val="20"/>
              </w:rPr>
              <w:t xml:space="preserve">fue </w:t>
            </w:r>
            <w:r w:rsidRPr="00380880">
              <w:rPr>
                <w:rFonts w:ascii="Arial" w:hAnsi="Arial" w:cs="Arial"/>
                <w:color w:val="0F243E" w:themeColor="text2" w:themeShade="80"/>
                <w:sz w:val="20"/>
                <w:szCs w:val="20"/>
              </w:rPr>
              <w:t>de aproximadamente</w:t>
            </w:r>
            <w:r w:rsidR="009631C6">
              <w:rPr>
                <w:rFonts w:ascii="Arial" w:hAnsi="Arial" w:cs="Arial"/>
                <w:color w:val="0F243E" w:themeColor="text2" w:themeShade="80"/>
                <w:sz w:val="20"/>
                <w:szCs w:val="20"/>
              </w:rPr>
              <w:t xml:space="preserve"> </w:t>
            </w:r>
            <w:r w:rsidRPr="00380880">
              <w:rPr>
                <w:rFonts w:ascii="Arial" w:hAnsi="Arial" w:cs="Arial"/>
                <w:color w:val="0F243E" w:themeColor="text2" w:themeShade="80"/>
                <w:sz w:val="20"/>
                <w:szCs w:val="20"/>
              </w:rPr>
              <w:t>$217.000.000,</w:t>
            </w:r>
            <w:r>
              <w:rPr>
                <w:rFonts w:ascii="Arial" w:hAnsi="Arial" w:cs="Arial"/>
                <w:color w:val="0F243E" w:themeColor="text2" w:themeShade="80"/>
                <w:sz w:val="20"/>
                <w:szCs w:val="20"/>
              </w:rPr>
              <w:t xml:space="preserve"> </w:t>
            </w:r>
            <w:r w:rsidRPr="00380880">
              <w:rPr>
                <w:rFonts w:ascii="Arial" w:hAnsi="Arial" w:cs="Arial"/>
                <w:color w:val="0F243E" w:themeColor="text2" w:themeShade="80"/>
                <w:sz w:val="20"/>
                <w:szCs w:val="20"/>
              </w:rPr>
              <w:t>teniendo en cuenta el número</w:t>
            </w:r>
            <w:r w:rsidR="002D075A">
              <w:rPr>
                <w:rFonts w:ascii="Arial" w:hAnsi="Arial" w:cs="Arial"/>
                <w:color w:val="0F243E" w:themeColor="text2" w:themeShade="80"/>
                <w:sz w:val="20"/>
                <w:szCs w:val="20"/>
              </w:rPr>
              <w:t xml:space="preserve"> de</w:t>
            </w:r>
            <w:r w:rsidR="009631C6">
              <w:rPr>
                <w:rFonts w:ascii="Arial" w:hAnsi="Arial" w:cs="Arial"/>
                <w:color w:val="0F243E" w:themeColor="text2" w:themeShade="80"/>
                <w:sz w:val="20"/>
                <w:szCs w:val="20"/>
              </w:rPr>
              <w:t xml:space="preserve"> </w:t>
            </w:r>
            <w:r w:rsidRPr="00380880">
              <w:rPr>
                <w:rFonts w:ascii="Arial" w:hAnsi="Arial" w:cs="Arial"/>
                <w:color w:val="0F243E" w:themeColor="text2" w:themeShade="80"/>
                <w:sz w:val="20"/>
                <w:szCs w:val="20"/>
              </w:rPr>
              <w:t>funcionarios que han participado de los espacios de</w:t>
            </w:r>
            <w:r w:rsidR="009631C6">
              <w:rPr>
                <w:rFonts w:ascii="Arial" w:hAnsi="Arial" w:cs="Arial"/>
                <w:color w:val="0F243E" w:themeColor="text2" w:themeShade="80"/>
                <w:sz w:val="20"/>
                <w:szCs w:val="20"/>
              </w:rPr>
              <w:t xml:space="preserve"> </w:t>
            </w:r>
            <w:r w:rsidRPr="00380880">
              <w:rPr>
                <w:rFonts w:ascii="Arial" w:hAnsi="Arial" w:cs="Arial"/>
                <w:color w:val="0F243E" w:themeColor="text2" w:themeShade="80"/>
                <w:sz w:val="20"/>
                <w:szCs w:val="20"/>
              </w:rPr>
              <w:t xml:space="preserve">aprendizaje. </w:t>
            </w:r>
          </w:p>
        </w:tc>
      </w:tr>
      <w:tr w:rsidR="000A33C7" w:rsidRPr="00CA48AF" w14:paraId="6EA0684E" w14:textId="77777777" w:rsidTr="00204765">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5CC7EF" w14:textId="77777777" w:rsidR="000A33C7" w:rsidRPr="00CA48AF" w:rsidRDefault="000A33C7" w:rsidP="005145A8">
            <w:pPr>
              <w:widowControl w:val="0"/>
              <w:spacing w:before="60" w:after="60"/>
              <w:jc w:val="both"/>
              <w:rPr>
                <w:rFonts w:ascii="Arial" w:hAnsi="Arial" w:cs="Arial"/>
                <w:b w:val="0"/>
                <w:bCs w:val="0"/>
                <w:color w:val="0F243E" w:themeColor="text2" w:themeShade="80"/>
                <w:sz w:val="20"/>
                <w:szCs w:val="20"/>
                <w:highlight w:val="yellow"/>
              </w:rPr>
            </w:pPr>
            <w:r w:rsidRPr="00E20897">
              <w:rPr>
                <w:rFonts w:ascii="Arial" w:hAnsi="Arial" w:cs="Arial"/>
                <w:b w:val="0"/>
                <w:bCs w:val="0"/>
                <w:color w:val="0F243E" w:themeColor="text2" w:themeShade="80"/>
                <w:sz w:val="20"/>
                <w:szCs w:val="20"/>
              </w:rPr>
              <w:t>Limitar los costos de alimentación y solicitar las cantidades justas, procurando en todo momento racionalizar la provisión de refrigerios y almuerzos.</w:t>
            </w:r>
          </w:p>
        </w:tc>
        <w:tc>
          <w:tcPr>
            <w:tcW w:w="0" w:type="auto"/>
            <w:vAlign w:val="center"/>
          </w:tcPr>
          <w:p w14:paraId="70670785" w14:textId="5B160916" w:rsidR="000A33C7" w:rsidRPr="00E20897" w:rsidRDefault="000A33C7"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0897">
              <w:rPr>
                <w:rFonts w:ascii="Arial" w:hAnsi="Arial" w:cs="Arial"/>
                <w:color w:val="0F243E" w:themeColor="text2" w:themeShade="80"/>
                <w:sz w:val="20"/>
                <w:szCs w:val="20"/>
              </w:rPr>
              <w:t>En el marco del Plan Institucional de Capacitaciones,</w:t>
            </w:r>
            <w:r w:rsidR="00023171" w:rsidRPr="00E20897">
              <w:rPr>
                <w:rFonts w:ascii="Arial" w:hAnsi="Arial" w:cs="Arial"/>
                <w:color w:val="0F243E" w:themeColor="text2" w:themeShade="80"/>
                <w:sz w:val="20"/>
                <w:szCs w:val="20"/>
              </w:rPr>
              <w:t xml:space="preserve"> el cual se ha venido desarrollado bajo la modalidad virtual, no se requiere de refrigerios y el enfoque de divulgación se realiza a través de correo</w:t>
            </w:r>
            <w:r w:rsidR="005145A8">
              <w:rPr>
                <w:rFonts w:ascii="Arial" w:hAnsi="Arial" w:cs="Arial"/>
                <w:color w:val="0F243E" w:themeColor="text2" w:themeShade="80"/>
                <w:sz w:val="20"/>
                <w:szCs w:val="20"/>
              </w:rPr>
              <w:t xml:space="preserve"> </w:t>
            </w:r>
            <w:r w:rsidR="00023171" w:rsidRPr="00E20897">
              <w:rPr>
                <w:rFonts w:ascii="Arial" w:hAnsi="Arial" w:cs="Arial"/>
                <w:color w:val="0F243E" w:themeColor="text2" w:themeShade="80"/>
                <w:sz w:val="20"/>
                <w:szCs w:val="20"/>
              </w:rPr>
              <w:t>electrónico y la intranet institucional con el apoyo del área de comunicaciones</w:t>
            </w:r>
            <w:r w:rsidRPr="00E20897">
              <w:rPr>
                <w:rFonts w:ascii="Arial" w:hAnsi="Arial" w:cs="Arial"/>
                <w:color w:val="0F243E" w:themeColor="text2" w:themeShade="80"/>
                <w:sz w:val="20"/>
                <w:szCs w:val="20"/>
              </w:rPr>
              <w:t xml:space="preserve"> </w:t>
            </w:r>
            <w:r w:rsidR="00D56370" w:rsidRPr="00E20897">
              <w:rPr>
                <w:rFonts w:ascii="Arial" w:hAnsi="Arial" w:cs="Arial"/>
                <w:color w:val="0F243E" w:themeColor="text2" w:themeShade="80"/>
                <w:sz w:val="20"/>
                <w:szCs w:val="20"/>
              </w:rPr>
              <w:t xml:space="preserve">de </w:t>
            </w:r>
            <w:r w:rsidRPr="00E20897">
              <w:rPr>
                <w:rFonts w:ascii="Arial" w:hAnsi="Arial" w:cs="Arial"/>
                <w:color w:val="0F243E" w:themeColor="text2" w:themeShade="80"/>
                <w:sz w:val="20"/>
                <w:szCs w:val="20"/>
              </w:rPr>
              <w:t>este Ministerio</w:t>
            </w:r>
            <w:r w:rsidR="00023171" w:rsidRPr="00E20897">
              <w:rPr>
                <w:rFonts w:ascii="Arial" w:hAnsi="Arial" w:cs="Arial"/>
                <w:color w:val="0F243E" w:themeColor="text2" w:themeShade="80"/>
                <w:sz w:val="20"/>
                <w:szCs w:val="20"/>
              </w:rPr>
              <w:t xml:space="preserve">. Por tal razón, durante el </w:t>
            </w:r>
            <w:r w:rsidR="00E20897" w:rsidRPr="00E20897">
              <w:rPr>
                <w:rFonts w:ascii="Arial" w:hAnsi="Arial" w:cs="Arial"/>
                <w:color w:val="0F243E" w:themeColor="text2" w:themeShade="80"/>
                <w:sz w:val="20"/>
                <w:szCs w:val="20"/>
              </w:rPr>
              <w:t>tercer</w:t>
            </w:r>
            <w:r w:rsidR="00023171" w:rsidRPr="00E20897">
              <w:rPr>
                <w:rFonts w:ascii="Arial" w:hAnsi="Arial" w:cs="Arial"/>
                <w:color w:val="0F243E" w:themeColor="text2" w:themeShade="80"/>
                <w:sz w:val="20"/>
                <w:szCs w:val="20"/>
              </w:rPr>
              <w:t xml:space="preserve"> trimestre de 2020, </w:t>
            </w:r>
            <w:r w:rsidR="00E20897" w:rsidRPr="00E20897">
              <w:rPr>
                <w:rFonts w:ascii="Arial" w:hAnsi="Arial" w:cs="Arial"/>
                <w:color w:val="0F243E" w:themeColor="text2" w:themeShade="80"/>
                <w:sz w:val="20"/>
                <w:szCs w:val="20"/>
              </w:rPr>
              <w:t>no</w:t>
            </w:r>
            <w:r w:rsidR="00E20897">
              <w:rPr>
                <w:rFonts w:ascii="Arial" w:hAnsi="Arial" w:cs="Arial"/>
                <w:color w:val="0F243E" w:themeColor="text2" w:themeShade="80"/>
                <w:sz w:val="20"/>
                <w:szCs w:val="20"/>
              </w:rPr>
              <w:t xml:space="preserve"> se</w:t>
            </w:r>
            <w:r w:rsidR="00E20897" w:rsidRPr="00E20897">
              <w:rPr>
                <w:rFonts w:ascii="Arial" w:hAnsi="Arial" w:cs="Arial"/>
                <w:color w:val="0F243E" w:themeColor="text2" w:themeShade="80"/>
                <w:sz w:val="20"/>
                <w:szCs w:val="20"/>
              </w:rPr>
              <w:t xml:space="preserve"> utilizaron </w:t>
            </w:r>
            <w:r w:rsidRPr="00E20897">
              <w:rPr>
                <w:rFonts w:ascii="Arial" w:hAnsi="Arial" w:cs="Arial"/>
                <w:color w:val="0F243E" w:themeColor="text2" w:themeShade="80"/>
                <w:sz w:val="20"/>
                <w:szCs w:val="20"/>
              </w:rPr>
              <w:t xml:space="preserve">recursos del Presupuesto General de la Nación para gastos de alimentación en jornadas de capacitación. </w:t>
            </w:r>
          </w:p>
        </w:tc>
      </w:tr>
      <w:tr w:rsidR="000A33C7" w:rsidRPr="00CA48AF" w14:paraId="07A40DA4" w14:textId="77777777" w:rsidTr="00204765">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5DCA30" w14:textId="77777777" w:rsidR="000A33C7" w:rsidRPr="00CA48AF" w:rsidRDefault="000A33C7" w:rsidP="005145A8">
            <w:pPr>
              <w:widowControl w:val="0"/>
              <w:spacing w:before="60" w:after="60"/>
              <w:jc w:val="both"/>
              <w:rPr>
                <w:rFonts w:ascii="Arial" w:hAnsi="Arial" w:cs="Arial"/>
                <w:b w:val="0"/>
                <w:bCs w:val="0"/>
                <w:color w:val="0F243E" w:themeColor="text2" w:themeShade="80"/>
                <w:sz w:val="20"/>
                <w:szCs w:val="20"/>
                <w:highlight w:val="yellow"/>
              </w:rPr>
            </w:pPr>
            <w:r w:rsidRPr="00BF2932">
              <w:rPr>
                <w:rFonts w:ascii="Arial" w:hAnsi="Arial" w:cs="Arial"/>
                <w:b w:val="0"/>
                <w:bCs w:val="0"/>
                <w:color w:val="0F243E" w:themeColor="text2" w:themeShade="80"/>
                <w:sz w:val="20"/>
                <w:szCs w:val="20"/>
              </w:rPr>
              <w:lastRenderedPageBreak/>
              <w:t>La papelería y demás elementos de apoyo de las capacitaciones deberán ser racionalizados y apoyados en las tecnologías de información y las comunicaciones TICS.</w:t>
            </w:r>
          </w:p>
        </w:tc>
        <w:tc>
          <w:tcPr>
            <w:tcW w:w="0" w:type="auto"/>
            <w:vAlign w:val="center"/>
          </w:tcPr>
          <w:p w14:paraId="35228062" w14:textId="167F30F7" w:rsidR="00B176BF" w:rsidRPr="00BF2932" w:rsidRDefault="000A33C7"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2932">
              <w:rPr>
                <w:rFonts w:ascii="Arial" w:hAnsi="Arial" w:cs="Arial"/>
                <w:color w:val="0F243E" w:themeColor="text2" w:themeShade="80"/>
                <w:sz w:val="20"/>
                <w:szCs w:val="20"/>
              </w:rPr>
              <w:t>El material bibliográfico y pedagógico utilizado por los facilitadores en los distintos eventos de capacitación se ha socializado mediante plataformas electrónicas o correo electrónico.</w:t>
            </w:r>
          </w:p>
          <w:p w14:paraId="55EF0EE2" w14:textId="77777777" w:rsidR="00B176BF" w:rsidRPr="00BF2932" w:rsidRDefault="00B176BF" w:rsidP="005145A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863345" w14:textId="3F69B91B" w:rsidR="000A33C7" w:rsidRPr="00B176BF" w:rsidRDefault="000A33C7" w:rsidP="005145A8">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r>
      <w:tr w:rsidR="000A33C7" w:rsidRPr="00CA48AF" w14:paraId="4EDB979D" w14:textId="77777777" w:rsidTr="00204765">
        <w:trPr>
          <w:cantSplit/>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4E8D79" w14:textId="77777777" w:rsidR="000A33C7" w:rsidRPr="00CA48AF" w:rsidRDefault="000A33C7" w:rsidP="005145A8">
            <w:pPr>
              <w:widowControl w:val="0"/>
              <w:spacing w:before="60" w:after="60"/>
              <w:jc w:val="both"/>
              <w:rPr>
                <w:rFonts w:ascii="Arial" w:hAnsi="Arial" w:cs="Arial"/>
                <w:b w:val="0"/>
                <w:bCs w:val="0"/>
                <w:color w:val="0F243E" w:themeColor="text2" w:themeShade="80"/>
                <w:sz w:val="20"/>
                <w:szCs w:val="20"/>
                <w:highlight w:val="yellow"/>
              </w:rPr>
            </w:pPr>
            <w:r w:rsidRPr="00BF2932">
              <w:rPr>
                <w:rFonts w:ascii="Arial" w:hAnsi="Arial" w:cs="Arial"/>
                <w:b w:val="0"/>
                <w:bCs w:val="0"/>
                <w:color w:val="0F243E" w:themeColor="text2" w:themeShade="80"/>
                <w:sz w:val="20"/>
                <w:szCs w:val="20"/>
              </w:rPr>
              <w:t>De ser posible, se deberá utilizar la infraestructura de las entidades del Estado para llevar a cabo las actividades de capacitación.</w:t>
            </w:r>
          </w:p>
        </w:tc>
        <w:tc>
          <w:tcPr>
            <w:tcW w:w="0" w:type="auto"/>
            <w:vAlign w:val="center"/>
          </w:tcPr>
          <w:p w14:paraId="70963E29" w14:textId="08B5AF32" w:rsidR="000A33C7" w:rsidRPr="00CA48AF" w:rsidRDefault="00721D57" w:rsidP="005145A8">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BF2932">
              <w:rPr>
                <w:rFonts w:ascii="Arial" w:hAnsi="Arial" w:cs="Arial"/>
                <w:color w:val="0F243E" w:themeColor="text2" w:themeShade="80"/>
                <w:sz w:val="20"/>
                <w:szCs w:val="20"/>
              </w:rPr>
              <w:t xml:space="preserve">Teniendo en cuenta, las medidas derivadas </w:t>
            </w:r>
            <w:r w:rsidR="00D56370" w:rsidRPr="00BF2932">
              <w:rPr>
                <w:rFonts w:ascii="Arial" w:hAnsi="Arial" w:cs="Arial"/>
                <w:color w:val="0F243E" w:themeColor="text2" w:themeShade="80"/>
                <w:sz w:val="20"/>
                <w:szCs w:val="20"/>
              </w:rPr>
              <w:t>de la Emergencia Económica, Social y Ecológica por el</w:t>
            </w:r>
            <w:r w:rsidRPr="00BF2932">
              <w:rPr>
                <w:rFonts w:ascii="Arial" w:hAnsi="Arial" w:cs="Arial"/>
                <w:color w:val="0F243E" w:themeColor="text2" w:themeShade="80"/>
                <w:sz w:val="20"/>
                <w:szCs w:val="20"/>
              </w:rPr>
              <w:t xml:space="preserve"> COVID-19, la metodología de las capacitaciones se adecuó a</w:t>
            </w:r>
            <w:r w:rsidR="001A318B">
              <w:rPr>
                <w:rFonts w:ascii="Arial" w:hAnsi="Arial" w:cs="Arial"/>
                <w:color w:val="0F243E" w:themeColor="text2" w:themeShade="80"/>
                <w:sz w:val="20"/>
                <w:szCs w:val="20"/>
              </w:rPr>
              <w:t xml:space="preserve"> </w:t>
            </w:r>
            <w:r w:rsidRPr="00BF2932">
              <w:rPr>
                <w:rFonts w:ascii="Arial" w:hAnsi="Arial" w:cs="Arial"/>
                <w:color w:val="0F243E" w:themeColor="text2" w:themeShade="80"/>
                <w:sz w:val="20"/>
                <w:szCs w:val="20"/>
              </w:rPr>
              <w:t>l</w:t>
            </w:r>
            <w:r w:rsidR="001A318B">
              <w:rPr>
                <w:rFonts w:ascii="Arial" w:hAnsi="Arial" w:cs="Arial"/>
                <w:color w:val="0F243E" w:themeColor="text2" w:themeShade="80"/>
                <w:sz w:val="20"/>
                <w:szCs w:val="20"/>
              </w:rPr>
              <w:t xml:space="preserve">a modalidad no presencial, </w:t>
            </w:r>
            <w:r w:rsidRPr="00BF2932">
              <w:rPr>
                <w:rFonts w:ascii="Arial" w:hAnsi="Arial" w:cs="Arial"/>
                <w:color w:val="0F243E" w:themeColor="text2" w:themeShade="80"/>
                <w:sz w:val="20"/>
                <w:szCs w:val="20"/>
              </w:rPr>
              <w:t xml:space="preserve">mediante salas virtuales dispuestas por los diferentes aplicativos como la plataforma </w:t>
            </w:r>
            <w:proofErr w:type="spellStart"/>
            <w:r w:rsidRPr="00BF2932">
              <w:rPr>
                <w:rFonts w:ascii="Arial" w:hAnsi="Arial" w:cs="Arial"/>
                <w:color w:val="0F243E" w:themeColor="text2" w:themeShade="80"/>
                <w:sz w:val="20"/>
                <w:szCs w:val="20"/>
              </w:rPr>
              <w:t>Teams</w:t>
            </w:r>
            <w:proofErr w:type="spellEnd"/>
            <w:r w:rsidRPr="00BF2932">
              <w:rPr>
                <w:rFonts w:ascii="Arial" w:hAnsi="Arial" w:cs="Arial"/>
                <w:color w:val="0F243E" w:themeColor="text2" w:themeShade="80"/>
                <w:sz w:val="20"/>
                <w:szCs w:val="20"/>
              </w:rPr>
              <w:t xml:space="preserve">, entre otros. </w:t>
            </w:r>
          </w:p>
        </w:tc>
      </w:tr>
    </w:tbl>
    <w:p w14:paraId="2C45EAE4" w14:textId="77777777" w:rsidR="00BF2932" w:rsidRDefault="00BF2932" w:rsidP="00DF67DD">
      <w:pPr>
        <w:jc w:val="both"/>
        <w:rPr>
          <w:rFonts w:ascii="Arial" w:hAnsi="Arial" w:cs="Arial"/>
          <w:color w:val="000000" w:themeColor="text1"/>
          <w:sz w:val="22"/>
          <w:szCs w:val="22"/>
          <w:highlight w:val="yellow"/>
        </w:rPr>
      </w:pPr>
    </w:p>
    <w:p w14:paraId="1D333F20" w14:textId="3D276B23" w:rsidR="00721D57" w:rsidRPr="005145A8" w:rsidRDefault="000E6724" w:rsidP="00DF67DD">
      <w:pPr>
        <w:jc w:val="both"/>
        <w:rPr>
          <w:rFonts w:ascii="Arial" w:hAnsi="Arial" w:cs="Arial"/>
          <w:color w:val="000000" w:themeColor="text1"/>
          <w:sz w:val="22"/>
          <w:szCs w:val="22"/>
        </w:rPr>
      </w:pPr>
      <w:r w:rsidRPr="005145A8">
        <w:rPr>
          <w:rFonts w:ascii="Arial" w:hAnsi="Arial" w:cs="Arial"/>
          <w:color w:val="000000" w:themeColor="text1"/>
          <w:sz w:val="22"/>
          <w:szCs w:val="22"/>
        </w:rPr>
        <w:t xml:space="preserve">Finalmente, la Subdirección de Gestión del Talento Humano informó que de acuerdo con las directrices dadas por el Departamento Administrativo de la Función Pública (DAFP) estipuladas en el Plan Nacional de Formación 2020-2030 socializado en abril de 2020, el Plan Institucional de Capacitación 2020 para el Ministerio de Hacienda y Crédito Público, se ajustó a la modalidad virtual. </w:t>
      </w:r>
    </w:p>
    <w:p w14:paraId="4DE2A729" w14:textId="77777777" w:rsidR="00721D57" w:rsidRPr="005145A8" w:rsidRDefault="00721D57" w:rsidP="00DF67DD">
      <w:pPr>
        <w:jc w:val="both"/>
        <w:rPr>
          <w:rFonts w:ascii="Arial" w:hAnsi="Arial" w:cs="Arial"/>
          <w:color w:val="000000" w:themeColor="text1"/>
          <w:sz w:val="22"/>
          <w:szCs w:val="22"/>
        </w:rPr>
      </w:pPr>
    </w:p>
    <w:p w14:paraId="7E0C3D7B" w14:textId="7866B28B" w:rsidR="002C44BC" w:rsidRPr="005145A8" w:rsidRDefault="002C44BC" w:rsidP="00DF67DD">
      <w:pPr>
        <w:jc w:val="both"/>
        <w:rPr>
          <w:rFonts w:ascii="Arial" w:hAnsi="Arial" w:cs="Arial"/>
          <w:color w:val="000000" w:themeColor="text1"/>
          <w:sz w:val="22"/>
          <w:szCs w:val="22"/>
        </w:rPr>
      </w:pPr>
      <w:r w:rsidRPr="005145A8">
        <w:rPr>
          <w:rFonts w:ascii="Arial" w:hAnsi="Arial" w:cs="Arial"/>
          <w:color w:val="000000" w:themeColor="text1"/>
          <w:sz w:val="22"/>
          <w:szCs w:val="22"/>
        </w:rPr>
        <w:t xml:space="preserve">De lo anterior, se concluye que este Ministerio </w:t>
      </w:r>
      <w:r w:rsidR="00CB3924" w:rsidRPr="005145A8">
        <w:rPr>
          <w:rFonts w:ascii="Arial" w:hAnsi="Arial" w:cs="Arial"/>
          <w:color w:val="000000" w:themeColor="text1"/>
          <w:sz w:val="22"/>
          <w:szCs w:val="22"/>
        </w:rPr>
        <w:t>cumplió razonablemente</w:t>
      </w:r>
      <w:r w:rsidRPr="005145A8">
        <w:rPr>
          <w:rFonts w:ascii="Arial" w:hAnsi="Arial" w:cs="Arial"/>
          <w:color w:val="000000" w:themeColor="text1"/>
          <w:sz w:val="22"/>
          <w:szCs w:val="22"/>
        </w:rPr>
        <w:t xml:space="preserve"> con las directrices dadas por </w:t>
      </w:r>
      <w:r w:rsidR="00CB3924" w:rsidRPr="005145A8">
        <w:rPr>
          <w:rFonts w:ascii="Arial" w:hAnsi="Arial" w:cs="Arial"/>
          <w:color w:val="000000" w:themeColor="text1"/>
          <w:sz w:val="22"/>
          <w:szCs w:val="22"/>
        </w:rPr>
        <w:t xml:space="preserve">el Gobierno Nacional </w:t>
      </w:r>
      <w:r w:rsidRPr="005145A8">
        <w:rPr>
          <w:rFonts w:ascii="Arial" w:hAnsi="Arial" w:cs="Arial"/>
          <w:color w:val="000000" w:themeColor="text1"/>
          <w:sz w:val="22"/>
          <w:szCs w:val="22"/>
        </w:rPr>
        <w:t xml:space="preserve">en lo referente a las medidas de austeridad </w:t>
      </w:r>
      <w:r w:rsidR="00CB3924" w:rsidRPr="005145A8">
        <w:rPr>
          <w:rFonts w:ascii="Arial" w:hAnsi="Arial" w:cs="Arial"/>
          <w:color w:val="000000" w:themeColor="text1"/>
          <w:sz w:val="22"/>
          <w:szCs w:val="22"/>
        </w:rPr>
        <w:t xml:space="preserve">del </w:t>
      </w:r>
      <w:r w:rsidR="005C4B66" w:rsidRPr="005145A8">
        <w:rPr>
          <w:rFonts w:ascii="Arial" w:hAnsi="Arial" w:cs="Arial"/>
          <w:color w:val="000000" w:themeColor="text1"/>
          <w:sz w:val="22"/>
          <w:szCs w:val="22"/>
        </w:rPr>
        <w:t>gasto</w:t>
      </w:r>
      <w:r w:rsidR="00A36B8D">
        <w:rPr>
          <w:rFonts w:ascii="Arial" w:hAnsi="Arial" w:cs="Arial"/>
          <w:color w:val="000000" w:themeColor="text1"/>
          <w:sz w:val="22"/>
          <w:szCs w:val="22"/>
        </w:rPr>
        <w:t xml:space="preserve"> </w:t>
      </w:r>
      <w:r w:rsidR="00CB3924" w:rsidRPr="005145A8">
        <w:rPr>
          <w:rFonts w:ascii="Arial" w:hAnsi="Arial" w:cs="Arial"/>
          <w:color w:val="000000" w:themeColor="text1"/>
          <w:sz w:val="22"/>
          <w:szCs w:val="22"/>
        </w:rPr>
        <w:t>concerniente</w:t>
      </w:r>
      <w:r w:rsidR="00B54928" w:rsidRPr="005145A8">
        <w:rPr>
          <w:rFonts w:ascii="Arial" w:hAnsi="Arial" w:cs="Arial"/>
          <w:color w:val="000000" w:themeColor="text1"/>
          <w:sz w:val="22"/>
          <w:szCs w:val="22"/>
        </w:rPr>
        <w:t>s</w:t>
      </w:r>
      <w:r w:rsidR="00CB3924" w:rsidRPr="005145A8">
        <w:rPr>
          <w:rFonts w:ascii="Arial" w:hAnsi="Arial" w:cs="Arial"/>
          <w:color w:val="000000" w:themeColor="text1"/>
          <w:sz w:val="22"/>
          <w:szCs w:val="22"/>
        </w:rPr>
        <w:t xml:space="preserve"> al concepto de </w:t>
      </w:r>
      <w:r w:rsidR="00A81783" w:rsidRPr="005145A8">
        <w:rPr>
          <w:rFonts w:ascii="Arial" w:hAnsi="Arial" w:cs="Arial"/>
          <w:color w:val="000000" w:themeColor="text1"/>
          <w:sz w:val="22"/>
          <w:szCs w:val="22"/>
        </w:rPr>
        <w:t>capacitaciones</w:t>
      </w:r>
      <w:r w:rsidRPr="005145A8">
        <w:rPr>
          <w:rFonts w:ascii="Arial" w:hAnsi="Arial" w:cs="Arial"/>
          <w:color w:val="000000" w:themeColor="text1"/>
          <w:sz w:val="22"/>
          <w:szCs w:val="22"/>
        </w:rPr>
        <w:t xml:space="preserve">. </w:t>
      </w:r>
      <w:r w:rsidR="00497215" w:rsidRPr="005145A8">
        <w:rPr>
          <w:rFonts w:ascii="Arial" w:hAnsi="Arial" w:cs="Arial"/>
          <w:color w:val="000000" w:themeColor="text1"/>
          <w:sz w:val="22"/>
          <w:szCs w:val="22"/>
        </w:rPr>
        <w:t xml:space="preserve"> De igual forma, se observó </w:t>
      </w:r>
      <w:r w:rsidR="001F555C" w:rsidRPr="005145A8">
        <w:rPr>
          <w:rFonts w:ascii="Arial" w:hAnsi="Arial" w:cs="Arial"/>
          <w:color w:val="000000" w:themeColor="text1"/>
          <w:sz w:val="22"/>
          <w:szCs w:val="22"/>
        </w:rPr>
        <w:t>que,</w:t>
      </w:r>
      <w:r w:rsidR="00497215" w:rsidRPr="005145A8">
        <w:rPr>
          <w:rFonts w:ascii="Arial" w:hAnsi="Arial" w:cs="Arial"/>
          <w:color w:val="000000" w:themeColor="text1"/>
          <w:sz w:val="22"/>
          <w:szCs w:val="22"/>
        </w:rPr>
        <w:t xml:space="preserve"> debido a las medidas </w:t>
      </w:r>
      <w:r w:rsidR="001F555C" w:rsidRPr="005145A8">
        <w:rPr>
          <w:rFonts w:ascii="Arial" w:hAnsi="Arial" w:cs="Arial"/>
          <w:color w:val="000000" w:themeColor="text1"/>
          <w:sz w:val="22"/>
          <w:szCs w:val="22"/>
        </w:rPr>
        <w:t xml:space="preserve">adoptadas por este Ministerio en ocasión a la Emergencia Económica, Social y Ecológica por el COVID-19 fue necesario ajustar el Plan Institucional de Capacitaciones del MHCP acordes con los lineamientos dados para tal fin. </w:t>
      </w:r>
    </w:p>
    <w:p w14:paraId="3E42AAC3" w14:textId="77777777" w:rsidR="002B6793" w:rsidRPr="00CA48AF" w:rsidRDefault="002B6793" w:rsidP="00E54C49">
      <w:pPr>
        <w:spacing w:line="168" w:lineRule="auto"/>
        <w:ind w:left="284"/>
        <w:jc w:val="both"/>
        <w:rPr>
          <w:rFonts w:ascii="Arial" w:hAnsi="Arial" w:cs="Arial"/>
          <w:color w:val="000000" w:themeColor="text1"/>
          <w:sz w:val="22"/>
          <w:szCs w:val="22"/>
          <w:highlight w:val="yellow"/>
        </w:rPr>
      </w:pPr>
    </w:p>
    <w:p w14:paraId="22EBF8B7" w14:textId="2617CC07" w:rsidR="00E9165D" w:rsidRPr="00FC2E1B" w:rsidRDefault="00E9165D" w:rsidP="00714FD3">
      <w:pPr>
        <w:spacing w:line="168" w:lineRule="auto"/>
        <w:jc w:val="both"/>
        <w:rPr>
          <w:rFonts w:ascii="Arial" w:hAnsi="Arial" w:cs="Arial"/>
          <w:sz w:val="22"/>
          <w:szCs w:val="22"/>
        </w:rPr>
      </w:pPr>
    </w:p>
    <w:p w14:paraId="79FAE6A8" w14:textId="77777777" w:rsidR="00F773CF" w:rsidRPr="00FC2E1B" w:rsidRDefault="00F773CF" w:rsidP="00714FD3">
      <w:pPr>
        <w:spacing w:line="168" w:lineRule="auto"/>
        <w:jc w:val="both"/>
        <w:rPr>
          <w:rFonts w:ascii="Arial" w:hAnsi="Arial" w:cs="Arial"/>
          <w:sz w:val="22"/>
          <w:szCs w:val="22"/>
        </w:rPr>
      </w:pPr>
    </w:p>
    <w:p w14:paraId="51B14751" w14:textId="77777777" w:rsidR="00DF6E6A" w:rsidRPr="00FC2E1B" w:rsidRDefault="00155715" w:rsidP="00D90499">
      <w:pPr>
        <w:pStyle w:val="Prrafodelista"/>
        <w:numPr>
          <w:ilvl w:val="0"/>
          <w:numId w:val="4"/>
        </w:numPr>
        <w:ind w:left="284" w:hanging="284"/>
        <w:rPr>
          <w:rFonts w:ascii="Arial" w:hAnsi="Arial" w:cs="Arial"/>
          <w:b/>
          <w:sz w:val="22"/>
          <w:szCs w:val="22"/>
        </w:rPr>
      </w:pPr>
      <w:r w:rsidRPr="00FC2E1B">
        <w:rPr>
          <w:rFonts w:ascii="Arial" w:hAnsi="Arial" w:cs="Arial"/>
          <w:b/>
          <w:color w:val="000000"/>
          <w:sz w:val="22"/>
          <w:szCs w:val="22"/>
        </w:rPr>
        <w:t xml:space="preserve">ESQUEMA DE SEGURIDAD Y </w:t>
      </w:r>
      <w:r w:rsidR="00DF6E6A" w:rsidRPr="00FC2E1B">
        <w:rPr>
          <w:rFonts w:ascii="Arial" w:hAnsi="Arial" w:cs="Arial"/>
          <w:b/>
          <w:color w:val="000000"/>
          <w:sz w:val="22"/>
          <w:szCs w:val="22"/>
        </w:rPr>
        <w:t>VEHÍCULOS OFICIALES</w:t>
      </w:r>
    </w:p>
    <w:p w14:paraId="1909C92B" w14:textId="77777777" w:rsidR="00155715" w:rsidRPr="00FC2E1B" w:rsidRDefault="00155715" w:rsidP="00155715">
      <w:pPr>
        <w:rPr>
          <w:rFonts w:ascii="Arial" w:hAnsi="Arial" w:cs="Arial"/>
          <w:b/>
          <w:sz w:val="22"/>
          <w:szCs w:val="22"/>
        </w:rPr>
      </w:pPr>
    </w:p>
    <w:p w14:paraId="426132B9" w14:textId="3576966F" w:rsidR="00737C04" w:rsidRPr="00737C04" w:rsidRDefault="00DE0205" w:rsidP="00737C04">
      <w:pPr>
        <w:jc w:val="both"/>
        <w:rPr>
          <w:rFonts w:ascii="Arial" w:hAnsi="Arial" w:cs="Arial"/>
          <w:i/>
          <w:sz w:val="22"/>
          <w:szCs w:val="22"/>
        </w:rPr>
      </w:pPr>
      <w:bookmarkStart w:id="3" w:name="_Hlk35934029"/>
      <w:r w:rsidRPr="00FC2E1B">
        <w:rPr>
          <w:rFonts w:ascii="Arial" w:hAnsi="Arial" w:cs="Arial"/>
          <w:sz w:val="22"/>
          <w:szCs w:val="22"/>
        </w:rPr>
        <w:t>La Directiva Presidencial 09 de 2018</w:t>
      </w:r>
      <w:r w:rsidR="00FC2C5F" w:rsidRPr="00FC2E1B">
        <w:rPr>
          <w:rFonts w:ascii="Arial" w:hAnsi="Arial" w:cs="Arial"/>
          <w:sz w:val="22"/>
          <w:szCs w:val="22"/>
        </w:rPr>
        <w:t xml:space="preserve"> y el Decreto 1009 de 2020, </w:t>
      </w:r>
      <w:r w:rsidRPr="00FC2E1B">
        <w:rPr>
          <w:rFonts w:ascii="Arial" w:hAnsi="Arial" w:cs="Arial"/>
          <w:sz w:val="22"/>
          <w:szCs w:val="22"/>
        </w:rPr>
        <w:t>estableci</w:t>
      </w:r>
      <w:r w:rsidR="00FC2C5F" w:rsidRPr="00FC2E1B">
        <w:rPr>
          <w:rFonts w:ascii="Arial" w:hAnsi="Arial" w:cs="Arial"/>
          <w:sz w:val="22"/>
          <w:szCs w:val="22"/>
        </w:rPr>
        <w:t>eron</w:t>
      </w:r>
      <w:r w:rsidRPr="00FC2E1B">
        <w:rPr>
          <w:rFonts w:ascii="Arial" w:hAnsi="Arial" w:cs="Arial"/>
          <w:sz w:val="22"/>
          <w:szCs w:val="22"/>
        </w:rPr>
        <w:t xml:space="preserve"> como medida de austeridad del gasto </w:t>
      </w:r>
      <w:r w:rsidR="00447F08" w:rsidRPr="00FC2E1B">
        <w:rPr>
          <w:rFonts w:ascii="Arial" w:hAnsi="Arial" w:cs="Arial"/>
          <w:sz w:val="22"/>
          <w:szCs w:val="22"/>
        </w:rPr>
        <w:t>lo siguiente:</w:t>
      </w:r>
      <w:r w:rsidRPr="00FC2E1B">
        <w:rPr>
          <w:rFonts w:ascii="Arial" w:hAnsi="Arial" w:cs="Arial"/>
          <w:sz w:val="22"/>
          <w:szCs w:val="22"/>
        </w:rPr>
        <w:t xml:space="preserve"> </w:t>
      </w:r>
      <w:r w:rsidR="00874E3F" w:rsidRPr="00FC2E1B">
        <w:rPr>
          <w:rFonts w:ascii="Arial" w:hAnsi="Arial" w:cs="Arial"/>
          <w:sz w:val="22"/>
          <w:szCs w:val="22"/>
        </w:rPr>
        <w:t>«</w:t>
      </w:r>
      <w:r w:rsidRPr="00FC2E1B">
        <w:rPr>
          <w:rFonts w:ascii="Arial" w:hAnsi="Arial" w:cs="Arial"/>
          <w:sz w:val="22"/>
          <w:szCs w:val="22"/>
        </w:rPr>
        <w:t xml:space="preserve">la Unidad Nacional de Protección y la Dirección de Protección de la Policía Nacional </w:t>
      </w:r>
      <w:r w:rsidR="00A360D5" w:rsidRPr="00FC2E1B">
        <w:rPr>
          <w:rFonts w:ascii="Arial" w:hAnsi="Arial" w:cs="Arial"/>
          <w:sz w:val="22"/>
          <w:szCs w:val="22"/>
        </w:rPr>
        <w:t xml:space="preserve">con acatamiento del marco legal y reglamentario </w:t>
      </w:r>
      <w:r w:rsidRPr="00FC2E1B">
        <w:rPr>
          <w:rFonts w:ascii="Arial" w:hAnsi="Arial" w:cs="Arial"/>
          <w:sz w:val="22"/>
          <w:szCs w:val="22"/>
        </w:rPr>
        <w:t>deberán en lo posible efectuar una revisión a los esquemas de seguridad de los funcionarios de las entidades de la rama ejecutiva del orden nacional y de ser posible, reducir su conformación</w:t>
      </w:r>
      <w:r w:rsidR="00A360D5" w:rsidRPr="00FC2E1B">
        <w:rPr>
          <w:rFonts w:ascii="Arial" w:hAnsi="Arial" w:cs="Arial"/>
          <w:sz w:val="22"/>
          <w:szCs w:val="22"/>
        </w:rPr>
        <w:t xml:space="preserve"> (…)</w:t>
      </w:r>
      <w:r w:rsidR="00A360D5" w:rsidRPr="00FC2E1B">
        <w:rPr>
          <w:rFonts w:ascii="Arial" w:hAnsi="Arial" w:cs="Arial"/>
          <w:iCs/>
          <w:sz w:val="22"/>
          <w:szCs w:val="22"/>
        </w:rPr>
        <w:t>».</w:t>
      </w:r>
      <w:r w:rsidR="00A360D5" w:rsidRPr="00FC2E1B">
        <w:rPr>
          <w:rFonts w:ascii="Arial" w:hAnsi="Arial" w:cs="Arial"/>
          <w:i/>
          <w:sz w:val="22"/>
          <w:szCs w:val="22"/>
        </w:rPr>
        <w:t xml:space="preserve"> </w:t>
      </w:r>
      <w:r w:rsidRPr="00FC2E1B">
        <w:rPr>
          <w:rFonts w:ascii="Arial" w:hAnsi="Arial" w:cs="Arial"/>
          <w:i/>
          <w:sz w:val="22"/>
          <w:szCs w:val="22"/>
        </w:rPr>
        <w:t xml:space="preserve"> </w:t>
      </w:r>
      <w:bookmarkStart w:id="4" w:name="_Hlk35934138"/>
      <w:r w:rsidR="00737C04" w:rsidRPr="00737C04">
        <w:rPr>
          <w:rFonts w:ascii="Arial" w:hAnsi="Arial" w:cs="Arial"/>
          <w:color w:val="000000" w:themeColor="text1"/>
          <w:sz w:val="22"/>
          <w:szCs w:val="22"/>
        </w:rPr>
        <w:t xml:space="preserve">En este punto es importante precisar que, según la normatividad vigente está contemplado que la persona que ejerza como Ministro de Hacienda y Crédito Público contará con un esquema de seguridad. </w:t>
      </w:r>
    </w:p>
    <w:p w14:paraId="25E3C8A9" w14:textId="77777777" w:rsidR="00737C04" w:rsidRPr="00737C04" w:rsidRDefault="00737C04" w:rsidP="00737C04">
      <w:pPr>
        <w:jc w:val="both"/>
        <w:rPr>
          <w:rFonts w:ascii="Arial" w:hAnsi="Arial" w:cs="Arial"/>
          <w:color w:val="000000" w:themeColor="text1"/>
          <w:sz w:val="22"/>
          <w:szCs w:val="22"/>
        </w:rPr>
      </w:pPr>
    </w:p>
    <w:p w14:paraId="2E95D2FD" w14:textId="364A4E79" w:rsidR="00737C04" w:rsidRPr="00737C04" w:rsidRDefault="00737C04" w:rsidP="00737C04">
      <w:pPr>
        <w:jc w:val="both"/>
        <w:rPr>
          <w:rFonts w:ascii="Arial" w:hAnsi="Arial" w:cs="Arial"/>
          <w:color w:val="000000" w:themeColor="text1"/>
          <w:sz w:val="22"/>
          <w:szCs w:val="22"/>
        </w:rPr>
      </w:pPr>
      <w:r w:rsidRPr="00737C04">
        <w:rPr>
          <w:rFonts w:ascii="Arial" w:hAnsi="Arial" w:cs="Arial"/>
          <w:color w:val="000000" w:themeColor="text1"/>
          <w:sz w:val="22"/>
          <w:szCs w:val="22"/>
        </w:rPr>
        <w:t>Para la vigencia 2019, la</w:t>
      </w:r>
      <w:r>
        <w:rPr>
          <w:rFonts w:ascii="Arial" w:hAnsi="Arial" w:cs="Arial"/>
          <w:color w:val="000000" w:themeColor="text1"/>
          <w:sz w:val="22"/>
          <w:szCs w:val="22"/>
        </w:rPr>
        <w:t xml:space="preserve"> </w:t>
      </w:r>
      <w:r w:rsidRPr="00451884">
        <w:rPr>
          <w:rFonts w:ascii="Arial" w:hAnsi="Arial" w:cs="Arial"/>
          <w:sz w:val="22"/>
          <w:szCs w:val="22"/>
        </w:rPr>
        <w:t>Unidad Nacional de Protección</w:t>
      </w:r>
      <w:r>
        <w:rPr>
          <w:rFonts w:ascii="Arial" w:hAnsi="Arial" w:cs="Arial"/>
          <w:sz w:val="22"/>
          <w:szCs w:val="22"/>
        </w:rPr>
        <w:t xml:space="preserve"> (</w:t>
      </w:r>
      <w:r w:rsidRPr="00737C04">
        <w:rPr>
          <w:rFonts w:ascii="Arial" w:hAnsi="Arial" w:cs="Arial"/>
          <w:color w:val="000000" w:themeColor="text1"/>
          <w:sz w:val="22"/>
          <w:szCs w:val="22"/>
        </w:rPr>
        <w:t>UNP</w:t>
      </w:r>
      <w:r>
        <w:rPr>
          <w:rFonts w:ascii="Arial" w:hAnsi="Arial" w:cs="Arial"/>
          <w:color w:val="000000" w:themeColor="text1"/>
          <w:sz w:val="22"/>
          <w:szCs w:val="22"/>
        </w:rPr>
        <w:t>)</w:t>
      </w:r>
      <w:r w:rsidRPr="00737C04">
        <w:rPr>
          <w:rFonts w:ascii="Arial" w:hAnsi="Arial" w:cs="Arial"/>
          <w:color w:val="000000" w:themeColor="text1"/>
          <w:sz w:val="22"/>
          <w:szCs w:val="22"/>
        </w:rPr>
        <w:t xml:space="preserve"> efectuó un análisis de riesgo a las personas que en su momento ejercían las funciones de Viceministro Técnico y Viceministro General, como resultado, la UNP determinó una situación de emergencia y la activación de la presunción constitucional de riesgo para los funcionarios que desempeñaban </w:t>
      </w:r>
      <w:r>
        <w:rPr>
          <w:rFonts w:ascii="Arial" w:hAnsi="Arial" w:cs="Arial"/>
          <w:color w:val="000000" w:themeColor="text1"/>
          <w:sz w:val="22"/>
          <w:szCs w:val="22"/>
        </w:rPr>
        <w:t xml:space="preserve">en su momento </w:t>
      </w:r>
      <w:r w:rsidRPr="00737C04">
        <w:rPr>
          <w:rFonts w:ascii="Arial" w:hAnsi="Arial" w:cs="Arial"/>
          <w:color w:val="000000" w:themeColor="text1"/>
          <w:sz w:val="22"/>
          <w:szCs w:val="22"/>
        </w:rPr>
        <w:t>dichos cargo</w:t>
      </w:r>
      <w:r>
        <w:rPr>
          <w:rFonts w:ascii="Arial" w:hAnsi="Arial" w:cs="Arial"/>
          <w:color w:val="000000" w:themeColor="text1"/>
          <w:sz w:val="22"/>
          <w:szCs w:val="22"/>
        </w:rPr>
        <w:t>s.</w:t>
      </w:r>
      <w:r w:rsidRPr="00737C04">
        <w:rPr>
          <w:rFonts w:ascii="Arial" w:hAnsi="Arial" w:cs="Arial"/>
          <w:color w:val="000000" w:themeColor="text1"/>
          <w:sz w:val="22"/>
          <w:szCs w:val="22"/>
        </w:rPr>
        <w:t xml:space="preserve"> </w:t>
      </w:r>
    </w:p>
    <w:p w14:paraId="44CBF459" w14:textId="77777777" w:rsidR="00737C04" w:rsidRPr="00CA48AF" w:rsidRDefault="00737C04" w:rsidP="00737C04">
      <w:pPr>
        <w:jc w:val="both"/>
        <w:rPr>
          <w:rFonts w:ascii="Arial" w:hAnsi="Arial" w:cs="Arial"/>
          <w:color w:val="000000" w:themeColor="text1"/>
          <w:sz w:val="22"/>
          <w:szCs w:val="22"/>
          <w:highlight w:val="yellow"/>
        </w:rPr>
      </w:pPr>
    </w:p>
    <w:p w14:paraId="10194B9E" w14:textId="7DE87940" w:rsidR="00737C04" w:rsidRPr="00746B01" w:rsidRDefault="00737C04" w:rsidP="00737C04">
      <w:pPr>
        <w:jc w:val="both"/>
        <w:rPr>
          <w:rFonts w:ascii="Arial" w:hAnsi="Arial" w:cs="Arial"/>
          <w:color w:val="000000" w:themeColor="text1"/>
          <w:sz w:val="22"/>
          <w:szCs w:val="22"/>
        </w:rPr>
      </w:pPr>
      <w:r w:rsidRPr="00746B01">
        <w:rPr>
          <w:rFonts w:ascii="Arial" w:hAnsi="Arial" w:cs="Arial"/>
          <w:color w:val="000000" w:themeColor="text1"/>
          <w:sz w:val="22"/>
          <w:szCs w:val="22"/>
        </w:rPr>
        <w:t>Es de mencionar que, la persona que se desempeñaba en el cargo de Viceministro Técnico laboró para este Ministerio hasta el 15 de septiembre de 2019, en consecuencia, el esquema de seguridad vigente para el M</w:t>
      </w:r>
      <w:r w:rsidR="005F64D0">
        <w:rPr>
          <w:rFonts w:ascii="Arial" w:hAnsi="Arial" w:cs="Arial"/>
          <w:color w:val="000000" w:themeColor="text1"/>
          <w:sz w:val="22"/>
          <w:szCs w:val="22"/>
        </w:rPr>
        <w:t xml:space="preserve">inisterio de </w:t>
      </w:r>
      <w:r w:rsidRPr="00746B01">
        <w:rPr>
          <w:rFonts w:ascii="Arial" w:hAnsi="Arial" w:cs="Arial"/>
          <w:color w:val="000000" w:themeColor="text1"/>
          <w:sz w:val="22"/>
          <w:szCs w:val="22"/>
        </w:rPr>
        <w:t>H</w:t>
      </w:r>
      <w:r w:rsidR="005F64D0">
        <w:rPr>
          <w:rFonts w:ascii="Arial" w:hAnsi="Arial" w:cs="Arial"/>
          <w:color w:val="000000" w:themeColor="text1"/>
          <w:sz w:val="22"/>
          <w:szCs w:val="22"/>
        </w:rPr>
        <w:t xml:space="preserve">acienda y </w:t>
      </w:r>
      <w:r w:rsidRPr="00746B01">
        <w:rPr>
          <w:rFonts w:ascii="Arial" w:hAnsi="Arial" w:cs="Arial"/>
          <w:color w:val="000000" w:themeColor="text1"/>
          <w:sz w:val="22"/>
          <w:szCs w:val="22"/>
        </w:rPr>
        <w:t>C</w:t>
      </w:r>
      <w:r w:rsidR="005F64D0">
        <w:rPr>
          <w:rFonts w:ascii="Arial" w:hAnsi="Arial" w:cs="Arial"/>
          <w:color w:val="000000" w:themeColor="text1"/>
          <w:sz w:val="22"/>
          <w:szCs w:val="22"/>
        </w:rPr>
        <w:t xml:space="preserve">rédito </w:t>
      </w:r>
      <w:r w:rsidRPr="00746B01">
        <w:rPr>
          <w:rFonts w:ascii="Arial" w:hAnsi="Arial" w:cs="Arial"/>
          <w:color w:val="000000" w:themeColor="text1"/>
          <w:sz w:val="22"/>
          <w:szCs w:val="22"/>
        </w:rPr>
        <w:t>P</w:t>
      </w:r>
      <w:r w:rsidR="005F64D0">
        <w:rPr>
          <w:rFonts w:ascii="Arial" w:hAnsi="Arial" w:cs="Arial"/>
          <w:color w:val="000000" w:themeColor="text1"/>
          <w:sz w:val="22"/>
          <w:szCs w:val="22"/>
        </w:rPr>
        <w:t>úblico</w:t>
      </w:r>
      <w:r w:rsidRPr="00746B01">
        <w:rPr>
          <w:rFonts w:ascii="Arial" w:hAnsi="Arial" w:cs="Arial"/>
          <w:color w:val="000000" w:themeColor="text1"/>
          <w:sz w:val="22"/>
          <w:szCs w:val="22"/>
        </w:rPr>
        <w:t xml:space="preserve"> corresponde </w:t>
      </w:r>
      <w:r w:rsidR="00746B01" w:rsidRPr="00746B01">
        <w:rPr>
          <w:rFonts w:ascii="Arial" w:hAnsi="Arial" w:cs="Arial"/>
          <w:color w:val="000000" w:themeColor="text1"/>
          <w:sz w:val="22"/>
          <w:szCs w:val="22"/>
        </w:rPr>
        <w:t>al</w:t>
      </w:r>
      <w:r w:rsidRPr="00746B01">
        <w:rPr>
          <w:rFonts w:ascii="Arial" w:hAnsi="Arial" w:cs="Arial"/>
          <w:color w:val="000000" w:themeColor="text1"/>
          <w:sz w:val="22"/>
          <w:szCs w:val="22"/>
        </w:rPr>
        <w:t xml:space="preserve"> Ministro y Viceministro General. </w:t>
      </w:r>
      <w:r w:rsidR="006276AE">
        <w:rPr>
          <w:rFonts w:ascii="Arial" w:hAnsi="Arial" w:cs="Arial"/>
          <w:color w:val="000000" w:themeColor="text1"/>
          <w:sz w:val="22"/>
          <w:szCs w:val="22"/>
        </w:rPr>
        <w:t xml:space="preserve">Frente al </w:t>
      </w:r>
      <w:r w:rsidR="006276AE" w:rsidRPr="00746B01">
        <w:rPr>
          <w:rFonts w:ascii="Arial" w:hAnsi="Arial" w:cs="Arial"/>
          <w:color w:val="000000" w:themeColor="text1"/>
          <w:sz w:val="22"/>
          <w:szCs w:val="22"/>
        </w:rPr>
        <w:t>esquema de seguridad para el Viceministro General</w:t>
      </w:r>
      <w:r w:rsidR="006276AE">
        <w:rPr>
          <w:rFonts w:ascii="Arial" w:hAnsi="Arial" w:cs="Arial"/>
          <w:color w:val="000000" w:themeColor="text1"/>
          <w:sz w:val="22"/>
          <w:szCs w:val="22"/>
        </w:rPr>
        <w:t xml:space="preserve">, es de aclarar que, </w:t>
      </w:r>
      <w:r w:rsidRPr="00746B01">
        <w:rPr>
          <w:rFonts w:ascii="Arial" w:hAnsi="Arial" w:cs="Arial"/>
          <w:color w:val="000000" w:themeColor="text1"/>
          <w:sz w:val="22"/>
          <w:szCs w:val="22"/>
        </w:rPr>
        <w:t>no está vinculado al cargo que ejerce y que de acuerdo con el análisis que realizó la UNP, será esta, quien informará el tiempo prudente que se debe mantener dicho esquema, es decir, esta medida es temporal. Caso contrario</w:t>
      </w:r>
      <w:r w:rsidR="006276AE">
        <w:rPr>
          <w:rFonts w:ascii="Arial" w:hAnsi="Arial" w:cs="Arial"/>
          <w:color w:val="000000" w:themeColor="text1"/>
          <w:sz w:val="22"/>
          <w:szCs w:val="22"/>
        </w:rPr>
        <w:t>,</w:t>
      </w:r>
      <w:r w:rsidRPr="00746B01">
        <w:rPr>
          <w:rFonts w:ascii="Arial" w:hAnsi="Arial" w:cs="Arial"/>
          <w:color w:val="000000" w:themeColor="text1"/>
          <w:sz w:val="22"/>
          <w:szCs w:val="22"/>
        </w:rPr>
        <w:t xml:space="preserve"> ocurre con el Ministro de Hacienda, </w:t>
      </w:r>
      <w:r w:rsidR="006276AE">
        <w:rPr>
          <w:rFonts w:ascii="Arial" w:hAnsi="Arial" w:cs="Arial"/>
          <w:color w:val="000000" w:themeColor="text1"/>
          <w:sz w:val="22"/>
          <w:szCs w:val="22"/>
        </w:rPr>
        <w:t xml:space="preserve">dado el cargo </w:t>
      </w:r>
      <w:r w:rsidRPr="00746B01">
        <w:rPr>
          <w:rFonts w:ascii="Arial" w:hAnsi="Arial" w:cs="Arial"/>
          <w:color w:val="000000" w:themeColor="text1"/>
          <w:sz w:val="22"/>
          <w:szCs w:val="22"/>
        </w:rPr>
        <w:t xml:space="preserve">que ejerce tiene por derecho un esquema de seguridad de forma permanente. </w:t>
      </w:r>
    </w:p>
    <w:bookmarkEnd w:id="4"/>
    <w:p w14:paraId="5F73075C" w14:textId="44542019" w:rsidR="00E77FDB" w:rsidRPr="002E31F0" w:rsidRDefault="002E6797" w:rsidP="009C2C1D">
      <w:pPr>
        <w:jc w:val="both"/>
        <w:rPr>
          <w:rFonts w:ascii="Arial" w:hAnsi="Arial" w:cs="Arial"/>
          <w:iCs/>
          <w:sz w:val="22"/>
          <w:szCs w:val="22"/>
        </w:rPr>
      </w:pPr>
      <w:r w:rsidRPr="00451884">
        <w:rPr>
          <w:rFonts w:ascii="Arial" w:hAnsi="Arial" w:cs="Arial"/>
          <w:sz w:val="22"/>
          <w:szCs w:val="22"/>
        </w:rPr>
        <w:lastRenderedPageBreak/>
        <w:t xml:space="preserve">Actualmente, el esquema de seguridad del </w:t>
      </w:r>
      <w:r w:rsidR="00DE0205" w:rsidRPr="00451884">
        <w:rPr>
          <w:rFonts w:ascii="Arial" w:hAnsi="Arial" w:cs="Arial"/>
          <w:sz w:val="22"/>
          <w:szCs w:val="22"/>
        </w:rPr>
        <w:t>Ministerio de Hacienda y Crédito Público</w:t>
      </w:r>
      <w:r w:rsidR="004C1439" w:rsidRPr="00451884">
        <w:rPr>
          <w:rFonts w:ascii="Arial" w:hAnsi="Arial" w:cs="Arial"/>
          <w:sz w:val="22"/>
          <w:szCs w:val="22"/>
        </w:rPr>
        <w:t xml:space="preserve"> [MHCP],</w:t>
      </w:r>
      <w:r w:rsidR="00DE0205" w:rsidRPr="00451884">
        <w:rPr>
          <w:rFonts w:ascii="Arial" w:hAnsi="Arial" w:cs="Arial"/>
          <w:sz w:val="22"/>
          <w:szCs w:val="22"/>
        </w:rPr>
        <w:t xml:space="preserve"> está respaldado en </w:t>
      </w:r>
      <w:r w:rsidR="0048295A" w:rsidRPr="00451884">
        <w:rPr>
          <w:rFonts w:ascii="Arial" w:hAnsi="Arial" w:cs="Arial"/>
          <w:sz w:val="22"/>
          <w:szCs w:val="22"/>
        </w:rPr>
        <w:t>dos</w:t>
      </w:r>
      <w:r w:rsidR="00DE0205" w:rsidRPr="00451884">
        <w:rPr>
          <w:rFonts w:ascii="Arial" w:hAnsi="Arial" w:cs="Arial"/>
          <w:sz w:val="22"/>
          <w:szCs w:val="22"/>
        </w:rPr>
        <w:t xml:space="preserve"> </w:t>
      </w:r>
      <w:r w:rsidR="00C95AAC" w:rsidRPr="00451884">
        <w:rPr>
          <w:rFonts w:ascii="Arial" w:hAnsi="Arial" w:cs="Arial"/>
          <w:sz w:val="22"/>
          <w:szCs w:val="22"/>
        </w:rPr>
        <w:t xml:space="preserve">contratos interadministrativos </w:t>
      </w:r>
      <w:r w:rsidR="00DE0205" w:rsidRPr="00451884">
        <w:rPr>
          <w:rFonts w:ascii="Arial" w:hAnsi="Arial" w:cs="Arial"/>
          <w:sz w:val="22"/>
          <w:szCs w:val="22"/>
        </w:rPr>
        <w:t>con la Unidad Nacional de Protecció</w:t>
      </w:r>
      <w:r w:rsidR="0048295A" w:rsidRPr="00451884">
        <w:rPr>
          <w:rFonts w:ascii="Arial" w:hAnsi="Arial" w:cs="Arial"/>
          <w:sz w:val="22"/>
          <w:szCs w:val="22"/>
        </w:rPr>
        <w:t>n (U</w:t>
      </w:r>
      <w:r w:rsidR="00DE0205" w:rsidRPr="00451884">
        <w:rPr>
          <w:rFonts w:ascii="Arial" w:hAnsi="Arial" w:cs="Arial"/>
          <w:sz w:val="22"/>
          <w:szCs w:val="22"/>
        </w:rPr>
        <w:t>NP</w:t>
      </w:r>
      <w:r w:rsidR="0048295A" w:rsidRPr="00451884">
        <w:rPr>
          <w:rFonts w:ascii="Arial" w:hAnsi="Arial" w:cs="Arial"/>
          <w:sz w:val="22"/>
          <w:szCs w:val="22"/>
        </w:rPr>
        <w:t>)</w:t>
      </w:r>
      <w:r w:rsidR="00696CC1" w:rsidRPr="00451884">
        <w:rPr>
          <w:rFonts w:ascii="Arial" w:hAnsi="Arial" w:cs="Arial"/>
          <w:sz w:val="22"/>
          <w:szCs w:val="22"/>
        </w:rPr>
        <w:t xml:space="preserve"> los cuales tienen por objetivo </w:t>
      </w:r>
      <w:r w:rsidR="00A43445" w:rsidRPr="00451884">
        <w:rPr>
          <w:rFonts w:ascii="Arial" w:hAnsi="Arial" w:cs="Arial"/>
          <w:iCs/>
          <w:sz w:val="22"/>
          <w:szCs w:val="22"/>
        </w:rPr>
        <w:t>a</w:t>
      </w:r>
      <w:r w:rsidR="00E77FDB" w:rsidRPr="00451884">
        <w:rPr>
          <w:rFonts w:ascii="Arial" w:hAnsi="Arial" w:cs="Arial"/>
          <w:iCs/>
          <w:sz w:val="22"/>
          <w:szCs w:val="22"/>
        </w:rPr>
        <w:t>unar los esfuerzos, recursos, tecnologías, capacidades y métodos entre la UNP y el MHCP, que permitan ejercer la adecuada protección de los funcionarios</w:t>
      </w:r>
      <w:r w:rsidR="0037046F" w:rsidRPr="00451884">
        <w:rPr>
          <w:rFonts w:ascii="Arial" w:hAnsi="Arial" w:cs="Arial"/>
          <w:iCs/>
          <w:sz w:val="22"/>
          <w:szCs w:val="22"/>
        </w:rPr>
        <w:t xml:space="preserve"> de esta Entidad [Ministro y Viceministro</w:t>
      </w:r>
      <w:r w:rsidR="008A000F" w:rsidRPr="00451884">
        <w:rPr>
          <w:rFonts w:ascii="Arial" w:hAnsi="Arial" w:cs="Arial"/>
          <w:iCs/>
          <w:sz w:val="22"/>
          <w:szCs w:val="22"/>
        </w:rPr>
        <w:t xml:space="preserve"> General</w:t>
      </w:r>
      <w:r w:rsidR="0037046F" w:rsidRPr="00451884">
        <w:rPr>
          <w:rFonts w:ascii="Arial" w:hAnsi="Arial" w:cs="Arial"/>
          <w:iCs/>
          <w:sz w:val="22"/>
          <w:szCs w:val="22"/>
        </w:rPr>
        <w:t>],</w:t>
      </w:r>
      <w:r w:rsidR="00BA2F2D" w:rsidRPr="00451884">
        <w:rPr>
          <w:rFonts w:ascii="Arial" w:hAnsi="Arial" w:cs="Arial"/>
          <w:iCs/>
          <w:sz w:val="22"/>
          <w:szCs w:val="22"/>
        </w:rPr>
        <w:t xml:space="preserve"> para el caso del </w:t>
      </w:r>
      <w:r w:rsidR="00A94B05" w:rsidRPr="00451884">
        <w:rPr>
          <w:rFonts w:ascii="Arial" w:hAnsi="Arial" w:cs="Arial"/>
          <w:iCs/>
          <w:sz w:val="22"/>
          <w:szCs w:val="22"/>
        </w:rPr>
        <w:t>Ministro</w:t>
      </w:r>
      <w:r w:rsidR="00BA2F2D" w:rsidRPr="00451884">
        <w:rPr>
          <w:rFonts w:ascii="Arial" w:hAnsi="Arial" w:cs="Arial"/>
          <w:iCs/>
          <w:sz w:val="22"/>
          <w:szCs w:val="22"/>
        </w:rPr>
        <w:t>,</w:t>
      </w:r>
      <w:r w:rsidR="00A94B05" w:rsidRPr="00451884">
        <w:rPr>
          <w:rFonts w:ascii="Arial" w:hAnsi="Arial" w:cs="Arial"/>
          <w:iCs/>
          <w:sz w:val="22"/>
          <w:szCs w:val="22"/>
        </w:rPr>
        <w:t xml:space="preserve"> en razón al cargo y </w:t>
      </w:r>
      <w:r w:rsidR="00BA2F2D" w:rsidRPr="00451884">
        <w:rPr>
          <w:rFonts w:ascii="Arial" w:hAnsi="Arial" w:cs="Arial"/>
          <w:iCs/>
          <w:sz w:val="22"/>
          <w:szCs w:val="22"/>
        </w:rPr>
        <w:t xml:space="preserve">para </w:t>
      </w:r>
      <w:r w:rsidR="0037046F" w:rsidRPr="00451884">
        <w:rPr>
          <w:rFonts w:ascii="Arial" w:hAnsi="Arial" w:cs="Arial"/>
          <w:iCs/>
          <w:sz w:val="22"/>
          <w:szCs w:val="22"/>
        </w:rPr>
        <w:t xml:space="preserve">el </w:t>
      </w:r>
      <w:r w:rsidR="00A94B05" w:rsidRPr="00451884">
        <w:rPr>
          <w:rFonts w:ascii="Arial" w:hAnsi="Arial" w:cs="Arial"/>
          <w:iCs/>
          <w:sz w:val="22"/>
          <w:szCs w:val="22"/>
        </w:rPr>
        <w:t xml:space="preserve">Viceministro </w:t>
      </w:r>
      <w:r w:rsidR="008A000F" w:rsidRPr="00451884">
        <w:rPr>
          <w:rFonts w:ascii="Arial" w:hAnsi="Arial" w:cs="Arial"/>
          <w:iCs/>
          <w:sz w:val="22"/>
          <w:szCs w:val="22"/>
        </w:rPr>
        <w:t xml:space="preserve"> General </w:t>
      </w:r>
      <w:r w:rsidR="00A94B05" w:rsidRPr="00451884">
        <w:rPr>
          <w:rFonts w:ascii="Arial" w:hAnsi="Arial" w:cs="Arial"/>
          <w:iCs/>
          <w:sz w:val="22"/>
          <w:szCs w:val="22"/>
        </w:rPr>
        <w:t>en razón al riesgo en ejercicio de sus funciones</w:t>
      </w:r>
      <w:r w:rsidR="00BA2F2D" w:rsidRPr="00451884">
        <w:rPr>
          <w:rFonts w:ascii="Arial" w:hAnsi="Arial" w:cs="Arial"/>
          <w:iCs/>
          <w:sz w:val="22"/>
          <w:szCs w:val="22"/>
        </w:rPr>
        <w:t>.</w:t>
      </w:r>
      <w:r w:rsidR="00BA2F2D" w:rsidRPr="002E31F0">
        <w:rPr>
          <w:rFonts w:ascii="Arial" w:hAnsi="Arial" w:cs="Arial"/>
          <w:iCs/>
          <w:sz w:val="22"/>
          <w:szCs w:val="22"/>
        </w:rPr>
        <w:t xml:space="preserve">  </w:t>
      </w:r>
    </w:p>
    <w:p w14:paraId="048E6EF4" w14:textId="2295632A" w:rsidR="00447F08" w:rsidRDefault="00447F08" w:rsidP="009C2C1D">
      <w:pPr>
        <w:jc w:val="both"/>
        <w:rPr>
          <w:rFonts w:ascii="Arial" w:hAnsi="Arial" w:cs="Arial"/>
          <w:iCs/>
          <w:sz w:val="22"/>
          <w:szCs w:val="22"/>
          <w:highlight w:val="yellow"/>
        </w:rPr>
      </w:pPr>
    </w:p>
    <w:p w14:paraId="580A0ED5" w14:textId="77777777" w:rsidR="00D16241" w:rsidRPr="00CA48AF" w:rsidRDefault="00D16241" w:rsidP="009C2C1D">
      <w:pPr>
        <w:jc w:val="both"/>
        <w:rPr>
          <w:rFonts w:ascii="Arial" w:hAnsi="Arial" w:cs="Arial"/>
          <w:iCs/>
          <w:sz w:val="22"/>
          <w:szCs w:val="22"/>
          <w:highlight w:val="yellow"/>
        </w:rPr>
      </w:pPr>
    </w:p>
    <w:tbl>
      <w:tblPr>
        <w:tblStyle w:val="Tabladecuadrcula1clara-nfasis1"/>
        <w:tblW w:w="0" w:type="auto"/>
        <w:jc w:val="center"/>
        <w:tblLook w:val="04A0" w:firstRow="1" w:lastRow="0" w:firstColumn="1" w:lastColumn="0" w:noHBand="0" w:noVBand="1"/>
      </w:tblPr>
      <w:tblGrid>
        <w:gridCol w:w="2504"/>
        <w:gridCol w:w="1284"/>
        <w:gridCol w:w="1329"/>
        <w:gridCol w:w="1217"/>
      </w:tblGrid>
      <w:tr w:rsidR="00696CC1" w:rsidRPr="00451884" w14:paraId="58C04FD8" w14:textId="77777777" w:rsidTr="00D162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04" w:type="dxa"/>
            <w:shd w:val="clear" w:color="auto" w:fill="4F81BD" w:themeFill="accent1"/>
            <w:vAlign w:val="center"/>
            <w:hideMark/>
          </w:tcPr>
          <w:bookmarkEnd w:id="3"/>
          <w:p w14:paraId="017F6ED7" w14:textId="77777777" w:rsidR="00696CC1" w:rsidRPr="00451884" w:rsidRDefault="00696CC1" w:rsidP="00D16241">
            <w:pPr>
              <w:spacing w:before="120" w:after="120"/>
              <w:jc w:val="center"/>
              <w:rPr>
                <w:rFonts w:ascii="Arial" w:hAnsi="Arial" w:cs="Arial"/>
                <w:color w:val="FFFFFF" w:themeColor="background1"/>
                <w:sz w:val="20"/>
                <w:szCs w:val="20"/>
              </w:rPr>
            </w:pPr>
            <w:r w:rsidRPr="00451884">
              <w:rPr>
                <w:rFonts w:ascii="Arial" w:hAnsi="Arial" w:cs="Arial"/>
                <w:color w:val="FFFFFF" w:themeColor="background1"/>
                <w:sz w:val="20"/>
                <w:szCs w:val="20"/>
              </w:rPr>
              <w:t xml:space="preserve">Funcionario </w:t>
            </w:r>
          </w:p>
        </w:tc>
        <w:tc>
          <w:tcPr>
            <w:tcW w:w="0" w:type="auto"/>
            <w:shd w:val="clear" w:color="auto" w:fill="4F81BD" w:themeFill="accent1"/>
            <w:vAlign w:val="center"/>
            <w:hideMark/>
          </w:tcPr>
          <w:p w14:paraId="10CBD8BE" w14:textId="77777777" w:rsidR="00696CC1" w:rsidRPr="00451884" w:rsidRDefault="00696CC1" w:rsidP="00D1624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51884">
              <w:rPr>
                <w:rFonts w:ascii="Arial" w:hAnsi="Arial" w:cs="Arial"/>
                <w:color w:val="FFFFFF" w:themeColor="background1"/>
                <w:sz w:val="20"/>
                <w:szCs w:val="20"/>
              </w:rPr>
              <w:t xml:space="preserve">Convenio </w:t>
            </w:r>
          </w:p>
        </w:tc>
        <w:tc>
          <w:tcPr>
            <w:tcW w:w="0" w:type="auto"/>
            <w:shd w:val="clear" w:color="auto" w:fill="4F81BD" w:themeFill="accent1"/>
            <w:vAlign w:val="center"/>
            <w:hideMark/>
          </w:tcPr>
          <w:p w14:paraId="7746B20F" w14:textId="77777777" w:rsidR="00696CC1" w:rsidRPr="00451884" w:rsidRDefault="00696CC1" w:rsidP="00D1624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51884">
              <w:rPr>
                <w:rFonts w:ascii="Arial" w:hAnsi="Arial" w:cs="Arial"/>
                <w:color w:val="FFFFFF" w:themeColor="background1"/>
                <w:sz w:val="20"/>
                <w:szCs w:val="20"/>
              </w:rPr>
              <w:t xml:space="preserve">Valor </w:t>
            </w:r>
            <w:r w:rsidR="00257449" w:rsidRPr="00451884">
              <w:rPr>
                <w:rFonts w:ascii="Arial" w:hAnsi="Arial" w:cs="Arial"/>
                <w:color w:val="FFFFFF" w:themeColor="background1"/>
                <w:sz w:val="20"/>
                <w:szCs w:val="20"/>
              </w:rPr>
              <w:t>($)</w:t>
            </w:r>
          </w:p>
        </w:tc>
        <w:tc>
          <w:tcPr>
            <w:tcW w:w="0" w:type="auto"/>
            <w:shd w:val="clear" w:color="auto" w:fill="4F81BD" w:themeFill="accent1"/>
            <w:vAlign w:val="center"/>
            <w:hideMark/>
          </w:tcPr>
          <w:p w14:paraId="6E29E843" w14:textId="77777777" w:rsidR="00696CC1" w:rsidRPr="00451884" w:rsidRDefault="00696CC1" w:rsidP="00D1624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451884">
              <w:rPr>
                <w:rFonts w:ascii="Arial" w:hAnsi="Arial" w:cs="Arial"/>
                <w:color w:val="FFFFFF" w:themeColor="background1"/>
                <w:sz w:val="20"/>
                <w:szCs w:val="20"/>
              </w:rPr>
              <w:t xml:space="preserve">Plazo </w:t>
            </w:r>
          </w:p>
        </w:tc>
      </w:tr>
      <w:tr w:rsidR="00696CC1" w:rsidRPr="00451884" w14:paraId="01BFE26E" w14:textId="77777777" w:rsidTr="00D16241">
        <w:trPr>
          <w:trHeight w:val="661"/>
          <w:jc w:val="center"/>
        </w:trPr>
        <w:tc>
          <w:tcPr>
            <w:cnfStyle w:val="001000000000" w:firstRow="0" w:lastRow="0" w:firstColumn="1" w:lastColumn="0" w:oddVBand="0" w:evenVBand="0" w:oddHBand="0" w:evenHBand="0" w:firstRowFirstColumn="0" w:firstRowLastColumn="0" w:lastRowFirstColumn="0" w:lastRowLastColumn="0"/>
            <w:tcW w:w="2504" w:type="dxa"/>
            <w:vAlign w:val="center"/>
            <w:hideMark/>
          </w:tcPr>
          <w:p w14:paraId="64C3F4E6" w14:textId="77777777" w:rsidR="00696CC1" w:rsidRPr="00451884" w:rsidRDefault="00696CC1" w:rsidP="00D16241">
            <w:pPr>
              <w:spacing w:before="120" w:after="120"/>
              <w:jc w:val="center"/>
              <w:rPr>
                <w:rFonts w:ascii="Arial" w:hAnsi="Arial" w:cs="Arial"/>
                <w:b w:val="0"/>
                <w:color w:val="0F243E" w:themeColor="text2" w:themeShade="80"/>
                <w:sz w:val="20"/>
                <w:szCs w:val="20"/>
              </w:rPr>
            </w:pPr>
            <w:r w:rsidRPr="00451884">
              <w:rPr>
                <w:rFonts w:ascii="Arial" w:hAnsi="Arial" w:cs="Arial"/>
                <w:b w:val="0"/>
                <w:color w:val="0F243E" w:themeColor="text2" w:themeShade="80"/>
                <w:sz w:val="20"/>
                <w:szCs w:val="20"/>
              </w:rPr>
              <w:t xml:space="preserve">Ministro </w:t>
            </w:r>
          </w:p>
        </w:tc>
        <w:tc>
          <w:tcPr>
            <w:tcW w:w="0" w:type="auto"/>
            <w:vAlign w:val="center"/>
            <w:hideMark/>
          </w:tcPr>
          <w:p w14:paraId="4C96F6D1" w14:textId="70BAD285" w:rsidR="00696CC1" w:rsidRPr="00451884" w:rsidRDefault="00696CC1"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51884">
              <w:rPr>
                <w:rFonts w:ascii="Arial" w:hAnsi="Arial" w:cs="Arial"/>
                <w:color w:val="0F243E" w:themeColor="text2" w:themeShade="80"/>
                <w:sz w:val="20"/>
                <w:szCs w:val="20"/>
              </w:rPr>
              <w:t>7.0</w:t>
            </w:r>
            <w:r w:rsidR="00FC2C5F" w:rsidRPr="00451884">
              <w:rPr>
                <w:rFonts w:ascii="Arial" w:hAnsi="Arial" w:cs="Arial"/>
                <w:color w:val="0F243E" w:themeColor="text2" w:themeShade="80"/>
                <w:sz w:val="20"/>
                <w:szCs w:val="20"/>
              </w:rPr>
              <w:t xml:space="preserve">03 </w:t>
            </w:r>
            <w:r w:rsidRPr="00451884">
              <w:rPr>
                <w:rFonts w:ascii="Arial" w:hAnsi="Arial" w:cs="Arial"/>
                <w:color w:val="0F243E" w:themeColor="text2" w:themeShade="80"/>
                <w:sz w:val="20"/>
                <w:szCs w:val="20"/>
              </w:rPr>
              <w:t>-20</w:t>
            </w:r>
            <w:r w:rsidR="00FC2C5F" w:rsidRPr="00451884">
              <w:rPr>
                <w:rFonts w:ascii="Arial" w:hAnsi="Arial" w:cs="Arial"/>
                <w:color w:val="0F243E" w:themeColor="text2" w:themeShade="80"/>
                <w:sz w:val="20"/>
                <w:szCs w:val="20"/>
              </w:rPr>
              <w:t>20</w:t>
            </w:r>
          </w:p>
        </w:tc>
        <w:tc>
          <w:tcPr>
            <w:tcW w:w="0" w:type="auto"/>
            <w:vAlign w:val="center"/>
            <w:hideMark/>
          </w:tcPr>
          <w:p w14:paraId="568792E8" w14:textId="45F073F4" w:rsidR="00696CC1" w:rsidRPr="00451884" w:rsidRDefault="00FC2C5F"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51884">
              <w:rPr>
                <w:rFonts w:ascii="Arial" w:hAnsi="Arial" w:cs="Arial"/>
                <w:color w:val="0F243E" w:themeColor="text2" w:themeShade="80"/>
                <w:sz w:val="20"/>
                <w:szCs w:val="20"/>
              </w:rPr>
              <w:t>258.258.000</w:t>
            </w:r>
          </w:p>
        </w:tc>
        <w:tc>
          <w:tcPr>
            <w:tcW w:w="0" w:type="auto"/>
            <w:vAlign w:val="center"/>
            <w:hideMark/>
          </w:tcPr>
          <w:p w14:paraId="2A1BA619" w14:textId="43C0B9DF" w:rsidR="00781674" w:rsidRPr="00451884" w:rsidRDefault="00696CC1"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51884">
              <w:rPr>
                <w:rFonts w:ascii="Arial" w:hAnsi="Arial" w:cs="Arial"/>
                <w:color w:val="0F243E" w:themeColor="text2" w:themeShade="80"/>
                <w:sz w:val="20"/>
                <w:szCs w:val="20"/>
              </w:rPr>
              <w:t>31/</w:t>
            </w:r>
            <w:r w:rsidR="00FC2C5F" w:rsidRPr="00451884">
              <w:rPr>
                <w:rFonts w:ascii="Arial" w:hAnsi="Arial" w:cs="Arial"/>
                <w:color w:val="0F243E" w:themeColor="text2" w:themeShade="80"/>
                <w:sz w:val="20"/>
                <w:szCs w:val="20"/>
              </w:rPr>
              <w:t>12</w:t>
            </w:r>
            <w:r w:rsidR="00781674" w:rsidRPr="00451884">
              <w:rPr>
                <w:rFonts w:ascii="Arial" w:hAnsi="Arial" w:cs="Arial"/>
                <w:color w:val="0F243E" w:themeColor="text2" w:themeShade="80"/>
                <w:sz w:val="20"/>
                <w:szCs w:val="20"/>
              </w:rPr>
              <w:t>/2020</w:t>
            </w:r>
            <w:r w:rsidR="003E57C8" w:rsidRPr="00451884">
              <w:rPr>
                <w:rFonts w:ascii="Arial" w:hAnsi="Arial" w:cs="Arial"/>
                <w:color w:val="0F243E" w:themeColor="text2" w:themeShade="80"/>
                <w:sz w:val="20"/>
                <w:szCs w:val="20"/>
              </w:rPr>
              <w:t xml:space="preserve"> </w:t>
            </w:r>
            <w:r w:rsidR="00781674" w:rsidRPr="00451884">
              <w:rPr>
                <w:rFonts w:ascii="Arial" w:hAnsi="Arial" w:cs="Arial"/>
                <w:color w:val="0F243E" w:themeColor="text2" w:themeShade="80"/>
                <w:sz w:val="20"/>
                <w:szCs w:val="20"/>
              </w:rPr>
              <w:t xml:space="preserve"> </w:t>
            </w:r>
          </w:p>
        </w:tc>
      </w:tr>
      <w:tr w:rsidR="00FD47E8" w:rsidRPr="00CA48AF" w14:paraId="107E3B69" w14:textId="77777777" w:rsidTr="00D16241">
        <w:trPr>
          <w:trHeight w:val="616"/>
          <w:jc w:val="center"/>
        </w:trPr>
        <w:tc>
          <w:tcPr>
            <w:cnfStyle w:val="001000000000" w:firstRow="0" w:lastRow="0" w:firstColumn="1" w:lastColumn="0" w:oddVBand="0" w:evenVBand="0" w:oddHBand="0" w:evenHBand="0" w:firstRowFirstColumn="0" w:firstRowLastColumn="0" w:lastRowFirstColumn="0" w:lastRowLastColumn="0"/>
            <w:tcW w:w="2504" w:type="dxa"/>
            <w:vAlign w:val="center"/>
            <w:hideMark/>
          </w:tcPr>
          <w:p w14:paraId="395E452B" w14:textId="1B044198" w:rsidR="00FD47E8" w:rsidRPr="00451884" w:rsidRDefault="00FD47E8" w:rsidP="00D16241">
            <w:pPr>
              <w:spacing w:before="120" w:after="120"/>
              <w:jc w:val="center"/>
              <w:rPr>
                <w:rFonts w:ascii="Arial" w:hAnsi="Arial" w:cs="Arial"/>
                <w:b w:val="0"/>
                <w:color w:val="0F243E" w:themeColor="text2" w:themeShade="80"/>
                <w:sz w:val="20"/>
                <w:szCs w:val="20"/>
              </w:rPr>
            </w:pPr>
            <w:r w:rsidRPr="00451884">
              <w:rPr>
                <w:rFonts w:ascii="Arial" w:hAnsi="Arial" w:cs="Arial"/>
                <w:b w:val="0"/>
                <w:color w:val="0F243E" w:themeColor="text2" w:themeShade="80"/>
                <w:sz w:val="20"/>
                <w:szCs w:val="20"/>
              </w:rPr>
              <w:t>Viceministro General</w:t>
            </w:r>
          </w:p>
        </w:tc>
        <w:tc>
          <w:tcPr>
            <w:tcW w:w="0" w:type="auto"/>
            <w:vAlign w:val="center"/>
            <w:hideMark/>
          </w:tcPr>
          <w:p w14:paraId="709046BB" w14:textId="260ADEE3" w:rsidR="00FD47E8" w:rsidRPr="00451884" w:rsidRDefault="00FD47E8"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51884">
              <w:rPr>
                <w:rFonts w:ascii="Arial" w:hAnsi="Arial" w:cs="Arial"/>
                <w:color w:val="0F243E" w:themeColor="text2" w:themeShade="80"/>
                <w:sz w:val="20"/>
                <w:szCs w:val="20"/>
              </w:rPr>
              <w:t>7.00</w:t>
            </w:r>
            <w:r w:rsidR="002E31F0" w:rsidRPr="00451884">
              <w:rPr>
                <w:rFonts w:ascii="Arial" w:hAnsi="Arial" w:cs="Arial"/>
                <w:color w:val="0F243E" w:themeColor="text2" w:themeShade="80"/>
                <w:sz w:val="20"/>
                <w:szCs w:val="20"/>
              </w:rPr>
              <w:t>5</w:t>
            </w:r>
            <w:r w:rsidRPr="00451884">
              <w:rPr>
                <w:rFonts w:ascii="Arial" w:hAnsi="Arial" w:cs="Arial"/>
                <w:color w:val="0F243E" w:themeColor="text2" w:themeShade="80"/>
                <w:sz w:val="20"/>
                <w:szCs w:val="20"/>
              </w:rPr>
              <w:t>-20</w:t>
            </w:r>
            <w:r w:rsidR="002E31F0" w:rsidRPr="00451884">
              <w:rPr>
                <w:rFonts w:ascii="Arial" w:hAnsi="Arial" w:cs="Arial"/>
                <w:color w:val="0F243E" w:themeColor="text2" w:themeShade="80"/>
                <w:sz w:val="20"/>
                <w:szCs w:val="20"/>
              </w:rPr>
              <w:t>20</w:t>
            </w:r>
          </w:p>
        </w:tc>
        <w:tc>
          <w:tcPr>
            <w:tcW w:w="0" w:type="auto"/>
            <w:vAlign w:val="center"/>
            <w:hideMark/>
          </w:tcPr>
          <w:p w14:paraId="69F6690B" w14:textId="2D94E76D" w:rsidR="00FD47E8" w:rsidRPr="00451884" w:rsidRDefault="002E31F0"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451884">
              <w:rPr>
                <w:rFonts w:ascii="Arial" w:hAnsi="Arial" w:cs="Arial"/>
                <w:color w:val="0F243E" w:themeColor="text2" w:themeShade="80"/>
                <w:sz w:val="20"/>
                <w:szCs w:val="20"/>
              </w:rPr>
              <w:t>198.055.000</w:t>
            </w:r>
          </w:p>
        </w:tc>
        <w:tc>
          <w:tcPr>
            <w:tcW w:w="0" w:type="auto"/>
            <w:vAlign w:val="center"/>
            <w:hideMark/>
          </w:tcPr>
          <w:p w14:paraId="2D28C79A" w14:textId="3E87E3E8" w:rsidR="00FD47E8" w:rsidRPr="00451884" w:rsidRDefault="00FC2C5F" w:rsidP="00D1624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51884">
              <w:rPr>
                <w:rFonts w:ascii="Arial" w:hAnsi="Arial" w:cs="Arial"/>
                <w:color w:val="0F243E" w:themeColor="text2" w:themeShade="80"/>
                <w:sz w:val="20"/>
                <w:szCs w:val="20"/>
              </w:rPr>
              <w:t>31</w:t>
            </w:r>
            <w:r w:rsidR="00FD47E8" w:rsidRPr="00451884">
              <w:rPr>
                <w:rFonts w:ascii="Arial" w:hAnsi="Arial" w:cs="Arial"/>
                <w:color w:val="0F243E" w:themeColor="text2" w:themeShade="80"/>
                <w:sz w:val="20"/>
                <w:szCs w:val="20"/>
              </w:rPr>
              <w:t>/</w:t>
            </w:r>
            <w:r w:rsidR="002E31F0" w:rsidRPr="00451884">
              <w:rPr>
                <w:rFonts w:ascii="Arial" w:hAnsi="Arial" w:cs="Arial"/>
                <w:color w:val="0F243E" w:themeColor="text2" w:themeShade="80"/>
                <w:sz w:val="20"/>
                <w:szCs w:val="20"/>
              </w:rPr>
              <w:t>12</w:t>
            </w:r>
            <w:r w:rsidR="00FD47E8" w:rsidRPr="00451884">
              <w:rPr>
                <w:rFonts w:ascii="Arial" w:hAnsi="Arial" w:cs="Arial"/>
                <w:color w:val="0F243E" w:themeColor="text2" w:themeShade="80"/>
                <w:sz w:val="20"/>
                <w:szCs w:val="20"/>
              </w:rPr>
              <w:t>/2020</w:t>
            </w:r>
            <w:r w:rsidR="003E57C8" w:rsidRPr="00451884">
              <w:rPr>
                <w:rFonts w:ascii="Arial" w:hAnsi="Arial" w:cs="Arial"/>
                <w:color w:val="0F243E" w:themeColor="text2" w:themeShade="80"/>
                <w:sz w:val="20"/>
                <w:szCs w:val="20"/>
              </w:rPr>
              <w:t xml:space="preserve"> </w:t>
            </w:r>
          </w:p>
        </w:tc>
      </w:tr>
    </w:tbl>
    <w:p w14:paraId="21C65919" w14:textId="012ADC34" w:rsidR="001E2203" w:rsidRDefault="001E2203" w:rsidP="003E57C8">
      <w:pPr>
        <w:spacing w:line="168" w:lineRule="auto"/>
        <w:jc w:val="both"/>
        <w:rPr>
          <w:rFonts w:ascii="Arial" w:hAnsi="Arial" w:cs="Arial"/>
          <w:color w:val="000000" w:themeColor="text1"/>
          <w:sz w:val="22"/>
          <w:szCs w:val="22"/>
          <w:highlight w:val="yellow"/>
        </w:rPr>
      </w:pPr>
    </w:p>
    <w:p w14:paraId="644E65CB" w14:textId="77777777" w:rsidR="00D16241" w:rsidRPr="00CA48AF" w:rsidRDefault="00D16241" w:rsidP="003E57C8">
      <w:pPr>
        <w:spacing w:line="168" w:lineRule="auto"/>
        <w:jc w:val="both"/>
        <w:rPr>
          <w:rFonts w:ascii="Arial" w:hAnsi="Arial" w:cs="Arial"/>
          <w:color w:val="000000" w:themeColor="text1"/>
          <w:sz w:val="22"/>
          <w:szCs w:val="22"/>
          <w:highlight w:val="yellow"/>
        </w:rPr>
      </w:pPr>
    </w:p>
    <w:p w14:paraId="63C31D7C" w14:textId="6925497D" w:rsidR="00BC7FA2" w:rsidRDefault="00C742B1" w:rsidP="00D07472">
      <w:pPr>
        <w:jc w:val="both"/>
        <w:rPr>
          <w:rFonts w:ascii="Arial" w:hAnsi="Arial" w:cs="Arial"/>
          <w:color w:val="000000" w:themeColor="text1"/>
          <w:sz w:val="22"/>
          <w:szCs w:val="22"/>
        </w:rPr>
      </w:pPr>
      <w:r w:rsidRPr="002537F9">
        <w:rPr>
          <w:rFonts w:ascii="Arial" w:hAnsi="Arial" w:cs="Arial"/>
          <w:color w:val="000000" w:themeColor="text1"/>
          <w:sz w:val="22"/>
          <w:szCs w:val="22"/>
        </w:rPr>
        <w:t>Con base en la información consultada en el SIIF concerniente a las obligaciones registradas por concepto de esquema de seguridad para el Ministro de Hacienda y el Viceministro</w:t>
      </w:r>
      <w:r w:rsidR="0058008F" w:rsidRPr="002537F9">
        <w:rPr>
          <w:rFonts w:ascii="Arial" w:hAnsi="Arial" w:cs="Arial"/>
          <w:color w:val="000000" w:themeColor="text1"/>
          <w:sz w:val="22"/>
          <w:szCs w:val="22"/>
        </w:rPr>
        <w:t xml:space="preserve"> </w:t>
      </w:r>
      <w:r w:rsidRPr="002537F9">
        <w:rPr>
          <w:rFonts w:ascii="Arial" w:hAnsi="Arial" w:cs="Arial"/>
          <w:color w:val="000000" w:themeColor="text1"/>
          <w:sz w:val="22"/>
          <w:szCs w:val="22"/>
        </w:rPr>
        <w:t xml:space="preserve">General, se determinó las variaciones del gasto correspondientes al </w:t>
      </w:r>
      <w:r w:rsidR="00646043">
        <w:rPr>
          <w:rFonts w:ascii="Arial" w:hAnsi="Arial" w:cs="Arial"/>
          <w:color w:val="000000" w:themeColor="text1"/>
          <w:sz w:val="22"/>
          <w:szCs w:val="22"/>
        </w:rPr>
        <w:t xml:space="preserve">tercer </w:t>
      </w:r>
      <w:r w:rsidR="007629FC" w:rsidRPr="002537F9">
        <w:rPr>
          <w:rFonts w:ascii="Arial" w:hAnsi="Arial" w:cs="Arial"/>
          <w:color w:val="000000" w:themeColor="text1"/>
          <w:sz w:val="22"/>
          <w:szCs w:val="22"/>
        </w:rPr>
        <w:t>trimestre de 20</w:t>
      </w:r>
      <w:r w:rsidR="00FC761F" w:rsidRPr="002537F9">
        <w:rPr>
          <w:rFonts w:ascii="Arial" w:hAnsi="Arial" w:cs="Arial"/>
          <w:color w:val="000000" w:themeColor="text1"/>
          <w:sz w:val="22"/>
          <w:szCs w:val="22"/>
        </w:rPr>
        <w:t>20</w:t>
      </w:r>
      <w:r w:rsidR="00123DD5" w:rsidRPr="002537F9">
        <w:rPr>
          <w:rFonts w:ascii="Arial" w:hAnsi="Arial" w:cs="Arial"/>
          <w:color w:val="000000" w:themeColor="text1"/>
          <w:sz w:val="22"/>
          <w:szCs w:val="22"/>
        </w:rPr>
        <w:t xml:space="preserve"> </w:t>
      </w:r>
      <w:r w:rsidR="007629FC" w:rsidRPr="002537F9">
        <w:rPr>
          <w:rFonts w:ascii="Arial" w:hAnsi="Arial" w:cs="Arial"/>
          <w:color w:val="000000" w:themeColor="text1"/>
          <w:sz w:val="22"/>
          <w:szCs w:val="22"/>
        </w:rPr>
        <w:t>comparado con el mismo periodo de 201</w:t>
      </w:r>
      <w:r w:rsidR="00062F0C" w:rsidRPr="002537F9">
        <w:rPr>
          <w:rFonts w:ascii="Arial" w:hAnsi="Arial" w:cs="Arial"/>
          <w:color w:val="000000" w:themeColor="text1"/>
          <w:sz w:val="22"/>
          <w:szCs w:val="22"/>
        </w:rPr>
        <w:t>9</w:t>
      </w:r>
      <w:r w:rsidRPr="002537F9">
        <w:rPr>
          <w:rFonts w:ascii="Arial" w:hAnsi="Arial" w:cs="Arial"/>
          <w:color w:val="000000" w:themeColor="text1"/>
          <w:sz w:val="22"/>
          <w:szCs w:val="22"/>
        </w:rPr>
        <w:t xml:space="preserve">, así: </w:t>
      </w:r>
      <w:r w:rsidR="00D07472" w:rsidRPr="002537F9">
        <w:rPr>
          <w:rFonts w:ascii="Arial" w:hAnsi="Arial" w:cs="Arial"/>
          <w:color w:val="000000" w:themeColor="text1"/>
          <w:sz w:val="22"/>
          <w:szCs w:val="22"/>
        </w:rPr>
        <w:t xml:space="preserve"> </w:t>
      </w:r>
      <w:r w:rsidR="00123DD5" w:rsidRPr="002537F9">
        <w:rPr>
          <w:rFonts w:ascii="Arial" w:hAnsi="Arial" w:cs="Arial"/>
          <w:color w:val="000000" w:themeColor="text1"/>
          <w:sz w:val="22"/>
          <w:szCs w:val="22"/>
        </w:rPr>
        <w:t xml:space="preserve"> </w:t>
      </w:r>
    </w:p>
    <w:p w14:paraId="0A6CC770" w14:textId="0A2BCE49" w:rsidR="00E27AAC" w:rsidRDefault="00E27AAC" w:rsidP="00D07472">
      <w:pPr>
        <w:jc w:val="both"/>
        <w:rPr>
          <w:rFonts w:ascii="Arial" w:hAnsi="Arial" w:cs="Arial"/>
          <w:color w:val="000000" w:themeColor="text1"/>
          <w:sz w:val="22"/>
          <w:szCs w:val="22"/>
        </w:rPr>
      </w:pPr>
    </w:p>
    <w:tbl>
      <w:tblPr>
        <w:tblStyle w:val="Tabladecuadrcula1clara-nfasis1"/>
        <w:tblW w:w="0" w:type="auto"/>
        <w:tblLook w:val="04A0" w:firstRow="1" w:lastRow="0" w:firstColumn="1" w:lastColumn="0" w:noHBand="0" w:noVBand="1"/>
      </w:tblPr>
      <w:tblGrid>
        <w:gridCol w:w="3512"/>
        <w:gridCol w:w="1607"/>
        <w:gridCol w:w="1329"/>
        <w:gridCol w:w="1738"/>
        <w:gridCol w:w="1443"/>
      </w:tblGrid>
      <w:tr w:rsidR="00E27AAC" w:rsidRPr="00E27AAC" w14:paraId="74C22D8B" w14:textId="77777777" w:rsidTr="00D16241">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4F81BD" w:themeFill="accent1"/>
            <w:vAlign w:val="center"/>
            <w:hideMark/>
          </w:tcPr>
          <w:p w14:paraId="6DD3E341" w14:textId="77777777" w:rsidR="00E27AAC" w:rsidRPr="00E27AAC" w:rsidRDefault="00E27AAC" w:rsidP="00D16241">
            <w:pPr>
              <w:spacing w:before="60" w:after="60"/>
              <w:jc w:val="center"/>
              <w:rPr>
                <w:rFonts w:ascii="Arial" w:hAnsi="Arial" w:cs="Arial"/>
                <w:color w:val="000000"/>
                <w:sz w:val="20"/>
                <w:szCs w:val="20"/>
              </w:rPr>
            </w:pPr>
            <w:r w:rsidRPr="00E27AAC">
              <w:rPr>
                <w:rFonts w:ascii="Arial" w:hAnsi="Arial" w:cs="Arial"/>
                <w:color w:val="FFFFFF" w:themeColor="background1"/>
                <w:sz w:val="20"/>
                <w:szCs w:val="20"/>
              </w:rPr>
              <w:t>Gasto Esquema de Seguridad III Trimestre de 2020-2019</w:t>
            </w:r>
          </w:p>
        </w:tc>
      </w:tr>
      <w:tr w:rsidR="00F54C05" w:rsidRPr="00E27AAC" w14:paraId="4ED98EDB" w14:textId="77777777" w:rsidTr="00D16241">
        <w:trPr>
          <w:trHeight w:val="860"/>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585A344A" w14:textId="77777777" w:rsidR="00E27AAC" w:rsidRPr="00E27AAC" w:rsidRDefault="00E27AAC" w:rsidP="00D16241">
            <w:pPr>
              <w:spacing w:before="60" w:after="60"/>
              <w:jc w:val="center"/>
              <w:rPr>
                <w:rFonts w:ascii="Arial" w:hAnsi="Arial" w:cs="Arial"/>
                <w:color w:val="0F243E" w:themeColor="text2" w:themeShade="80"/>
                <w:sz w:val="20"/>
                <w:szCs w:val="20"/>
              </w:rPr>
            </w:pPr>
            <w:r w:rsidRPr="00E27AAC">
              <w:rPr>
                <w:rFonts w:ascii="Arial" w:hAnsi="Arial" w:cs="Arial"/>
                <w:color w:val="0F243E" w:themeColor="text2" w:themeShade="80"/>
                <w:sz w:val="20"/>
                <w:szCs w:val="20"/>
              </w:rPr>
              <w:t>Concepto</w:t>
            </w:r>
          </w:p>
        </w:tc>
        <w:tc>
          <w:tcPr>
            <w:tcW w:w="1607" w:type="dxa"/>
            <w:shd w:val="clear" w:color="auto" w:fill="DBE5F1" w:themeFill="accent1" w:themeFillTint="33"/>
            <w:vAlign w:val="center"/>
            <w:hideMark/>
          </w:tcPr>
          <w:p w14:paraId="1794F265" w14:textId="77777777" w:rsidR="00E27AAC" w:rsidRPr="00E27AAC" w:rsidRDefault="00E27AAC"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Vigencia 2020</w:t>
            </w:r>
          </w:p>
        </w:tc>
        <w:tc>
          <w:tcPr>
            <w:tcW w:w="1164" w:type="dxa"/>
            <w:shd w:val="clear" w:color="auto" w:fill="DBE5F1" w:themeFill="accent1" w:themeFillTint="33"/>
            <w:vAlign w:val="center"/>
            <w:hideMark/>
          </w:tcPr>
          <w:p w14:paraId="4823DBAA" w14:textId="77777777" w:rsidR="00E27AAC" w:rsidRPr="00E27AAC" w:rsidRDefault="00E27AAC"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Vigencia 2019</w:t>
            </w:r>
          </w:p>
        </w:tc>
        <w:tc>
          <w:tcPr>
            <w:tcW w:w="0" w:type="auto"/>
            <w:shd w:val="clear" w:color="auto" w:fill="DBE5F1" w:themeFill="accent1" w:themeFillTint="33"/>
            <w:vAlign w:val="center"/>
            <w:hideMark/>
          </w:tcPr>
          <w:p w14:paraId="22AEF3D5" w14:textId="77777777" w:rsidR="00E27AAC" w:rsidRPr="00E27AAC" w:rsidRDefault="00E27AAC"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Variación Absoluta ($)</w:t>
            </w:r>
          </w:p>
        </w:tc>
        <w:tc>
          <w:tcPr>
            <w:tcW w:w="0" w:type="auto"/>
            <w:shd w:val="clear" w:color="auto" w:fill="DBE5F1" w:themeFill="accent1" w:themeFillTint="33"/>
            <w:vAlign w:val="center"/>
            <w:hideMark/>
          </w:tcPr>
          <w:p w14:paraId="2CCCFB83" w14:textId="77777777" w:rsidR="00E27AAC" w:rsidRPr="00E27AAC" w:rsidRDefault="00E27AAC"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Variación Relativa</w:t>
            </w:r>
          </w:p>
        </w:tc>
      </w:tr>
      <w:tr w:rsidR="00F54C05" w:rsidRPr="00E27AAC" w14:paraId="7EDFD425" w14:textId="77777777" w:rsidTr="00444FFA">
        <w:trPr>
          <w:trHeight w:val="94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4A3F3A" w14:textId="77777777" w:rsidR="00E27AAC" w:rsidRPr="00E27AAC" w:rsidRDefault="00E27AAC" w:rsidP="00D16241">
            <w:pPr>
              <w:spacing w:before="60" w:after="60"/>
              <w:jc w:val="center"/>
              <w:rPr>
                <w:rFonts w:ascii="Arial" w:hAnsi="Arial" w:cs="Arial"/>
                <w:color w:val="0F243E"/>
                <w:sz w:val="20"/>
                <w:szCs w:val="20"/>
              </w:rPr>
            </w:pPr>
            <w:r w:rsidRPr="00E27AAC">
              <w:rPr>
                <w:rFonts w:ascii="Arial" w:hAnsi="Arial" w:cs="Arial"/>
                <w:color w:val="0F243E"/>
                <w:sz w:val="20"/>
                <w:szCs w:val="20"/>
              </w:rPr>
              <w:t>Esquema de Seguridad del Ministro de Hacienda y Crédito Público</w:t>
            </w:r>
          </w:p>
        </w:tc>
        <w:tc>
          <w:tcPr>
            <w:tcW w:w="1607" w:type="dxa"/>
            <w:vAlign w:val="center"/>
            <w:hideMark/>
          </w:tcPr>
          <w:p w14:paraId="3A685B7A" w14:textId="26ABA225"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7AAC">
              <w:rPr>
                <w:rFonts w:ascii="Arial" w:hAnsi="Arial" w:cs="Arial"/>
                <w:color w:val="0F243E" w:themeColor="text2" w:themeShade="80"/>
                <w:sz w:val="20"/>
                <w:szCs w:val="20"/>
              </w:rPr>
              <w:t xml:space="preserve"> 89.559.000 </w:t>
            </w:r>
          </w:p>
        </w:tc>
        <w:tc>
          <w:tcPr>
            <w:tcW w:w="1164" w:type="dxa"/>
            <w:vAlign w:val="center"/>
            <w:hideMark/>
          </w:tcPr>
          <w:p w14:paraId="508A3521" w14:textId="122B052D"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7AAC">
              <w:rPr>
                <w:rFonts w:ascii="Arial" w:hAnsi="Arial" w:cs="Arial"/>
                <w:color w:val="0F243E" w:themeColor="text2" w:themeShade="80"/>
                <w:sz w:val="20"/>
                <w:szCs w:val="20"/>
              </w:rPr>
              <w:t xml:space="preserve"> 89.231.893 </w:t>
            </w:r>
          </w:p>
        </w:tc>
        <w:tc>
          <w:tcPr>
            <w:tcW w:w="0" w:type="auto"/>
            <w:vAlign w:val="center"/>
            <w:hideMark/>
          </w:tcPr>
          <w:p w14:paraId="61251CB6" w14:textId="4F1E163C"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 xml:space="preserve">              327.107 </w:t>
            </w:r>
          </w:p>
        </w:tc>
        <w:tc>
          <w:tcPr>
            <w:tcW w:w="0" w:type="auto"/>
            <w:vAlign w:val="center"/>
            <w:hideMark/>
          </w:tcPr>
          <w:p w14:paraId="67CB5745" w14:textId="77777777" w:rsidR="00E27AAC" w:rsidRPr="00E27AAC" w:rsidRDefault="00E27AAC"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0,4%</w:t>
            </w:r>
          </w:p>
        </w:tc>
      </w:tr>
      <w:tr w:rsidR="00F54C05" w:rsidRPr="00E27AAC" w14:paraId="1B196A1A" w14:textId="77777777" w:rsidTr="00D16241">
        <w:trPr>
          <w:trHeight w:val="83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BDA86BA" w14:textId="77777777" w:rsidR="00E27AAC" w:rsidRPr="00E27AAC" w:rsidRDefault="00E27AAC" w:rsidP="00D16241">
            <w:pPr>
              <w:spacing w:before="60" w:after="60"/>
              <w:jc w:val="center"/>
              <w:rPr>
                <w:rFonts w:ascii="Arial" w:hAnsi="Arial" w:cs="Arial"/>
                <w:color w:val="0F243E"/>
                <w:sz w:val="20"/>
                <w:szCs w:val="20"/>
              </w:rPr>
            </w:pPr>
            <w:r w:rsidRPr="00E27AAC">
              <w:rPr>
                <w:rFonts w:ascii="Arial" w:hAnsi="Arial" w:cs="Arial"/>
                <w:color w:val="0F243E"/>
                <w:sz w:val="20"/>
                <w:szCs w:val="20"/>
              </w:rPr>
              <w:t>Esquema de Seguridad de Viceministros</w:t>
            </w:r>
          </w:p>
        </w:tc>
        <w:tc>
          <w:tcPr>
            <w:tcW w:w="1607" w:type="dxa"/>
            <w:vAlign w:val="center"/>
            <w:hideMark/>
          </w:tcPr>
          <w:p w14:paraId="396F6E01" w14:textId="69236DCF"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7AAC">
              <w:rPr>
                <w:rFonts w:ascii="Arial" w:hAnsi="Arial" w:cs="Arial"/>
                <w:color w:val="0F243E" w:themeColor="text2" w:themeShade="80"/>
                <w:sz w:val="20"/>
                <w:szCs w:val="20"/>
              </w:rPr>
              <w:t xml:space="preserve">  84.641.575 </w:t>
            </w:r>
          </w:p>
        </w:tc>
        <w:tc>
          <w:tcPr>
            <w:tcW w:w="1164" w:type="dxa"/>
            <w:vAlign w:val="center"/>
            <w:hideMark/>
          </w:tcPr>
          <w:p w14:paraId="02DBED84" w14:textId="4B37E013"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27AAC">
              <w:rPr>
                <w:rFonts w:ascii="Arial" w:hAnsi="Arial" w:cs="Arial"/>
                <w:color w:val="0F243E" w:themeColor="text2" w:themeShade="80"/>
                <w:sz w:val="20"/>
                <w:szCs w:val="20"/>
              </w:rPr>
              <w:t xml:space="preserve">107.790.656 </w:t>
            </w:r>
          </w:p>
        </w:tc>
        <w:tc>
          <w:tcPr>
            <w:tcW w:w="0" w:type="auto"/>
            <w:vAlign w:val="center"/>
            <w:hideMark/>
          </w:tcPr>
          <w:p w14:paraId="4A338990" w14:textId="76D65E59" w:rsidR="00E27AAC" w:rsidRPr="00E27AAC" w:rsidRDefault="00E27AAC" w:rsidP="00D16241">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27AAC">
              <w:rPr>
                <w:rFonts w:ascii="Arial" w:hAnsi="Arial" w:cs="Arial"/>
                <w:b/>
                <w:bCs/>
                <w:color w:val="0F243E" w:themeColor="text2" w:themeShade="80"/>
                <w:sz w:val="20"/>
                <w:szCs w:val="20"/>
              </w:rPr>
              <w:t xml:space="preserve">     </w:t>
            </w:r>
            <w:r w:rsidR="00F54C05" w:rsidRPr="00444FFA">
              <w:rPr>
                <w:rFonts w:ascii="Arial" w:hAnsi="Arial" w:cs="Arial"/>
                <w:b/>
                <w:bCs/>
                <w:color w:val="0F243E" w:themeColor="text2" w:themeShade="80"/>
                <w:sz w:val="20"/>
                <w:szCs w:val="20"/>
              </w:rPr>
              <w:t>(</w:t>
            </w:r>
            <w:r w:rsidRPr="00E27AAC">
              <w:rPr>
                <w:rFonts w:ascii="Arial" w:hAnsi="Arial" w:cs="Arial"/>
                <w:b/>
                <w:bCs/>
                <w:color w:val="0F243E" w:themeColor="text2" w:themeShade="80"/>
                <w:sz w:val="20"/>
                <w:szCs w:val="20"/>
              </w:rPr>
              <w:t>23.149.081</w:t>
            </w:r>
            <w:r w:rsidR="00F54C05" w:rsidRPr="00444FFA">
              <w:rPr>
                <w:rFonts w:ascii="Arial" w:hAnsi="Arial" w:cs="Arial"/>
                <w:b/>
                <w:bCs/>
                <w:color w:val="0F243E" w:themeColor="text2" w:themeShade="80"/>
                <w:sz w:val="20"/>
                <w:szCs w:val="20"/>
              </w:rPr>
              <w:t>)</w:t>
            </w:r>
            <w:r w:rsidRPr="00E27AAC">
              <w:rPr>
                <w:rFonts w:ascii="Arial" w:hAnsi="Arial" w:cs="Arial"/>
                <w:b/>
                <w:bCs/>
                <w:color w:val="0F243E" w:themeColor="text2" w:themeShade="80"/>
                <w:sz w:val="20"/>
                <w:szCs w:val="20"/>
              </w:rPr>
              <w:t xml:space="preserve"> </w:t>
            </w:r>
          </w:p>
        </w:tc>
        <w:tc>
          <w:tcPr>
            <w:tcW w:w="0" w:type="auto"/>
            <w:vAlign w:val="center"/>
            <w:hideMark/>
          </w:tcPr>
          <w:p w14:paraId="36314463" w14:textId="1E1C3EB1" w:rsidR="00E27AAC" w:rsidRPr="00E27AAC" w:rsidRDefault="00444FFA" w:rsidP="00D1624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44FFA">
              <w:rPr>
                <w:rFonts w:ascii="Arial" w:hAnsi="Arial" w:cs="Arial"/>
                <w:b/>
                <w:bCs/>
                <w:color w:val="0F243E" w:themeColor="text2" w:themeShade="80"/>
                <w:sz w:val="20"/>
                <w:szCs w:val="20"/>
              </w:rPr>
              <w:t>(</w:t>
            </w:r>
            <w:r w:rsidR="00E27AAC" w:rsidRPr="00E27AAC">
              <w:rPr>
                <w:rFonts w:ascii="Arial" w:hAnsi="Arial" w:cs="Arial"/>
                <w:b/>
                <w:bCs/>
                <w:color w:val="0F243E" w:themeColor="text2" w:themeShade="80"/>
                <w:sz w:val="20"/>
                <w:szCs w:val="20"/>
              </w:rPr>
              <w:t>21,5%</w:t>
            </w:r>
            <w:r w:rsidRPr="00444FFA">
              <w:rPr>
                <w:rFonts w:ascii="Arial" w:hAnsi="Arial" w:cs="Arial"/>
                <w:b/>
                <w:bCs/>
                <w:color w:val="0F243E" w:themeColor="text2" w:themeShade="80"/>
                <w:sz w:val="20"/>
                <w:szCs w:val="20"/>
              </w:rPr>
              <w:t>)</w:t>
            </w:r>
          </w:p>
        </w:tc>
      </w:tr>
    </w:tbl>
    <w:p w14:paraId="4D957BA5" w14:textId="36F91EBC" w:rsidR="00E27AAC" w:rsidRDefault="00E27AAC" w:rsidP="00D07472">
      <w:pPr>
        <w:jc w:val="both"/>
        <w:rPr>
          <w:rFonts w:ascii="Arial" w:hAnsi="Arial" w:cs="Arial"/>
          <w:color w:val="000000" w:themeColor="text1"/>
          <w:sz w:val="22"/>
          <w:szCs w:val="22"/>
        </w:rPr>
      </w:pPr>
    </w:p>
    <w:p w14:paraId="2D2FB9C2" w14:textId="4E68FC30" w:rsidR="00A66A67" w:rsidRPr="00A66A67" w:rsidRDefault="00F54C05" w:rsidP="00F54C05">
      <w:pPr>
        <w:jc w:val="both"/>
        <w:rPr>
          <w:rFonts w:ascii="Arial" w:hAnsi="Arial" w:cs="Arial"/>
          <w:color w:val="000000" w:themeColor="text1"/>
          <w:sz w:val="22"/>
          <w:szCs w:val="22"/>
        </w:rPr>
      </w:pPr>
      <w:r w:rsidRPr="00A66A67">
        <w:rPr>
          <w:rFonts w:ascii="Arial" w:hAnsi="Arial" w:cs="Arial"/>
          <w:color w:val="000000" w:themeColor="text1"/>
          <w:sz w:val="22"/>
          <w:szCs w:val="22"/>
        </w:rPr>
        <w:t>Con respecto al valor del gasto por concepto de esquema de seguridad del Ministro de Hacienda y Crédito Público, se observó una variación positiva</w:t>
      </w:r>
      <w:r w:rsidR="00F6764E">
        <w:rPr>
          <w:rFonts w:ascii="Arial" w:hAnsi="Arial" w:cs="Arial"/>
          <w:color w:val="000000" w:themeColor="text1"/>
          <w:sz w:val="22"/>
          <w:szCs w:val="22"/>
        </w:rPr>
        <w:t xml:space="preserve"> </w:t>
      </w:r>
      <w:r w:rsidR="00A66A67" w:rsidRPr="00A66A67">
        <w:rPr>
          <w:rFonts w:ascii="Arial" w:hAnsi="Arial" w:cs="Arial"/>
          <w:color w:val="000000" w:themeColor="text1"/>
          <w:sz w:val="22"/>
          <w:szCs w:val="22"/>
        </w:rPr>
        <w:t>representando un incremento del 0,4%</w:t>
      </w:r>
      <w:r w:rsidR="00C90FF9">
        <w:rPr>
          <w:rFonts w:ascii="Arial" w:hAnsi="Arial" w:cs="Arial"/>
          <w:color w:val="000000" w:themeColor="text1"/>
          <w:sz w:val="22"/>
          <w:szCs w:val="22"/>
        </w:rPr>
        <w:t>. Sobre el particular, la Subdirección de Servicios indicó</w:t>
      </w:r>
      <w:r w:rsidR="00CC642A">
        <w:rPr>
          <w:rFonts w:ascii="Arial" w:hAnsi="Arial" w:cs="Arial"/>
          <w:color w:val="000000" w:themeColor="text1"/>
          <w:sz w:val="22"/>
          <w:szCs w:val="22"/>
        </w:rPr>
        <w:t xml:space="preserve"> que en </w:t>
      </w:r>
      <w:r w:rsidR="00C90FF9">
        <w:rPr>
          <w:rFonts w:ascii="Arial" w:hAnsi="Arial" w:cs="Arial"/>
          <w:color w:val="000000" w:themeColor="text1"/>
          <w:sz w:val="22"/>
          <w:szCs w:val="22"/>
        </w:rPr>
        <w:t xml:space="preserve">parte </w:t>
      </w:r>
      <w:r w:rsidR="00CC642A">
        <w:rPr>
          <w:rFonts w:ascii="Arial" w:hAnsi="Arial" w:cs="Arial"/>
          <w:color w:val="000000" w:themeColor="text1"/>
          <w:sz w:val="22"/>
          <w:szCs w:val="22"/>
        </w:rPr>
        <w:t xml:space="preserve">la variación fue </w:t>
      </w:r>
      <w:r w:rsidR="00C90FF9">
        <w:rPr>
          <w:rFonts w:ascii="Arial" w:hAnsi="Arial" w:cs="Arial"/>
          <w:color w:val="000000" w:themeColor="text1"/>
          <w:sz w:val="22"/>
          <w:szCs w:val="22"/>
        </w:rPr>
        <w:t>originad</w:t>
      </w:r>
      <w:r w:rsidR="00CC642A">
        <w:rPr>
          <w:rFonts w:ascii="Arial" w:hAnsi="Arial" w:cs="Arial"/>
          <w:color w:val="000000" w:themeColor="text1"/>
          <w:sz w:val="22"/>
          <w:szCs w:val="22"/>
        </w:rPr>
        <w:t>a</w:t>
      </w:r>
      <w:r w:rsidR="00C90FF9">
        <w:rPr>
          <w:rFonts w:ascii="Arial" w:hAnsi="Arial" w:cs="Arial"/>
          <w:color w:val="000000" w:themeColor="text1"/>
          <w:sz w:val="22"/>
          <w:szCs w:val="22"/>
        </w:rPr>
        <w:t xml:space="preserve"> por el </w:t>
      </w:r>
      <w:r w:rsidR="00C90FF9" w:rsidRPr="00C90FF9">
        <w:rPr>
          <w:rFonts w:ascii="Arial" w:hAnsi="Arial" w:cs="Arial"/>
          <w:color w:val="000000" w:themeColor="text1"/>
          <w:sz w:val="22"/>
          <w:szCs w:val="22"/>
        </w:rPr>
        <w:t xml:space="preserve">incremento anual en las tarifas </w:t>
      </w:r>
      <w:r w:rsidR="00C90FF9">
        <w:rPr>
          <w:rFonts w:ascii="Arial" w:hAnsi="Arial" w:cs="Arial"/>
          <w:color w:val="000000" w:themeColor="text1"/>
          <w:sz w:val="22"/>
          <w:szCs w:val="22"/>
        </w:rPr>
        <w:t xml:space="preserve">establecidas por la </w:t>
      </w:r>
      <w:r w:rsidR="00C90FF9" w:rsidRPr="00C90FF9">
        <w:rPr>
          <w:rFonts w:ascii="Arial" w:hAnsi="Arial" w:cs="Arial"/>
          <w:color w:val="000000" w:themeColor="text1"/>
          <w:sz w:val="22"/>
          <w:szCs w:val="22"/>
        </w:rPr>
        <w:t>UNP</w:t>
      </w:r>
      <w:r w:rsidR="00C90FF9">
        <w:rPr>
          <w:rFonts w:ascii="Arial" w:hAnsi="Arial" w:cs="Arial"/>
          <w:color w:val="000000" w:themeColor="text1"/>
          <w:sz w:val="22"/>
          <w:szCs w:val="22"/>
        </w:rPr>
        <w:t xml:space="preserve">. </w:t>
      </w:r>
      <w:r w:rsidR="00CC642A">
        <w:rPr>
          <w:rFonts w:ascii="Arial" w:hAnsi="Arial" w:cs="Arial"/>
          <w:color w:val="000000" w:themeColor="text1"/>
          <w:sz w:val="22"/>
          <w:szCs w:val="22"/>
        </w:rPr>
        <w:t xml:space="preserve">Es de mencionar que, </w:t>
      </w:r>
      <w:r w:rsidR="00BB0723">
        <w:rPr>
          <w:rFonts w:ascii="Arial" w:hAnsi="Arial" w:cs="Arial"/>
          <w:color w:val="000000" w:themeColor="text1"/>
          <w:sz w:val="22"/>
          <w:szCs w:val="22"/>
        </w:rPr>
        <w:t>el gasto presentó un comportamiento en términos generales estable</w:t>
      </w:r>
      <w:r w:rsidR="00C90FF9">
        <w:rPr>
          <w:rFonts w:ascii="Arial" w:hAnsi="Arial" w:cs="Arial"/>
          <w:color w:val="000000" w:themeColor="text1"/>
          <w:sz w:val="22"/>
          <w:szCs w:val="22"/>
        </w:rPr>
        <w:t xml:space="preserve">. </w:t>
      </w:r>
    </w:p>
    <w:p w14:paraId="6F0CF63C" w14:textId="77777777" w:rsidR="00A66A67" w:rsidRDefault="00A66A67" w:rsidP="00F54C05">
      <w:pPr>
        <w:jc w:val="both"/>
        <w:rPr>
          <w:rFonts w:ascii="Arial" w:hAnsi="Arial" w:cs="Arial"/>
          <w:color w:val="000000" w:themeColor="text1"/>
          <w:sz w:val="22"/>
          <w:szCs w:val="22"/>
          <w:highlight w:val="yellow"/>
        </w:rPr>
      </w:pPr>
    </w:p>
    <w:p w14:paraId="3D741CD2" w14:textId="72CE09A9" w:rsidR="00F54C05" w:rsidRPr="00F6764E" w:rsidRDefault="00F54C05" w:rsidP="00F54C05">
      <w:pPr>
        <w:jc w:val="both"/>
        <w:rPr>
          <w:rFonts w:ascii="Arial" w:hAnsi="Arial" w:cs="Arial"/>
          <w:color w:val="000000" w:themeColor="text1"/>
          <w:sz w:val="22"/>
          <w:szCs w:val="22"/>
        </w:rPr>
      </w:pPr>
      <w:r w:rsidRPr="00F6764E">
        <w:rPr>
          <w:rFonts w:ascii="Arial" w:hAnsi="Arial" w:cs="Arial"/>
          <w:color w:val="000000" w:themeColor="text1"/>
          <w:sz w:val="22"/>
          <w:szCs w:val="22"/>
        </w:rPr>
        <w:t xml:space="preserve">Referente al valor del gasto del esquema de seguridad del Viceministro General, se evidenció una </w:t>
      </w:r>
      <w:r w:rsidRPr="00F6764E">
        <w:rPr>
          <w:rFonts w:ascii="Arial" w:hAnsi="Arial" w:cs="Arial"/>
          <w:b/>
          <w:bCs/>
          <w:color w:val="000000" w:themeColor="text1"/>
          <w:sz w:val="22"/>
          <w:szCs w:val="22"/>
        </w:rPr>
        <w:t xml:space="preserve">disminución </w:t>
      </w:r>
      <w:r w:rsidRPr="00F6764E">
        <w:rPr>
          <w:rFonts w:ascii="Arial" w:hAnsi="Arial" w:cs="Arial"/>
          <w:color w:val="000000" w:themeColor="text1"/>
          <w:sz w:val="22"/>
          <w:szCs w:val="22"/>
        </w:rPr>
        <w:t xml:space="preserve">de $ </w:t>
      </w:r>
      <w:r w:rsidR="00BB0723" w:rsidRPr="00F6764E">
        <w:rPr>
          <w:rFonts w:ascii="Arial" w:hAnsi="Arial" w:cs="Arial"/>
          <w:color w:val="000000" w:themeColor="text1"/>
          <w:sz w:val="22"/>
          <w:szCs w:val="22"/>
        </w:rPr>
        <w:t>23.149.081</w:t>
      </w:r>
      <w:r w:rsidRPr="00F6764E">
        <w:rPr>
          <w:rFonts w:ascii="Arial" w:hAnsi="Arial" w:cs="Arial"/>
          <w:color w:val="000000" w:themeColor="text1"/>
          <w:sz w:val="22"/>
          <w:szCs w:val="22"/>
        </w:rPr>
        <w:t xml:space="preserve">, equivalente a </w:t>
      </w:r>
      <w:r w:rsidR="00BB0723" w:rsidRPr="00F6764E">
        <w:rPr>
          <w:rFonts w:ascii="Arial" w:hAnsi="Arial" w:cs="Arial"/>
          <w:color w:val="000000" w:themeColor="text1"/>
          <w:sz w:val="22"/>
          <w:szCs w:val="22"/>
        </w:rPr>
        <w:t>un 21,5</w:t>
      </w:r>
      <w:r w:rsidRPr="00F6764E">
        <w:rPr>
          <w:rFonts w:ascii="Arial" w:hAnsi="Arial" w:cs="Arial"/>
          <w:color w:val="000000" w:themeColor="text1"/>
          <w:sz w:val="22"/>
          <w:szCs w:val="22"/>
        </w:rPr>
        <w:t>%. En este punto, es relevante precisar que, el contrato interadministrativo</w:t>
      </w:r>
      <w:r w:rsidR="00E9291A">
        <w:rPr>
          <w:rFonts w:ascii="Arial" w:hAnsi="Arial" w:cs="Arial"/>
          <w:color w:val="000000" w:themeColor="text1"/>
          <w:sz w:val="22"/>
          <w:szCs w:val="22"/>
        </w:rPr>
        <w:t xml:space="preserve"> suscrito para la vigencia 2019 [</w:t>
      </w:r>
      <w:r w:rsidRPr="00F6764E">
        <w:rPr>
          <w:rFonts w:ascii="Arial" w:hAnsi="Arial" w:cs="Arial"/>
          <w:color w:val="000000" w:themeColor="text1"/>
          <w:sz w:val="22"/>
          <w:szCs w:val="22"/>
        </w:rPr>
        <w:t>7.001-2019</w:t>
      </w:r>
      <w:r w:rsidR="00E9291A">
        <w:rPr>
          <w:rFonts w:ascii="Arial" w:hAnsi="Arial" w:cs="Arial"/>
          <w:color w:val="000000" w:themeColor="text1"/>
          <w:sz w:val="22"/>
          <w:szCs w:val="22"/>
        </w:rPr>
        <w:t>]</w:t>
      </w:r>
      <w:r w:rsidRPr="00F6764E">
        <w:rPr>
          <w:rFonts w:ascii="Arial" w:hAnsi="Arial" w:cs="Arial"/>
          <w:color w:val="000000" w:themeColor="text1"/>
          <w:sz w:val="22"/>
          <w:szCs w:val="22"/>
        </w:rPr>
        <w:t xml:space="preserve"> inició el 18 de febrero de 2019 y en su momento el valor mensual correspondía al esquema de seguridad de los Viceministros General y Técnico. No obstante, la persona que desempeñaba el cargo de Viceministro Técnico, el cual estaba amparado bajo el esquema de seguridad del citado contrato, laboró en este Ministerio hasta el 15 de septiembre de 2019. </w:t>
      </w:r>
      <w:r w:rsidR="00C43601">
        <w:rPr>
          <w:rFonts w:ascii="Arial" w:hAnsi="Arial" w:cs="Arial"/>
          <w:color w:val="000000" w:themeColor="text1"/>
          <w:sz w:val="22"/>
          <w:szCs w:val="22"/>
        </w:rPr>
        <w:t xml:space="preserve">Es decir, que para el tercer trimestre de la vigencia 2020 el gasto correspondió solo al Viceministro General. </w:t>
      </w:r>
      <w:r w:rsidRPr="00F6764E">
        <w:rPr>
          <w:rFonts w:ascii="Arial" w:hAnsi="Arial" w:cs="Arial"/>
          <w:color w:val="000000" w:themeColor="text1"/>
          <w:sz w:val="22"/>
          <w:szCs w:val="22"/>
        </w:rPr>
        <w:t xml:space="preserve">Con base en lo anterior, se deduce que en parte la reducción presentada obedeció a la situación antes descrita. </w:t>
      </w:r>
    </w:p>
    <w:p w14:paraId="4F5EDE4B" w14:textId="7996E9DD" w:rsidR="00F30E76" w:rsidRPr="00F30E76" w:rsidRDefault="00F30E76" w:rsidP="00D16241">
      <w:pPr>
        <w:jc w:val="both"/>
        <w:rPr>
          <w:rFonts w:ascii="Arial" w:hAnsi="Arial" w:cs="Arial"/>
          <w:color w:val="000000" w:themeColor="text1"/>
          <w:sz w:val="22"/>
          <w:szCs w:val="22"/>
        </w:rPr>
      </w:pPr>
      <w:r w:rsidRPr="00F30E76">
        <w:rPr>
          <w:rFonts w:ascii="Arial" w:hAnsi="Arial" w:cs="Arial"/>
          <w:color w:val="000000" w:themeColor="text1"/>
          <w:sz w:val="22"/>
          <w:szCs w:val="22"/>
        </w:rPr>
        <w:lastRenderedPageBreak/>
        <w:t xml:space="preserve">En términos globales, el valor del gasto por concepto de esquema de seguridad del Ministerio de Hacienda y Crédito Público para el </w:t>
      </w:r>
      <w:r>
        <w:rPr>
          <w:rFonts w:ascii="Arial" w:hAnsi="Arial" w:cs="Arial"/>
          <w:color w:val="000000" w:themeColor="text1"/>
          <w:sz w:val="22"/>
          <w:szCs w:val="22"/>
        </w:rPr>
        <w:t xml:space="preserve">tercer </w:t>
      </w:r>
      <w:r w:rsidRPr="00F30E76">
        <w:rPr>
          <w:rFonts w:ascii="Arial" w:hAnsi="Arial" w:cs="Arial"/>
          <w:color w:val="000000" w:themeColor="text1"/>
          <w:sz w:val="22"/>
          <w:szCs w:val="22"/>
        </w:rPr>
        <w:t xml:space="preserve">trimestre de 2020 frente al mismo periodo del año 2019, </w:t>
      </w:r>
      <w:r w:rsidRPr="00F30E76">
        <w:rPr>
          <w:rFonts w:ascii="Arial" w:hAnsi="Arial" w:cs="Arial"/>
          <w:b/>
          <w:bCs/>
          <w:color w:val="000000" w:themeColor="text1"/>
          <w:sz w:val="22"/>
          <w:szCs w:val="22"/>
        </w:rPr>
        <w:t>disminuyó</w:t>
      </w:r>
      <w:r w:rsidRPr="00F30E76">
        <w:rPr>
          <w:rFonts w:ascii="Arial" w:hAnsi="Arial" w:cs="Arial"/>
          <w:color w:val="000000" w:themeColor="text1"/>
          <w:sz w:val="22"/>
          <w:szCs w:val="22"/>
        </w:rPr>
        <w:t xml:space="preserve"> en un </w:t>
      </w:r>
      <w:r>
        <w:rPr>
          <w:rFonts w:ascii="Arial" w:hAnsi="Arial" w:cs="Arial"/>
          <w:color w:val="000000" w:themeColor="text1"/>
          <w:sz w:val="22"/>
          <w:szCs w:val="22"/>
        </w:rPr>
        <w:t>1</w:t>
      </w:r>
      <w:r w:rsidRPr="00F30E76">
        <w:rPr>
          <w:rFonts w:ascii="Arial" w:hAnsi="Arial" w:cs="Arial"/>
          <w:color w:val="000000" w:themeColor="text1"/>
          <w:sz w:val="22"/>
          <w:szCs w:val="22"/>
        </w:rPr>
        <w:t xml:space="preserve">2%, así: </w:t>
      </w:r>
    </w:p>
    <w:p w14:paraId="090A83C7" w14:textId="776F5B82" w:rsidR="00D16241" w:rsidRDefault="00D16241" w:rsidP="00D16241">
      <w:pPr>
        <w:jc w:val="both"/>
        <w:rPr>
          <w:rFonts w:ascii="Arial" w:hAnsi="Arial" w:cs="Arial"/>
          <w:color w:val="000000" w:themeColor="text1"/>
          <w:sz w:val="22"/>
          <w:szCs w:val="22"/>
          <w:highlight w:val="yellow"/>
        </w:rPr>
      </w:pPr>
    </w:p>
    <w:tbl>
      <w:tblPr>
        <w:tblStyle w:val="Tabladecuadrcula1clara-nfasis1"/>
        <w:tblW w:w="0" w:type="auto"/>
        <w:tblLook w:val="04A0" w:firstRow="1" w:lastRow="0" w:firstColumn="1" w:lastColumn="0" w:noHBand="0" w:noVBand="1"/>
      </w:tblPr>
      <w:tblGrid>
        <w:gridCol w:w="1306"/>
        <w:gridCol w:w="2800"/>
        <w:gridCol w:w="2268"/>
        <w:gridCol w:w="1985"/>
        <w:gridCol w:w="1270"/>
      </w:tblGrid>
      <w:tr w:rsidR="00490848" w:rsidRPr="00490848" w14:paraId="4F89ADB2" w14:textId="77777777" w:rsidTr="0058174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noWrap/>
            <w:vAlign w:val="center"/>
            <w:hideMark/>
          </w:tcPr>
          <w:p w14:paraId="7CF44A2B" w14:textId="77777777" w:rsidR="00490848" w:rsidRPr="00490848" w:rsidRDefault="00490848" w:rsidP="00D16241">
            <w:pPr>
              <w:jc w:val="center"/>
              <w:rPr>
                <w:rFonts w:ascii="Arial" w:hAnsi="Arial" w:cs="Arial"/>
                <w:color w:val="FFFFFF"/>
                <w:sz w:val="20"/>
                <w:szCs w:val="20"/>
              </w:rPr>
            </w:pPr>
            <w:r w:rsidRPr="00490848">
              <w:rPr>
                <w:rFonts w:ascii="Arial" w:hAnsi="Arial" w:cs="Arial"/>
                <w:color w:val="FFFFFF"/>
                <w:sz w:val="20"/>
                <w:szCs w:val="20"/>
              </w:rPr>
              <w:t>Periodo</w:t>
            </w:r>
          </w:p>
        </w:tc>
        <w:tc>
          <w:tcPr>
            <w:tcW w:w="2800" w:type="dxa"/>
            <w:shd w:val="clear" w:color="auto" w:fill="4F81BD" w:themeFill="accent1"/>
            <w:vAlign w:val="center"/>
            <w:hideMark/>
          </w:tcPr>
          <w:p w14:paraId="7CECFC87" w14:textId="5B12F8E1" w:rsid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490848">
              <w:rPr>
                <w:rFonts w:ascii="Arial" w:hAnsi="Arial" w:cs="Arial"/>
                <w:color w:val="FFFFFF"/>
                <w:sz w:val="20"/>
                <w:szCs w:val="20"/>
              </w:rPr>
              <w:t xml:space="preserve"> Contrato</w:t>
            </w:r>
            <w:r w:rsidR="00E27AAC">
              <w:rPr>
                <w:rFonts w:ascii="Arial" w:hAnsi="Arial" w:cs="Arial"/>
                <w:color w:val="FFFFFF"/>
                <w:sz w:val="20"/>
                <w:szCs w:val="20"/>
              </w:rPr>
              <w:t>s</w:t>
            </w:r>
            <w:r>
              <w:rPr>
                <w:rFonts w:ascii="Arial" w:hAnsi="Arial" w:cs="Arial"/>
                <w:color w:val="FFFFFF"/>
                <w:sz w:val="20"/>
                <w:szCs w:val="20"/>
              </w:rPr>
              <w:t>:</w:t>
            </w:r>
            <w:r w:rsidRPr="00490848">
              <w:rPr>
                <w:rFonts w:ascii="Arial" w:hAnsi="Arial" w:cs="Arial"/>
                <w:color w:val="FFFFFF"/>
                <w:sz w:val="20"/>
                <w:szCs w:val="20"/>
              </w:rPr>
              <w:t xml:space="preserve"> </w:t>
            </w:r>
          </w:p>
          <w:p w14:paraId="42CE4AFB" w14:textId="7D5030CF" w:rsidR="00490848" w:rsidRP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90848">
              <w:rPr>
                <w:rFonts w:ascii="Arial" w:hAnsi="Arial" w:cs="Arial"/>
                <w:color w:val="FFFFFF"/>
                <w:sz w:val="20"/>
                <w:szCs w:val="20"/>
              </w:rPr>
              <w:t>7.001-2019</w:t>
            </w:r>
            <w:r>
              <w:rPr>
                <w:rFonts w:ascii="Arial" w:hAnsi="Arial" w:cs="Arial"/>
                <w:color w:val="FFFFFF"/>
                <w:sz w:val="20"/>
                <w:szCs w:val="20"/>
              </w:rPr>
              <w:t xml:space="preserve">, </w:t>
            </w:r>
            <w:r w:rsidRPr="00490848">
              <w:rPr>
                <w:rFonts w:ascii="Arial" w:hAnsi="Arial" w:cs="Arial"/>
                <w:color w:val="FFFFFF"/>
                <w:sz w:val="20"/>
                <w:szCs w:val="20"/>
              </w:rPr>
              <w:t>7.003-2020</w:t>
            </w:r>
            <w:r>
              <w:rPr>
                <w:rFonts w:ascii="Arial" w:hAnsi="Arial" w:cs="Arial"/>
                <w:color w:val="FFFFFF"/>
                <w:sz w:val="20"/>
                <w:szCs w:val="20"/>
              </w:rPr>
              <w:t xml:space="preserve">, </w:t>
            </w:r>
            <w:r w:rsidRPr="00490848">
              <w:rPr>
                <w:rFonts w:ascii="Arial" w:hAnsi="Arial" w:cs="Arial"/>
                <w:color w:val="FFFFFF"/>
                <w:sz w:val="20"/>
                <w:szCs w:val="20"/>
              </w:rPr>
              <w:t>7.005-2020</w:t>
            </w:r>
          </w:p>
        </w:tc>
        <w:tc>
          <w:tcPr>
            <w:tcW w:w="2268" w:type="dxa"/>
            <w:shd w:val="clear" w:color="auto" w:fill="4F81BD" w:themeFill="accent1"/>
            <w:vAlign w:val="center"/>
            <w:hideMark/>
          </w:tcPr>
          <w:p w14:paraId="7C8C4B37" w14:textId="6C59FC40" w:rsid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490848">
              <w:rPr>
                <w:rFonts w:ascii="Arial" w:hAnsi="Arial" w:cs="Arial"/>
                <w:color w:val="FFFFFF"/>
                <w:sz w:val="20"/>
                <w:szCs w:val="20"/>
              </w:rPr>
              <w:t>Contrato</w:t>
            </w:r>
            <w:r>
              <w:rPr>
                <w:rFonts w:ascii="Arial" w:hAnsi="Arial" w:cs="Arial"/>
                <w:color w:val="FFFFFF"/>
                <w:sz w:val="20"/>
                <w:szCs w:val="20"/>
              </w:rPr>
              <w:t>s</w:t>
            </w:r>
          </w:p>
          <w:p w14:paraId="7F1F66A8" w14:textId="2ED96F5A" w:rsidR="00490848" w:rsidRP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90848">
              <w:rPr>
                <w:rFonts w:ascii="Arial" w:hAnsi="Arial" w:cs="Arial"/>
                <w:color w:val="FFFFFF"/>
                <w:sz w:val="20"/>
                <w:szCs w:val="20"/>
              </w:rPr>
              <w:t>7.001-2019</w:t>
            </w:r>
            <w:r>
              <w:rPr>
                <w:rFonts w:ascii="Arial" w:hAnsi="Arial" w:cs="Arial"/>
                <w:color w:val="FFFFFF"/>
                <w:sz w:val="20"/>
                <w:szCs w:val="20"/>
              </w:rPr>
              <w:t>,</w:t>
            </w:r>
            <w:r w:rsidRPr="00490848">
              <w:rPr>
                <w:rFonts w:ascii="Arial" w:hAnsi="Arial" w:cs="Arial"/>
                <w:color w:val="FFFFFF"/>
                <w:sz w:val="20"/>
                <w:szCs w:val="20"/>
              </w:rPr>
              <w:t xml:space="preserve"> 7.021-2018</w:t>
            </w:r>
          </w:p>
        </w:tc>
        <w:tc>
          <w:tcPr>
            <w:tcW w:w="1985" w:type="dxa"/>
            <w:vMerge w:val="restart"/>
            <w:shd w:val="clear" w:color="auto" w:fill="4F81BD" w:themeFill="accent1"/>
            <w:vAlign w:val="center"/>
            <w:hideMark/>
          </w:tcPr>
          <w:p w14:paraId="72B23550" w14:textId="77777777" w:rsidR="00490848" w:rsidRP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90848">
              <w:rPr>
                <w:rFonts w:ascii="Arial" w:hAnsi="Arial" w:cs="Arial"/>
                <w:color w:val="FFFFFF"/>
                <w:sz w:val="20"/>
                <w:szCs w:val="20"/>
              </w:rPr>
              <w:t>Variación Absoluta $</w:t>
            </w:r>
          </w:p>
        </w:tc>
        <w:tc>
          <w:tcPr>
            <w:tcW w:w="1270" w:type="dxa"/>
            <w:vMerge w:val="restart"/>
            <w:shd w:val="clear" w:color="auto" w:fill="4F81BD" w:themeFill="accent1"/>
            <w:vAlign w:val="center"/>
            <w:hideMark/>
          </w:tcPr>
          <w:p w14:paraId="39B428B0" w14:textId="77777777" w:rsidR="00490848" w:rsidRPr="00490848" w:rsidRDefault="00490848" w:rsidP="00D1624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90848">
              <w:rPr>
                <w:rFonts w:ascii="Arial" w:hAnsi="Arial" w:cs="Arial"/>
                <w:color w:val="FFFFFF"/>
                <w:sz w:val="20"/>
                <w:szCs w:val="20"/>
              </w:rPr>
              <w:t>Variación Relativa %</w:t>
            </w:r>
          </w:p>
        </w:tc>
      </w:tr>
      <w:tr w:rsidR="00490848" w:rsidRPr="00490848" w14:paraId="4B2143C9" w14:textId="77777777" w:rsidTr="0058174F">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FD9639F" w14:textId="77777777" w:rsidR="00490848" w:rsidRPr="00490848" w:rsidRDefault="00490848" w:rsidP="00D16241">
            <w:pPr>
              <w:spacing w:before="120" w:after="100"/>
              <w:rPr>
                <w:rFonts w:ascii="Arial" w:hAnsi="Arial" w:cs="Arial"/>
                <w:color w:val="FFFFFF"/>
                <w:sz w:val="20"/>
                <w:szCs w:val="20"/>
              </w:rPr>
            </w:pPr>
          </w:p>
        </w:tc>
        <w:tc>
          <w:tcPr>
            <w:tcW w:w="2800" w:type="dxa"/>
            <w:shd w:val="clear" w:color="auto" w:fill="4F81BD" w:themeFill="accent1"/>
            <w:noWrap/>
            <w:vAlign w:val="center"/>
            <w:hideMark/>
          </w:tcPr>
          <w:p w14:paraId="01CFC26D" w14:textId="77777777"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90848">
              <w:rPr>
                <w:rFonts w:ascii="Arial" w:hAnsi="Arial" w:cs="Arial"/>
                <w:b/>
                <w:bCs/>
                <w:color w:val="FFFFFF"/>
                <w:sz w:val="20"/>
                <w:szCs w:val="20"/>
              </w:rPr>
              <w:t>III Trimestre de 2020</w:t>
            </w:r>
          </w:p>
        </w:tc>
        <w:tc>
          <w:tcPr>
            <w:tcW w:w="2268" w:type="dxa"/>
            <w:shd w:val="clear" w:color="auto" w:fill="4F81BD" w:themeFill="accent1"/>
            <w:noWrap/>
            <w:vAlign w:val="center"/>
            <w:hideMark/>
          </w:tcPr>
          <w:p w14:paraId="1A628639" w14:textId="77777777"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90848">
              <w:rPr>
                <w:rFonts w:ascii="Arial" w:hAnsi="Arial" w:cs="Arial"/>
                <w:b/>
                <w:bCs/>
                <w:color w:val="FFFFFF"/>
                <w:sz w:val="20"/>
                <w:szCs w:val="20"/>
              </w:rPr>
              <w:t>III Trimestre de 2019</w:t>
            </w:r>
          </w:p>
        </w:tc>
        <w:tc>
          <w:tcPr>
            <w:tcW w:w="1985" w:type="dxa"/>
            <w:vMerge/>
            <w:vAlign w:val="center"/>
            <w:hideMark/>
          </w:tcPr>
          <w:p w14:paraId="50C3FC25" w14:textId="77777777" w:rsidR="00490848" w:rsidRPr="00490848" w:rsidRDefault="00490848" w:rsidP="00D16241">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270" w:type="dxa"/>
            <w:vMerge/>
            <w:vAlign w:val="center"/>
            <w:hideMark/>
          </w:tcPr>
          <w:p w14:paraId="09ACF435" w14:textId="77777777" w:rsidR="00490848" w:rsidRPr="00490848" w:rsidRDefault="00490848" w:rsidP="00D16241">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490848" w:rsidRPr="00490848" w14:paraId="1EF88851" w14:textId="77777777" w:rsidTr="0058174F">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6324824" w14:textId="77777777" w:rsidR="00490848" w:rsidRPr="00490848" w:rsidRDefault="00490848" w:rsidP="00D16241">
            <w:pPr>
              <w:spacing w:before="120" w:after="100"/>
              <w:rPr>
                <w:rFonts w:ascii="Arial" w:hAnsi="Arial" w:cs="Arial"/>
                <w:color w:val="0F243E" w:themeColor="text2" w:themeShade="80"/>
                <w:sz w:val="20"/>
                <w:szCs w:val="20"/>
              </w:rPr>
            </w:pPr>
            <w:r w:rsidRPr="00490848">
              <w:rPr>
                <w:rFonts w:ascii="Arial" w:hAnsi="Arial" w:cs="Arial"/>
                <w:color w:val="0F243E" w:themeColor="text2" w:themeShade="80"/>
                <w:sz w:val="20"/>
                <w:szCs w:val="20"/>
              </w:rPr>
              <w:t>Julio</w:t>
            </w:r>
          </w:p>
        </w:tc>
        <w:tc>
          <w:tcPr>
            <w:tcW w:w="2800" w:type="dxa"/>
            <w:noWrap/>
            <w:vAlign w:val="center"/>
            <w:hideMark/>
          </w:tcPr>
          <w:p w14:paraId="620669EA" w14:textId="4645E1FA"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54.259.465</w:t>
            </w:r>
          </w:p>
        </w:tc>
        <w:tc>
          <w:tcPr>
            <w:tcW w:w="2268" w:type="dxa"/>
            <w:noWrap/>
            <w:vAlign w:val="center"/>
            <w:hideMark/>
          </w:tcPr>
          <w:p w14:paraId="2B1A11DF" w14:textId="1858F1C8"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67.406.850</w:t>
            </w:r>
          </w:p>
        </w:tc>
        <w:tc>
          <w:tcPr>
            <w:tcW w:w="1985" w:type="dxa"/>
            <w:noWrap/>
            <w:vAlign w:val="center"/>
            <w:hideMark/>
          </w:tcPr>
          <w:p w14:paraId="222C6604" w14:textId="474DCA4A"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 xml:space="preserve">         </w:t>
            </w:r>
            <w:r>
              <w:rPr>
                <w:rFonts w:ascii="Arial" w:hAnsi="Arial" w:cs="Arial"/>
                <w:color w:val="0F243E" w:themeColor="text2" w:themeShade="80"/>
                <w:sz w:val="20"/>
                <w:szCs w:val="20"/>
              </w:rPr>
              <w:t>(</w:t>
            </w:r>
            <w:r w:rsidRPr="00490848">
              <w:rPr>
                <w:rFonts w:ascii="Arial" w:hAnsi="Arial" w:cs="Arial"/>
                <w:color w:val="0F243E" w:themeColor="text2" w:themeShade="80"/>
                <w:sz w:val="20"/>
                <w:szCs w:val="20"/>
              </w:rPr>
              <w:t>13.147.385</w:t>
            </w:r>
            <w:r>
              <w:rPr>
                <w:rFonts w:ascii="Arial" w:hAnsi="Arial" w:cs="Arial"/>
                <w:color w:val="0F243E" w:themeColor="text2" w:themeShade="80"/>
                <w:sz w:val="20"/>
                <w:szCs w:val="20"/>
              </w:rPr>
              <w:t>)</w:t>
            </w:r>
          </w:p>
        </w:tc>
        <w:tc>
          <w:tcPr>
            <w:tcW w:w="1270" w:type="dxa"/>
            <w:noWrap/>
            <w:vAlign w:val="center"/>
            <w:hideMark/>
          </w:tcPr>
          <w:p w14:paraId="1C525E4E" w14:textId="70FD8E02"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490848">
              <w:rPr>
                <w:rFonts w:ascii="Arial" w:hAnsi="Arial" w:cs="Arial"/>
                <w:color w:val="0F243E" w:themeColor="text2" w:themeShade="80"/>
                <w:sz w:val="20"/>
                <w:szCs w:val="20"/>
              </w:rPr>
              <w:t>20%</w:t>
            </w:r>
            <w:r>
              <w:rPr>
                <w:rFonts w:ascii="Arial" w:hAnsi="Arial" w:cs="Arial"/>
                <w:color w:val="0F243E" w:themeColor="text2" w:themeShade="80"/>
                <w:sz w:val="20"/>
                <w:szCs w:val="20"/>
              </w:rPr>
              <w:t>)</w:t>
            </w:r>
          </w:p>
        </w:tc>
      </w:tr>
      <w:tr w:rsidR="00490848" w:rsidRPr="00490848" w14:paraId="5D827A78" w14:textId="77777777" w:rsidTr="0058174F">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9244D2" w14:textId="77777777" w:rsidR="00490848" w:rsidRPr="00490848" w:rsidRDefault="00490848" w:rsidP="00D16241">
            <w:pPr>
              <w:spacing w:before="120" w:after="100"/>
              <w:rPr>
                <w:rFonts w:ascii="Arial" w:hAnsi="Arial" w:cs="Arial"/>
                <w:color w:val="0F243E" w:themeColor="text2" w:themeShade="80"/>
                <w:sz w:val="20"/>
                <w:szCs w:val="20"/>
              </w:rPr>
            </w:pPr>
            <w:r w:rsidRPr="00490848">
              <w:rPr>
                <w:rFonts w:ascii="Arial" w:hAnsi="Arial" w:cs="Arial"/>
                <w:color w:val="0F243E" w:themeColor="text2" w:themeShade="80"/>
                <w:sz w:val="20"/>
                <w:szCs w:val="20"/>
              </w:rPr>
              <w:t>Agosto</w:t>
            </w:r>
          </w:p>
        </w:tc>
        <w:tc>
          <w:tcPr>
            <w:tcW w:w="2800" w:type="dxa"/>
            <w:noWrap/>
            <w:vAlign w:val="center"/>
            <w:hideMark/>
          </w:tcPr>
          <w:p w14:paraId="69670B5F" w14:textId="6A5D622A"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54.595.699</w:t>
            </w:r>
          </w:p>
        </w:tc>
        <w:tc>
          <w:tcPr>
            <w:tcW w:w="2268" w:type="dxa"/>
            <w:noWrap/>
            <w:vAlign w:val="center"/>
            <w:hideMark/>
          </w:tcPr>
          <w:p w14:paraId="312C289C" w14:textId="5F118701"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72.763.413</w:t>
            </w:r>
          </w:p>
        </w:tc>
        <w:tc>
          <w:tcPr>
            <w:tcW w:w="1985" w:type="dxa"/>
            <w:noWrap/>
            <w:vAlign w:val="center"/>
            <w:hideMark/>
          </w:tcPr>
          <w:p w14:paraId="061EAE22" w14:textId="04909041"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490848">
              <w:rPr>
                <w:rFonts w:ascii="Arial" w:hAnsi="Arial" w:cs="Arial"/>
                <w:color w:val="0F243E" w:themeColor="text2" w:themeShade="80"/>
                <w:sz w:val="20"/>
                <w:szCs w:val="20"/>
              </w:rPr>
              <w:t>18.167.714</w:t>
            </w:r>
            <w:r>
              <w:rPr>
                <w:rFonts w:ascii="Arial" w:hAnsi="Arial" w:cs="Arial"/>
                <w:color w:val="0F243E" w:themeColor="text2" w:themeShade="80"/>
                <w:sz w:val="20"/>
                <w:szCs w:val="20"/>
              </w:rPr>
              <w:t>)</w:t>
            </w:r>
          </w:p>
        </w:tc>
        <w:tc>
          <w:tcPr>
            <w:tcW w:w="1270" w:type="dxa"/>
            <w:noWrap/>
            <w:vAlign w:val="center"/>
            <w:hideMark/>
          </w:tcPr>
          <w:p w14:paraId="620B1070" w14:textId="01ACD838"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490848">
              <w:rPr>
                <w:rFonts w:ascii="Arial" w:hAnsi="Arial" w:cs="Arial"/>
                <w:color w:val="0F243E" w:themeColor="text2" w:themeShade="80"/>
                <w:sz w:val="20"/>
                <w:szCs w:val="20"/>
              </w:rPr>
              <w:t>25%</w:t>
            </w:r>
            <w:r>
              <w:rPr>
                <w:rFonts w:ascii="Arial" w:hAnsi="Arial" w:cs="Arial"/>
                <w:color w:val="0F243E" w:themeColor="text2" w:themeShade="80"/>
                <w:sz w:val="20"/>
                <w:szCs w:val="20"/>
              </w:rPr>
              <w:t>)</w:t>
            </w:r>
          </w:p>
        </w:tc>
      </w:tr>
      <w:tr w:rsidR="00490848" w:rsidRPr="00490848" w14:paraId="58A4C814" w14:textId="77777777" w:rsidTr="0058174F">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A12901" w14:textId="77777777" w:rsidR="00490848" w:rsidRPr="00490848" w:rsidRDefault="00490848" w:rsidP="00D16241">
            <w:pPr>
              <w:spacing w:before="120" w:after="100"/>
              <w:rPr>
                <w:rFonts w:ascii="Arial" w:hAnsi="Arial" w:cs="Arial"/>
                <w:color w:val="0F243E" w:themeColor="text2" w:themeShade="80"/>
                <w:sz w:val="20"/>
                <w:szCs w:val="20"/>
              </w:rPr>
            </w:pPr>
            <w:r w:rsidRPr="00490848">
              <w:rPr>
                <w:rFonts w:ascii="Arial" w:hAnsi="Arial" w:cs="Arial"/>
                <w:color w:val="0F243E" w:themeColor="text2" w:themeShade="80"/>
                <w:sz w:val="20"/>
                <w:szCs w:val="20"/>
              </w:rPr>
              <w:t>Septiembre</w:t>
            </w:r>
          </w:p>
        </w:tc>
        <w:tc>
          <w:tcPr>
            <w:tcW w:w="2800" w:type="dxa"/>
            <w:noWrap/>
            <w:vAlign w:val="center"/>
            <w:hideMark/>
          </w:tcPr>
          <w:p w14:paraId="4EAEFC48" w14:textId="145176C9"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65.345.411</w:t>
            </w:r>
          </w:p>
        </w:tc>
        <w:tc>
          <w:tcPr>
            <w:tcW w:w="2268" w:type="dxa"/>
            <w:noWrap/>
            <w:vAlign w:val="center"/>
            <w:hideMark/>
          </w:tcPr>
          <w:p w14:paraId="2A1125CF" w14:textId="75C5B720"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56.852.286</w:t>
            </w:r>
          </w:p>
        </w:tc>
        <w:tc>
          <w:tcPr>
            <w:tcW w:w="1985" w:type="dxa"/>
            <w:noWrap/>
            <w:vAlign w:val="center"/>
            <w:hideMark/>
          </w:tcPr>
          <w:p w14:paraId="6EE42CE5" w14:textId="0E6AA159"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8.493.125</w:t>
            </w:r>
          </w:p>
        </w:tc>
        <w:tc>
          <w:tcPr>
            <w:tcW w:w="1270" w:type="dxa"/>
            <w:noWrap/>
            <w:vAlign w:val="center"/>
            <w:hideMark/>
          </w:tcPr>
          <w:p w14:paraId="429B3DF5" w14:textId="77777777"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490848">
              <w:rPr>
                <w:rFonts w:ascii="Arial" w:hAnsi="Arial" w:cs="Arial"/>
                <w:color w:val="0F243E" w:themeColor="text2" w:themeShade="80"/>
                <w:sz w:val="20"/>
                <w:szCs w:val="20"/>
              </w:rPr>
              <w:t>15%</w:t>
            </w:r>
          </w:p>
        </w:tc>
      </w:tr>
      <w:tr w:rsidR="00490848" w:rsidRPr="007A0876" w14:paraId="318762B1" w14:textId="77777777" w:rsidTr="0058174F">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449C8C92" w14:textId="77777777" w:rsidR="00490848" w:rsidRPr="00490848" w:rsidRDefault="00490848" w:rsidP="00D16241">
            <w:pPr>
              <w:spacing w:before="120" w:after="100"/>
              <w:rPr>
                <w:rFonts w:ascii="Arial" w:hAnsi="Arial" w:cs="Arial"/>
                <w:color w:val="FFFFFF"/>
                <w:sz w:val="20"/>
                <w:szCs w:val="20"/>
              </w:rPr>
            </w:pPr>
            <w:r w:rsidRPr="00490848">
              <w:rPr>
                <w:rFonts w:ascii="Arial" w:hAnsi="Arial" w:cs="Arial"/>
                <w:color w:val="FFFFFF"/>
                <w:sz w:val="20"/>
                <w:szCs w:val="20"/>
              </w:rPr>
              <w:t xml:space="preserve"> Total  </w:t>
            </w:r>
          </w:p>
        </w:tc>
        <w:tc>
          <w:tcPr>
            <w:tcW w:w="2800" w:type="dxa"/>
            <w:shd w:val="clear" w:color="auto" w:fill="4F81BD" w:themeFill="accent1"/>
            <w:noWrap/>
            <w:vAlign w:val="center"/>
            <w:hideMark/>
          </w:tcPr>
          <w:p w14:paraId="44C986B2" w14:textId="6BFA2AF4"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90848">
              <w:rPr>
                <w:rFonts w:ascii="Arial" w:hAnsi="Arial" w:cs="Arial"/>
                <w:b/>
                <w:bCs/>
                <w:color w:val="FFFFFF"/>
                <w:sz w:val="20"/>
                <w:szCs w:val="20"/>
              </w:rPr>
              <w:t>174.200.575</w:t>
            </w:r>
          </w:p>
        </w:tc>
        <w:tc>
          <w:tcPr>
            <w:tcW w:w="2268" w:type="dxa"/>
            <w:shd w:val="clear" w:color="auto" w:fill="4F81BD" w:themeFill="accent1"/>
            <w:noWrap/>
            <w:vAlign w:val="center"/>
            <w:hideMark/>
          </w:tcPr>
          <w:p w14:paraId="02412359" w14:textId="6B5E8865"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90848">
              <w:rPr>
                <w:rFonts w:ascii="Arial" w:hAnsi="Arial" w:cs="Arial"/>
                <w:b/>
                <w:bCs/>
                <w:color w:val="FFFFFF"/>
                <w:sz w:val="20"/>
                <w:szCs w:val="20"/>
              </w:rPr>
              <w:t>197.022.549</w:t>
            </w:r>
          </w:p>
        </w:tc>
        <w:tc>
          <w:tcPr>
            <w:tcW w:w="1985" w:type="dxa"/>
            <w:shd w:val="clear" w:color="auto" w:fill="4F81BD" w:themeFill="accent1"/>
            <w:noWrap/>
            <w:vAlign w:val="center"/>
            <w:hideMark/>
          </w:tcPr>
          <w:p w14:paraId="17F5C827" w14:textId="46B3805D" w:rsidR="00490848" w:rsidRPr="00490848" w:rsidRDefault="00490848" w:rsidP="00D16241">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7A0876">
              <w:rPr>
                <w:rFonts w:ascii="Arial" w:hAnsi="Arial" w:cs="Arial"/>
                <w:b/>
                <w:bCs/>
                <w:color w:val="FFFFFF"/>
                <w:sz w:val="20"/>
                <w:szCs w:val="20"/>
              </w:rPr>
              <w:t>(</w:t>
            </w:r>
            <w:r w:rsidRPr="00490848">
              <w:rPr>
                <w:rFonts w:ascii="Arial" w:hAnsi="Arial" w:cs="Arial"/>
                <w:b/>
                <w:bCs/>
                <w:color w:val="FFFFFF"/>
                <w:sz w:val="20"/>
                <w:szCs w:val="20"/>
              </w:rPr>
              <w:t>22.821.974</w:t>
            </w:r>
            <w:r w:rsidRPr="007A0876">
              <w:rPr>
                <w:rFonts w:ascii="Arial" w:hAnsi="Arial" w:cs="Arial"/>
                <w:b/>
                <w:bCs/>
                <w:color w:val="FFFFFF"/>
                <w:sz w:val="20"/>
                <w:szCs w:val="20"/>
              </w:rPr>
              <w:t>)</w:t>
            </w:r>
          </w:p>
        </w:tc>
        <w:tc>
          <w:tcPr>
            <w:tcW w:w="1270" w:type="dxa"/>
            <w:shd w:val="clear" w:color="auto" w:fill="4F81BD" w:themeFill="accent1"/>
            <w:noWrap/>
            <w:vAlign w:val="center"/>
            <w:hideMark/>
          </w:tcPr>
          <w:p w14:paraId="4B0C4A33" w14:textId="3257106C" w:rsidR="00490848" w:rsidRPr="00490848" w:rsidRDefault="00490848" w:rsidP="00D16241">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7A0876">
              <w:rPr>
                <w:rFonts w:ascii="Arial" w:hAnsi="Arial" w:cs="Arial"/>
                <w:b/>
                <w:bCs/>
                <w:color w:val="FFFFFF"/>
                <w:sz w:val="20"/>
                <w:szCs w:val="20"/>
              </w:rPr>
              <w:t>(</w:t>
            </w:r>
            <w:r w:rsidRPr="00490848">
              <w:rPr>
                <w:rFonts w:ascii="Arial" w:hAnsi="Arial" w:cs="Arial"/>
                <w:b/>
                <w:bCs/>
                <w:color w:val="FFFFFF"/>
                <w:sz w:val="20"/>
                <w:szCs w:val="20"/>
              </w:rPr>
              <w:t>12%</w:t>
            </w:r>
            <w:r w:rsidRPr="007A0876">
              <w:rPr>
                <w:rFonts w:ascii="Arial" w:hAnsi="Arial" w:cs="Arial"/>
                <w:b/>
                <w:bCs/>
                <w:color w:val="FFFFFF"/>
                <w:sz w:val="20"/>
                <w:szCs w:val="20"/>
              </w:rPr>
              <w:t>)</w:t>
            </w:r>
          </w:p>
        </w:tc>
      </w:tr>
    </w:tbl>
    <w:p w14:paraId="03C0B74E" w14:textId="58C9ED21" w:rsidR="005915AE" w:rsidRPr="00CA48AF" w:rsidRDefault="004966C7" w:rsidP="00D16241">
      <w:pPr>
        <w:jc w:val="both"/>
        <w:rPr>
          <w:rFonts w:ascii="Arial" w:hAnsi="Arial" w:cs="Arial"/>
          <w:sz w:val="22"/>
          <w:szCs w:val="22"/>
          <w:highlight w:val="yellow"/>
        </w:rPr>
      </w:pPr>
      <w:r w:rsidRPr="007A0876">
        <w:rPr>
          <w:rFonts w:ascii="Arial" w:hAnsi="Arial" w:cs="Arial"/>
          <w:color w:val="000000" w:themeColor="text1"/>
          <w:sz w:val="18"/>
          <w:szCs w:val="18"/>
        </w:rPr>
        <w:t xml:space="preserve"> </w:t>
      </w:r>
    </w:p>
    <w:p w14:paraId="2FA6EF34" w14:textId="77777777" w:rsidR="00D16241" w:rsidRPr="00C7012F" w:rsidRDefault="00E041E5" w:rsidP="00D16241">
      <w:pPr>
        <w:jc w:val="both"/>
        <w:rPr>
          <w:rFonts w:ascii="Arial" w:hAnsi="Arial" w:cs="Arial"/>
          <w:color w:val="000000" w:themeColor="text1"/>
          <w:sz w:val="22"/>
          <w:szCs w:val="22"/>
        </w:rPr>
      </w:pPr>
      <w:r w:rsidRPr="00C7012F">
        <w:rPr>
          <w:rFonts w:ascii="Arial" w:hAnsi="Arial" w:cs="Arial"/>
          <w:color w:val="000000" w:themeColor="text1"/>
          <w:sz w:val="22"/>
          <w:szCs w:val="22"/>
        </w:rPr>
        <w:t>Frente a las variaciones antes expuestas, es preciso tener en cuenta que, d</w:t>
      </w:r>
      <w:r w:rsidR="00AE1D8D" w:rsidRPr="00C7012F">
        <w:rPr>
          <w:rFonts w:ascii="Arial" w:hAnsi="Arial" w:cs="Arial"/>
          <w:color w:val="000000" w:themeColor="text1"/>
          <w:sz w:val="22"/>
          <w:szCs w:val="22"/>
        </w:rPr>
        <w:t xml:space="preserve">ebido a la novedad de retiro del Viceministro Técnico </w:t>
      </w:r>
      <w:r w:rsidR="0062149F" w:rsidRPr="00C7012F">
        <w:rPr>
          <w:rFonts w:ascii="Arial" w:hAnsi="Arial" w:cs="Arial"/>
          <w:color w:val="000000" w:themeColor="text1"/>
          <w:sz w:val="22"/>
          <w:szCs w:val="22"/>
        </w:rPr>
        <w:t xml:space="preserve">a partir del </w:t>
      </w:r>
      <w:r w:rsidR="00AE1D8D" w:rsidRPr="00C7012F">
        <w:rPr>
          <w:rFonts w:ascii="Arial" w:hAnsi="Arial" w:cs="Arial"/>
          <w:color w:val="000000" w:themeColor="text1"/>
          <w:sz w:val="22"/>
          <w:szCs w:val="22"/>
        </w:rPr>
        <w:t>15 de septiembre de 2019</w:t>
      </w:r>
      <w:r w:rsidR="003D3581" w:rsidRPr="00C7012F">
        <w:rPr>
          <w:rFonts w:ascii="Arial" w:hAnsi="Arial" w:cs="Arial"/>
          <w:color w:val="000000" w:themeColor="text1"/>
          <w:sz w:val="22"/>
          <w:szCs w:val="22"/>
        </w:rPr>
        <w:t xml:space="preserve">, el contrato 7.001-2019 </w:t>
      </w:r>
      <w:r w:rsidR="0062149F" w:rsidRPr="00C7012F">
        <w:rPr>
          <w:rFonts w:ascii="Arial" w:hAnsi="Arial" w:cs="Arial"/>
          <w:color w:val="000000" w:themeColor="text1"/>
          <w:sz w:val="22"/>
          <w:szCs w:val="22"/>
        </w:rPr>
        <w:t xml:space="preserve">fue modificado mediante Otrosí # 2 suscrito el 17 de octubre de 2019, es así que, </w:t>
      </w:r>
      <w:r w:rsidR="00AE1D8D" w:rsidRPr="00C7012F">
        <w:rPr>
          <w:rFonts w:ascii="Arial" w:hAnsi="Arial" w:cs="Arial"/>
          <w:color w:val="000000" w:themeColor="text1"/>
          <w:sz w:val="22"/>
          <w:szCs w:val="22"/>
        </w:rPr>
        <w:t>los recursos que se habían proyectado para el esquema de seguridad del Viceministro Técnico saliente fueron destinados para cubrir la prorroga en tiempo</w:t>
      </w:r>
      <w:r w:rsidR="003D3581" w:rsidRPr="00C7012F">
        <w:rPr>
          <w:rFonts w:ascii="Arial" w:hAnsi="Arial" w:cs="Arial"/>
          <w:color w:val="000000" w:themeColor="text1"/>
          <w:sz w:val="22"/>
          <w:szCs w:val="22"/>
        </w:rPr>
        <w:t>,</w:t>
      </w:r>
      <w:r w:rsidR="00753358" w:rsidRPr="00C7012F">
        <w:rPr>
          <w:rFonts w:ascii="Arial" w:hAnsi="Arial" w:cs="Arial"/>
          <w:color w:val="000000" w:themeColor="text1"/>
          <w:sz w:val="22"/>
          <w:szCs w:val="22"/>
        </w:rPr>
        <w:t xml:space="preserve"> </w:t>
      </w:r>
      <w:r w:rsidR="00AE1D8D" w:rsidRPr="00C7012F">
        <w:rPr>
          <w:rFonts w:ascii="Arial" w:hAnsi="Arial" w:cs="Arial"/>
          <w:color w:val="000000" w:themeColor="text1"/>
          <w:sz w:val="22"/>
          <w:szCs w:val="22"/>
        </w:rPr>
        <w:t>direccionados al esquema de seguridad del Viceministro General</w:t>
      </w:r>
      <w:r w:rsidR="00DF1FDF" w:rsidRPr="00C7012F">
        <w:rPr>
          <w:rFonts w:ascii="Arial" w:hAnsi="Arial" w:cs="Arial"/>
          <w:color w:val="000000" w:themeColor="text1"/>
          <w:sz w:val="22"/>
          <w:szCs w:val="22"/>
        </w:rPr>
        <w:t xml:space="preserve">. </w:t>
      </w:r>
    </w:p>
    <w:p w14:paraId="7AECB975" w14:textId="77777777" w:rsidR="00D16241" w:rsidRPr="00C7012F" w:rsidRDefault="00D16241" w:rsidP="00D16241">
      <w:pPr>
        <w:jc w:val="both"/>
        <w:rPr>
          <w:rFonts w:ascii="Arial" w:hAnsi="Arial" w:cs="Arial"/>
          <w:color w:val="000000" w:themeColor="text1"/>
          <w:sz w:val="22"/>
          <w:szCs w:val="22"/>
        </w:rPr>
      </w:pPr>
    </w:p>
    <w:p w14:paraId="1B3EC5ED" w14:textId="1BA9C932" w:rsidR="00A07DC8" w:rsidRPr="00C7012F" w:rsidRDefault="00DF1FDF" w:rsidP="00D16241">
      <w:pPr>
        <w:jc w:val="both"/>
        <w:rPr>
          <w:rFonts w:ascii="Arial" w:hAnsi="Arial" w:cs="Arial"/>
          <w:color w:val="000000" w:themeColor="text1"/>
          <w:sz w:val="22"/>
          <w:szCs w:val="22"/>
        </w:rPr>
      </w:pPr>
      <w:r w:rsidRPr="00C7012F">
        <w:rPr>
          <w:rFonts w:ascii="Arial" w:hAnsi="Arial" w:cs="Arial"/>
          <w:color w:val="000000" w:themeColor="text1"/>
          <w:sz w:val="22"/>
          <w:szCs w:val="22"/>
        </w:rPr>
        <w:t>E</w:t>
      </w:r>
      <w:r w:rsidR="0062149F" w:rsidRPr="00C7012F">
        <w:rPr>
          <w:rFonts w:ascii="Arial" w:hAnsi="Arial" w:cs="Arial"/>
          <w:color w:val="000000" w:themeColor="text1"/>
          <w:sz w:val="22"/>
          <w:szCs w:val="22"/>
        </w:rPr>
        <w:t>s decir que, e</w:t>
      </w:r>
      <w:r w:rsidR="00AE1D8D" w:rsidRPr="00C7012F">
        <w:rPr>
          <w:rFonts w:ascii="Arial" w:hAnsi="Arial" w:cs="Arial"/>
          <w:color w:val="000000" w:themeColor="text1"/>
          <w:sz w:val="22"/>
          <w:szCs w:val="22"/>
        </w:rPr>
        <w:t xml:space="preserve">l gasto </w:t>
      </w:r>
      <w:r w:rsidR="0062149F" w:rsidRPr="00C7012F">
        <w:rPr>
          <w:rFonts w:ascii="Arial" w:hAnsi="Arial" w:cs="Arial"/>
          <w:color w:val="000000" w:themeColor="text1"/>
          <w:sz w:val="22"/>
          <w:szCs w:val="22"/>
        </w:rPr>
        <w:t xml:space="preserve">para el </w:t>
      </w:r>
      <w:r w:rsidR="00F30E76" w:rsidRPr="00C7012F">
        <w:rPr>
          <w:rFonts w:ascii="Arial" w:hAnsi="Arial" w:cs="Arial"/>
          <w:color w:val="000000" w:themeColor="text1"/>
          <w:sz w:val="22"/>
          <w:szCs w:val="22"/>
        </w:rPr>
        <w:t xml:space="preserve">tercer </w:t>
      </w:r>
      <w:r w:rsidR="0062149F" w:rsidRPr="00C7012F">
        <w:rPr>
          <w:rFonts w:ascii="Arial" w:hAnsi="Arial" w:cs="Arial"/>
          <w:color w:val="000000" w:themeColor="text1"/>
          <w:sz w:val="22"/>
          <w:szCs w:val="22"/>
        </w:rPr>
        <w:t xml:space="preserve">trimestre de 2020 correspondió al Viceministro General, </w:t>
      </w:r>
      <w:r w:rsidR="00A07DC8" w:rsidRPr="00C7012F">
        <w:rPr>
          <w:rFonts w:ascii="Arial" w:hAnsi="Arial" w:cs="Arial"/>
          <w:color w:val="000000" w:themeColor="text1"/>
          <w:sz w:val="22"/>
          <w:szCs w:val="22"/>
        </w:rPr>
        <w:t xml:space="preserve">donde adicionalmente </w:t>
      </w:r>
      <w:r w:rsidR="00CC59B1" w:rsidRPr="00C7012F">
        <w:rPr>
          <w:rFonts w:ascii="Arial" w:hAnsi="Arial" w:cs="Arial"/>
          <w:color w:val="000000" w:themeColor="text1"/>
          <w:sz w:val="22"/>
          <w:szCs w:val="22"/>
        </w:rPr>
        <w:t xml:space="preserve">fue necesario </w:t>
      </w:r>
      <w:r w:rsidR="00A07DC8" w:rsidRPr="00C7012F">
        <w:rPr>
          <w:rFonts w:ascii="Arial" w:hAnsi="Arial" w:cs="Arial"/>
          <w:color w:val="000000" w:themeColor="text1"/>
          <w:sz w:val="22"/>
          <w:szCs w:val="22"/>
        </w:rPr>
        <w:t>incluir un nuevo vehículo dentro del convenio 7.005-2020, toda vez que el vehículo entregado al esquema mediante contrato de comodato 8.002-2019 venció el 29 de agosto de 2020 y la UNP remitió ofició indicando la no viabilidad de prórroga del bien</w:t>
      </w:r>
      <w:r w:rsidR="00234A97">
        <w:rPr>
          <w:rFonts w:ascii="Arial" w:hAnsi="Arial" w:cs="Arial"/>
          <w:color w:val="000000" w:themeColor="text1"/>
          <w:sz w:val="22"/>
          <w:szCs w:val="22"/>
        </w:rPr>
        <w:t>.</w:t>
      </w:r>
    </w:p>
    <w:p w14:paraId="57913CF1" w14:textId="77777777" w:rsidR="00A07DC8" w:rsidRPr="00C7012F" w:rsidRDefault="00A07DC8" w:rsidP="00D16241">
      <w:pPr>
        <w:jc w:val="both"/>
        <w:rPr>
          <w:rFonts w:ascii="Arial" w:hAnsi="Arial" w:cs="Arial"/>
          <w:color w:val="000000" w:themeColor="text1"/>
          <w:sz w:val="22"/>
          <w:szCs w:val="22"/>
        </w:rPr>
      </w:pPr>
    </w:p>
    <w:p w14:paraId="0D7BCDE3" w14:textId="7AC77133" w:rsidR="006A01D0" w:rsidRPr="00C7012F" w:rsidRDefault="00A07DC8" w:rsidP="00D16241">
      <w:pPr>
        <w:jc w:val="both"/>
        <w:rPr>
          <w:rFonts w:ascii="Arial" w:hAnsi="Arial" w:cs="Arial"/>
          <w:color w:val="000000" w:themeColor="text1"/>
          <w:sz w:val="22"/>
          <w:szCs w:val="22"/>
        </w:rPr>
      </w:pPr>
      <w:r w:rsidRPr="00C7012F">
        <w:rPr>
          <w:rFonts w:ascii="Arial" w:hAnsi="Arial" w:cs="Arial"/>
          <w:color w:val="000000" w:themeColor="text1"/>
          <w:sz w:val="22"/>
          <w:szCs w:val="22"/>
        </w:rPr>
        <w:t>C</w:t>
      </w:r>
      <w:r w:rsidR="0062149F" w:rsidRPr="00C7012F">
        <w:rPr>
          <w:rFonts w:ascii="Arial" w:hAnsi="Arial" w:cs="Arial"/>
          <w:color w:val="000000" w:themeColor="text1"/>
          <w:sz w:val="22"/>
          <w:szCs w:val="22"/>
        </w:rPr>
        <w:t xml:space="preserve">aso contrario, </w:t>
      </w:r>
      <w:r w:rsidR="00DF1FDF" w:rsidRPr="00C7012F">
        <w:rPr>
          <w:rFonts w:ascii="Arial" w:hAnsi="Arial" w:cs="Arial"/>
          <w:color w:val="000000" w:themeColor="text1"/>
          <w:sz w:val="22"/>
          <w:szCs w:val="22"/>
        </w:rPr>
        <w:t xml:space="preserve">se presentó para </w:t>
      </w:r>
      <w:r w:rsidR="0062149F" w:rsidRPr="00C7012F">
        <w:rPr>
          <w:rFonts w:ascii="Arial" w:hAnsi="Arial" w:cs="Arial"/>
          <w:color w:val="000000" w:themeColor="text1"/>
          <w:sz w:val="22"/>
          <w:szCs w:val="22"/>
        </w:rPr>
        <w:t xml:space="preserve">el </w:t>
      </w:r>
      <w:r w:rsidR="00F30E76" w:rsidRPr="00C7012F">
        <w:rPr>
          <w:rFonts w:ascii="Arial" w:hAnsi="Arial" w:cs="Arial"/>
          <w:color w:val="000000" w:themeColor="text1"/>
          <w:sz w:val="22"/>
          <w:szCs w:val="22"/>
        </w:rPr>
        <w:t xml:space="preserve">tercer </w:t>
      </w:r>
      <w:r w:rsidR="0062149F" w:rsidRPr="00C7012F">
        <w:rPr>
          <w:rFonts w:ascii="Arial" w:hAnsi="Arial" w:cs="Arial"/>
          <w:color w:val="000000" w:themeColor="text1"/>
          <w:sz w:val="22"/>
          <w:szCs w:val="22"/>
        </w:rPr>
        <w:t>trimestre de 2019</w:t>
      </w:r>
      <w:r w:rsidRPr="00C7012F">
        <w:rPr>
          <w:rFonts w:ascii="Arial" w:hAnsi="Arial" w:cs="Arial"/>
          <w:color w:val="000000" w:themeColor="text1"/>
          <w:sz w:val="22"/>
          <w:szCs w:val="22"/>
        </w:rPr>
        <w:t xml:space="preserve"> toda vez que</w:t>
      </w:r>
      <w:r w:rsidR="00DF1FDF" w:rsidRPr="00C7012F">
        <w:rPr>
          <w:rFonts w:ascii="Arial" w:hAnsi="Arial" w:cs="Arial"/>
          <w:color w:val="000000" w:themeColor="text1"/>
          <w:sz w:val="22"/>
          <w:szCs w:val="22"/>
        </w:rPr>
        <w:t xml:space="preserve"> el gasto </w:t>
      </w:r>
      <w:r w:rsidR="0062149F" w:rsidRPr="00C7012F">
        <w:rPr>
          <w:rFonts w:ascii="Arial" w:hAnsi="Arial" w:cs="Arial"/>
          <w:color w:val="000000" w:themeColor="text1"/>
          <w:sz w:val="22"/>
          <w:szCs w:val="22"/>
        </w:rPr>
        <w:t>contempló</w:t>
      </w:r>
      <w:r w:rsidR="00DF1FDF" w:rsidRPr="00C7012F">
        <w:rPr>
          <w:rFonts w:ascii="Arial" w:hAnsi="Arial" w:cs="Arial"/>
          <w:color w:val="000000" w:themeColor="text1"/>
          <w:sz w:val="22"/>
          <w:szCs w:val="22"/>
        </w:rPr>
        <w:t xml:space="preserve"> </w:t>
      </w:r>
      <w:r w:rsidR="0062149F" w:rsidRPr="00C7012F">
        <w:rPr>
          <w:rFonts w:ascii="Arial" w:hAnsi="Arial" w:cs="Arial"/>
          <w:color w:val="000000" w:themeColor="text1"/>
          <w:sz w:val="22"/>
          <w:szCs w:val="22"/>
        </w:rPr>
        <w:t xml:space="preserve">a los dos </w:t>
      </w:r>
      <w:r w:rsidR="00F30E76" w:rsidRPr="00C7012F">
        <w:rPr>
          <w:rFonts w:ascii="Arial" w:hAnsi="Arial" w:cs="Arial"/>
          <w:color w:val="000000" w:themeColor="text1"/>
          <w:sz w:val="22"/>
          <w:szCs w:val="22"/>
        </w:rPr>
        <w:t>viceministros</w:t>
      </w:r>
      <w:r w:rsidR="0062149F" w:rsidRPr="00C7012F">
        <w:rPr>
          <w:rFonts w:ascii="Arial" w:hAnsi="Arial" w:cs="Arial"/>
          <w:color w:val="000000" w:themeColor="text1"/>
          <w:sz w:val="22"/>
          <w:szCs w:val="22"/>
        </w:rPr>
        <w:t xml:space="preserve"> vinculados a</w:t>
      </w:r>
      <w:r w:rsidR="00DF1FDF" w:rsidRPr="00C7012F">
        <w:rPr>
          <w:rFonts w:ascii="Arial" w:hAnsi="Arial" w:cs="Arial"/>
          <w:color w:val="000000" w:themeColor="text1"/>
          <w:sz w:val="22"/>
          <w:szCs w:val="22"/>
        </w:rPr>
        <w:t xml:space="preserve"> este Ministerio </w:t>
      </w:r>
      <w:r w:rsidR="0062149F" w:rsidRPr="00C7012F">
        <w:rPr>
          <w:rFonts w:ascii="Arial" w:hAnsi="Arial" w:cs="Arial"/>
          <w:color w:val="000000" w:themeColor="text1"/>
          <w:sz w:val="22"/>
          <w:szCs w:val="22"/>
        </w:rPr>
        <w:t xml:space="preserve">en el mencionado </w:t>
      </w:r>
      <w:r w:rsidR="0058174F" w:rsidRPr="00C7012F">
        <w:rPr>
          <w:rFonts w:ascii="Arial" w:hAnsi="Arial" w:cs="Arial"/>
          <w:color w:val="000000" w:themeColor="text1"/>
          <w:sz w:val="22"/>
          <w:szCs w:val="22"/>
        </w:rPr>
        <w:t>periodo y</w:t>
      </w:r>
      <w:r w:rsidR="0062149F" w:rsidRPr="00C7012F">
        <w:rPr>
          <w:rFonts w:ascii="Arial" w:hAnsi="Arial" w:cs="Arial"/>
          <w:color w:val="000000" w:themeColor="text1"/>
          <w:sz w:val="22"/>
          <w:szCs w:val="22"/>
        </w:rPr>
        <w:t xml:space="preserve"> según las condiciones establecidas en </w:t>
      </w:r>
      <w:r w:rsidR="00DF1FDF" w:rsidRPr="00C7012F">
        <w:rPr>
          <w:rFonts w:ascii="Arial" w:hAnsi="Arial" w:cs="Arial"/>
          <w:color w:val="000000" w:themeColor="text1"/>
          <w:sz w:val="22"/>
          <w:szCs w:val="22"/>
        </w:rPr>
        <w:t xml:space="preserve">su momento </w:t>
      </w:r>
      <w:r w:rsidR="0062149F" w:rsidRPr="00C7012F">
        <w:rPr>
          <w:rFonts w:ascii="Arial" w:hAnsi="Arial" w:cs="Arial"/>
          <w:color w:val="000000" w:themeColor="text1"/>
          <w:sz w:val="22"/>
          <w:szCs w:val="22"/>
        </w:rPr>
        <w:t>e</w:t>
      </w:r>
      <w:r w:rsidR="00DF1FDF" w:rsidRPr="00C7012F">
        <w:rPr>
          <w:rFonts w:ascii="Arial" w:hAnsi="Arial" w:cs="Arial"/>
          <w:color w:val="000000" w:themeColor="text1"/>
          <w:sz w:val="22"/>
          <w:szCs w:val="22"/>
        </w:rPr>
        <w:t xml:space="preserve">n el </w:t>
      </w:r>
      <w:r w:rsidR="0062149F" w:rsidRPr="00C7012F">
        <w:rPr>
          <w:rFonts w:ascii="Arial" w:hAnsi="Arial" w:cs="Arial"/>
          <w:color w:val="000000" w:themeColor="text1"/>
          <w:sz w:val="22"/>
          <w:szCs w:val="22"/>
        </w:rPr>
        <w:t>contrato 7</w:t>
      </w:r>
      <w:r w:rsidR="00DF1FDF" w:rsidRPr="00C7012F">
        <w:rPr>
          <w:rFonts w:ascii="Arial" w:hAnsi="Arial" w:cs="Arial"/>
          <w:color w:val="000000" w:themeColor="text1"/>
          <w:sz w:val="22"/>
          <w:szCs w:val="22"/>
        </w:rPr>
        <w:t>.001-2019.</w:t>
      </w:r>
      <w:r w:rsidR="00753358" w:rsidRPr="00C7012F">
        <w:rPr>
          <w:rFonts w:ascii="Arial" w:hAnsi="Arial" w:cs="Arial"/>
          <w:color w:val="000000" w:themeColor="text1"/>
          <w:sz w:val="22"/>
          <w:szCs w:val="22"/>
        </w:rPr>
        <w:t xml:space="preserve"> </w:t>
      </w:r>
      <w:r w:rsidR="00DF1FDF" w:rsidRPr="00C7012F">
        <w:rPr>
          <w:rFonts w:ascii="Arial" w:hAnsi="Arial" w:cs="Arial"/>
          <w:color w:val="000000" w:themeColor="text1"/>
          <w:sz w:val="22"/>
          <w:szCs w:val="22"/>
        </w:rPr>
        <w:t xml:space="preserve">Frente a lo anterior, </w:t>
      </w:r>
      <w:r w:rsidR="00753358" w:rsidRPr="00C7012F">
        <w:rPr>
          <w:rFonts w:ascii="Arial" w:hAnsi="Arial" w:cs="Arial"/>
          <w:color w:val="000000" w:themeColor="text1"/>
          <w:sz w:val="22"/>
          <w:szCs w:val="22"/>
        </w:rPr>
        <w:t xml:space="preserve">se </w:t>
      </w:r>
      <w:r w:rsidR="00464A1F" w:rsidRPr="00C7012F">
        <w:rPr>
          <w:rFonts w:ascii="Arial" w:hAnsi="Arial" w:cs="Arial"/>
          <w:color w:val="000000" w:themeColor="text1"/>
          <w:sz w:val="22"/>
          <w:szCs w:val="22"/>
        </w:rPr>
        <w:t xml:space="preserve">concluye que </w:t>
      </w:r>
      <w:r w:rsidR="00447175" w:rsidRPr="00C7012F">
        <w:rPr>
          <w:rFonts w:ascii="Arial" w:hAnsi="Arial" w:cs="Arial"/>
          <w:color w:val="000000" w:themeColor="text1"/>
          <w:sz w:val="22"/>
          <w:szCs w:val="22"/>
        </w:rPr>
        <w:t xml:space="preserve">en parte </w:t>
      </w:r>
      <w:r w:rsidR="00DF1FDF" w:rsidRPr="00C7012F">
        <w:rPr>
          <w:rFonts w:ascii="Arial" w:hAnsi="Arial" w:cs="Arial"/>
          <w:color w:val="000000" w:themeColor="text1"/>
          <w:sz w:val="22"/>
          <w:szCs w:val="22"/>
        </w:rPr>
        <w:t xml:space="preserve">la disminución </w:t>
      </w:r>
      <w:r w:rsidR="002A2781" w:rsidRPr="00C7012F">
        <w:rPr>
          <w:rFonts w:ascii="Arial" w:hAnsi="Arial" w:cs="Arial"/>
          <w:color w:val="000000" w:themeColor="text1"/>
          <w:sz w:val="22"/>
          <w:szCs w:val="22"/>
        </w:rPr>
        <w:t>presentad</w:t>
      </w:r>
      <w:r w:rsidR="00DF1FDF" w:rsidRPr="00C7012F">
        <w:rPr>
          <w:rFonts w:ascii="Arial" w:hAnsi="Arial" w:cs="Arial"/>
          <w:color w:val="000000" w:themeColor="text1"/>
          <w:sz w:val="22"/>
          <w:szCs w:val="22"/>
        </w:rPr>
        <w:t>a</w:t>
      </w:r>
      <w:r w:rsidR="00500766" w:rsidRPr="00C7012F">
        <w:rPr>
          <w:rFonts w:ascii="Arial" w:hAnsi="Arial" w:cs="Arial"/>
          <w:color w:val="000000" w:themeColor="text1"/>
          <w:sz w:val="22"/>
          <w:szCs w:val="22"/>
        </w:rPr>
        <w:t xml:space="preserve"> </w:t>
      </w:r>
      <w:r w:rsidR="008662E2" w:rsidRPr="00C7012F">
        <w:rPr>
          <w:rFonts w:ascii="Arial" w:hAnsi="Arial" w:cs="Arial"/>
          <w:color w:val="000000" w:themeColor="text1"/>
          <w:sz w:val="22"/>
          <w:szCs w:val="22"/>
        </w:rPr>
        <w:t xml:space="preserve">se derivó de </w:t>
      </w:r>
      <w:r w:rsidR="00500766" w:rsidRPr="00C7012F">
        <w:rPr>
          <w:rFonts w:ascii="Arial" w:hAnsi="Arial" w:cs="Arial"/>
          <w:color w:val="000000" w:themeColor="text1"/>
          <w:sz w:val="22"/>
          <w:szCs w:val="22"/>
        </w:rPr>
        <w:t>la situación antes descrit</w:t>
      </w:r>
      <w:r w:rsidR="00DF1FDF" w:rsidRPr="00C7012F">
        <w:rPr>
          <w:rFonts w:ascii="Arial" w:hAnsi="Arial" w:cs="Arial"/>
          <w:color w:val="000000" w:themeColor="text1"/>
          <w:sz w:val="22"/>
          <w:szCs w:val="22"/>
        </w:rPr>
        <w:t>a</w:t>
      </w:r>
      <w:r w:rsidR="00D1348F" w:rsidRPr="00C7012F">
        <w:rPr>
          <w:rFonts w:ascii="Arial" w:hAnsi="Arial" w:cs="Arial"/>
          <w:color w:val="000000" w:themeColor="text1"/>
          <w:sz w:val="22"/>
          <w:szCs w:val="22"/>
        </w:rPr>
        <w:t xml:space="preserve">. </w:t>
      </w:r>
    </w:p>
    <w:p w14:paraId="4D576355" w14:textId="51CD6632" w:rsidR="006A01D0" w:rsidRPr="00C7012F" w:rsidRDefault="006A01D0" w:rsidP="00D16241">
      <w:pPr>
        <w:jc w:val="both"/>
        <w:rPr>
          <w:rFonts w:ascii="Arial" w:hAnsi="Arial" w:cs="Arial"/>
          <w:color w:val="000000" w:themeColor="text1"/>
          <w:sz w:val="22"/>
          <w:szCs w:val="22"/>
          <w:highlight w:val="yellow"/>
        </w:rPr>
      </w:pPr>
    </w:p>
    <w:p w14:paraId="36C2822B" w14:textId="09776EE6" w:rsidR="00DE0205" w:rsidRPr="00C7012F" w:rsidRDefault="00EF01BC" w:rsidP="00D16241">
      <w:pPr>
        <w:jc w:val="both"/>
        <w:rPr>
          <w:rFonts w:ascii="Arial" w:hAnsi="Arial" w:cs="Arial"/>
          <w:i/>
          <w:color w:val="000000" w:themeColor="text1"/>
          <w:sz w:val="22"/>
          <w:szCs w:val="22"/>
        </w:rPr>
      </w:pPr>
      <w:r w:rsidRPr="00C7012F">
        <w:rPr>
          <w:rFonts w:ascii="Arial" w:hAnsi="Arial" w:cs="Arial"/>
          <w:color w:val="000000" w:themeColor="text1"/>
          <w:sz w:val="22"/>
          <w:szCs w:val="22"/>
        </w:rPr>
        <w:t xml:space="preserve">Por otra parte, en el numeral </w:t>
      </w:r>
      <w:r w:rsidR="00730D78" w:rsidRPr="00C7012F">
        <w:rPr>
          <w:rFonts w:ascii="Arial" w:hAnsi="Arial" w:cs="Arial"/>
          <w:color w:val="000000" w:themeColor="text1"/>
          <w:sz w:val="22"/>
          <w:szCs w:val="22"/>
        </w:rPr>
        <w:t xml:space="preserve">4° </w:t>
      </w:r>
      <w:r w:rsidRPr="00C7012F">
        <w:rPr>
          <w:rFonts w:ascii="Arial" w:hAnsi="Arial" w:cs="Arial"/>
          <w:color w:val="000000" w:themeColor="text1"/>
          <w:sz w:val="22"/>
          <w:szCs w:val="22"/>
        </w:rPr>
        <w:t>de la Directiva</w:t>
      </w:r>
      <w:r w:rsidR="00DE1655" w:rsidRPr="00C7012F">
        <w:rPr>
          <w:rFonts w:ascii="Arial" w:hAnsi="Arial" w:cs="Arial"/>
          <w:color w:val="000000" w:themeColor="text1"/>
          <w:sz w:val="22"/>
          <w:szCs w:val="22"/>
        </w:rPr>
        <w:t xml:space="preserve"> 09 de 2018</w:t>
      </w:r>
      <w:r w:rsidRPr="00C7012F">
        <w:rPr>
          <w:rFonts w:ascii="Arial" w:hAnsi="Arial" w:cs="Arial"/>
          <w:color w:val="000000" w:themeColor="text1"/>
          <w:sz w:val="22"/>
          <w:szCs w:val="22"/>
        </w:rPr>
        <w:t xml:space="preserve"> </w:t>
      </w:r>
      <w:r w:rsidR="00730D78" w:rsidRPr="00C7012F">
        <w:rPr>
          <w:rFonts w:ascii="Arial" w:hAnsi="Arial" w:cs="Arial"/>
          <w:color w:val="000000" w:themeColor="text1"/>
          <w:sz w:val="22"/>
          <w:szCs w:val="22"/>
        </w:rPr>
        <w:t xml:space="preserve">y el artículo 12 del Decreto 1009 de 2020, </w:t>
      </w:r>
      <w:r w:rsidRPr="00C7012F">
        <w:rPr>
          <w:rFonts w:ascii="Arial" w:hAnsi="Arial" w:cs="Arial"/>
          <w:color w:val="000000" w:themeColor="text1"/>
          <w:sz w:val="22"/>
          <w:szCs w:val="22"/>
        </w:rPr>
        <w:t>estableci</w:t>
      </w:r>
      <w:r w:rsidR="00730D78" w:rsidRPr="00C7012F">
        <w:rPr>
          <w:rFonts w:ascii="Arial" w:hAnsi="Arial" w:cs="Arial"/>
          <w:color w:val="000000" w:themeColor="text1"/>
          <w:sz w:val="22"/>
          <w:szCs w:val="22"/>
        </w:rPr>
        <w:t>eron</w:t>
      </w:r>
      <w:r w:rsidRPr="00C7012F">
        <w:rPr>
          <w:rFonts w:ascii="Arial" w:hAnsi="Arial" w:cs="Arial"/>
          <w:color w:val="000000" w:themeColor="text1"/>
          <w:sz w:val="22"/>
          <w:szCs w:val="22"/>
        </w:rPr>
        <w:t xml:space="preserve"> lo siguiente: </w:t>
      </w:r>
      <w:r w:rsidR="00DE0205" w:rsidRPr="00C7012F">
        <w:rPr>
          <w:rFonts w:ascii="Arial" w:hAnsi="Arial" w:cs="Arial"/>
          <w:i/>
          <w:color w:val="000000" w:themeColor="text1"/>
          <w:sz w:val="22"/>
          <w:szCs w:val="22"/>
        </w:rPr>
        <w:t>Los funcionarios que tienen asignado el uso de vehículo</w:t>
      </w:r>
      <w:r w:rsidRPr="00C7012F">
        <w:rPr>
          <w:rFonts w:ascii="Arial" w:hAnsi="Arial" w:cs="Arial"/>
          <w:i/>
          <w:color w:val="000000" w:themeColor="text1"/>
          <w:sz w:val="22"/>
          <w:szCs w:val="22"/>
        </w:rPr>
        <w:t xml:space="preserve">s oficiales propenderán por que </w:t>
      </w:r>
      <w:r w:rsidR="00DE0205" w:rsidRPr="00C7012F">
        <w:rPr>
          <w:rFonts w:ascii="Arial" w:hAnsi="Arial" w:cs="Arial"/>
          <w:i/>
          <w:color w:val="000000" w:themeColor="text1"/>
          <w:sz w:val="22"/>
          <w:szCs w:val="22"/>
        </w:rPr>
        <w:t>los conductores respeten en todo momento las disposiciones de tránsito. Así mismo, los</w:t>
      </w:r>
      <w:r w:rsidR="00C7012F">
        <w:rPr>
          <w:rFonts w:ascii="Arial" w:hAnsi="Arial" w:cs="Arial"/>
          <w:i/>
          <w:color w:val="000000" w:themeColor="text1"/>
          <w:sz w:val="22"/>
          <w:szCs w:val="22"/>
        </w:rPr>
        <w:t xml:space="preserve"> </w:t>
      </w:r>
      <w:r w:rsidR="00DE0205" w:rsidRPr="00C7012F">
        <w:rPr>
          <w:rFonts w:ascii="Arial" w:hAnsi="Arial" w:cs="Arial"/>
          <w:i/>
          <w:color w:val="000000" w:themeColor="text1"/>
          <w:sz w:val="22"/>
          <w:szCs w:val="22"/>
        </w:rPr>
        <w:t>vehículos oficiales asignados a los funcionarios no podrán estacionarse en sitios prohibidos</w:t>
      </w:r>
      <w:r w:rsidR="00C7012F">
        <w:rPr>
          <w:rFonts w:ascii="Arial" w:hAnsi="Arial" w:cs="Arial"/>
          <w:i/>
          <w:color w:val="000000" w:themeColor="text1"/>
          <w:sz w:val="22"/>
          <w:szCs w:val="22"/>
        </w:rPr>
        <w:t xml:space="preserve"> </w:t>
      </w:r>
      <w:r w:rsidR="00DE0205" w:rsidRPr="00C7012F">
        <w:rPr>
          <w:rFonts w:ascii="Arial" w:hAnsi="Arial" w:cs="Arial"/>
          <w:i/>
          <w:color w:val="000000" w:themeColor="text1"/>
          <w:sz w:val="22"/>
          <w:szCs w:val="22"/>
        </w:rPr>
        <w:t>en la vía pública.</w:t>
      </w:r>
    </w:p>
    <w:p w14:paraId="5C77ADE3" w14:textId="77777777" w:rsidR="003076DB" w:rsidRPr="00C7012F" w:rsidRDefault="003076DB" w:rsidP="00D16241">
      <w:pPr>
        <w:jc w:val="both"/>
        <w:rPr>
          <w:rFonts w:ascii="Arial" w:hAnsi="Arial" w:cs="Arial"/>
          <w:color w:val="000000" w:themeColor="text1"/>
          <w:sz w:val="22"/>
          <w:szCs w:val="22"/>
          <w:highlight w:val="yellow"/>
        </w:rPr>
      </w:pPr>
    </w:p>
    <w:p w14:paraId="10F85DD6" w14:textId="6F60BFDA" w:rsidR="00E053F7" w:rsidRPr="00C7012F" w:rsidRDefault="00157244" w:rsidP="00D16241">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Sobre el particular, </w:t>
      </w:r>
      <w:r w:rsidR="00DE0205" w:rsidRPr="00C7012F">
        <w:rPr>
          <w:rFonts w:ascii="Arial" w:hAnsi="Arial" w:cs="Arial"/>
          <w:color w:val="000000" w:themeColor="text1"/>
          <w:sz w:val="22"/>
          <w:szCs w:val="22"/>
        </w:rPr>
        <w:t>se efectúo la consulta</w:t>
      </w:r>
      <w:r w:rsidR="00032D5F" w:rsidRPr="00C7012F">
        <w:rPr>
          <w:rFonts w:ascii="Arial" w:hAnsi="Arial" w:cs="Arial"/>
          <w:color w:val="000000" w:themeColor="text1"/>
          <w:sz w:val="22"/>
          <w:szCs w:val="22"/>
        </w:rPr>
        <w:t xml:space="preserve"> [fecha: </w:t>
      </w:r>
      <w:r w:rsidR="00383AC3" w:rsidRPr="00C7012F">
        <w:rPr>
          <w:rFonts w:ascii="Arial" w:hAnsi="Arial" w:cs="Arial"/>
          <w:color w:val="000000" w:themeColor="text1"/>
          <w:sz w:val="22"/>
          <w:szCs w:val="22"/>
        </w:rPr>
        <w:t>2</w:t>
      </w:r>
      <w:r w:rsidR="003D056B" w:rsidRPr="00C7012F">
        <w:rPr>
          <w:rFonts w:ascii="Arial" w:hAnsi="Arial" w:cs="Arial"/>
          <w:color w:val="000000" w:themeColor="text1"/>
          <w:sz w:val="22"/>
          <w:szCs w:val="22"/>
        </w:rPr>
        <w:t>4</w:t>
      </w:r>
      <w:r w:rsidR="00032D5F" w:rsidRPr="00C7012F">
        <w:rPr>
          <w:rFonts w:ascii="Arial" w:hAnsi="Arial" w:cs="Arial"/>
          <w:color w:val="000000" w:themeColor="text1"/>
          <w:sz w:val="22"/>
          <w:szCs w:val="22"/>
        </w:rPr>
        <w:t>/</w:t>
      </w:r>
      <w:r w:rsidR="003D056B" w:rsidRPr="00C7012F">
        <w:rPr>
          <w:rFonts w:ascii="Arial" w:hAnsi="Arial" w:cs="Arial"/>
          <w:color w:val="000000" w:themeColor="text1"/>
          <w:sz w:val="22"/>
          <w:szCs w:val="22"/>
        </w:rPr>
        <w:t>11</w:t>
      </w:r>
      <w:r w:rsidR="00032D5F" w:rsidRPr="00C7012F">
        <w:rPr>
          <w:rFonts w:ascii="Arial" w:hAnsi="Arial" w:cs="Arial"/>
          <w:color w:val="000000" w:themeColor="text1"/>
          <w:sz w:val="22"/>
          <w:szCs w:val="22"/>
        </w:rPr>
        <w:t xml:space="preserve">/2020] </w:t>
      </w:r>
      <w:r w:rsidR="00DE0205" w:rsidRPr="00C7012F">
        <w:rPr>
          <w:rFonts w:ascii="Arial" w:hAnsi="Arial" w:cs="Arial"/>
          <w:color w:val="000000" w:themeColor="text1"/>
          <w:sz w:val="22"/>
          <w:szCs w:val="22"/>
        </w:rPr>
        <w:t xml:space="preserve">en el </w:t>
      </w:r>
      <w:r w:rsidR="00DE0205" w:rsidRPr="00C7012F">
        <w:rPr>
          <w:rFonts w:ascii="Arial" w:hAnsi="Arial" w:cs="Arial"/>
          <w:i/>
          <w:color w:val="000000" w:themeColor="text1"/>
          <w:sz w:val="22"/>
          <w:szCs w:val="22"/>
        </w:rPr>
        <w:t>Sistema Integrado de Información sobre Multas y Sanciones por Infracciones de Tránsito</w:t>
      </w:r>
      <w:r w:rsidR="00AD1947" w:rsidRPr="00C7012F">
        <w:rPr>
          <w:rFonts w:ascii="Arial" w:hAnsi="Arial" w:cs="Arial"/>
          <w:i/>
          <w:color w:val="000000" w:themeColor="text1"/>
          <w:sz w:val="22"/>
          <w:szCs w:val="22"/>
        </w:rPr>
        <w:t xml:space="preserve"> -SIMIT</w:t>
      </w:r>
      <w:r w:rsidR="00DE0205" w:rsidRPr="00C7012F">
        <w:rPr>
          <w:rFonts w:ascii="Arial" w:hAnsi="Arial" w:cs="Arial"/>
          <w:i/>
          <w:color w:val="000000" w:themeColor="text1"/>
          <w:sz w:val="22"/>
          <w:szCs w:val="22"/>
        </w:rPr>
        <w:t xml:space="preserve"> </w:t>
      </w:r>
      <w:r w:rsidR="00DE0205" w:rsidRPr="00C7012F">
        <w:rPr>
          <w:rFonts w:ascii="Arial" w:hAnsi="Arial" w:cs="Arial"/>
          <w:color w:val="000000" w:themeColor="text1"/>
          <w:sz w:val="22"/>
          <w:szCs w:val="22"/>
        </w:rPr>
        <w:t xml:space="preserve">con el </w:t>
      </w:r>
      <w:proofErr w:type="spellStart"/>
      <w:r w:rsidR="00DE0205" w:rsidRPr="00C7012F">
        <w:rPr>
          <w:rFonts w:ascii="Arial" w:hAnsi="Arial" w:cs="Arial"/>
          <w:color w:val="000000" w:themeColor="text1"/>
          <w:sz w:val="22"/>
          <w:szCs w:val="22"/>
        </w:rPr>
        <w:t>Nit</w:t>
      </w:r>
      <w:proofErr w:type="spellEnd"/>
      <w:r w:rsidR="00DE0205" w:rsidRPr="00C7012F">
        <w:rPr>
          <w:rFonts w:ascii="Arial" w:hAnsi="Arial" w:cs="Arial"/>
          <w:color w:val="000000" w:themeColor="text1"/>
          <w:sz w:val="22"/>
          <w:szCs w:val="22"/>
        </w:rPr>
        <w:t xml:space="preserve"> 899999090 correspondiente al Ministerio de Hacienda y Crédito Público. Como result</w:t>
      </w:r>
      <w:r w:rsidR="00F07695" w:rsidRPr="00C7012F">
        <w:rPr>
          <w:rFonts w:ascii="Arial" w:hAnsi="Arial" w:cs="Arial"/>
          <w:color w:val="000000" w:themeColor="text1"/>
          <w:sz w:val="22"/>
          <w:szCs w:val="22"/>
        </w:rPr>
        <w:t xml:space="preserve">ado </w:t>
      </w:r>
      <w:r w:rsidR="00E07B7D" w:rsidRPr="00C7012F">
        <w:rPr>
          <w:rFonts w:ascii="Arial" w:hAnsi="Arial" w:cs="Arial"/>
          <w:color w:val="000000" w:themeColor="text1"/>
          <w:sz w:val="22"/>
          <w:szCs w:val="22"/>
        </w:rPr>
        <w:t xml:space="preserve">se evidenció que esta Entidad no posee registros en dicho Sistema por concepto de multas </w:t>
      </w:r>
      <w:r w:rsidR="0033561D" w:rsidRPr="00C7012F">
        <w:rPr>
          <w:rFonts w:ascii="Arial" w:hAnsi="Arial" w:cs="Arial"/>
          <w:color w:val="000000" w:themeColor="text1"/>
          <w:sz w:val="22"/>
          <w:szCs w:val="22"/>
        </w:rPr>
        <w:t>o</w:t>
      </w:r>
      <w:r w:rsidR="00FF50BC" w:rsidRPr="00C7012F">
        <w:rPr>
          <w:rFonts w:ascii="Arial" w:hAnsi="Arial" w:cs="Arial"/>
          <w:color w:val="000000" w:themeColor="text1"/>
          <w:sz w:val="22"/>
          <w:szCs w:val="22"/>
        </w:rPr>
        <w:t xml:space="preserve"> infracciones de tránsito, como se observa en la siguiente imagen:</w:t>
      </w:r>
    </w:p>
    <w:p w14:paraId="764CF36E" w14:textId="1AECFED1" w:rsidR="00206CEE" w:rsidRPr="00C7012F" w:rsidRDefault="00FF50BC" w:rsidP="00D16241">
      <w:pPr>
        <w:jc w:val="both"/>
        <w:rPr>
          <w:rFonts w:ascii="Arial" w:hAnsi="Arial" w:cs="Arial"/>
          <w:color w:val="000000" w:themeColor="text1"/>
          <w:sz w:val="22"/>
          <w:szCs w:val="22"/>
          <w:highlight w:val="yellow"/>
        </w:rPr>
      </w:pPr>
      <w:r w:rsidRPr="00C7012F">
        <w:rPr>
          <w:rFonts w:ascii="Arial" w:hAnsi="Arial" w:cs="Arial"/>
          <w:color w:val="000000" w:themeColor="text1"/>
          <w:sz w:val="22"/>
          <w:szCs w:val="22"/>
          <w:highlight w:val="yellow"/>
        </w:rPr>
        <w:t xml:space="preserve"> </w:t>
      </w:r>
    </w:p>
    <w:p w14:paraId="3CF8D778" w14:textId="2CB446C3" w:rsidR="00383AC3" w:rsidRPr="00CA48AF" w:rsidRDefault="003D056B" w:rsidP="00206CEE">
      <w:pPr>
        <w:rPr>
          <w:highlight w:val="yellow"/>
        </w:rPr>
      </w:pPr>
      <w:r>
        <w:rPr>
          <w:noProof/>
          <w:lang w:val="en-US" w:eastAsia="en-US"/>
        </w:rPr>
        <w:lastRenderedPageBreak/>
        <w:drawing>
          <wp:inline distT="0" distB="0" distL="0" distR="0" wp14:anchorId="1B0B6183" wp14:editId="5311F9A1">
            <wp:extent cx="6219825" cy="155158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1689" cy="1554544"/>
                    </a:xfrm>
                    <a:prstGeom prst="rect">
                      <a:avLst/>
                    </a:prstGeom>
                  </pic:spPr>
                </pic:pic>
              </a:graphicData>
            </a:graphic>
          </wp:inline>
        </w:drawing>
      </w:r>
    </w:p>
    <w:p w14:paraId="599027D9" w14:textId="77777777" w:rsidR="00D16241" w:rsidRDefault="00D16241" w:rsidP="00D16241">
      <w:pPr>
        <w:jc w:val="both"/>
        <w:rPr>
          <w:rFonts w:ascii="Arial" w:hAnsi="Arial" w:cs="Arial"/>
          <w:bCs/>
          <w:sz w:val="22"/>
          <w:szCs w:val="22"/>
        </w:rPr>
      </w:pPr>
    </w:p>
    <w:p w14:paraId="50EA97D8" w14:textId="0DCBABF2" w:rsidR="00794560" w:rsidRPr="00C7012F" w:rsidRDefault="00CD61E2" w:rsidP="00D16241">
      <w:pPr>
        <w:jc w:val="both"/>
        <w:rPr>
          <w:rFonts w:ascii="Arial" w:hAnsi="Arial" w:cs="Arial"/>
          <w:bCs/>
          <w:sz w:val="22"/>
          <w:szCs w:val="22"/>
        </w:rPr>
      </w:pPr>
      <w:r w:rsidRPr="00C7012F">
        <w:rPr>
          <w:rFonts w:ascii="Arial" w:hAnsi="Arial" w:cs="Arial"/>
          <w:bCs/>
          <w:sz w:val="22"/>
          <w:szCs w:val="22"/>
        </w:rPr>
        <w:t xml:space="preserve">Adicional a lo anterior, </w:t>
      </w:r>
      <w:r w:rsidR="00D152C8" w:rsidRPr="00C7012F">
        <w:rPr>
          <w:rFonts w:ascii="Arial" w:hAnsi="Arial" w:cs="Arial"/>
          <w:bCs/>
          <w:sz w:val="22"/>
          <w:szCs w:val="22"/>
        </w:rPr>
        <w:t>se consultó</w:t>
      </w:r>
      <w:r w:rsidR="007827E4" w:rsidRPr="00C7012F">
        <w:rPr>
          <w:rFonts w:ascii="Arial" w:hAnsi="Arial" w:cs="Arial"/>
          <w:bCs/>
          <w:sz w:val="22"/>
          <w:szCs w:val="22"/>
        </w:rPr>
        <w:t xml:space="preserve"> en el SIMIT</w:t>
      </w:r>
      <w:r w:rsidR="00D152C8" w:rsidRPr="00C7012F">
        <w:rPr>
          <w:rFonts w:ascii="Arial" w:hAnsi="Arial" w:cs="Arial"/>
          <w:bCs/>
          <w:sz w:val="22"/>
          <w:szCs w:val="22"/>
        </w:rPr>
        <w:t xml:space="preserve"> por número de cédula de </w:t>
      </w:r>
      <w:r w:rsidR="00C67E96" w:rsidRPr="00C7012F">
        <w:rPr>
          <w:rFonts w:ascii="Arial" w:hAnsi="Arial" w:cs="Arial"/>
          <w:bCs/>
          <w:sz w:val="22"/>
          <w:szCs w:val="22"/>
        </w:rPr>
        <w:t xml:space="preserve">cada uno de </w:t>
      </w:r>
      <w:r w:rsidR="00D152C8" w:rsidRPr="00C7012F">
        <w:rPr>
          <w:rFonts w:ascii="Arial" w:hAnsi="Arial" w:cs="Arial"/>
          <w:bCs/>
          <w:sz w:val="22"/>
          <w:szCs w:val="22"/>
        </w:rPr>
        <w:t xml:space="preserve">los funcionarios </w:t>
      </w:r>
      <w:r w:rsidR="001110CC" w:rsidRPr="00C7012F">
        <w:rPr>
          <w:rFonts w:ascii="Arial" w:hAnsi="Arial" w:cs="Arial"/>
          <w:bCs/>
          <w:sz w:val="22"/>
          <w:szCs w:val="22"/>
        </w:rPr>
        <w:t xml:space="preserve">que </w:t>
      </w:r>
      <w:r w:rsidR="00932AAC" w:rsidRPr="00C7012F">
        <w:rPr>
          <w:rFonts w:ascii="Arial" w:hAnsi="Arial" w:cs="Arial"/>
          <w:bCs/>
          <w:sz w:val="22"/>
          <w:szCs w:val="22"/>
        </w:rPr>
        <w:t xml:space="preserve">se </w:t>
      </w:r>
      <w:r w:rsidR="00D152C8" w:rsidRPr="00C7012F">
        <w:rPr>
          <w:rFonts w:ascii="Arial" w:hAnsi="Arial" w:cs="Arial"/>
          <w:bCs/>
          <w:sz w:val="22"/>
          <w:szCs w:val="22"/>
        </w:rPr>
        <w:t>desempeña</w:t>
      </w:r>
      <w:r w:rsidR="007827E4" w:rsidRPr="00C7012F">
        <w:rPr>
          <w:rFonts w:ascii="Arial" w:hAnsi="Arial" w:cs="Arial"/>
          <w:bCs/>
          <w:sz w:val="22"/>
          <w:szCs w:val="22"/>
        </w:rPr>
        <w:t>ron</w:t>
      </w:r>
      <w:r w:rsidR="00D152C8" w:rsidRPr="00C7012F">
        <w:rPr>
          <w:rFonts w:ascii="Arial" w:hAnsi="Arial" w:cs="Arial"/>
          <w:bCs/>
          <w:sz w:val="22"/>
          <w:szCs w:val="22"/>
        </w:rPr>
        <w:t xml:space="preserve"> </w:t>
      </w:r>
      <w:r w:rsidR="00932AAC" w:rsidRPr="00C7012F">
        <w:rPr>
          <w:rFonts w:ascii="Arial" w:hAnsi="Arial" w:cs="Arial"/>
          <w:bCs/>
          <w:sz w:val="22"/>
          <w:szCs w:val="22"/>
        </w:rPr>
        <w:t>como</w:t>
      </w:r>
      <w:r w:rsidR="00D152C8" w:rsidRPr="00C7012F">
        <w:rPr>
          <w:rFonts w:ascii="Arial" w:hAnsi="Arial" w:cs="Arial"/>
          <w:bCs/>
          <w:sz w:val="22"/>
          <w:szCs w:val="22"/>
        </w:rPr>
        <w:t xml:space="preserve"> conductor</w:t>
      </w:r>
      <w:r w:rsidR="00932AAC" w:rsidRPr="00C7012F">
        <w:rPr>
          <w:rFonts w:ascii="Arial" w:hAnsi="Arial" w:cs="Arial"/>
          <w:bCs/>
          <w:sz w:val="22"/>
          <w:szCs w:val="22"/>
        </w:rPr>
        <w:t>es</w:t>
      </w:r>
      <w:r w:rsidR="00D152C8" w:rsidRPr="00C7012F">
        <w:rPr>
          <w:rFonts w:ascii="Arial" w:hAnsi="Arial" w:cs="Arial"/>
          <w:bCs/>
          <w:sz w:val="22"/>
          <w:szCs w:val="22"/>
        </w:rPr>
        <w:t xml:space="preserve"> </w:t>
      </w:r>
      <w:r w:rsidR="00C67E96" w:rsidRPr="00C7012F">
        <w:rPr>
          <w:rFonts w:ascii="Arial" w:hAnsi="Arial" w:cs="Arial"/>
          <w:bCs/>
          <w:sz w:val="22"/>
          <w:szCs w:val="22"/>
        </w:rPr>
        <w:t>de los vehículos</w:t>
      </w:r>
      <w:r w:rsidR="007827E4" w:rsidRPr="00C7012F">
        <w:rPr>
          <w:rFonts w:ascii="Arial" w:hAnsi="Arial" w:cs="Arial"/>
          <w:bCs/>
          <w:sz w:val="22"/>
          <w:szCs w:val="22"/>
        </w:rPr>
        <w:t xml:space="preserve"> de </w:t>
      </w:r>
      <w:r w:rsidR="00C67E96" w:rsidRPr="00C7012F">
        <w:rPr>
          <w:rFonts w:ascii="Arial" w:hAnsi="Arial" w:cs="Arial"/>
          <w:bCs/>
          <w:sz w:val="22"/>
          <w:szCs w:val="22"/>
        </w:rPr>
        <w:t>este Ministerio</w:t>
      </w:r>
      <w:r w:rsidR="00932AAC" w:rsidRPr="00C7012F">
        <w:rPr>
          <w:rFonts w:ascii="Arial" w:hAnsi="Arial" w:cs="Arial"/>
          <w:bCs/>
          <w:sz w:val="22"/>
          <w:szCs w:val="22"/>
        </w:rPr>
        <w:t xml:space="preserve"> </w:t>
      </w:r>
      <w:r w:rsidR="007827E4" w:rsidRPr="00C7012F">
        <w:rPr>
          <w:rFonts w:ascii="Arial" w:hAnsi="Arial" w:cs="Arial"/>
          <w:bCs/>
          <w:sz w:val="22"/>
          <w:szCs w:val="22"/>
        </w:rPr>
        <w:t xml:space="preserve">con corte a 30 de </w:t>
      </w:r>
      <w:r w:rsidR="00271EFA" w:rsidRPr="00C7012F">
        <w:rPr>
          <w:rFonts w:ascii="Arial" w:hAnsi="Arial" w:cs="Arial"/>
          <w:bCs/>
          <w:sz w:val="22"/>
          <w:szCs w:val="22"/>
        </w:rPr>
        <w:t xml:space="preserve">septiembre de </w:t>
      </w:r>
      <w:r w:rsidR="00755241" w:rsidRPr="00C7012F">
        <w:rPr>
          <w:rFonts w:ascii="Arial" w:hAnsi="Arial" w:cs="Arial"/>
          <w:bCs/>
          <w:sz w:val="22"/>
          <w:szCs w:val="22"/>
        </w:rPr>
        <w:t>2020, evidenciando</w:t>
      </w:r>
      <w:r w:rsidR="00C67E96" w:rsidRPr="00C7012F">
        <w:rPr>
          <w:rFonts w:ascii="Arial" w:hAnsi="Arial" w:cs="Arial"/>
          <w:bCs/>
          <w:sz w:val="22"/>
          <w:szCs w:val="22"/>
        </w:rPr>
        <w:t xml:space="preserve"> </w:t>
      </w:r>
      <w:r w:rsidR="00730D78" w:rsidRPr="00C7012F">
        <w:rPr>
          <w:rFonts w:ascii="Arial" w:hAnsi="Arial" w:cs="Arial"/>
          <w:bCs/>
          <w:sz w:val="22"/>
          <w:szCs w:val="22"/>
        </w:rPr>
        <w:t>que a la fecha de consulta [2</w:t>
      </w:r>
      <w:r w:rsidR="00271EFA" w:rsidRPr="00C7012F">
        <w:rPr>
          <w:rFonts w:ascii="Arial" w:hAnsi="Arial" w:cs="Arial"/>
          <w:bCs/>
          <w:sz w:val="22"/>
          <w:szCs w:val="22"/>
        </w:rPr>
        <w:t>4</w:t>
      </w:r>
      <w:r w:rsidR="00730D78" w:rsidRPr="00C7012F">
        <w:rPr>
          <w:rFonts w:ascii="Arial" w:hAnsi="Arial" w:cs="Arial"/>
          <w:bCs/>
          <w:sz w:val="22"/>
          <w:szCs w:val="22"/>
        </w:rPr>
        <w:t>/</w:t>
      </w:r>
      <w:r w:rsidR="00271EFA" w:rsidRPr="00C7012F">
        <w:rPr>
          <w:rFonts w:ascii="Arial" w:hAnsi="Arial" w:cs="Arial"/>
          <w:bCs/>
          <w:sz w:val="22"/>
          <w:szCs w:val="22"/>
        </w:rPr>
        <w:t>11</w:t>
      </w:r>
      <w:r w:rsidR="00730D78" w:rsidRPr="00C7012F">
        <w:rPr>
          <w:rFonts w:ascii="Arial" w:hAnsi="Arial" w:cs="Arial"/>
          <w:bCs/>
          <w:sz w:val="22"/>
          <w:szCs w:val="22"/>
        </w:rPr>
        <w:t>/2020], no se present</w:t>
      </w:r>
      <w:r w:rsidR="007827E4" w:rsidRPr="00C7012F">
        <w:rPr>
          <w:rFonts w:ascii="Arial" w:hAnsi="Arial" w:cs="Arial"/>
          <w:bCs/>
          <w:sz w:val="22"/>
          <w:szCs w:val="22"/>
        </w:rPr>
        <w:t>aron</w:t>
      </w:r>
      <w:r w:rsidR="00730D78" w:rsidRPr="00C7012F">
        <w:rPr>
          <w:rFonts w:ascii="Arial" w:hAnsi="Arial" w:cs="Arial"/>
          <w:bCs/>
          <w:sz w:val="22"/>
          <w:szCs w:val="22"/>
        </w:rPr>
        <w:t xml:space="preserve"> sanciones y multas </w:t>
      </w:r>
      <w:r w:rsidR="001110CC" w:rsidRPr="00C7012F">
        <w:rPr>
          <w:rFonts w:ascii="Arial" w:hAnsi="Arial" w:cs="Arial"/>
          <w:bCs/>
          <w:sz w:val="22"/>
          <w:szCs w:val="22"/>
        </w:rPr>
        <w:t>de tránsito</w:t>
      </w:r>
      <w:r w:rsidR="007827E4" w:rsidRPr="00C7012F">
        <w:rPr>
          <w:rFonts w:ascii="Arial" w:hAnsi="Arial" w:cs="Arial"/>
          <w:bCs/>
          <w:sz w:val="22"/>
          <w:szCs w:val="22"/>
        </w:rPr>
        <w:t xml:space="preserve"> </w:t>
      </w:r>
      <w:r w:rsidR="00755241" w:rsidRPr="00C7012F">
        <w:rPr>
          <w:rFonts w:ascii="Arial" w:hAnsi="Arial" w:cs="Arial"/>
          <w:bCs/>
          <w:sz w:val="22"/>
          <w:szCs w:val="22"/>
        </w:rPr>
        <w:t xml:space="preserve">a </w:t>
      </w:r>
      <w:r w:rsidR="00D73FE2" w:rsidRPr="00C7012F">
        <w:rPr>
          <w:rFonts w:ascii="Arial" w:hAnsi="Arial" w:cs="Arial"/>
          <w:bCs/>
          <w:sz w:val="22"/>
          <w:szCs w:val="22"/>
        </w:rPr>
        <w:t>cargo de</w:t>
      </w:r>
      <w:r w:rsidR="00755241" w:rsidRPr="00C7012F">
        <w:rPr>
          <w:rFonts w:ascii="Arial" w:hAnsi="Arial" w:cs="Arial"/>
          <w:bCs/>
          <w:sz w:val="22"/>
          <w:szCs w:val="22"/>
        </w:rPr>
        <w:t xml:space="preserve"> los</w:t>
      </w:r>
      <w:r w:rsidR="00932AAC" w:rsidRPr="00C7012F">
        <w:rPr>
          <w:rFonts w:ascii="Arial" w:hAnsi="Arial" w:cs="Arial"/>
          <w:bCs/>
          <w:sz w:val="22"/>
          <w:szCs w:val="22"/>
        </w:rPr>
        <w:t xml:space="preserve"> respectivos funcionarios.</w:t>
      </w:r>
      <w:r w:rsidR="00755241" w:rsidRPr="00C7012F">
        <w:rPr>
          <w:rFonts w:ascii="Arial" w:hAnsi="Arial" w:cs="Arial"/>
          <w:bCs/>
          <w:sz w:val="22"/>
          <w:szCs w:val="22"/>
        </w:rPr>
        <w:t xml:space="preserve"> </w:t>
      </w:r>
    </w:p>
    <w:p w14:paraId="1F09DBCC" w14:textId="77777777" w:rsidR="00D16241" w:rsidRPr="00C7012F" w:rsidRDefault="00D16241" w:rsidP="00D16241">
      <w:pPr>
        <w:jc w:val="both"/>
        <w:rPr>
          <w:rFonts w:ascii="Arial" w:hAnsi="Arial" w:cs="Arial"/>
          <w:bCs/>
          <w:sz w:val="22"/>
          <w:szCs w:val="22"/>
        </w:rPr>
      </w:pPr>
    </w:p>
    <w:p w14:paraId="1D22C7F2" w14:textId="6F22335B" w:rsidR="00271EFA" w:rsidRPr="00C7012F" w:rsidRDefault="00271EFA" w:rsidP="00D16241">
      <w:pPr>
        <w:jc w:val="both"/>
        <w:rPr>
          <w:rFonts w:ascii="Arial" w:hAnsi="Arial" w:cs="Arial"/>
          <w:color w:val="000000"/>
          <w:sz w:val="22"/>
          <w:szCs w:val="22"/>
        </w:rPr>
      </w:pPr>
      <w:r w:rsidRPr="00C7012F">
        <w:rPr>
          <w:rFonts w:ascii="Arial" w:hAnsi="Arial" w:cs="Arial"/>
          <w:color w:val="000000"/>
          <w:sz w:val="22"/>
          <w:szCs w:val="22"/>
        </w:rPr>
        <w:t xml:space="preserve">Aunado a lo anterior, la Subdirección de Servicios informó </w:t>
      </w:r>
      <w:r w:rsidR="0043208C" w:rsidRPr="00C7012F">
        <w:rPr>
          <w:rFonts w:ascii="Arial" w:hAnsi="Arial" w:cs="Arial"/>
          <w:color w:val="000000"/>
          <w:sz w:val="22"/>
          <w:szCs w:val="22"/>
        </w:rPr>
        <w:t>que,</w:t>
      </w:r>
      <w:r w:rsidRPr="00C7012F">
        <w:rPr>
          <w:rFonts w:ascii="Arial" w:hAnsi="Arial" w:cs="Arial"/>
          <w:color w:val="000000"/>
          <w:sz w:val="22"/>
          <w:szCs w:val="22"/>
        </w:rPr>
        <w:t xml:space="preserve"> </w:t>
      </w:r>
      <w:r w:rsidR="0043208C" w:rsidRPr="00C7012F">
        <w:rPr>
          <w:rFonts w:ascii="Arial" w:hAnsi="Arial" w:cs="Arial"/>
          <w:color w:val="000000"/>
          <w:sz w:val="22"/>
          <w:szCs w:val="22"/>
        </w:rPr>
        <w:t xml:space="preserve">dentro del Pla Estratégico de Seguridad Vial, </w:t>
      </w:r>
      <w:r w:rsidRPr="00C7012F">
        <w:rPr>
          <w:rFonts w:ascii="Arial" w:hAnsi="Arial" w:cs="Arial"/>
          <w:color w:val="000000"/>
          <w:sz w:val="22"/>
          <w:szCs w:val="22"/>
        </w:rPr>
        <w:t>tiene definido como control</w:t>
      </w:r>
      <w:r w:rsidR="0043208C" w:rsidRPr="00C7012F">
        <w:rPr>
          <w:rFonts w:ascii="Arial" w:hAnsi="Arial" w:cs="Arial"/>
          <w:color w:val="000000"/>
          <w:sz w:val="22"/>
          <w:szCs w:val="22"/>
        </w:rPr>
        <w:t xml:space="preserve"> </w:t>
      </w:r>
      <w:r w:rsidRPr="00C7012F">
        <w:rPr>
          <w:rFonts w:ascii="Arial" w:hAnsi="Arial" w:cs="Arial"/>
          <w:color w:val="000000"/>
          <w:sz w:val="22"/>
          <w:szCs w:val="22"/>
        </w:rPr>
        <w:t xml:space="preserve">efectuar un seguimiento mensual del estado de comparendos de los conductores de la Entidad y requiere a los responsables de los mismos cuando es el caso, </w:t>
      </w:r>
      <w:r w:rsidR="00CF2948" w:rsidRPr="00C7012F">
        <w:rPr>
          <w:rFonts w:ascii="Arial" w:hAnsi="Arial" w:cs="Arial"/>
          <w:color w:val="000000"/>
          <w:sz w:val="22"/>
          <w:szCs w:val="22"/>
        </w:rPr>
        <w:t>con el fin de que present</w:t>
      </w:r>
      <w:r w:rsidR="00603F1A" w:rsidRPr="00C7012F">
        <w:rPr>
          <w:rFonts w:ascii="Arial" w:hAnsi="Arial" w:cs="Arial"/>
          <w:color w:val="000000"/>
          <w:sz w:val="22"/>
          <w:szCs w:val="22"/>
        </w:rPr>
        <w:t>en</w:t>
      </w:r>
      <w:r w:rsidR="00CF2948" w:rsidRPr="00C7012F">
        <w:rPr>
          <w:rFonts w:ascii="Arial" w:hAnsi="Arial" w:cs="Arial"/>
          <w:color w:val="000000"/>
          <w:sz w:val="22"/>
          <w:szCs w:val="22"/>
        </w:rPr>
        <w:t xml:space="preserve"> </w:t>
      </w:r>
      <w:r w:rsidRPr="00C7012F">
        <w:rPr>
          <w:rFonts w:ascii="Arial" w:hAnsi="Arial" w:cs="Arial"/>
          <w:color w:val="000000"/>
          <w:sz w:val="22"/>
          <w:szCs w:val="22"/>
        </w:rPr>
        <w:t>la respectiva certificación de pago y con ello el estado de paz y salvo.</w:t>
      </w:r>
    </w:p>
    <w:p w14:paraId="6A6462A6" w14:textId="2829751D" w:rsidR="0043208C" w:rsidRPr="00C7012F" w:rsidRDefault="0043208C" w:rsidP="00D16241">
      <w:pPr>
        <w:jc w:val="both"/>
        <w:rPr>
          <w:rFonts w:ascii="Arial" w:hAnsi="Arial" w:cs="Arial"/>
          <w:color w:val="000000"/>
          <w:sz w:val="22"/>
          <w:szCs w:val="22"/>
        </w:rPr>
      </w:pPr>
    </w:p>
    <w:p w14:paraId="56F32B2A" w14:textId="77777777" w:rsidR="00D16241" w:rsidRPr="00C7012F" w:rsidRDefault="0043208C" w:rsidP="00D16241">
      <w:pPr>
        <w:jc w:val="both"/>
        <w:rPr>
          <w:rFonts w:ascii="Arial" w:hAnsi="Arial" w:cs="Arial"/>
          <w:bCs/>
          <w:sz w:val="22"/>
          <w:szCs w:val="22"/>
        </w:rPr>
      </w:pPr>
      <w:r w:rsidRPr="00C7012F">
        <w:rPr>
          <w:rFonts w:ascii="Arial" w:hAnsi="Arial" w:cs="Arial"/>
          <w:bCs/>
          <w:sz w:val="22"/>
          <w:szCs w:val="22"/>
        </w:rPr>
        <w:t xml:space="preserve">En el mismo sentido, es importante resaltar que, durante el tercer trimestre de la presente vigencia la Coordinación del Grupo del Logística y Servicios Especiales formalizó y publicó los procedimientos y formatos asociados al proceso </w:t>
      </w:r>
      <w:r w:rsidRPr="00C7012F">
        <w:rPr>
          <w:rFonts w:ascii="Arial" w:hAnsi="Arial" w:cs="Arial"/>
          <w:bCs/>
          <w:i/>
          <w:iCs/>
          <w:sz w:val="22"/>
          <w:szCs w:val="22"/>
        </w:rPr>
        <w:t>APO 4.2 Administración de Bienes y Servicios</w:t>
      </w:r>
      <w:r w:rsidRPr="00C7012F">
        <w:rPr>
          <w:rFonts w:ascii="Arial" w:hAnsi="Arial" w:cs="Arial"/>
          <w:bCs/>
          <w:sz w:val="22"/>
          <w:szCs w:val="22"/>
        </w:rPr>
        <w:t xml:space="preserve">, reforzando la Circular Interna 011 de julio 8 de 2019, mediante memorando 3-2020-011716 del 5 de agosto de 2020, donde se les reiteró a los conductores los lineamientos </w:t>
      </w:r>
      <w:r w:rsidR="00FC6EE3" w:rsidRPr="00C7012F">
        <w:rPr>
          <w:rFonts w:ascii="Arial" w:hAnsi="Arial" w:cs="Arial"/>
          <w:bCs/>
          <w:sz w:val="22"/>
          <w:szCs w:val="22"/>
        </w:rPr>
        <w:t>y procedimientos para el uso de los vehículos a cargo de esta entidad y estableció las condiciones para la prestación de los servicios de transporte dentro del ámbito legal, con el propósito de efectuar un uso adecuado, racional y eficiente del servicio de transporte, teniendo en cuenta</w:t>
      </w:r>
      <w:r w:rsidR="00F65274" w:rsidRPr="00C7012F">
        <w:rPr>
          <w:rFonts w:ascii="Arial" w:hAnsi="Arial" w:cs="Arial"/>
          <w:bCs/>
          <w:sz w:val="22"/>
          <w:szCs w:val="22"/>
        </w:rPr>
        <w:t xml:space="preserve"> </w:t>
      </w:r>
      <w:r w:rsidR="00FC6EE3" w:rsidRPr="00C7012F">
        <w:rPr>
          <w:rFonts w:ascii="Arial" w:hAnsi="Arial" w:cs="Arial"/>
          <w:bCs/>
          <w:sz w:val="22"/>
          <w:szCs w:val="22"/>
        </w:rPr>
        <w:t>entre otras</w:t>
      </w:r>
      <w:r w:rsidR="00AB2F10" w:rsidRPr="00C7012F">
        <w:rPr>
          <w:rFonts w:ascii="Arial" w:hAnsi="Arial" w:cs="Arial"/>
          <w:bCs/>
          <w:sz w:val="22"/>
          <w:szCs w:val="22"/>
        </w:rPr>
        <w:t>, las</w:t>
      </w:r>
      <w:r w:rsidR="00FC6EE3" w:rsidRPr="00C7012F">
        <w:rPr>
          <w:rFonts w:ascii="Arial" w:hAnsi="Arial" w:cs="Arial"/>
          <w:bCs/>
          <w:sz w:val="22"/>
          <w:szCs w:val="22"/>
        </w:rPr>
        <w:t xml:space="preserve"> medidas establecidas en el marco de la austeridad del gasto</w:t>
      </w:r>
      <w:r w:rsidR="00D66F6D" w:rsidRPr="00C7012F">
        <w:rPr>
          <w:rFonts w:ascii="Arial" w:hAnsi="Arial" w:cs="Arial"/>
          <w:bCs/>
          <w:sz w:val="22"/>
          <w:szCs w:val="22"/>
        </w:rPr>
        <w:t xml:space="preserve">. </w:t>
      </w:r>
    </w:p>
    <w:p w14:paraId="2CC69B5F" w14:textId="77777777" w:rsidR="00D16241" w:rsidRPr="00C7012F" w:rsidRDefault="00D16241" w:rsidP="00D16241">
      <w:pPr>
        <w:jc w:val="both"/>
        <w:rPr>
          <w:rFonts w:ascii="Arial" w:hAnsi="Arial" w:cs="Arial"/>
          <w:bCs/>
          <w:sz w:val="22"/>
          <w:szCs w:val="22"/>
        </w:rPr>
      </w:pPr>
    </w:p>
    <w:p w14:paraId="4363FBA4" w14:textId="49CBDC13" w:rsidR="00FA2923" w:rsidRPr="00C7012F" w:rsidRDefault="00FA2923" w:rsidP="00D16241">
      <w:pPr>
        <w:jc w:val="both"/>
        <w:rPr>
          <w:rFonts w:ascii="Arial" w:hAnsi="Arial" w:cs="Arial"/>
          <w:bCs/>
          <w:sz w:val="22"/>
          <w:szCs w:val="22"/>
          <w:highlight w:val="yellow"/>
        </w:rPr>
      </w:pPr>
      <w:r w:rsidRPr="00C7012F">
        <w:rPr>
          <w:rFonts w:ascii="Arial" w:hAnsi="Arial" w:cs="Arial"/>
          <w:bCs/>
          <w:sz w:val="22"/>
          <w:szCs w:val="22"/>
        </w:rPr>
        <w:t xml:space="preserve">Al respecto, la Oficina de Control Interno confirmó que la Subdirección de </w:t>
      </w:r>
      <w:r w:rsidR="005D4C1B" w:rsidRPr="00C7012F">
        <w:rPr>
          <w:rFonts w:ascii="Arial" w:hAnsi="Arial" w:cs="Arial"/>
          <w:bCs/>
          <w:sz w:val="22"/>
          <w:szCs w:val="22"/>
        </w:rPr>
        <w:t>Servicios socializa</w:t>
      </w:r>
      <w:r w:rsidR="00E053F7" w:rsidRPr="00C7012F">
        <w:rPr>
          <w:rFonts w:ascii="Arial" w:hAnsi="Arial" w:cs="Arial"/>
          <w:bCs/>
          <w:sz w:val="22"/>
          <w:szCs w:val="22"/>
        </w:rPr>
        <w:t xml:space="preserve"> </w:t>
      </w:r>
      <w:r w:rsidR="00603F1A" w:rsidRPr="00C7012F">
        <w:rPr>
          <w:rFonts w:ascii="Arial" w:hAnsi="Arial" w:cs="Arial"/>
          <w:bCs/>
          <w:sz w:val="22"/>
          <w:szCs w:val="22"/>
        </w:rPr>
        <w:t xml:space="preserve">con </w:t>
      </w:r>
      <w:r w:rsidR="00E053F7" w:rsidRPr="00C7012F">
        <w:rPr>
          <w:rFonts w:ascii="Arial" w:hAnsi="Arial" w:cs="Arial"/>
          <w:bCs/>
          <w:sz w:val="22"/>
          <w:szCs w:val="22"/>
        </w:rPr>
        <w:t xml:space="preserve">los funcionarios que desempeñan el cargo de conductor, </w:t>
      </w:r>
      <w:r w:rsidRPr="00C7012F">
        <w:rPr>
          <w:rFonts w:ascii="Arial" w:hAnsi="Arial" w:cs="Arial"/>
          <w:bCs/>
          <w:sz w:val="22"/>
          <w:szCs w:val="22"/>
        </w:rPr>
        <w:t>la</w:t>
      </w:r>
      <w:r w:rsidR="00E053F7" w:rsidRPr="00C7012F">
        <w:rPr>
          <w:rFonts w:ascii="Arial" w:hAnsi="Arial" w:cs="Arial"/>
          <w:bCs/>
          <w:sz w:val="22"/>
          <w:szCs w:val="22"/>
        </w:rPr>
        <w:t>s directrices para el uso de los vehículos oficiales y la prestación del servicio de transporte</w:t>
      </w:r>
      <w:r w:rsidR="00603F1A" w:rsidRPr="00C7012F">
        <w:rPr>
          <w:rFonts w:ascii="Arial" w:hAnsi="Arial" w:cs="Arial"/>
          <w:bCs/>
          <w:sz w:val="22"/>
          <w:szCs w:val="22"/>
        </w:rPr>
        <w:t>,</w:t>
      </w:r>
      <w:r w:rsidR="00E053F7" w:rsidRPr="00C7012F">
        <w:rPr>
          <w:rFonts w:ascii="Arial" w:hAnsi="Arial" w:cs="Arial"/>
          <w:bCs/>
          <w:sz w:val="22"/>
          <w:szCs w:val="22"/>
        </w:rPr>
        <w:t xml:space="preserve"> de acuerdo con la normatividad vigente.</w:t>
      </w:r>
      <w:r w:rsidRPr="00C7012F">
        <w:rPr>
          <w:rFonts w:ascii="Arial" w:hAnsi="Arial" w:cs="Arial"/>
          <w:bCs/>
          <w:sz w:val="22"/>
          <w:szCs w:val="22"/>
        </w:rPr>
        <w:t xml:space="preserve"> </w:t>
      </w:r>
    </w:p>
    <w:p w14:paraId="002681EF" w14:textId="20E208DF" w:rsidR="00FC6EE3" w:rsidRPr="00C7012F" w:rsidRDefault="00FC6EE3" w:rsidP="00D16241">
      <w:pPr>
        <w:rPr>
          <w:rFonts w:ascii="Arial" w:hAnsi="Arial" w:cs="Arial"/>
          <w:b/>
          <w:sz w:val="22"/>
          <w:szCs w:val="22"/>
        </w:rPr>
      </w:pPr>
    </w:p>
    <w:p w14:paraId="61F7CD3D" w14:textId="77777777" w:rsidR="00C533D9" w:rsidRPr="00C7012F" w:rsidRDefault="00C533D9" w:rsidP="00D16241">
      <w:pPr>
        <w:jc w:val="both"/>
        <w:rPr>
          <w:rFonts w:ascii="Arial" w:hAnsi="Arial" w:cs="Arial"/>
          <w:bCs/>
          <w:sz w:val="22"/>
          <w:szCs w:val="22"/>
        </w:rPr>
      </w:pPr>
      <w:r w:rsidRPr="00C7012F">
        <w:rPr>
          <w:rFonts w:ascii="Arial" w:hAnsi="Arial" w:cs="Arial"/>
          <w:bCs/>
          <w:sz w:val="22"/>
          <w:szCs w:val="22"/>
        </w:rPr>
        <w:t>En conclusión, los conductores que tienen asignados los vehículos oficiales del Ministerio de Hacienda y Crédito Público respetaron las normas de tránsito, durante el periodo objeto de verificación, es decir que, se dio cumplimiento con las disposiciones definidas en la Directiva 09 de 2018 y el Decreto 1009 de 2020, en lo que respecta a los directrices de</w:t>
      </w:r>
      <w:r w:rsidRPr="00C7012F">
        <w:rPr>
          <w:rFonts w:ascii="Arial" w:hAnsi="Arial" w:cs="Arial"/>
          <w:bCs/>
          <w:i/>
          <w:iCs/>
          <w:sz w:val="22"/>
          <w:szCs w:val="22"/>
        </w:rPr>
        <w:t xml:space="preserve"> Vehículos Oficiales</w:t>
      </w:r>
      <w:r w:rsidRPr="00C7012F">
        <w:rPr>
          <w:rFonts w:ascii="Arial" w:hAnsi="Arial" w:cs="Arial"/>
          <w:bCs/>
          <w:sz w:val="22"/>
          <w:szCs w:val="22"/>
        </w:rPr>
        <w:t xml:space="preserve">.  </w:t>
      </w:r>
    </w:p>
    <w:p w14:paraId="70C76D30" w14:textId="77777777" w:rsidR="00D16241" w:rsidRPr="002A1A46" w:rsidRDefault="00D16241" w:rsidP="00D16241">
      <w:pPr>
        <w:rPr>
          <w:rFonts w:ascii="Arial" w:hAnsi="Arial" w:cs="Arial"/>
          <w:b/>
          <w:sz w:val="22"/>
          <w:szCs w:val="22"/>
        </w:rPr>
      </w:pPr>
    </w:p>
    <w:p w14:paraId="62CAF6C5" w14:textId="77777777" w:rsidR="00723ED1" w:rsidRPr="002A1A46" w:rsidRDefault="00723ED1" w:rsidP="00D16241">
      <w:pPr>
        <w:rPr>
          <w:rFonts w:ascii="Arial" w:hAnsi="Arial" w:cs="Arial"/>
          <w:b/>
          <w:sz w:val="22"/>
          <w:szCs w:val="22"/>
        </w:rPr>
      </w:pPr>
    </w:p>
    <w:p w14:paraId="529E840A" w14:textId="752207D4" w:rsidR="00D907D8" w:rsidRPr="002A1A46" w:rsidRDefault="00CA0518" w:rsidP="00D16241">
      <w:pPr>
        <w:rPr>
          <w:rFonts w:ascii="Arial" w:hAnsi="Arial" w:cs="Arial"/>
          <w:b/>
          <w:sz w:val="22"/>
          <w:szCs w:val="22"/>
        </w:rPr>
      </w:pPr>
      <w:r w:rsidRPr="002A1A46">
        <w:rPr>
          <w:rFonts w:ascii="Arial" w:hAnsi="Arial" w:cs="Arial"/>
          <w:b/>
          <w:sz w:val="22"/>
          <w:szCs w:val="22"/>
        </w:rPr>
        <w:t xml:space="preserve">5.1 </w:t>
      </w:r>
      <w:r w:rsidR="00B95188" w:rsidRPr="002A1A46">
        <w:rPr>
          <w:rFonts w:ascii="Arial" w:hAnsi="Arial" w:cs="Arial"/>
          <w:b/>
          <w:sz w:val="22"/>
          <w:szCs w:val="22"/>
        </w:rPr>
        <w:t>MANTENIMIENTO PARQUE AUTOMOTOR</w:t>
      </w:r>
    </w:p>
    <w:p w14:paraId="263C6048" w14:textId="77777777" w:rsidR="00E85E89" w:rsidRPr="002A1A46" w:rsidRDefault="00E85E89" w:rsidP="00D16241">
      <w:pPr>
        <w:rPr>
          <w:rFonts w:ascii="Arial" w:hAnsi="Arial" w:cs="Arial"/>
          <w:b/>
          <w:sz w:val="22"/>
          <w:szCs w:val="22"/>
        </w:rPr>
      </w:pPr>
    </w:p>
    <w:p w14:paraId="36C345CC" w14:textId="77777777" w:rsidR="00D16241" w:rsidRDefault="00D907D8" w:rsidP="00C648A3">
      <w:pPr>
        <w:jc w:val="both"/>
        <w:rPr>
          <w:rFonts w:ascii="Arial" w:hAnsi="Arial" w:cs="Arial"/>
          <w:sz w:val="22"/>
          <w:szCs w:val="22"/>
        </w:rPr>
      </w:pPr>
      <w:r w:rsidRPr="002A1A46">
        <w:rPr>
          <w:rFonts w:ascii="Arial" w:hAnsi="Arial" w:cs="Arial"/>
          <w:sz w:val="22"/>
          <w:szCs w:val="22"/>
        </w:rPr>
        <w:t>El Ministerio de Hacienda y Crédito Público a 3</w:t>
      </w:r>
      <w:r w:rsidR="007D54A9" w:rsidRPr="002A1A46">
        <w:rPr>
          <w:rFonts w:ascii="Arial" w:hAnsi="Arial" w:cs="Arial"/>
          <w:sz w:val="22"/>
          <w:szCs w:val="22"/>
        </w:rPr>
        <w:t>0</w:t>
      </w:r>
      <w:r w:rsidRPr="002A1A46">
        <w:rPr>
          <w:rFonts w:ascii="Arial" w:hAnsi="Arial" w:cs="Arial"/>
          <w:sz w:val="22"/>
          <w:szCs w:val="22"/>
        </w:rPr>
        <w:t xml:space="preserve"> de </w:t>
      </w:r>
      <w:r w:rsidR="002A1A46">
        <w:rPr>
          <w:rFonts w:ascii="Arial" w:hAnsi="Arial" w:cs="Arial"/>
          <w:sz w:val="22"/>
          <w:szCs w:val="22"/>
        </w:rPr>
        <w:t xml:space="preserve">septiembre </w:t>
      </w:r>
      <w:r w:rsidR="00D3619B" w:rsidRPr="002A1A46">
        <w:rPr>
          <w:rFonts w:ascii="Arial" w:hAnsi="Arial" w:cs="Arial"/>
          <w:sz w:val="22"/>
          <w:szCs w:val="22"/>
        </w:rPr>
        <w:t>d</w:t>
      </w:r>
      <w:r w:rsidRPr="002A1A46">
        <w:rPr>
          <w:rFonts w:ascii="Arial" w:hAnsi="Arial" w:cs="Arial"/>
          <w:sz w:val="22"/>
          <w:szCs w:val="22"/>
        </w:rPr>
        <w:t>e 20</w:t>
      </w:r>
      <w:r w:rsidR="00750FB1" w:rsidRPr="002A1A46">
        <w:rPr>
          <w:rFonts w:ascii="Arial" w:hAnsi="Arial" w:cs="Arial"/>
          <w:sz w:val="22"/>
          <w:szCs w:val="22"/>
        </w:rPr>
        <w:t>20</w:t>
      </w:r>
      <w:r w:rsidRPr="002A1A46">
        <w:rPr>
          <w:rFonts w:ascii="Arial" w:hAnsi="Arial" w:cs="Arial"/>
          <w:sz w:val="22"/>
          <w:szCs w:val="22"/>
        </w:rPr>
        <w:t xml:space="preserve">, </w:t>
      </w:r>
      <w:r w:rsidR="00C648A3" w:rsidRPr="002A1A46">
        <w:rPr>
          <w:rFonts w:ascii="Arial" w:hAnsi="Arial" w:cs="Arial"/>
          <w:sz w:val="22"/>
          <w:szCs w:val="22"/>
        </w:rPr>
        <w:t xml:space="preserve">contaba con </w:t>
      </w:r>
      <w:r w:rsidR="00AA08FD" w:rsidRPr="002A1A46">
        <w:rPr>
          <w:rFonts w:ascii="Arial" w:hAnsi="Arial" w:cs="Arial"/>
          <w:sz w:val="22"/>
          <w:szCs w:val="22"/>
        </w:rPr>
        <w:t>2</w:t>
      </w:r>
      <w:r w:rsidR="00C553D4" w:rsidRPr="002A1A46">
        <w:rPr>
          <w:rFonts w:ascii="Arial" w:hAnsi="Arial" w:cs="Arial"/>
          <w:sz w:val="22"/>
          <w:szCs w:val="22"/>
        </w:rPr>
        <w:t>7</w:t>
      </w:r>
      <w:r w:rsidR="00AA08FD" w:rsidRPr="002A1A46">
        <w:rPr>
          <w:rFonts w:ascii="Arial" w:hAnsi="Arial" w:cs="Arial"/>
          <w:sz w:val="22"/>
          <w:szCs w:val="22"/>
        </w:rPr>
        <w:t xml:space="preserve"> vehículos para cumplir con las funciones de traslado de funcionarios </w:t>
      </w:r>
      <w:r w:rsidR="00C601C5" w:rsidRPr="002A1A46">
        <w:rPr>
          <w:rFonts w:ascii="Arial" w:hAnsi="Arial" w:cs="Arial"/>
          <w:sz w:val="22"/>
          <w:szCs w:val="22"/>
        </w:rPr>
        <w:t>de</w:t>
      </w:r>
      <w:r w:rsidR="00D86160" w:rsidRPr="002A1A46">
        <w:rPr>
          <w:rFonts w:ascii="Arial" w:hAnsi="Arial" w:cs="Arial"/>
          <w:sz w:val="22"/>
          <w:szCs w:val="22"/>
        </w:rPr>
        <w:t>l</w:t>
      </w:r>
      <w:r w:rsidR="00C601C5" w:rsidRPr="002A1A46">
        <w:rPr>
          <w:rFonts w:ascii="Arial" w:hAnsi="Arial" w:cs="Arial"/>
          <w:sz w:val="22"/>
          <w:szCs w:val="22"/>
        </w:rPr>
        <w:t xml:space="preserve"> nivel </w:t>
      </w:r>
      <w:r w:rsidR="00AA08FD" w:rsidRPr="002A1A46">
        <w:rPr>
          <w:rFonts w:ascii="Arial" w:hAnsi="Arial" w:cs="Arial"/>
          <w:sz w:val="22"/>
          <w:szCs w:val="22"/>
        </w:rPr>
        <w:t>directivo, operativos y esquema de seguridad. Es de precisar, de los 2</w:t>
      </w:r>
      <w:r w:rsidR="00C553D4" w:rsidRPr="002A1A46">
        <w:rPr>
          <w:rFonts w:ascii="Arial" w:hAnsi="Arial" w:cs="Arial"/>
          <w:sz w:val="22"/>
          <w:szCs w:val="22"/>
        </w:rPr>
        <w:t>7</w:t>
      </w:r>
      <w:r w:rsidR="00D3619B" w:rsidRPr="002A1A46">
        <w:rPr>
          <w:rFonts w:ascii="Arial" w:hAnsi="Arial" w:cs="Arial"/>
          <w:sz w:val="22"/>
          <w:szCs w:val="22"/>
        </w:rPr>
        <w:t xml:space="preserve"> vehículos, </w:t>
      </w:r>
      <w:r w:rsidR="00C553D4" w:rsidRPr="002A1A46">
        <w:rPr>
          <w:rFonts w:ascii="Arial" w:hAnsi="Arial" w:cs="Arial"/>
          <w:sz w:val="22"/>
          <w:szCs w:val="22"/>
        </w:rPr>
        <w:t>5</w:t>
      </w:r>
      <w:r w:rsidR="00AA08FD" w:rsidRPr="002A1A46">
        <w:rPr>
          <w:rFonts w:ascii="Arial" w:hAnsi="Arial" w:cs="Arial"/>
          <w:sz w:val="22"/>
          <w:szCs w:val="22"/>
        </w:rPr>
        <w:t xml:space="preserve"> de ellos, pertenecen a la Unidad Nacional de Protección</w:t>
      </w:r>
      <w:r w:rsidR="00C601C5" w:rsidRPr="002A1A46">
        <w:rPr>
          <w:rFonts w:ascii="Arial" w:hAnsi="Arial" w:cs="Arial"/>
          <w:sz w:val="22"/>
          <w:szCs w:val="22"/>
        </w:rPr>
        <w:t xml:space="preserve"> (UNP)</w:t>
      </w:r>
      <w:r w:rsidR="00AA08FD" w:rsidRPr="002A1A46">
        <w:rPr>
          <w:rFonts w:ascii="Arial" w:hAnsi="Arial" w:cs="Arial"/>
          <w:sz w:val="22"/>
          <w:szCs w:val="22"/>
        </w:rPr>
        <w:t xml:space="preserve">, los cuales son utilizados para el esquema de seguridad del Ministro y Viceministro General. </w:t>
      </w:r>
    </w:p>
    <w:p w14:paraId="7DC82C93" w14:textId="12BEA4C1" w:rsidR="002A1A46" w:rsidRPr="002A1A46" w:rsidRDefault="00B94346" w:rsidP="00C648A3">
      <w:pPr>
        <w:jc w:val="both"/>
        <w:rPr>
          <w:rFonts w:ascii="Arial" w:hAnsi="Arial" w:cs="Arial"/>
          <w:sz w:val="22"/>
          <w:szCs w:val="22"/>
        </w:rPr>
      </w:pPr>
      <w:r w:rsidRPr="002A1A46">
        <w:rPr>
          <w:rFonts w:ascii="Arial" w:hAnsi="Arial" w:cs="Arial"/>
          <w:sz w:val="22"/>
          <w:szCs w:val="22"/>
        </w:rPr>
        <w:lastRenderedPageBreak/>
        <w:t xml:space="preserve"> </w:t>
      </w:r>
      <w:r w:rsidR="002A1A46" w:rsidRPr="002A1A46">
        <w:rPr>
          <w:noProof/>
          <w:lang w:val="en-US" w:eastAsia="en-US"/>
        </w:rPr>
        <w:drawing>
          <wp:inline distT="0" distB="0" distL="0" distR="0" wp14:anchorId="63B016D1" wp14:editId="060D045A">
            <wp:extent cx="6305550" cy="4162425"/>
            <wp:effectExtent l="0" t="57150" r="0" b="85725"/>
            <wp:docPr id="85" name="Diagrama 85">
              <a:extLst xmlns:a="http://schemas.openxmlformats.org/drawingml/2006/main">
                <a:ext uri="{FF2B5EF4-FFF2-40B4-BE49-F238E27FC236}">
                  <a16:creationId xmlns:a16="http://schemas.microsoft.com/office/drawing/2014/main"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6854A6" w14:textId="1B550B90" w:rsidR="00D907D8" w:rsidRPr="002A1A46" w:rsidRDefault="00D907D8" w:rsidP="00C648A3">
      <w:pPr>
        <w:jc w:val="both"/>
        <w:rPr>
          <w:rFonts w:ascii="Arial" w:hAnsi="Arial" w:cs="Arial"/>
          <w:sz w:val="22"/>
          <w:szCs w:val="22"/>
        </w:rPr>
      </w:pPr>
    </w:p>
    <w:p w14:paraId="56AD35FE" w14:textId="2F0D5C3E" w:rsidR="00D907D8" w:rsidRPr="00D33428" w:rsidRDefault="006E2E8A" w:rsidP="00C648A3">
      <w:pPr>
        <w:jc w:val="both"/>
        <w:rPr>
          <w:rFonts w:ascii="Arial" w:hAnsi="Arial" w:cs="Arial"/>
          <w:sz w:val="22"/>
          <w:szCs w:val="22"/>
        </w:rPr>
      </w:pPr>
      <w:bookmarkStart w:id="5" w:name="_Hlk35934953"/>
      <w:r>
        <w:rPr>
          <w:rFonts w:ascii="Arial" w:hAnsi="Arial" w:cs="Arial"/>
          <w:sz w:val="22"/>
          <w:szCs w:val="22"/>
        </w:rPr>
        <w:t>A</w:t>
      </w:r>
      <w:r w:rsidRPr="00D33428">
        <w:rPr>
          <w:rFonts w:ascii="Arial" w:hAnsi="Arial" w:cs="Arial"/>
          <w:sz w:val="22"/>
          <w:szCs w:val="22"/>
        </w:rPr>
        <w:t xml:space="preserve"> 30 de septiembre de 2020</w:t>
      </w:r>
      <w:r>
        <w:rPr>
          <w:rFonts w:ascii="Arial" w:hAnsi="Arial" w:cs="Arial"/>
          <w:sz w:val="22"/>
          <w:szCs w:val="22"/>
        </w:rPr>
        <w:t>,</w:t>
      </w:r>
      <w:r w:rsidRPr="00D33428">
        <w:rPr>
          <w:rFonts w:ascii="Arial" w:hAnsi="Arial" w:cs="Arial"/>
          <w:sz w:val="22"/>
          <w:szCs w:val="22"/>
        </w:rPr>
        <w:t xml:space="preserve"> estaban vigentes los siguientes contratos </w:t>
      </w:r>
      <w:r>
        <w:rPr>
          <w:rFonts w:ascii="Arial" w:hAnsi="Arial" w:cs="Arial"/>
          <w:sz w:val="22"/>
          <w:szCs w:val="22"/>
        </w:rPr>
        <w:t>p</w:t>
      </w:r>
      <w:r w:rsidR="00D907D8" w:rsidRPr="00D33428">
        <w:rPr>
          <w:rFonts w:ascii="Arial" w:hAnsi="Arial" w:cs="Arial"/>
          <w:sz w:val="22"/>
          <w:szCs w:val="22"/>
        </w:rPr>
        <w:t xml:space="preserve">ara el mantenimiento </w:t>
      </w:r>
      <w:r w:rsidR="00DC5504" w:rsidRPr="00D33428">
        <w:rPr>
          <w:rFonts w:ascii="Arial" w:hAnsi="Arial" w:cs="Arial"/>
          <w:sz w:val="22"/>
          <w:szCs w:val="22"/>
        </w:rPr>
        <w:t>básico, preventivo y correctivo de los vehículos al servicio d</w:t>
      </w:r>
      <w:r w:rsidR="00C648A3" w:rsidRPr="00D33428">
        <w:rPr>
          <w:rFonts w:ascii="Arial" w:hAnsi="Arial" w:cs="Arial"/>
          <w:sz w:val="22"/>
          <w:szCs w:val="22"/>
        </w:rPr>
        <w:t>el Ministerio de Hacienda y Crédito público</w:t>
      </w:r>
      <w:r w:rsidR="00DC5504" w:rsidRPr="00D33428">
        <w:rPr>
          <w:rFonts w:ascii="Arial" w:hAnsi="Arial" w:cs="Arial"/>
          <w:sz w:val="22"/>
          <w:szCs w:val="22"/>
        </w:rPr>
        <w:t>:</w:t>
      </w:r>
    </w:p>
    <w:bookmarkEnd w:id="5"/>
    <w:p w14:paraId="5D5013CA" w14:textId="6414185A" w:rsidR="001D6EAF" w:rsidRPr="00CA48AF" w:rsidRDefault="001D6EAF" w:rsidP="00C648A3">
      <w:pPr>
        <w:jc w:val="both"/>
        <w:rPr>
          <w:rFonts w:ascii="Arial" w:hAnsi="Arial" w:cs="Arial"/>
          <w:sz w:val="22"/>
          <w:szCs w:val="22"/>
          <w:highlight w:val="yellow"/>
        </w:rPr>
      </w:pPr>
    </w:p>
    <w:tbl>
      <w:tblPr>
        <w:tblStyle w:val="Tabladecuadrcula1clara-nfasis1"/>
        <w:tblW w:w="9634" w:type="dxa"/>
        <w:tblLayout w:type="fixed"/>
        <w:tblLook w:val="04A0" w:firstRow="1" w:lastRow="0" w:firstColumn="1" w:lastColumn="0" w:noHBand="0" w:noVBand="1"/>
      </w:tblPr>
      <w:tblGrid>
        <w:gridCol w:w="1063"/>
        <w:gridCol w:w="1342"/>
        <w:gridCol w:w="1559"/>
        <w:gridCol w:w="2694"/>
        <w:gridCol w:w="1559"/>
        <w:gridCol w:w="1417"/>
      </w:tblGrid>
      <w:tr w:rsidR="00EA6FE5" w:rsidRPr="00FB7B6C" w14:paraId="29F9B249" w14:textId="77777777" w:rsidTr="006E2E8A">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063" w:type="dxa"/>
            <w:shd w:val="clear" w:color="auto" w:fill="4F81BD" w:themeFill="accent1"/>
            <w:vAlign w:val="center"/>
            <w:hideMark/>
          </w:tcPr>
          <w:p w14:paraId="053D985F" w14:textId="55E8DCF5" w:rsidR="00EA6FE5" w:rsidRPr="00FB7B6C" w:rsidRDefault="00EA6FE5" w:rsidP="009E3CBD">
            <w:pPr>
              <w:spacing w:before="40" w:after="40"/>
              <w:jc w:val="center"/>
              <w:rPr>
                <w:rFonts w:ascii="Arial" w:hAnsi="Arial" w:cs="Arial"/>
                <w:color w:val="FFFFFF" w:themeColor="background1"/>
                <w:sz w:val="20"/>
                <w:szCs w:val="20"/>
                <w:lang w:eastAsia="en-US"/>
              </w:rPr>
            </w:pPr>
            <w:r w:rsidRPr="00FB7B6C">
              <w:rPr>
                <w:rFonts w:ascii="Arial" w:hAnsi="Arial" w:cs="Arial"/>
                <w:sz w:val="22"/>
                <w:szCs w:val="22"/>
              </w:rPr>
              <w:br w:type="page"/>
            </w:r>
            <w:r w:rsidRPr="00FB7B6C">
              <w:rPr>
                <w:rFonts w:ascii="Arial" w:hAnsi="Arial" w:cs="Arial"/>
                <w:color w:val="FFFFFF" w:themeColor="background1"/>
                <w:sz w:val="20"/>
                <w:szCs w:val="20"/>
                <w:lang w:eastAsia="en-US"/>
              </w:rPr>
              <w:t>Número Contrato</w:t>
            </w:r>
          </w:p>
        </w:tc>
        <w:tc>
          <w:tcPr>
            <w:tcW w:w="1342" w:type="dxa"/>
            <w:shd w:val="clear" w:color="auto" w:fill="4F81BD" w:themeFill="accent1"/>
            <w:vAlign w:val="center"/>
            <w:hideMark/>
          </w:tcPr>
          <w:p w14:paraId="270B395F" w14:textId="77777777" w:rsidR="00EA6FE5" w:rsidRPr="00FB7B6C" w:rsidRDefault="00EA6FE5" w:rsidP="009E3CB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FB7B6C">
              <w:rPr>
                <w:rFonts w:ascii="Arial" w:hAnsi="Arial" w:cs="Arial"/>
                <w:color w:val="FFFFFF" w:themeColor="background1"/>
                <w:sz w:val="20"/>
                <w:szCs w:val="20"/>
                <w:lang w:eastAsia="en-US"/>
              </w:rPr>
              <w:t xml:space="preserve">Contratista </w:t>
            </w:r>
          </w:p>
        </w:tc>
        <w:tc>
          <w:tcPr>
            <w:tcW w:w="1559" w:type="dxa"/>
            <w:shd w:val="clear" w:color="auto" w:fill="4F81BD" w:themeFill="accent1"/>
            <w:vAlign w:val="center"/>
            <w:hideMark/>
          </w:tcPr>
          <w:p w14:paraId="74A4C893" w14:textId="69CD1009" w:rsidR="00EA6FE5" w:rsidRPr="00FB7B6C" w:rsidRDefault="00EA6FE5" w:rsidP="009E3CB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FB7B6C">
              <w:rPr>
                <w:rFonts w:ascii="Arial" w:hAnsi="Arial" w:cs="Arial"/>
                <w:color w:val="FFFFFF" w:themeColor="background1"/>
                <w:sz w:val="20"/>
                <w:szCs w:val="20"/>
                <w:lang w:eastAsia="en-US"/>
              </w:rPr>
              <w:t>Valor del Contrato</w:t>
            </w:r>
            <w:r w:rsidR="00F34BE5" w:rsidRPr="00FB7B6C">
              <w:rPr>
                <w:rFonts w:ascii="Arial" w:hAnsi="Arial" w:cs="Arial"/>
                <w:color w:val="FFFFFF" w:themeColor="background1"/>
                <w:sz w:val="20"/>
                <w:szCs w:val="20"/>
                <w:lang w:eastAsia="en-US"/>
              </w:rPr>
              <w:t xml:space="preserve"> ($)</w:t>
            </w:r>
          </w:p>
        </w:tc>
        <w:tc>
          <w:tcPr>
            <w:tcW w:w="2694" w:type="dxa"/>
            <w:shd w:val="clear" w:color="auto" w:fill="4F81BD" w:themeFill="accent1"/>
            <w:vAlign w:val="center"/>
            <w:hideMark/>
          </w:tcPr>
          <w:p w14:paraId="70AFB226" w14:textId="77777777" w:rsidR="00EA6FE5" w:rsidRPr="00FB7B6C" w:rsidRDefault="00EA6FE5" w:rsidP="009E3CB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FB7B6C">
              <w:rPr>
                <w:rFonts w:ascii="Arial" w:hAnsi="Arial" w:cs="Arial"/>
                <w:color w:val="FFFFFF" w:themeColor="background1"/>
                <w:sz w:val="20"/>
                <w:szCs w:val="20"/>
                <w:lang w:eastAsia="en-US"/>
              </w:rPr>
              <w:t xml:space="preserve">Objeto </w:t>
            </w:r>
          </w:p>
        </w:tc>
        <w:tc>
          <w:tcPr>
            <w:tcW w:w="1559" w:type="dxa"/>
            <w:shd w:val="clear" w:color="auto" w:fill="4F81BD" w:themeFill="accent1"/>
            <w:vAlign w:val="center"/>
            <w:hideMark/>
          </w:tcPr>
          <w:p w14:paraId="1F525AA9" w14:textId="41C7EEAD" w:rsidR="00EA6FE5" w:rsidRPr="00FB7B6C" w:rsidRDefault="00EA6FE5" w:rsidP="009E3CB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FB7B6C">
              <w:rPr>
                <w:rFonts w:ascii="Arial" w:hAnsi="Arial" w:cs="Arial"/>
                <w:color w:val="FFFFFF" w:themeColor="background1"/>
                <w:sz w:val="20"/>
                <w:szCs w:val="20"/>
                <w:lang w:eastAsia="en-US"/>
              </w:rPr>
              <w:t>Fecha de Suscripción</w:t>
            </w:r>
          </w:p>
        </w:tc>
        <w:tc>
          <w:tcPr>
            <w:tcW w:w="1417" w:type="dxa"/>
            <w:shd w:val="clear" w:color="auto" w:fill="4F81BD" w:themeFill="accent1"/>
            <w:vAlign w:val="center"/>
            <w:hideMark/>
          </w:tcPr>
          <w:p w14:paraId="356CCCCD" w14:textId="77777777" w:rsidR="00EA6FE5" w:rsidRPr="00FB7B6C" w:rsidRDefault="00EA6FE5" w:rsidP="009E3CB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FB7B6C">
              <w:rPr>
                <w:rFonts w:ascii="Arial" w:hAnsi="Arial" w:cs="Arial"/>
                <w:color w:val="FFFFFF" w:themeColor="background1"/>
                <w:sz w:val="20"/>
                <w:szCs w:val="20"/>
                <w:lang w:eastAsia="en-US"/>
              </w:rPr>
              <w:t xml:space="preserve">Fecha de Terminación </w:t>
            </w:r>
          </w:p>
        </w:tc>
      </w:tr>
      <w:tr w:rsidR="00EE586C" w:rsidRPr="00FB7B6C" w14:paraId="67B6A5A1" w14:textId="77777777" w:rsidTr="006E2E8A">
        <w:trPr>
          <w:trHeight w:val="51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B395DE1" w14:textId="43D17C13" w:rsidR="00EE586C" w:rsidRPr="006E2E8A" w:rsidRDefault="00EE586C" w:rsidP="009E3CBD">
            <w:pPr>
              <w:spacing w:before="40" w:after="40"/>
              <w:jc w:val="center"/>
              <w:rPr>
                <w:rFonts w:ascii="Arial" w:hAnsi="Arial" w:cs="Arial"/>
                <w:color w:val="0F243E" w:themeColor="text2" w:themeShade="80"/>
                <w:sz w:val="20"/>
                <w:szCs w:val="20"/>
                <w:lang w:eastAsia="en-US"/>
              </w:rPr>
            </w:pPr>
            <w:r w:rsidRPr="006E2E8A">
              <w:rPr>
                <w:rFonts w:ascii="Arial" w:hAnsi="Arial" w:cs="Arial"/>
                <w:b w:val="0"/>
                <w:bCs w:val="0"/>
                <w:color w:val="0F243E" w:themeColor="text2" w:themeShade="80"/>
                <w:sz w:val="20"/>
                <w:szCs w:val="20"/>
              </w:rPr>
              <w:t>3.119-2020</w:t>
            </w:r>
          </w:p>
        </w:tc>
        <w:tc>
          <w:tcPr>
            <w:tcW w:w="1342" w:type="dxa"/>
            <w:vAlign w:val="center"/>
          </w:tcPr>
          <w:p w14:paraId="12D365E5" w14:textId="3FC708B0"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 xml:space="preserve">CARCO </w:t>
            </w:r>
            <w:r w:rsidR="002F4504" w:rsidRPr="006E2E8A">
              <w:rPr>
                <w:rFonts w:ascii="Arial" w:hAnsi="Arial" w:cs="Arial"/>
                <w:color w:val="0F243E" w:themeColor="text2" w:themeShade="80"/>
                <w:sz w:val="20"/>
                <w:szCs w:val="20"/>
              </w:rPr>
              <w:t>S. A</w:t>
            </w:r>
          </w:p>
        </w:tc>
        <w:tc>
          <w:tcPr>
            <w:tcW w:w="1559" w:type="dxa"/>
            <w:vAlign w:val="center"/>
          </w:tcPr>
          <w:p w14:paraId="52F8BE0F" w14:textId="302CD240" w:rsidR="00EE586C" w:rsidRPr="006E2E8A" w:rsidRDefault="00EE586C" w:rsidP="001503E4">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28.000.000</w:t>
            </w:r>
          </w:p>
        </w:tc>
        <w:tc>
          <w:tcPr>
            <w:tcW w:w="2694" w:type="dxa"/>
            <w:vAlign w:val="center"/>
          </w:tcPr>
          <w:p w14:paraId="2BA0244F" w14:textId="4EB2EF5A" w:rsidR="00EE586C" w:rsidRPr="006E2E8A" w:rsidRDefault="00EE586C" w:rsidP="009E3CBD">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Mantenimiento preventivo y correctivo para los vehículos de marca Toyota</w:t>
            </w:r>
            <w:r w:rsidR="000273DC" w:rsidRPr="006E2E8A">
              <w:rPr>
                <w:rFonts w:ascii="Arial" w:hAnsi="Arial" w:cs="Arial"/>
                <w:color w:val="0F243E" w:themeColor="text2" w:themeShade="80"/>
                <w:sz w:val="20"/>
                <w:szCs w:val="20"/>
              </w:rPr>
              <w:t>.</w:t>
            </w:r>
          </w:p>
        </w:tc>
        <w:tc>
          <w:tcPr>
            <w:tcW w:w="1559" w:type="dxa"/>
            <w:vAlign w:val="center"/>
          </w:tcPr>
          <w:p w14:paraId="399DC2E4" w14:textId="5B10A2E0"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20/02/2020</w:t>
            </w:r>
          </w:p>
        </w:tc>
        <w:tc>
          <w:tcPr>
            <w:tcW w:w="1417" w:type="dxa"/>
            <w:vAlign w:val="center"/>
          </w:tcPr>
          <w:p w14:paraId="744A76A6" w14:textId="28456164"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30/11/2020</w:t>
            </w:r>
          </w:p>
        </w:tc>
      </w:tr>
      <w:tr w:rsidR="00EE586C" w:rsidRPr="00FB7B6C" w14:paraId="767B499F" w14:textId="77777777" w:rsidTr="006E2E8A">
        <w:trPr>
          <w:trHeight w:val="102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4FCFDE8" w14:textId="08B5F008" w:rsidR="00EE586C" w:rsidRPr="006E2E8A" w:rsidRDefault="00EE586C" w:rsidP="009E3CBD">
            <w:pPr>
              <w:spacing w:before="40" w:after="40"/>
              <w:jc w:val="center"/>
              <w:rPr>
                <w:rFonts w:ascii="Arial" w:hAnsi="Arial" w:cs="Arial"/>
                <w:color w:val="0F243E" w:themeColor="text2" w:themeShade="80"/>
                <w:sz w:val="20"/>
                <w:szCs w:val="20"/>
                <w:lang w:eastAsia="en-US"/>
              </w:rPr>
            </w:pPr>
            <w:r w:rsidRPr="006E2E8A">
              <w:rPr>
                <w:rFonts w:ascii="Arial" w:hAnsi="Arial" w:cs="Arial"/>
                <w:b w:val="0"/>
                <w:bCs w:val="0"/>
                <w:color w:val="0F243E" w:themeColor="text2" w:themeShade="80"/>
                <w:sz w:val="20"/>
                <w:szCs w:val="20"/>
              </w:rPr>
              <w:t>3.284-2019</w:t>
            </w:r>
          </w:p>
        </w:tc>
        <w:tc>
          <w:tcPr>
            <w:tcW w:w="1342" w:type="dxa"/>
            <w:vAlign w:val="center"/>
          </w:tcPr>
          <w:p w14:paraId="58A5A71D" w14:textId="46C606F2"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Centro CAR 19 Limitada</w:t>
            </w:r>
          </w:p>
        </w:tc>
        <w:tc>
          <w:tcPr>
            <w:tcW w:w="1559" w:type="dxa"/>
            <w:vAlign w:val="center"/>
          </w:tcPr>
          <w:p w14:paraId="6608EAB6" w14:textId="360559EA" w:rsidR="00EE586C" w:rsidRPr="006E2E8A" w:rsidRDefault="00EE586C" w:rsidP="001503E4">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41.025.033</w:t>
            </w:r>
          </w:p>
        </w:tc>
        <w:tc>
          <w:tcPr>
            <w:tcW w:w="2694" w:type="dxa"/>
            <w:vAlign w:val="center"/>
          </w:tcPr>
          <w:p w14:paraId="7F212686" w14:textId="06574459" w:rsidR="00EE586C" w:rsidRPr="006E2E8A" w:rsidRDefault="00EE586C" w:rsidP="009E3CBD">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 xml:space="preserve">Mantenimiento básico al parque automotor, entre otros, lavados de motor, exterior y general con chorro de agua a presión, polichados, limpieza de tapicería y cojinería, grafitados y servicio de montallantas. </w:t>
            </w:r>
          </w:p>
        </w:tc>
        <w:tc>
          <w:tcPr>
            <w:tcW w:w="1559" w:type="dxa"/>
            <w:vAlign w:val="center"/>
          </w:tcPr>
          <w:p w14:paraId="35CFDDCA" w14:textId="5CE5B1BE"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5/08/2019</w:t>
            </w:r>
          </w:p>
        </w:tc>
        <w:tc>
          <w:tcPr>
            <w:tcW w:w="1417" w:type="dxa"/>
            <w:vAlign w:val="center"/>
          </w:tcPr>
          <w:p w14:paraId="027C52A6" w14:textId="72E0B4B1"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31/07/2022</w:t>
            </w:r>
          </w:p>
        </w:tc>
      </w:tr>
      <w:tr w:rsidR="00EE586C" w:rsidRPr="00CA48AF" w14:paraId="0D16466D" w14:textId="77777777" w:rsidTr="00D16241">
        <w:trPr>
          <w:trHeight w:val="1231"/>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72C4561E" w14:textId="3180CF01" w:rsidR="00EE586C" w:rsidRPr="006E2E8A" w:rsidRDefault="00EE586C" w:rsidP="009E3CBD">
            <w:pPr>
              <w:spacing w:before="40" w:after="40"/>
              <w:jc w:val="center"/>
              <w:rPr>
                <w:rFonts w:ascii="Arial" w:hAnsi="Arial" w:cs="Arial"/>
                <w:color w:val="0F243E" w:themeColor="text2" w:themeShade="80"/>
                <w:sz w:val="20"/>
                <w:szCs w:val="20"/>
                <w:lang w:eastAsia="en-US"/>
              </w:rPr>
            </w:pPr>
            <w:r w:rsidRPr="006E2E8A">
              <w:rPr>
                <w:rFonts w:ascii="Arial" w:hAnsi="Arial" w:cs="Arial"/>
                <w:b w:val="0"/>
                <w:bCs w:val="0"/>
                <w:color w:val="0F243E" w:themeColor="text2" w:themeShade="80"/>
                <w:sz w:val="20"/>
                <w:szCs w:val="20"/>
              </w:rPr>
              <w:t>3.400-2019</w:t>
            </w:r>
          </w:p>
        </w:tc>
        <w:tc>
          <w:tcPr>
            <w:tcW w:w="1342" w:type="dxa"/>
            <w:vAlign w:val="center"/>
          </w:tcPr>
          <w:p w14:paraId="7128A951" w14:textId="35923800"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Casa Toro Automotriz S.A.</w:t>
            </w:r>
          </w:p>
        </w:tc>
        <w:tc>
          <w:tcPr>
            <w:tcW w:w="1559" w:type="dxa"/>
            <w:vAlign w:val="center"/>
          </w:tcPr>
          <w:p w14:paraId="3FF48256" w14:textId="457B1B49" w:rsidR="00EE586C" w:rsidRPr="006E2E8A" w:rsidRDefault="00EE586C" w:rsidP="001503E4">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317.971.951</w:t>
            </w:r>
          </w:p>
        </w:tc>
        <w:tc>
          <w:tcPr>
            <w:tcW w:w="2694" w:type="dxa"/>
            <w:vAlign w:val="center"/>
          </w:tcPr>
          <w:p w14:paraId="2238E51A" w14:textId="1ED29DB5" w:rsidR="00EE586C" w:rsidRPr="006E2E8A" w:rsidRDefault="00EE586C" w:rsidP="009E3CBD">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 xml:space="preserve">Mantenimiento preventivo y correctivo a los vehículos de propiedad del Ministerio de Hacienda y Crédito Público [Vehículos Renault]. </w:t>
            </w:r>
          </w:p>
        </w:tc>
        <w:tc>
          <w:tcPr>
            <w:tcW w:w="1559" w:type="dxa"/>
            <w:vAlign w:val="center"/>
          </w:tcPr>
          <w:p w14:paraId="7BB9D156" w14:textId="10F8E899"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16/12/2019</w:t>
            </w:r>
          </w:p>
        </w:tc>
        <w:tc>
          <w:tcPr>
            <w:tcW w:w="1417" w:type="dxa"/>
            <w:vAlign w:val="center"/>
          </w:tcPr>
          <w:p w14:paraId="22A0C79B" w14:textId="37FFDFC4" w:rsidR="00EE586C" w:rsidRPr="006E2E8A" w:rsidRDefault="00EE586C" w:rsidP="009E3CB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6E2E8A">
              <w:rPr>
                <w:rFonts w:ascii="Arial" w:hAnsi="Arial" w:cs="Arial"/>
                <w:color w:val="0F243E" w:themeColor="text2" w:themeShade="80"/>
                <w:sz w:val="20"/>
                <w:szCs w:val="20"/>
              </w:rPr>
              <w:t>31/07/2022</w:t>
            </w:r>
          </w:p>
        </w:tc>
      </w:tr>
    </w:tbl>
    <w:p w14:paraId="42DFFD9A" w14:textId="77777777" w:rsidR="001503E4" w:rsidRPr="00C7012F" w:rsidRDefault="009220A5" w:rsidP="00D16241">
      <w:pPr>
        <w:pStyle w:val="Default"/>
        <w:jc w:val="both"/>
        <w:rPr>
          <w:rFonts w:eastAsia="Times New Roman"/>
          <w:sz w:val="22"/>
          <w:szCs w:val="22"/>
          <w:lang w:eastAsia="es-CO"/>
        </w:rPr>
      </w:pPr>
      <w:r w:rsidRPr="00C7012F">
        <w:rPr>
          <w:color w:val="000000" w:themeColor="text1"/>
          <w:sz w:val="22"/>
          <w:szCs w:val="22"/>
        </w:rPr>
        <w:lastRenderedPageBreak/>
        <w:t xml:space="preserve">En este punto, </w:t>
      </w:r>
      <w:r w:rsidR="00EB1B50" w:rsidRPr="00C7012F">
        <w:rPr>
          <w:color w:val="000000" w:themeColor="text1"/>
          <w:sz w:val="22"/>
          <w:szCs w:val="22"/>
        </w:rPr>
        <w:t xml:space="preserve">es importante </w:t>
      </w:r>
      <w:r w:rsidR="00BD07E3" w:rsidRPr="00C7012F">
        <w:rPr>
          <w:color w:val="000000" w:themeColor="text1"/>
          <w:sz w:val="22"/>
          <w:szCs w:val="22"/>
        </w:rPr>
        <w:t xml:space="preserve">mencionar </w:t>
      </w:r>
      <w:r w:rsidR="00EB1B50" w:rsidRPr="00C7012F">
        <w:rPr>
          <w:color w:val="000000" w:themeColor="text1"/>
          <w:sz w:val="22"/>
          <w:szCs w:val="22"/>
        </w:rPr>
        <w:t>que debido a la</w:t>
      </w:r>
      <w:r w:rsidR="000D7B18" w:rsidRPr="00C7012F">
        <w:rPr>
          <w:color w:val="000000" w:themeColor="text1"/>
          <w:sz w:val="22"/>
          <w:szCs w:val="22"/>
        </w:rPr>
        <w:t>s medidas adoptadas por este Ministerio las cuales estuvieron en concordancia con las disposiciones decretadas por el Gobierno Nacional</w:t>
      </w:r>
      <w:r w:rsidR="00FD345B" w:rsidRPr="00C7012F">
        <w:rPr>
          <w:color w:val="000000" w:themeColor="text1"/>
          <w:sz w:val="22"/>
          <w:szCs w:val="22"/>
        </w:rPr>
        <w:t xml:space="preserve"> y Distrital </w:t>
      </w:r>
      <w:r w:rsidR="000D4390" w:rsidRPr="00C7012F">
        <w:rPr>
          <w:color w:val="000000" w:themeColor="text1"/>
          <w:sz w:val="22"/>
          <w:szCs w:val="22"/>
        </w:rPr>
        <w:t xml:space="preserve">con </w:t>
      </w:r>
      <w:r w:rsidR="000D7B18" w:rsidRPr="00C7012F">
        <w:rPr>
          <w:color w:val="000000" w:themeColor="text1"/>
          <w:sz w:val="22"/>
          <w:szCs w:val="22"/>
        </w:rPr>
        <w:t xml:space="preserve">ocasión a la </w:t>
      </w:r>
      <w:r w:rsidR="00EB1B50" w:rsidRPr="00C7012F">
        <w:rPr>
          <w:color w:val="000000" w:themeColor="text1"/>
          <w:sz w:val="22"/>
          <w:szCs w:val="22"/>
        </w:rPr>
        <w:t>Emergencia Económica, Social y Ecológica</w:t>
      </w:r>
      <w:r w:rsidR="000D7B18" w:rsidRPr="00C7012F">
        <w:rPr>
          <w:color w:val="000000" w:themeColor="text1"/>
          <w:sz w:val="22"/>
          <w:szCs w:val="22"/>
        </w:rPr>
        <w:t xml:space="preserve"> [COVID-19], </w:t>
      </w:r>
      <w:r w:rsidR="00A730D2" w:rsidRPr="00C7012F">
        <w:rPr>
          <w:color w:val="000000" w:themeColor="text1"/>
          <w:sz w:val="22"/>
          <w:szCs w:val="22"/>
        </w:rPr>
        <w:t xml:space="preserve">los gastos </w:t>
      </w:r>
      <w:r w:rsidR="00DC1EDD" w:rsidRPr="00C7012F">
        <w:rPr>
          <w:color w:val="000000" w:themeColor="text1"/>
          <w:sz w:val="22"/>
          <w:szCs w:val="22"/>
        </w:rPr>
        <w:t xml:space="preserve">correspondientes a mantenimiento de vehículos para el </w:t>
      </w:r>
      <w:r w:rsidR="005E3A56" w:rsidRPr="00C7012F">
        <w:rPr>
          <w:color w:val="000000" w:themeColor="text1"/>
          <w:sz w:val="22"/>
          <w:szCs w:val="22"/>
        </w:rPr>
        <w:t>periodo</w:t>
      </w:r>
      <w:r w:rsidR="00DC1EDD" w:rsidRPr="00C7012F">
        <w:rPr>
          <w:color w:val="000000" w:themeColor="text1"/>
          <w:sz w:val="22"/>
          <w:szCs w:val="22"/>
        </w:rPr>
        <w:t xml:space="preserve"> analizado</w:t>
      </w:r>
      <w:r w:rsidR="005E3A56" w:rsidRPr="00C7012F">
        <w:rPr>
          <w:color w:val="000000" w:themeColor="text1"/>
          <w:sz w:val="22"/>
          <w:szCs w:val="22"/>
        </w:rPr>
        <w:t xml:space="preserve"> </w:t>
      </w:r>
      <w:r w:rsidR="00663AA9" w:rsidRPr="00C7012F">
        <w:rPr>
          <w:color w:val="000000" w:themeColor="text1"/>
          <w:sz w:val="22"/>
          <w:szCs w:val="22"/>
        </w:rPr>
        <w:t>f</w:t>
      </w:r>
      <w:r w:rsidR="00A730D2" w:rsidRPr="00C7012F">
        <w:rPr>
          <w:color w:val="000000" w:themeColor="text1"/>
          <w:sz w:val="22"/>
          <w:szCs w:val="22"/>
        </w:rPr>
        <w:t>ueron impact</w:t>
      </w:r>
      <w:r w:rsidR="00663AA9" w:rsidRPr="00C7012F">
        <w:rPr>
          <w:color w:val="000000" w:themeColor="text1"/>
          <w:sz w:val="22"/>
          <w:szCs w:val="22"/>
        </w:rPr>
        <w:t>ados</w:t>
      </w:r>
      <w:r w:rsidR="00F41C8F" w:rsidRPr="00C7012F">
        <w:rPr>
          <w:color w:val="000000" w:themeColor="text1"/>
          <w:sz w:val="22"/>
          <w:szCs w:val="22"/>
        </w:rPr>
        <w:t xml:space="preserve">, dado que, </w:t>
      </w:r>
      <w:r w:rsidR="00D067E0" w:rsidRPr="00C7012F">
        <w:rPr>
          <w:rFonts w:eastAsia="Times New Roman"/>
          <w:sz w:val="22"/>
          <w:szCs w:val="22"/>
          <w:lang w:eastAsia="es-CO"/>
        </w:rPr>
        <w:t>el Ministerio de Hacienda y Crédito Público a partir del 20 de marzo de 2020</w:t>
      </w:r>
      <w:r w:rsidR="00D067E0" w:rsidRPr="00C7012F">
        <w:rPr>
          <w:color w:val="000000" w:themeColor="text1"/>
          <w:sz w:val="22"/>
          <w:szCs w:val="22"/>
        </w:rPr>
        <w:t xml:space="preserve"> </w:t>
      </w:r>
      <w:r w:rsidR="009237CE" w:rsidRPr="00C7012F">
        <w:rPr>
          <w:rFonts w:eastAsia="Times New Roman"/>
          <w:sz w:val="22"/>
          <w:szCs w:val="22"/>
          <w:lang w:eastAsia="es-CO"/>
        </w:rPr>
        <w:t xml:space="preserve">de conformidad con lo definido en el </w:t>
      </w:r>
      <w:r w:rsidR="009237CE" w:rsidRPr="00C7012F">
        <w:rPr>
          <w:sz w:val="22"/>
          <w:szCs w:val="22"/>
        </w:rPr>
        <w:t>Decreto 457 del 2020 y sus modificatorios</w:t>
      </w:r>
      <w:r w:rsidR="00925580" w:rsidRPr="00C7012F">
        <w:rPr>
          <w:sz w:val="22"/>
          <w:szCs w:val="22"/>
        </w:rPr>
        <w:t>,</w:t>
      </w:r>
      <w:r w:rsidR="009237CE" w:rsidRPr="00C7012F">
        <w:rPr>
          <w:sz w:val="22"/>
          <w:szCs w:val="22"/>
        </w:rPr>
        <w:t xml:space="preserve"> </w:t>
      </w:r>
      <w:r w:rsidR="00F60189" w:rsidRPr="00C7012F">
        <w:rPr>
          <w:sz w:val="22"/>
          <w:szCs w:val="22"/>
        </w:rPr>
        <w:t>o</w:t>
      </w:r>
      <w:r w:rsidR="009237CE" w:rsidRPr="00C7012F">
        <w:rPr>
          <w:sz w:val="22"/>
          <w:szCs w:val="22"/>
        </w:rPr>
        <w:t>rdenó el aislamiento preventivo obligatorio</w:t>
      </w:r>
      <w:r w:rsidR="00794E80" w:rsidRPr="00C7012F">
        <w:rPr>
          <w:sz w:val="22"/>
          <w:szCs w:val="22"/>
        </w:rPr>
        <w:t xml:space="preserve">, estableciendo restricciones </w:t>
      </w:r>
      <w:r w:rsidR="00794E80" w:rsidRPr="00C7012F">
        <w:rPr>
          <w:rFonts w:eastAsia="Times New Roman"/>
          <w:sz w:val="22"/>
          <w:szCs w:val="22"/>
          <w:lang w:eastAsia="es-CO"/>
        </w:rPr>
        <w:t>en materia de movilidad, comercio y prestación de servicios.</w:t>
      </w:r>
      <w:r w:rsidR="001503E4" w:rsidRPr="00C7012F">
        <w:rPr>
          <w:rFonts w:eastAsia="Times New Roman"/>
          <w:sz w:val="22"/>
          <w:szCs w:val="22"/>
          <w:lang w:eastAsia="es-CO"/>
        </w:rPr>
        <w:t xml:space="preserve"> </w:t>
      </w:r>
    </w:p>
    <w:p w14:paraId="7076DE65" w14:textId="77777777" w:rsidR="001503E4" w:rsidRPr="00C7012F" w:rsidRDefault="001503E4" w:rsidP="00D16241">
      <w:pPr>
        <w:pStyle w:val="Default"/>
        <w:jc w:val="both"/>
        <w:rPr>
          <w:rFonts w:eastAsia="Times New Roman"/>
          <w:sz w:val="22"/>
          <w:szCs w:val="22"/>
          <w:lang w:eastAsia="es-CO"/>
        </w:rPr>
      </w:pPr>
    </w:p>
    <w:p w14:paraId="6778F970" w14:textId="2610E03A" w:rsidR="00794E80" w:rsidRPr="00C7012F" w:rsidRDefault="00794E80" w:rsidP="00D16241">
      <w:pPr>
        <w:pStyle w:val="Default"/>
        <w:jc w:val="both"/>
        <w:rPr>
          <w:rFonts w:eastAsia="Times New Roman"/>
          <w:sz w:val="22"/>
          <w:szCs w:val="22"/>
          <w:lang w:eastAsia="es-CO"/>
        </w:rPr>
      </w:pPr>
      <w:r w:rsidRPr="00C7012F">
        <w:rPr>
          <w:rFonts w:eastAsia="Times New Roman"/>
          <w:sz w:val="22"/>
          <w:szCs w:val="22"/>
          <w:lang w:eastAsia="es-CO"/>
        </w:rPr>
        <w:t xml:space="preserve">De lo anterior, </w:t>
      </w:r>
      <w:r w:rsidR="00296108" w:rsidRPr="00C7012F">
        <w:rPr>
          <w:rFonts w:eastAsia="Times New Roman"/>
          <w:sz w:val="22"/>
          <w:szCs w:val="22"/>
          <w:lang w:eastAsia="es-CO"/>
        </w:rPr>
        <w:t xml:space="preserve">se </w:t>
      </w:r>
      <w:r w:rsidR="009E11AC" w:rsidRPr="00C7012F">
        <w:rPr>
          <w:rFonts w:eastAsia="Times New Roman"/>
          <w:sz w:val="22"/>
          <w:szCs w:val="22"/>
          <w:lang w:eastAsia="es-CO"/>
        </w:rPr>
        <w:t>generó</w:t>
      </w:r>
      <w:r w:rsidR="00035AFA" w:rsidRPr="00C7012F">
        <w:rPr>
          <w:rFonts w:eastAsia="Times New Roman"/>
          <w:sz w:val="22"/>
          <w:szCs w:val="22"/>
          <w:lang w:eastAsia="es-CO"/>
        </w:rPr>
        <w:t xml:space="preserve"> que</w:t>
      </w:r>
      <w:r w:rsidR="009E11AC" w:rsidRPr="00C7012F">
        <w:rPr>
          <w:rFonts w:eastAsia="Times New Roman"/>
          <w:sz w:val="22"/>
          <w:szCs w:val="22"/>
          <w:lang w:eastAsia="es-CO"/>
        </w:rPr>
        <w:t xml:space="preserve"> </w:t>
      </w:r>
      <w:r w:rsidR="00035AFA" w:rsidRPr="00C7012F">
        <w:rPr>
          <w:rFonts w:eastAsia="Times New Roman"/>
          <w:sz w:val="22"/>
          <w:szCs w:val="22"/>
          <w:lang w:eastAsia="es-CO"/>
        </w:rPr>
        <w:t>los servicios de mantenimiento durante el periodo de aislamiento preventivo no pudieran</w:t>
      </w:r>
      <w:r w:rsidR="005C52ED" w:rsidRPr="00C7012F">
        <w:rPr>
          <w:rFonts w:eastAsia="Times New Roman"/>
          <w:sz w:val="22"/>
          <w:szCs w:val="22"/>
          <w:lang w:eastAsia="es-CO"/>
        </w:rPr>
        <w:t xml:space="preserve"> </w:t>
      </w:r>
      <w:r w:rsidR="00035AFA" w:rsidRPr="00C7012F">
        <w:rPr>
          <w:rFonts w:eastAsia="Times New Roman"/>
          <w:sz w:val="22"/>
          <w:szCs w:val="22"/>
          <w:lang w:eastAsia="es-CO"/>
        </w:rPr>
        <w:t xml:space="preserve">ser </w:t>
      </w:r>
      <w:r w:rsidR="005C52ED" w:rsidRPr="00C7012F">
        <w:rPr>
          <w:rFonts w:eastAsia="Times New Roman"/>
          <w:sz w:val="22"/>
          <w:szCs w:val="22"/>
          <w:lang w:eastAsia="es-CO"/>
        </w:rPr>
        <w:t>presta</w:t>
      </w:r>
      <w:r w:rsidR="00035AFA" w:rsidRPr="00C7012F">
        <w:rPr>
          <w:rFonts w:eastAsia="Times New Roman"/>
          <w:sz w:val="22"/>
          <w:szCs w:val="22"/>
          <w:lang w:eastAsia="es-CO"/>
        </w:rPr>
        <w:t>dos por los</w:t>
      </w:r>
      <w:r w:rsidR="005C52ED" w:rsidRPr="00C7012F">
        <w:rPr>
          <w:rFonts w:eastAsia="Times New Roman"/>
          <w:sz w:val="22"/>
          <w:szCs w:val="22"/>
          <w:lang w:eastAsia="es-CO"/>
        </w:rPr>
        <w:t xml:space="preserve"> contrat</w:t>
      </w:r>
      <w:r w:rsidR="00035AFA" w:rsidRPr="00C7012F">
        <w:rPr>
          <w:rFonts w:eastAsia="Times New Roman"/>
          <w:sz w:val="22"/>
          <w:szCs w:val="22"/>
          <w:lang w:eastAsia="es-CO"/>
        </w:rPr>
        <w:t>istas</w:t>
      </w:r>
      <w:r w:rsidR="005C52ED" w:rsidRPr="00C7012F">
        <w:rPr>
          <w:rFonts w:eastAsia="Times New Roman"/>
          <w:sz w:val="22"/>
          <w:szCs w:val="22"/>
          <w:lang w:eastAsia="es-CO"/>
        </w:rPr>
        <w:t xml:space="preserve"> en condiciones normales, sin embargo, a partir del mes de mayo de 2020, los contratistas iniciaron la reapertura de los servicios de acuerdo con las autorizaciones emitidas por la Alcaldía Distrital de Bogotá.</w:t>
      </w:r>
    </w:p>
    <w:p w14:paraId="312E774B" w14:textId="42444AEF" w:rsidR="00794E80" w:rsidRPr="00C7012F" w:rsidRDefault="00794E80" w:rsidP="00D16241">
      <w:pPr>
        <w:pStyle w:val="Default"/>
        <w:jc w:val="both"/>
        <w:rPr>
          <w:rFonts w:eastAsia="Times New Roman"/>
          <w:sz w:val="22"/>
          <w:szCs w:val="22"/>
          <w:lang w:eastAsia="es-CO"/>
        </w:rPr>
      </w:pPr>
    </w:p>
    <w:p w14:paraId="6C63F8EE" w14:textId="7C505BE7" w:rsidR="00F20393" w:rsidRPr="00C7012F" w:rsidRDefault="00296108" w:rsidP="00D16241">
      <w:pPr>
        <w:pStyle w:val="Default"/>
        <w:jc w:val="both"/>
        <w:rPr>
          <w:rFonts w:eastAsia="Times New Roman"/>
          <w:sz w:val="22"/>
          <w:szCs w:val="22"/>
          <w:lang w:eastAsia="es-CO"/>
        </w:rPr>
      </w:pPr>
      <w:r w:rsidRPr="00C7012F">
        <w:rPr>
          <w:rFonts w:eastAsia="Times New Roman"/>
          <w:sz w:val="22"/>
          <w:szCs w:val="22"/>
          <w:lang w:eastAsia="es-CO"/>
        </w:rPr>
        <w:t xml:space="preserve">Ahora, bien, </w:t>
      </w:r>
      <w:r w:rsidR="00F20393" w:rsidRPr="00C7012F">
        <w:rPr>
          <w:rFonts w:eastAsia="Times New Roman"/>
          <w:sz w:val="22"/>
          <w:szCs w:val="22"/>
          <w:lang w:eastAsia="es-CO"/>
        </w:rPr>
        <w:t xml:space="preserve">mediante el Decreto 1168 de 2020 el Gobierno Nacional estableció la </w:t>
      </w:r>
      <w:r w:rsidR="00F20393" w:rsidRPr="00C7012F">
        <w:rPr>
          <w:sz w:val="22"/>
          <w:szCs w:val="22"/>
        </w:rPr>
        <w:t>fase de aislamiento selectivo, siendo una etapa que redu</w:t>
      </w:r>
      <w:r w:rsidR="00311EC0" w:rsidRPr="00C7012F">
        <w:rPr>
          <w:sz w:val="22"/>
          <w:szCs w:val="22"/>
        </w:rPr>
        <w:t>jo</w:t>
      </w:r>
      <w:r w:rsidR="00035AFA" w:rsidRPr="00C7012F">
        <w:rPr>
          <w:sz w:val="22"/>
          <w:szCs w:val="22"/>
        </w:rPr>
        <w:t xml:space="preserve"> entre otros aspectos,</w:t>
      </w:r>
      <w:r w:rsidR="00F20393" w:rsidRPr="00C7012F">
        <w:rPr>
          <w:sz w:val="22"/>
          <w:szCs w:val="22"/>
        </w:rPr>
        <w:t xml:space="preserve"> las restricciones de movilidad</w:t>
      </w:r>
      <w:r w:rsidR="00035AFA" w:rsidRPr="00C7012F">
        <w:rPr>
          <w:sz w:val="22"/>
          <w:szCs w:val="22"/>
        </w:rPr>
        <w:t>,</w:t>
      </w:r>
      <w:r w:rsidRPr="00C7012F">
        <w:rPr>
          <w:sz w:val="22"/>
          <w:szCs w:val="22"/>
        </w:rPr>
        <w:t xml:space="preserve"> sin embargo, </w:t>
      </w:r>
      <w:r w:rsidR="00035AFA" w:rsidRPr="00C7012F">
        <w:rPr>
          <w:sz w:val="22"/>
          <w:szCs w:val="22"/>
        </w:rPr>
        <w:t>este Ministerio mantuvo la directriz de</w:t>
      </w:r>
      <w:r w:rsidRPr="00C7012F">
        <w:rPr>
          <w:sz w:val="22"/>
          <w:szCs w:val="22"/>
        </w:rPr>
        <w:t xml:space="preserve"> </w:t>
      </w:r>
      <w:r w:rsidR="00035AFA" w:rsidRPr="00C7012F">
        <w:rPr>
          <w:i/>
          <w:iCs/>
          <w:sz w:val="22"/>
          <w:szCs w:val="22"/>
        </w:rPr>
        <w:t>trabajo en casa</w:t>
      </w:r>
      <w:r w:rsidR="00035AFA" w:rsidRPr="00C7012F">
        <w:rPr>
          <w:sz w:val="22"/>
          <w:szCs w:val="22"/>
        </w:rPr>
        <w:t xml:space="preserve">, </w:t>
      </w:r>
      <w:r w:rsidR="00311EC0" w:rsidRPr="00C7012F">
        <w:rPr>
          <w:sz w:val="22"/>
          <w:szCs w:val="22"/>
        </w:rPr>
        <w:t xml:space="preserve">por tal motivo, </w:t>
      </w:r>
      <w:r w:rsidR="00F20393" w:rsidRPr="00C7012F">
        <w:rPr>
          <w:sz w:val="22"/>
          <w:szCs w:val="22"/>
        </w:rPr>
        <w:t xml:space="preserve">durante el tercer trimestre de 2020 se </w:t>
      </w:r>
      <w:r w:rsidR="00311EC0" w:rsidRPr="00C7012F">
        <w:rPr>
          <w:sz w:val="22"/>
          <w:szCs w:val="22"/>
        </w:rPr>
        <w:t xml:space="preserve">continuó presentando </w:t>
      </w:r>
      <w:r w:rsidR="00FF1437" w:rsidRPr="00C7012F">
        <w:rPr>
          <w:sz w:val="22"/>
          <w:szCs w:val="22"/>
        </w:rPr>
        <w:t xml:space="preserve">una disminución en el </w:t>
      </w:r>
      <w:r w:rsidR="00F20393" w:rsidRPr="00C7012F">
        <w:rPr>
          <w:rFonts w:eastAsia="Times New Roman"/>
          <w:sz w:val="22"/>
          <w:szCs w:val="22"/>
          <w:lang w:eastAsia="es-CO"/>
        </w:rPr>
        <w:t xml:space="preserve">uso del parque automotor asignado para prestar el servicio de traslado de funcionarios y </w:t>
      </w:r>
      <w:r w:rsidR="00A67793" w:rsidRPr="00C7012F">
        <w:rPr>
          <w:rFonts w:eastAsia="Times New Roman"/>
          <w:sz w:val="22"/>
          <w:szCs w:val="22"/>
          <w:lang w:eastAsia="es-CO"/>
        </w:rPr>
        <w:t xml:space="preserve">el </w:t>
      </w:r>
      <w:r w:rsidR="00F20393" w:rsidRPr="00C7012F">
        <w:rPr>
          <w:rFonts w:eastAsia="Times New Roman"/>
          <w:sz w:val="22"/>
          <w:szCs w:val="22"/>
          <w:lang w:eastAsia="es-CO"/>
        </w:rPr>
        <w:t>personal de este Ministerio</w:t>
      </w:r>
      <w:r w:rsidR="00035AFA" w:rsidRPr="00C7012F">
        <w:rPr>
          <w:rFonts w:eastAsia="Times New Roman"/>
          <w:sz w:val="22"/>
          <w:szCs w:val="22"/>
          <w:lang w:eastAsia="es-CO"/>
        </w:rPr>
        <w:t xml:space="preserve">. Lo anterior, impacta el kilometraje recorrido por los vehículos, por ende, </w:t>
      </w:r>
      <w:r w:rsidR="00D135C1" w:rsidRPr="00C7012F">
        <w:rPr>
          <w:rFonts w:eastAsia="Times New Roman"/>
          <w:sz w:val="22"/>
          <w:szCs w:val="22"/>
          <w:lang w:eastAsia="es-CO"/>
        </w:rPr>
        <w:t xml:space="preserve">se retrasa el servicio de mantenimiento preventivo </w:t>
      </w:r>
      <w:r w:rsidR="00FF6C8A" w:rsidRPr="00C7012F">
        <w:rPr>
          <w:rFonts w:eastAsia="Times New Roman"/>
          <w:sz w:val="22"/>
          <w:szCs w:val="22"/>
          <w:lang w:eastAsia="es-CO"/>
        </w:rPr>
        <w:t>requ</w:t>
      </w:r>
      <w:r w:rsidR="00D135C1" w:rsidRPr="00C7012F">
        <w:rPr>
          <w:rFonts w:eastAsia="Times New Roman"/>
          <w:sz w:val="22"/>
          <w:szCs w:val="22"/>
          <w:lang w:eastAsia="es-CO"/>
        </w:rPr>
        <w:t>erido</w:t>
      </w:r>
      <w:r w:rsidR="00035AFA" w:rsidRPr="00C7012F">
        <w:rPr>
          <w:rFonts w:eastAsia="Times New Roman"/>
          <w:sz w:val="22"/>
          <w:szCs w:val="22"/>
          <w:lang w:eastAsia="es-CO"/>
        </w:rPr>
        <w:t xml:space="preserve">.   </w:t>
      </w:r>
    </w:p>
    <w:p w14:paraId="1A3BED7D" w14:textId="08129ED1" w:rsidR="006523DA" w:rsidRPr="00C7012F" w:rsidRDefault="006523DA" w:rsidP="00D16241">
      <w:pPr>
        <w:pStyle w:val="Default"/>
        <w:jc w:val="both"/>
        <w:rPr>
          <w:rFonts w:eastAsia="Times New Roman"/>
          <w:sz w:val="22"/>
          <w:szCs w:val="22"/>
          <w:lang w:eastAsia="es-CO"/>
        </w:rPr>
      </w:pPr>
    </w:p>
    <w:p w14:paraId="24CBC06A" w14:textId="55DD9E94" w:rsidR="00FB30E4" w:rsidRPr="00C7012F" w:rsidRDefault="006523DA" w:rsidP="00D16241">
      <w:pPr>
        <w:pStyle w:val="Default"/>
        <w:jc w:val="both"/>
        <w:rPr>
          <w:rFonts w:eastAsia="Times New Roman"/>
          <w:sz w:val="22"/>
          <w:szCs w:val="22"/>
          <w:lang w:eastAsia="es-CO"/>
        </w:rPr>
      </w:pPr>
      <w:r w:rsidRPr="00C7012F">
        <w:rPr>
          <w:rFonts w:eastAsia="Times New Roman"/>
          <w:sz w:val="22"/>
          <w:szCs w:val="22"/>
          <w:lang w:eastAsia="es-CO"/>
        </w:rPr>
        <w:t xml:space="preserve">Es de precisar que, </w:t>
      </w:r>
      <w:r w:rsidR="00F73627" w:rsidRPr="00C7012F">
        <w:rPr>
          <w:rFonts w:eastAsia="Times New Roman"/>
          <w:sz w:val="22"/>
          <w:szCs w:val="22"/>
          <w:lang w:eastAsia="es-CO"/>
        </w:rPr>
        <w:t xml:space="preserve">en el </w:t>
      </w:r>
      <w:r w:rsidR="00296108" w:rsidRPr="00C7012F">
        <w:rPr>
          <w:rFonts w:eastAsia="Times New Roman"/>
          <w:sz w:val="22"/>
          <w:szCs w:val="22"/>
          <w:lang w:eastAsia="es-CO"/>
        </w:rPr>
        <w:t>segundo trimestre de 2020</w:t>
      </w:r>
      <w:r w:rsidR="00F73627" w:rsidRPr="00C7012F">
        <w:rPr>
          <w:rFonts w:eastAsia="Times New Roman"/>
          <w:sz w:val="22"/>
          <w:szCs w:val="22"/>
          <w:lang w:eastAsia="es-CO"/>
        </w:rPr>
        <w:t xml:space="preserve"> </w:t>
      </w:r>
      <w:r w:rsidR="00296108" w:rsidRPr="00C7012F">
        <w:rPr>
          <w:rFonts w:eastAsia="Times New Roman"/>
          <w:sz w:val="22"/>
          <w:szCs w:val="22"/>
          <w:lang w:eastAsia="es-CO"/>
        </w:rPr>
        <w:t>d</w:t>
      </w:r>
      <w:r w:rsidRPr="00C7012F">
        <w:rPr>
          <w:rFonts w:eastAsia="Times New Roman"/>
          <w:sz w:val="22"/>
          <w:szCs w:val="22"/>
          <w:lang w:eastAsia="es-CO"/>
        </w:rPr>
        <w:t xml:space="preserve">ebido a </w:t>
      </w:r>
      <w:r w:rsidR="00296108" w:rsidRPr="00C7012F">
        <w:rPr>
          <w:rFonts w:eastAsia="Times New Roman"/>
          <w:sz w:val="22"/>
          <w:szCs w:val="22"/>
          <w:lang w:eastAsia="es-CO"/>
        </w:rPr>
        <w:t xml:space="preserve">las restricciones de movilidad impartidas en el marco del aislamiento preventivo obligatorio en virtud de la </w:t>
      </w:r>
      <w:r w:rsidR="00296108" w:rsidRPr="00C7012F">
        <w:rPr>
          <w:color w:val="000000" w:themeColor="text1"/>
          <w:sz w:val="22"/>
          <w:szCs w:val="22"/>
        </w:rPr>
        <w:t xml:space="preserve">Emergencia Económica, Social y Ecológica [COVID-19, se presentaron ciertos casos, </w:t>
      </w:r>
      <w:r w:rsidRPr="00C7012F">
        <w:rPr>
          <w:rFonts w:eastAsia="Times New Roman"/>
          <w:sz w:val="22"/>
          <w:szCs w:val="22"/>
          <w:lang w:eastAsia="es-CO"/>
        </w:rPr>
        <w:t>en los</w:t>
      </w:r>
      <w:r w:rsidR="00296108" w:rsidRPr="00C7012F">
        <w:rPr>
          <w:rFonts w:eastAsia="Times New Roman"/>
          <w:sz w:val="22"/>
          <w:szCs w:val="22"/>
          <w:lang w:eastAsia="es-CO"/>
        </w:rPr>
        <w:t xml:space="preserve"> </w:t>
      </w:r>
      <w:r w:rsidRPr="00C7012F">
        <w:rPr>
          <w:rFonts w:eastAsia="Times New Roman"/>
          <w:sz w:val="22"/>
          <w:szCs w:val="22"/>
          <w:lang w:eastAsia="es-CO"/>
        </w:rPr>
        <w:t>cuales el parque automotor demandó el servicio de mantenimiento</w:t>
      </w:r>
      <w:r w:rsidR="00296108" w:rsidRPr="00C7012F">
        <w:rPr>
          <w:rFonts w:eastAsia="Times New Roman"/>
          <w:sz w:val="22"/>
          <w:szCs w:val="22"/>
          <w:lang w:eastAsia="es-CO"/>
        </w:rPr>
        <w:t xml:space="preserve"> </w:t>
      </w:r>
      <w:r w:rsidRPr="00C7012F">
        <w:rPr>
          <w:rFonts w:eastAsia="Times New Roman"/>
          <w:sz w:val="22"/>
          <w:szCs w:val="22"/>
          <w:lang w:eastAsia="es-CO"/>
        </w:rPr>
        <w:t xml:space="preserve">considerándose de carácter no urgente, </w:t>
      </w:r>
      <w:r w:rsidR="0013369D" w:rsidRPr="00C7012F">
        <w:rPr>
          <w:rFonts w:eastAsia="Times New Roman"/>
          <w:sz w:val="22"/>
          <w:szCs w:val="22"/>
          <w:lang w:eastAsia="es-CO"/>
        </w:rPr>
        <w:t xml:space="preserve">siendo </w:t>
      </w:r>
      <w:r w:rsidRPr="00C7012F">
        <w:rPr>
          <w:rFonts w:eastAsia="Times New Roman"/>
          <w:sz w:val="22"/>
          <w:szCs w:val="22"/>
          <w:lang w:eastAsia="es-CO"/>
        </w:rPr>
        <w:t>aplaza</w:t>
      </w:r>
      <w:r w:rsidR="0013369D" w:rsidRPr="00C7012F">
        <w:rPr>
          <w:rFonts w:eastAsia="Times New Roman"/>
          <w:sz w:val="22"/>
          <w:szCs w:val="22"/>
          <w:lang w:eastAsia="es-CO"/>
        </w:rPr>
        <w:t xml:space="preserve">dos </w:t>
      </w:r>
      <w:r w:rsidR="00296108" w:rsidRPr="00C7012F">
        <w:rPr>
          <w:rFonts w:eastAsia="Times New Roman"/>
          <w:sz w:val="22"/>
          <w:szCs w:val="22"/>
          <w:lang w:eastAsia="es-CO"/>
        </w:rPr>
        <w:t>en su momento</w:t>
      </w:r>
      <w:r w:rsidR="00FB30E4" w:rsidRPr="00C7012F">
        <w:rPr>
          <w:rFonts w:eastAsia="Times New Roman"/>
          <w:sz w:val="22"/>
          <w:szCs w:val="22"/>
          <w:lang w:eastAsia="es-CO"/>
        </w:rPr>
        <w:t>. En consecuencia, los servicios de mantenimiento que se encontraban pendientes en periodos anteriores, se fueron realizando durante el tercer trimestre de 2020</w:t>
      </w:r>
      <w:r w:rsidR="004E6A57" w:rsidRPr="00C7012F">
        <w:rPr>
          <w:rFonts w:eastAsia="Times New Roman"/>
          <w:sz w:val="22"/>
          <w:szCs w:val="22"/>
          <w:lang w:eastAsia="es-CO"/>
        </w:rPr>
        <w:t xml:space="preserve">, así mismo, los vehículos </w:t>
      </w:r>
      <w:r w:rsidR="001503E4" w:rsidRPr="00C7012F">
        <w:rPr>
          <w:rFonts w:eastAsia="Times New Roman"/>
          <w:sz w:val="22"/>
          <w:szCs w:val="22"/>
          <w:lang w:eastAsia="es-CO"/>
        </w:rPr>
        <w:t xml:space="preserve">requirieron </w:t>
      </w:r>
      <w:r w:rsidR="004E6A57" w:rsidRPr="00C7012F">
        <w:rPr>
          <w:rFonts w:eastAsia="Times New Roman"/>
          <w:sz w:val="22"/>
          <w:szCs w:val="22"/>
          <w:lang w:eastAsia="es-CO"/>
        </w:rPr>
        <w:t>un mayor servicio de mantenimiento básico, tales como, lavado general y desinfección con el fin de cumplir los</w:t>
      </w:r>
      <w:r w:rsidR="00F22197" w:rsidRPr="00C7012F">
        <w:rPr>
          <w:rFonts w:eastAsia="Times New Roman"/>
          <w:sz w:val="22"/>
          <w:szCs w:val="22"/>
          <w:lang w:eastAsia="es-CO"/>
        </w:rPr>
        <w:t xml:space="preserve"> protocolos de bioseguridad exigidos</w:t>
      </w:r>
      <w:r w:rsidR="001503E4" w:rsidRPr="00C7012F">
        <w:rPr>
          <w:rFonts w:eastAsia="Times New Roman"/>
          <w:sz w:val="22"/>
          <w:szCs w:val="22"/>
          <w:lang w:eastAsia="es-CO"/>
        </w:rPr>
        <w:t>.</w:t>
      </w:r>
      <w:r w:rsidR="006E2E8A" w:rsidRPr="00C7012F">
        <w:rPr>
          <w:rFonts w:eastAsia="Times New Roman"/>
          <w:sz w:val="22"/>
          <w:szCs w:val="22"/>
          <w:lang w:eastAsia="es-CO"/>
        </w:rPr>
        <w:t xml:space="preserve"> Considerando lo anterior, se deduce que </w:t>
      </w:r>
      <w:r w:rsidR="00185EEC">
        <w:rPr>
          <w:rFonts w:eastAsia="Times New Roman"/>
          <w:sz w:val="22"/>
          <w:szCs w:val="22"/>
          <w:lang w:eastAsia="es-CO"/>
        </w:rPr>
        <w:t xml:space="preserve">en parte </w:t>
      </w:r>
      <w:r w:rsidR="006E2E8A" w:rsidRPr="00C7012F">
        <w:rPr>
          <w:rFonts w:eastAsia="Times New Roman"/>
          <w:sz w:val="22"/>
          <w:szCs w:val="22"/>
          <w:lang w:eastAsia="es-CO"/>
        </w:rPr>
        <w:t xml:space="preserve">fue lo que </w:t>
      </w:r>
      <w:r w:rsidR="00FB30E4" w:rsidRPr="00C7012F">
        <w:rPr>
          <w:rFonts w:eastAsia="Times New Roman"/>
          <w:sz w:val="22"/>
          <w:szCs w:val="22"/>
          <w:lang w:eastAsia="es-CO"/>
        </w:rPr>
        <w:t>origin</w:t>
      </w:r>
      <w:r w:rsidR="001503E4" w:rsidRPr="00C7012F">
        <w:rPr>
          <w:rFonts w:eastAsia="Times New Roman"/>
          <w:sz w:val="22"/>
          <w:szCs w:val="22"/>
          <w:lang w:eastAsia="es-CO"/>
        </w:rPr>
        <w:t xml:space="preserve">ó </w:t>
      </w:r>
      <w:r w:rsidR="00FB30E4" w:rsidRPr="00C7012F">
        <w:rPr>
          <w:rFonts w:eastAsia="Times New Roman"/>
          <w:sz w:val="22"/>
          <w:szCs w:val="22"/>
          <w:lang w:eastAsia="es-CO"/>
        </w:rPr>
        <w:t>un incremento del</w:t>
      </w:r>
      <w:r w:rsidR="004936C2" w:rsidRPr="00C7012F">
        <w:rPr>
          <w:rFonts w:eastAsia="Times New Roman"/>
          <w:sz w:val="22"/>
          <w:szCs w:val="22"/>
          <w:lang w:eastAsia="es-CO"/>
        </w:rPr>
        <w:t xml:space="preserve"> 1</w:t>
      </w:r>
      <w:r w:rsidR="004E6A57" w:rsidRPr="00C7012F">
        <w:rPr>
          <w:rFonts w:eastAsia="Times New Roman"/>
          <w:sz w:val="22"/>
          <w:szCs w:val="22"/>
          <w:lang w:eastAsia="es-CO"/>
        </w:rPr>
        <w:t>3</w:t>
      </w:r>
      <w:r w:rsidR="004936C2" w:rsidRPr="00C7012F">
        <w:rPr>
          <w:rFonts w:eastAsia="Times New Roman"/>
          <w:sz w:val="22"/>
          <w:szCs w:val="22"/>
          <w:lang w:eastAsia="es-CO"/>
        </w:rPr>
        <w:t xml:space="preserve">% en el </w:t>
      </w:r>
      <w:r w:rsidR="00FB30E4" w:rsidRPr="00C7012F">
        <w:rPr>
          <w:rFonts w:eastAsia="Times New Roman"/>
          <w:sz w:val="22"/>
          <w:szCs w:val="22"/>
          <w:lang w:eastAsia="es-CO"/>
        </w:rPr>
        <w:t xml:space="preserve">gasto por mantenimiento </w:t>
      </w:r>
      <w:r w:rsidR="004936C2" w:rsidRPr="00C7012F">
        <w:rPr>
          <w:rFonts w:eastAsia="Times New Roman"/>
          <w:sz w:val="22"/>
          <w:szCs w:val="22"/>
          <w:lang w:eastAsia="es-CO"/>
        </w:rPr>
        <w:t xml:space="preserve">de vehículos </w:t>
      </w:r>
      <w:r w:rsidR="005649B8" w:rsidRPr="00C7012F">
        <w:rPr>
          <w:rFonts w:eastAsia="Times New Roman"/>
          <w:sz w:val="22"/>
          <w:szCs w:val="22"/>
          <w:lang w:eastAsia="es-CO"/>
        </w:rPr>
        <w:t xml:space="preserve">al comparar los periodos antes mencionados. </w:t>
      </w:r>
    </w:p>
    <w:p w14:paraId="6E870E74" w14:textId="77777777" w:rsidR="00D16241" w:rsidRPr="00C7012F" w:rsidRDefault="00D16241" w:rsidP="00D16241">
      <w:pPr>
        <w:pStyle w:val="Default"/>
        <w:jc w:val="both"/>
        <w:rPr>
          <w:rFonts w:eastAsia="Times New Roman"/>
          <w:sz w:val="22"/>
          <w:szCs w:val="22"/>
          <w:lang w:eastAsia="es-CO"/>
        </w:rPr>
      </w:pPr>
    </w:p>
    <w:p w14:paraId="616E779F" w14:textId="77777777" w:rsidR="006E2E8A" w:rsidRDefault="006E2E8A" w:rsidP="005C52ED">
      <w:pPr>
        <w:pStyle w:val="Default"/>
        <w:jc w:val="both"/>
        <w:rPr>
          <w:rFonts w:eastAsia="Times New Roman"/>
          <w:sz w:val="22"/>
          <w:szCs w:val="22"/>
          <w:lang w:eastAsia="es-CO"/>
        </w:rPr>
      </w:pPr>
    </w:p>
    <w:tbl>
      <w:tblPr>
        <w:tblW w:w="9629" w:type="dxa"/>
        <w:tblCellMar>
          <w:left w:w="70" w:type="dxa"/>
          <w:right w:w="70" w:type="dxa"/>
        </w:tblCellMar>
        <w:tblLook w:val="04A0" w:firstRow="1" w:lastRow="0" w:firstColumn="1" w:lastColumn="0" w:noHBand="0" w:noVBand="1"/>
      </w:tblPr>
      <w:tblGrid>
        <w:gridCol w:w="3818"/>
        <w:gridCol w:w="1984"/>
        <w:gridCol w:w="2268"/>
        <w:gridCol w:w="1559"/>
      </w:tblGrid>
      <w:tr w:rsidR="004E6A57" w:rsidRPr="004E6A57" w14:paraId="4CC00D71" w14:textId="77777777" w:rsidTr="004E6A57">
        <w:trPr>
          <w:trHeight w:val="510"/>
        </w:trPr>
        <w:tc>
          <w:tcPr>
            <w:tcW w:w="3818" w:type="dxa"/>
            <w:tcBorders>
              <w:top w:val="single" w:sz="8" w:space="0" w:color="B8CCE4"/>
              <w:left w:val="single" w:sz="8" w:space="0" w:color="B8CCE4"/>
              <w:bottom w:val="nil"/>
              <w:right w:val="single" w:sz="8" w:space="0" w:color="B8CCE4"/>
            </w:tcBorders>
            <w:shd w:val="clear" w:color="000000" w:fill="4F81BD"/>
            <w:vAlign w:val="center"/>
            <w:hideMark/>
          </w:tcPr>
          <w:p w14:paraId="1FBD3FE2" w14:textId="77777777" w:rsidR="004E6A57" w:rsidRPr="004E6A57" w:rsidRDefault="004E6A57" w:rsidP="00D16241">
            <w:pPr>
              <w:spacing w:before="120" w:after="120"/>
              <w:jc w:val="center"/>
              <w:rPr>
                <w:rFonts w:ascii="Arial" w:hAnsi="Arial" w:cs="Arial"/>
                <w:b/>
                <w:bCs/>
                <w:color w:val="FFFFFF"/>
                <w:sz w:val="20"/>
                <w:szCs w:val="20"/>
              </w:rPr>
            </w:pPr>
            <w:r w:rsidRPr="004E6A57">
              <w:rPr>
                <w:rFonts w:ascii="Arial" w:hAnsi="Arial" w:cs="Arial"/>
                <w:b/>
                <w:bCs/>
                <w:color w:val="FFFFFF"/>
                <w:sz w:val="20"/>
                <w:szCs w:val="20"/>
              </w:rPr>
              <w:t>Concepto</w:t>
            </w:r>
          </w:p>
        </w:tc>
        <w:tc>
          <w:tcPr>
            <w:tcW w:w="1984" w:type="dxa"/>
            <w:tcBorders>
              <w:top w:val="single" w:sz="8" w:space="0" w:color="B8CCE4"/>
              <w:left w:val="nil"/>
              <w:bottom w:val="nil"/>
              <w:right w:val="single" w:sz="8" w:space="0" w:color="B8CCE4"/>
            </w:tcBorders>
            <w:shd w:val="clear" w:color="000000" w:fill="4F81BD"/>
            <w:vAlign w:val="center"/>
            <w:hideMark/>
          </w:tcPr>
          <w:p w14:paraId="3A4878A0" w14:textId="561D763A" w:rsidR="004E6A57" w:rsidRPr="004E6A57" w:rsidRDefault="004E6A57" w:rsidP="00D16241">
            <w:pPr>
              <w:spacing w:before="120" w:after="120"/>
              <w:jc w:val="center"/>
              <w:rPr>
                <w:rFonts w:ascii="Arial" w:hAnsi="Arial" w:cs="Arial"/>
                <w:b/>
                <w:bCs/>
                <w:color w:val="FFFFFF"/>
                <w:sz w:val="20"/>
                <w:szCs w:val="20"/>
              </w:rPr>
            </w:pPr>
            <w:r w:rsidRPr="004E6A57">
              <w:rPr>
                <w:rFonts w:ascii="Arial" w:hAnsi="Arial" w:cs="Arial"/>
                <w:b/>
                <w:bCs/>
                <w:color w:val="FFFFFF"/>
                <w:sz w:val="20"/>
                <w:szCs w:val="20"/>
              </w:rPr>
              <w:t xml:space="preserve">III </w:t>
            </w:r>
            <w:r w:rsidR="00F22197" w:rsidRPr="00397561">
              <w:rPr>
                <w:rFonts w:ascii="Arial" w:hAnsi="Arial" w:cs="Arial"/>
                <w:b/>
                <w:bCs/>
                <w:color w:val="FFFFFF"/>
                <w:sz w:val="20"/>
                <w:szCs w:val="20"/>
              </w:rPr>
              <w:t>T</w:t>
            </w:r>
            <w:r w:rsidRPr="004E6A57">
              <w:rPr>
                <w:rFonts w:ascii="Arial" w:hAnsi="Arial" w:cs="Arial"/>
                <w:b/>
                <w:bCs/>
                <w:color w:val="FFFFFF"/>
                <w:sz w:val="20"/>
                <w:szCs w:val="20"/>
              </w:rPr>
              <w:t>rimestre 2020</w:t>
            </w:r>
            <w:r w:rsidR="00036D2C">
              <w:rPr>
                <w:rFonts w:ascii="Arial" w:hAnsi="Arial" w:cs="Arial"/>
                <w:b/>
                <w:bCs/>
                <w:color w:val="FFFFFF"/>
                <w:sz w:val="20"/>
                <w:szCs w:val="20"/>
              </w:rPr>
              <w:t xml:space="preserve"> ($)</w:t>
            </w:r>
          </w:p>
        </w:tc>
        <w:tc>
          <w:tcPr>
            <w:tcW w:w="2268" w:type="dxa"/>
            <w:tcBorders>
              <w:top w:val="single" w:sz="8" w:space="0" w:color="B8CCE4"/>
              <w:left w:val="nil"/>
              <w:bottom w:val="nil"/>
              <w:right w:val="single" w:sz="8" w:space="0" w:color="B8CCE4"/>
            </w:tcBorders>
            <w:shd w:val="clear" w:color="000000" w:fill="4F81BD"/>
            <w:vAlign w:val="center"/>
            <w:hideMark/>
          </w:tcPr>
          <w:p w14:paraId="09485C75" w14:textId="37DF7241" w:rsidR="004E6A57" w:rsidRPr="004E6A57" w:rsidRDefault="004E6A57" w:rsidP="00D16241">
            <w:pPr>
              <w:spacing w:before="120" w:after="120"/>
              <w:jc w:val="center"/>
              <w:rPr>
                <w:rFonts w:ascii="Arial" w:hAnsi="Arial" w:cs="Arial"/>
                <w:b/>
                <w:bCs/>
                <w:color w:val="FFFFFF"/>
                <w:sz w:val="20"/>
                <w:szCs w:val="20"/>
              </w:rPr>
            </w:pPr>
            <w:r w:rsidRPr="004E6A57">
              <w:rPr>
                <w:rFonts w:ascii="Arial" w:hAnsi="Arial" w:cs="Arial"/>
                <w:b/>
                <w:bCs/>
                <w:color w:val="FFFFFF"/>
                <w:sz w:val="20"/>
                <w:szCs w:val="20"/>
              </w:rPr>
              <w:t xml:space="preserve">II </w:t>
            </w:r>
            <w:r w:rsidR="00F22197" w:rsidRPr="00397561">
              <w:rPr>
                <w:rFonts w:ascii="Arial" w:hAnsi="Arial" w:cs="Arial"/>
                <w:b/>
                <w:bCs/>
                <w:color w:val="FFFFFF"/>
                <w:sz w:val="20"/>
                <w:szCs w:val="20"/>
              </w:rPr>
              <w:t>T</w:t>
            </w:r>
            <w:r w:rsidRPr="004E6A57">
              <w:rPr>
                <w:rFonts w:ascii="Arial" w:hAnsi="Arial" w:cs="Arial"/>
                <w:b/>
                <w:bCs/>
                <w:color w:val="FFFFFF"/>
                <w:sz w:val="20"/>
                <w:szCs w:val="20"/>
              </w:rPr>
              <w:t>rimestre de 2020</w:t>
            </w:r>
            <w:r w:rsidR="00036D2C">
              <w:rPr>
                <w:rFonts w:ascii="Arial" w:hAnsi="Arial" w:cs="Arial"/>
                <w:b/>
                <w:bCs/>
                <w:color w:val="FFFFFF"/>
                <w:sz w:val="20"/>
                <w:szCs w:val="20"/>
              </w:rPr>
              <w:t xml:space="preserve"> ($)</w:t>
            </w:r>
          </w:p>
        </w:tc>
        <w:tc>
          <w:tcPr>
            <w:tcW w:w="1559" w:type="dxa"/>
            <w:tcBorders>
              <w:top w:val="nil"/>
              <w:left w:val="nil"/>
              <w:bottom w:val="nil"/>
              <w:right w:val="single" w:sz="8" w:space="0" w:color="B8CCE4"/>
            </w:tcBorders>
            <w:shd w:val="clear" w:color="000000" w:fill="4F81BD"/>
            <w:vAlign w:val="center"/>
            <w:hideMark/>
          </w:tcPr>
          <w:p w14:paraId="380FAF2C" w14:textId="77777777" w:rsidR="004E6A57" w:rsidRPr="004E6A57" w:rsidRDefault="004E6A57" w:rsidP="00D16241">
            <w:pPr>
              <w:spacing w:before="120" w:after="120"/>
              <w:jc w:val="center"/>
              <w:rPr>
                <w:rFonts w:ascii="Arial" w:hAnsi="Arial" w:cs="Arial"/>
                <w:b/>
                <w:bCs/>
                <w:color w:val="FFFFFF"/>
                <w:sz w:val="20"/>
                <w:szCs w:val="20"/>
              </w:rPr>
            </w:pPr>
            <w:r w:rsidRPr="004E6A57">
              <w:rPr>
                <w:rFonts w:ascii="Arial" w:hAnsi="Arial" w:cs="Arial"/>
                <w:b/>
                <w:bCs/>
                <w:color w:val="FFFFFF"/>
                <w:sz w:val="20"/>
                <w:szCs w:val="20"/>
              </w:rPr>
              <w:t>Variación Relativa</w:t>
            </w:r>
          </w:p>
        </w:tc>
      </w:tr>
      <w:tr w:rsidR="004E6A57" w:rsidRPr="004E6A57" w14:paraId="4F056E96" w14:textId="77777777" w:rsidTr="00D16241">
        <w:trPr>
          <w:trHeight w:val="675"/>
        </w:trPr>
        <w:tc>
          <w:tcPr>
            <w:tcW w:w="3818" w:type="dxa"/>
            <w:tcBorders>
              <w:top w:val="nil"/>
              <w:left w:val="nil"/>
              <w:bottom w:val="nil"/>
              <w:right w:val="nil"/>
            </w:tcBorders>
            <w:shd w:val="clear" w:color="auto" w:fill="auto"/>
            <w:vAlign w:val="center"/>
            <w:hideMark/>
          </w:tcPr>
          <w:p w14:paraId="7ED07573" w14:textId="77777777" w:rsidR="004E6A57" w:rsidRPr="004E6A57" w:rsidRDefault="004E6A57" w:rsidP="00D16241">
            <w:pPr>
              <w:spacing w:before="120" w:after="120"/>
              <w:rPr>
                <w:rFonts w:ascii="Arial" w:hAnsi="Arial" w:cs="Arial"/>
                <w:color w:val="0F243E" w:themeColor="text2" w:themeShade="80"/>
                <w:sz w:val="20"/>
                <w:szCs w:val="20"/>
              </w:rPr>
            </w:pPr>
            <w:r w:rsidRPr="004E6A57">
              <w:rPr>
                <w:rFonts w:ascii="Arial" w:hAnsi="Arial" w:cs="Arial"/>
                <w:color w:val="0F243E" w:themeColor="text2" w:themeShade="80"/>
                <w:sz w:val="20"/>
                <w:szCs w:val="20"/>
              </w:rPr>
              <w:t>Mantenimiento Básico</w:t>
            </w:r>
          </w:p>
        </w:tc>
        <w:tc>
          <w:tcPr>
            <w:tcW w:w="1984" w:type="dxa"/>
            <w:tcBorders>
              <w:top w:val="nil"/>
              <w:left w:val="nil"/>
              <w:bottom w:val="nil"/>
              <w:right w:val="nil"/>
            </w:tcBorders>
            <w:shd w:val="clear" w:color="auto" w:fill="auto"/>
            <w:noWrap/>
            <w:vAlign w:val="center"/>
            <w:hideMark/>
          </w:tcPr>
          <w:p w14:paraId="1E36AEF8" w14:textId="77777777" w:rsidR="004E6A57" w:rsidRPr="004E6A57" w:rsidRDefault="004E6A57" w:rsidP="00D16241">
            <w:pPr>
              <w:spacing w:before="120" w:after="12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2.194.762</w:t>
            </w:r>
          </w:p>
        </w:tc>
        <w:tc>
          <w:tcPr>
            <w:tcW w:w="2268" w:type="dxa"/>
            <w:tcBorders>
              <w:top w:val="nil"/>
              <w:left w:val="nil"/>
              <w:bottom w:val="nil"/>
              <w:right w:val="nil"/>
            </w:tcBorders>
            <w:shd w:val="clear" w:color="auto" w:fill="auto"/>
            <w:noWrap/>
            <w:vAlign w:val="center"/>
            <w:hideMark/>
          </w:tcPr>
          <w:p w14:paraId="32E3330A" w14:textId="77777777" w:rsidR="004E6A57" w:rsidRPr="004E6A57" w:rsidRDefault="004E6A57" w:rsidP="00D16241">
            <w:pPr>
              <w:spacing w:before="120" w:after="12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1.597.800</w:t>
            </w:r>
          </w:p>
        </w:tc>
        <w:tc>
          <w:tcPr>
            <w:tcW w:w="1559" w:type="dxa"/>
            <w:tcBorders>
              <w:top w:val="nil"/>
              <w:left w:val="nil"/>
              <w:bottom w:val="nil"/>
              <w:right w:val="nil"/>
            </w:tcBorders>
            <w:shd w:val="clear" w:color="auto" w:fill="auto"/>
            <w:noWrap/>
            <w:vAlign w:val="bottom"/>
            <w:hideMark/>
          </w:tcPr>
          <w:p w14:paraId="5129E365" w14:textId="77777777" w:rsidR="004E6A57" w:rsidRPr="004E6A57" w:rsidRDefault="004E6A57" w:rsidP="00D16241">
            <w:pPr>
              <w:spacing w:before="120" w:after="12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37%</w:t>
            </w:r>
          </w:p>
        </w:tc>
      </w:tr>
      <w:tr w:rsidR="004E6A57" w:rsidRPr="004E6A57" w14:paraId="6A528A15" w14:textId="77777777" w:rsidTr="00D16241">
        <w:trPr>
          <w:trHeight w:val="711"/>
        </w:trPr>
        <w:tc>
          <w:tcPr>
            <w:tcW w:w="3818" w:type="dxa"/>
            <w:tcBorders>
              <w:top w:val="nil"/>
              <w:left w:val="nil"/>
              <w:bottom w:val="double" w:sz="4" w:space="0" w:color="4F81BD" w:themeColor="accent1"/>
              <w:right w:val="nil"/>
            </w:tcBorders>
            <w:shd w:val="clear" w:color="auto" w:fill="auto"/>
            <w:vAlign w:val="center"/>
            <w:hideMark/>
          </w:tcPr>
          <w:p w14:paraId="1E70429E" w14:textId="77777777" w:rsidR="004E6A57" w:rsidRPr="004E6A57" w:rsidRDefault="004E6A57" w:rsidP="00D16241">
            <w:pPr>
              <w:spacing w:before="120" w:after="120"/>
              <w:rPr>
                <w:rFonts w:ascii="Arial" w:hAnsi="Arial" w:cs="Arial"/>
                <w:color w:val="0F243E" w:themeColor="text2" w:themeShade="80"/>
                <w:sz w:val="20"/>
                <w:szCs w:val="20"/>
              </w:rPr>
            </w:pPr>
            <w:r w:rsidRPr="004E6A57">
              <w:rPr>
                <w:rFonts w:ascii="Arial" w:hAnsi="Arial" w:cs="Arial"/>
                <w:color w:val="0F243E" w:themeColor="text2" w:themeShade="80"/>
                <w:sz w:val="20"/>
                <w:szCs w:val="20"/>
              </w:rPr>
              <w:t>Mantenimiento Preventivo y Correctivo</w:t>
            </w:r>
          </w:p>
        </w:tc>
        <w:tc>
          <w:tcPr>
            <w:tcW w:w="1984" w:type="dxa"/>
            <w:tcBorders>
              <w:top w:val="nil"/>
              <w:left w:val="nil"/>
              <w:bottom w:val="double" w:sz="4" w:space="0" w:color="4F81BD" w:themeColor="accent1"/>
              <w:right w:val="nil"/>
            </w:tcBorders>
            <w:shd w:val="clear" w:color="auto" w:fill="auto"/>
            <w:noWrap/>
            <w:vAlign w:val="center"/>
            <w:hideMark/>
          </w:tcPr>
          <w:p w14:paraId="53B85DDF" w14:textId="77777777" w:rsidR="004E6A57" w:rsidRPr="004E6A57" w:rsidRDefault="004E6A57" w:rsidP="00D16241">
            <w:pPr>
              <w:spacing w:before="120" w:after="12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13.681.756</w:t>
            </w:r>
          </w:p>
        </w:tc>
        <w:tc>
          <w:tcPr>
            <w:tcW w:w="2268" w:type="dxa"/>
            <w:tcBorders>
              <w:top w:val="nil"/>
              <w:left w:val="nil"/>
              <w:bottom w:val="double" w:sz="4" w:space="0" w:color="4F81BD" w:themeColor="accent1"/>
              <w:right w:val="nil"/>
            </w:tcBorders>
            <w:shd w:val="clear" w:color="auto" w:fill="auto"/>
            <w:noWrap/>
            <w:vAlign w:val="center"/>
            <w:hideMark/>
          </w:tcPr>
          <w:p w14:paraId="62F60FDF" w14:textId="77777777" w:rsidR="004E6A57" w:rsidRPr="004E6A57" w:rsidRDefault="004E6A57" w:rsidP="00D16241">
            <w:pPr>
              <w:spacing w:before="120" w:after="120"/>
              <w:ind w:firstLineChars="100" w:firstLine="20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12.444.034</w:t>
            </w:r>
          </w:p>
        </w:tc>
        <w:tc>
          <w:tcPr>
            <w:tcW w:w="1559" w:type="dxa"/>
            <w:tcBorders>
              <w:top w:val="nil"/>
              <w:left w:val="nil"/>
              <w:bottom w:val="double" w:sz="4" w:space="0" w:color="4F81BD" w:themeColor="accent1"/>
              <w:right w:val="nil"/>
            </w:tcBorders>
            <w:shd w:val="clear" w:color="auto" w:fill="auto"/>
            <w:noWrap/>
            <w:vAlign w:val="bottom"/>
            <w:hideMark/>
          </w:tcPr>
          <w:p w14:paraId="14CBD261" w14:textId="77777777" w:rsidR="004E6A57" w:rsidRPr="004E6A57" w:rsidRDefault="004E6A57" w:rsidP="00D16241">
            <w:pPr>
              <w:spacing w:before="120" w:after="120"/>
              <w:jc w:val="right"/>
              <w:rPr>
                <w:rFonts w:ascii="Arial" w:hAnsi="Arial" w:cs="Arial"/>
                <w:color w:val="0F243E" w:themeColor="text2" w:themeShade="80"/>
                <w:sz w:val="20"/>
                <w:szCs w:val="20"/>
              </w:rPr>
            </w:pPr>
            <w:r w:rsidRPr="004E6A57">
              <w:rPr>
                <w:rFonts w:ascii="Arial" w:hAnsi="Arial" w:cs="Arial"/>
                <w:color w:val="0F243E" w:themeColor="text2" w:themeShade="80"/>
                <w:sz w:val="20"/>
                <w:szCs w:val="20"/>
              </w:rPr>
              <w:t>10%</w:t>
            </w:r>
          </w:p>
        </w:tc>
      </w:tr>
      <w:tr w:rsidR="004E6A57" w:rsidRPr="004E6A57" w14:paraId="0499A6FF" w14:textId="77777777" w:rsidTr="00D16241">
        <w:trPr>
          <w:trHeight w:val="692"/>
        </w:trPr>
        <w:tc>
          <w:tcPr>
            <w:tcW w:w="3818" w:type="dxa"/>
            <w:tcBorders>
              <w:top w:val="double" w:sz="4" w:space="0" w:color="4F81BD" w:themeColor="accent1"/>
              <w:left w:val="nil"/>
              <w:bottom w:val="double" w:sz="6" w:space="0" w:color="4F81BD"/>
              <w:right w:val="nil"/>
            </w:tcBorders>
            <w:shd w:val="clear" w:color="auto" w:fill="auto"/>
            <w:vAlign w:val="center"/>
            <w:hideMark/>
          </w:tcPr>
          <w:p w14:paraId="7B884654" w14:textId="43D5320C" w:rsidR="004E6A57" w:rsidRPr="004E6A57" w:rsidRDefault="00F22197" w:rsidP="00D16241">
            <w:pPr>
              <w:spacing w:before="120" w:after="120"/>
              <w:rPr>
                <w:rFonts w:ascii="Arial" w:hAnsi="Arial" w:cs="Arial"/>
                <w:b/>
                <w:bCs/>
                <w:color w:val="0F243E" w:themeColor="text2" w:themeShade="80"/>
                <w:sz w:val="20"/>
                <w:szCs w:val="20"/>
              </w:rPr>
            </w:pPr>
            <w:r>
              <w:rPr>
                <w:rFonts w:ascii="Arial" w:hAnsi="Arial" w:cs="Arial"/>
                <w:b/>
                <w:bCs/>
                <w:color w:val="0F243E" w:themeColor="text2" w:themeShade="80"/>
                <w:sz w:val="20"/>
                <w:szCs w:val="20"/>
              </w:rPr>
              <w:t>T</w:t>
            </w:r>
            <w:r w:rsidR="004E6A57" w:rsidRPr="004E6A57">
              <w:rPr>
                <w:rFonts w:ascii="Arial" w:hAnsi="Arial" w:cs="Arial"/>
                <w:b/>
                <w:bCs/>
                <w:color w:val="0F243E" w:themeColor="text2" w:themeShade="80"/>
                <w:sz w:val="20"/>
                <w:szCs w:val="20"/>
              </w:rPr>
              <w:t xml:space="preserve">otal Mantenimientos </w:t>
            </w:r>
          </w:p>
        </w:tc>
        <w:tc>
          <w:tcPr>
            <w:tcW w:w="1984" w:type="dxa"/>
            <w:tcBorders>
              <w:top w:val="double" w:sz="4" w:space="0" w:color="4F81BD" w:themeColor="accent1"/>
              <w:left w:val="nil"/>
              <w:bottom w:val="double" w:sz="6" w:space="0" w:color="4F81BD"/>
              <w:right w:val="nil"/>
            </w:tcBorders>
            <w:shd w:val="clear" w:color="auto" w:fill="auto"/>
            <w:noWrap/>
            <w:vAlign w:val="center"/>
            <w:hideMark/>
          </w:tcPr>
          <w:p w14:paraId="35FF0AA3" w14:textId="77777777" w:rsidR="004E6A57" w:rsidRPr="004E6A57" w:rsidRDefault="004E6A57" w:rsidP="00D16241">
            <w:pPr>
              <w:spacing w:before="120" w:after="120"/>
              <w:jc w:val="right"/>
              <w:rPr>
                <w:rFonts w:ascii="Arial" w:hAnsi="Arial" w:cs="Arial"/>
                <w:b/>
                <w:bCs/>
                <w:color w:val="0F243E" w:themeColor="text2" w:themeShade="80"/>
                <w:sz w:val="20"/>
                <w:szCs w:val="20"/>
              </w:rPr>
            </w:pPr>
            <w:r w:rsidRPr="004E6A57">
              <w:rPr>
                <w:rFonts w:ascii="Arial" w:hAnsi="Arial" w:cs="Arial"/>
                <w:b/>
                <w:bCs/>
                <w:color w:val="0F243E" w:themeColor="text2" w:themeShade="80"/>
                <w:sz w:val="20"/>
                <w:szCs w:val="20"/>
              </w:rPr>
              <w:t>15.876.518</w:t>
            </w:r>
          </w:p>
        </w:tc>
        <w:tc>
          <w:tcPr>
            <w:tcW w:w="2268" w:type="dxa"/>
            <w:tcBorders>
              <w:top w:val="double" w:sz="4" w:space="0" w:color="4F81BD" w:themeColor="accent1"/>
              <w:left w:val="nil"/>
              <w:bottom w:val="double" w:sz="6" w:space="0" w:color="4F81BD"/>
              <w:right w:val="nil"/>
            </w:tcBorders>
            <w:shd w:val="clear" w:color="auto" w:fill="auto"/>
            <w:noWrap/>
            <w:vAlign w:val="center"/>
            <w:hideMark/>
          </w:tcPr>
          <w:p w14:paraId="1447EE74" w14:textId="77777777" w:rsidR="004E6A57" w:rsidRPr="004E6A57" w:rsidRDefault="004E6A57" w:rsidP="00D16241">
            <w:pPr>
              <w:spacing w:before="120" w:after="120"/>
              <w:jc w:val="right"/>
              <w:rPr>
                <w:rFonts w:ascii="Arial" w:hAnsi="Arial" w:cs="Arial"/>
                <w:b/>
                <w:bCs/>
                <w:color w:val="0F243E" w:themeColor="text2" w:themeShade="80"/>
                <w:sz w:val="20"/>
                <w:szCs w:val="20"/>
              </w:rPr>
            </w:pPr>
            <w:r w:rsidRPr="004E6A57">
              <w:rPr>
                <w:rFonts w:ascii="Arial" w:hAnsi="Arial" w:cs="Arial"/>
                <w:b/>
                <w:bCs/>
                <w:color w:val="0F243E" w:themeColor="text2" w:themeShade="80"/>
                <w:sz w:val="20"/>
                <w:szCs w:val="20"/>
              </w:rPr>
              <w:t>14.041.834</w:t>
            </w:r>
          </w:p>
        </w:tc>
        <w:tc>
          <w:tcPr>
            <w:tcW w:w="1559" w:type="dxa"/>
            <w:tcBorders>
              <w:top w:val="double" w:sz="4" w:space="0" w:color="4F81BD" w:themeColor="accent1"/>
              <w:left w:val="nil"/>
              <w:bottom w:val="double" w:sz="4" w:space="0" w:color="4F81BD" w:themeColor="accent1"/>
              <w:right w:val="nil"/>
            </w:tcBorders>
            <w:shd w:val="clear" w:color="auto" w:fill="auto"/>
            <w:noWrap/>
            <w:vAlign w:val="bottom"/>
            <w:hideMark/>
          </w:tcPr>
          <w:p w14:paraId="26938673" w14:textId="77777777" w:rsidR="004E6A57" w:rsidRPr="004E6A57" w:rsidRDefault="004E6A57" w:rsidP="00D16241">
            <w:pPr>
              <w:spacing w:before="120" w:after="120"/>
              <w:jc w:val="right"/>
              <w:rPr>
                <w:rFonts w:ascii="Arial" w:hAnsi="Arial" w:cs="Arial"/>
                <w:b/>
                <w:bCs/>
                <w:color w:val="0F243E" w:themeColor="text2" w:themeShade="80"/>
                <w:sz w:val="20"/>
                <w:szCs w:val="20"/>
              </w:rPr>
            </w:pPr>
            <w:r w:rsidRPr="004E6A57">
              <w:rPr>
                <w:rFonts w:ascii="Arial" w:hAnsi="Arial" w:cs="Arial"/>
                <w:b/>
                <w:bCs/>
                <w:color w:val="0F243E" w:themeColor="text2" w:themeShade="80"/>
                <w:sz w:val="20"/>
                <w:szCs w:val="20"/>
              </w:rPr>
              <w:t>13%</w:t>
            </w:r>
          </w:p>
        </w:tc>
      </w:tr>
    </w:tbl>
    <w:p w14:paraId="66A4E97B" w14:textId="77777777" w:rsidR="004E6A57" w:rsidRDefault="004E6A57" w:rsidP="005C52ED">
      <w:pPr>
        <w:pStyle w:val="Default"/>
        <w:jc w:val="both"/>
        <w:rPr>
          <w:rFonts w:eastAsia="Times New Roman"/>
          <w:sz w:val="22"/>
          <w:szCs w:val="22"/>
          <w:lang w:eastAsia="es-CO"/>
        </w:rPr>
      </w:pPr>
    </w:p>
    <w:p w14:paraId="2120CCA2" w14:textId="6872B883" w:rsidR="001C7E33" w:rsidRDefault="00135B3E" w:rsidP="00DF3AC0">
      <w:pPr>
        <w:pStyle w:val="Default"/>
        <w:jc w:val="both"/>
        <w:rPr>
          <w:rFonts w:eastAsia="Times New Roman"/>
          <w:sz w:val="22"/>
          <w:szCs w:val="22"/>
          <w:lang w:eastAsia="es-CO"/>
        </w:rPr>
      </w:pPr>
      <w:r w:rsidRPr="00C7012F">
        <w:rPr>
          <w:rFonts w:eastAsia="Times New Roman"/>
          <w:sz w:val="22"/>
          <w:szCs w:val="22"/>
          <w:lang w:eastAsia="es-CO"/>
        </w:rPr>
        <w:t xml:space="preserve">Con base en las obligaciones consultadas en el SIIF, </w:t>
      </w:r>
      <w:r w:rsidR="004936C2" w:rsidRPr="00C7012F">
        <w:rPr>
          <w:rFonts w:eastAsia="Times New Roman"/>
          <w:sz w:val="22"/>
          <w:szCs w:val="22"/>
          <w:lang w:eastAsia="es-CO"/>
        </w:rPr>
        <w:t>se determinó que el gasto total por mantenimientos de vehículos en el tercer trimestre de 2020 comparado con el mismo periodo de 2019 presentó un</w:t>
      </w:r>
      <w:r w:rsidR="004936C2" w:rsidRPr="00C7012F">
        <w:rPr>
          <w:rFonts w:eastAsia="Times New Roman"/>
          <w:b/>
          <w:bCs/>
          <w:sz w:val="22"/>
          <w:szCs w:val="22"/>
          <w:lang w:eastAsia="es-CO"/>
        </w:rPr>
        <w:t xml:space="preserve"> </w:t>
      </w:r>
      <w:r w:rsidR="00DF3AC0" w:rsidRPr="00C7012F">
        <w:rPr>
          <w:rFonts w:eastAsia="Times New Roman"/>
          <w:b/>
          <w:bCs/>
          <w:sz w:val="22"/>
          <w:szCs w:val="22"/>
          <w:lang w:eastAsia="es-CO"/>
        </w:rPr>
        <w:t>increment</w:t>
      </w:r>
      <w:r w:rsidR="009E3CBD" w:rsidRPr="00C7012F">
        <w:rPr>
          <w:rFonts w:eastAsia="Times New Roman"/>
          <w:b/>
          <w:bCs/>
          <w:sz w:val="22"/>
          <w:szCs w:val="22"/>
          <w:lang w:eastAsia="es-CO"/>
        </w:rPr>
        <w:t>o</w:t>
      </w:r>
      <w:r w:rsidR="00DF3AC0" w:rsidRPr="00C7012F">
        <w:rPr>
          <w:rFonts w:eastAsia="Times New Roman"/>
          <w:b/>
          <w:bCs/>
          <w:sz w:val="22"/>
          <w:szCs w:val="22"/>
          <w:lang w:eastAsia="es-CO"/>
        </w:rPr>
        <w:t xml:space="preserve"> </w:t>
      </w:r>
      <w:r w:rsidR="002A4928" w:rsidRPr="00C7012F">
        <w:rPr>
          <w:rFonts w:eastAsia="Times New Roman"/>
          <w:b/>
          <w:bCs/>
          <w:sz w:val="22"/>
          <w:szCs w:val="22"/>
          <w:lang w:eastAsia="es-CO"/>
        </w:rPr>
        <w:t>del 67%</w:t>
      </w:r>
      <w:r w:rsidR="00185EEC">
        <w:rPr>
          <w:rFonts w:eastAsia="Times New Roman"/>
          <w:sz w:val="22"/>
          <w:szCs w:val="22"/>
          <w:lang w:eastAsia="es-CO"/>
        </w:rPr>
        <w:t>.</w:t>
      </w:r>
    </w:p>
    <w:p w14:paraId="141D5D53" w14:textId="77777777" w:rsidR="00185EEC" w:rsidRPr="00C7012F" w:rsidRDefault="00185EEC" w:rsidP="00DF3AC0">
      <w:pPr>
        <w:pStyle w:val="Default"/>
        <w:jc w:val="both"/>
        <w:rPr>
          <w:rFonts w:eastAsia="Times New Roman"/>
          <w:b/>
          <w:bCs/>
          <w:sz w:val="22"/>
          <w:szCs w:val="22"/>
          <w:lang w:eastAsia="es-CO"/>
        </w:rPr>
      </w:pPr>
    </w:p>
    <w:p w14:paraId="63408B4B" w14:textId="4E425E91" w:rsidR="00A04C7C" w:rsidRDefault="00A04C7C" w:rsidP="00DF3AC0">
      <w:pPr>
        <w:pStyle w:val="Default"/>
        <w:jc w:val="both"/>
        <w:rPr>
          <w:rFonts w:eastAsia="Times New Roman"/>
          <w:sz w:val="22"/>
          <w:szCs w:val="22"/>
          <w:lang w:eastAsia="es-CO"/>
        </w:rPr>
      </w:pPr>
    </w:p>
    <w:p w14:paraId="6332C634" w14:textId="77777777" w:rsidR="00D16241" w:rsidRDefault="00D16241" w:rsidP="00DF3AC0">
      <w:pPr>
        <w:pStyle w:val="Default"/>
        <w:jc w:val="both"/>
        <w:rPr>
          <w:rFonts w:eastAsia="Times New Roman"/>
          <w:sz w:val="22"/>
          <w:szCs w:val="22"/>
          <w:lang w:eastAsia="es-CO"/>
        </w:rPr>
      </w:pPr>
    </w:p>
    <w:tbl>
      <w:tblPr>
        <w:tblW w:w="9629" w:type="dxa"/>
        <w:tblCellMar>
          <w:left w:w="70" w:type="dxa"/>
          <w:right w:w="70" w:type="dxa"/>
        </w:tblCellMar>
        <w:tblLook w:val="04A0" w:firstRow="1" w:lastRow="0" w:firstColumn="1" w:lastColumn="0" w:noHBand="0" w:noVBand="1"/>
      </w:tblPr>
      <w:tblGrid>
        <w:gridCol w:w="2400"/>
        <w:gridCol w:w="2693"/>
        <w:gridCol w:w="2552"/>
        <w:gridCol w:w="1984"/>
      </w:tblGrid>
      <w:tr w:rsidR="009E3CBD" w:rsidRPr="009E3CBD" w14:paraId="4E075A1A" w14:textId="77777777" w:rsidTr="00347464">
        <w:trPr>
          <w:cantSplit/>
        </w:trPr>
        <w:tc>
          <w:tcPr>
            <w:tcW w:w="2400" w:type="dxa"/>
            <w:tcBorders>
              <w:top w:val="single" w:sz="8" w:space="0" w:color="B8CCE4"/>
              <w:left w:val="single" w:sz="8" w:space="0" w:color="B8CCE4"/>
              <w:bottom w:val="nil"/>
              <w:right w:val="single" w:sz="8" w:space="0" w:color="B8CCE4"/>
            </w:tcBorders>
            <w:shd w:val="clear" w:color="000000" w:fill="4F81BD"/>
            <w:vAlign w:val="center"/>
            <w:hideMark/>
          </w:tcPr>
          <w:p w14:paraId="033FEE03" w14:textId="77777777"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lang w:eastAsia="en-US"/>
              </w:rPr>
              <w:lastRenderedPageBreak/>
              <w:t>Concepto</w:t>
            </w:r>
          </w:p>
        </w:tc>
        <w:tc>
          <w:tcPr>
            <w:tcW w:w="2693" w:type="dxa"/>
            <w:tcBorders>
              <w:top w:val="single" w:sz="8" w:space="0" w:color="B8CCE4"/>
              <w:left w:val="nil"/>
              <w:bottom w:val="nil"/>
              <w:right w:val="single" w:sz="8" w:space="0" w:color="B8CCE4"/>
            </w:tcBorders>
            <w:shd w:val="clear" w:color="000000" w:fill="4F81BD"/>
            <w:vAlign w:val="center"/>
            <w:hideMark/>
          </w:tcPr>
          <w:p w14:paraId="469A966C" w14:textId="77777777"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lang w:eastAsia="en-US"/>
              </w:rPr>
              <w:t>III Trimestre de 2020</w:t>
            </w:r>
          </w:p>
        </w:tc>
        <w:tc>
          <w:tcPr>
            <w:tcW w:w="2552" w:type="dxa"/>
            <w:tcBorders>
              <w:top w:val="single" w:sz="8" w:space="0" w:color="B8CCE4"/>
              <w:left w:val="nil"/>
              <w:bottom w:val="nil"/>
              <w:right w:val="single" w:sz="8" w:space="0" w:color="B8CCE4"/>
            </w:tcBorders>
            <w:shd w:val="clear" w:color="000000" w:fill="4F81BD"/>
            <w:vAlign w:val="center"/>
            <w:hideMark/>
          </w:tcPr>
          <w:p w14:paraId="338982F5" w14:textId="77777777"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lang w:eastAsia="en-US"/>
              </w:rPr>
              <w:t>III Trimestre de 2019</w:t>
            </w:r>
          </w:p>
        </w:tc>
        <w:tc>
          <w:tcPr>
            <w:tcW w:w="1984" w:type="dxa"/>
            <w:tcBorders>
              <w:top w:val="nil"/>
              <w:left w:val="nil"/>
              <w:bottom w:val="nil"/>
              <w:right w:val="single" w:sz="8" w:space="0" w:color="B8CCE4"/>
            </w:tcBorders>
            <w:shd w:val="clear" w:color="000000" w:fill="4F81BD"/>
            <w:vAlign w:val="center"/>
            <w:hideMark/>
          </w:tcPr>
          <w:p w14:paraId="3D71B3B1" w14:textId="346726DC"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rPr>
              <w:t>Variación</w:t>
            </w:r>
            <w:r w:rsidR="00347464">
              <w:rPr>
                <w:rFonts w:ascii="Arial" w:hAnsi="Arial" w:cs="Arial"/>
                <w:b/>
                <w:bCs/>
                <w:color w:val="FFFFFF"/>
                <w:sz w:val="20"/>
                <w:szCs w:val="20"/>
              </w:rPr>
              <w:t xml:space="preserve"> Relativa</w:t>
            </w:r>
          </w:p>
        </w:tc>
      </w:tr>
      <w:tr w:rsidR="00F030EA" w:rsidRPr="009E3CBD" w14:paraId="12EB679D" w14:textId="77777777" w:rsidTr="00347464">
        <w:trPr>
          <w:cantSplit/>
        </w:trPr>
        <w:tc>
          <w:tcPr>
            <w:tcW w:w="2400" w:type="dxa"/>
            <w:tcBorders>
              <w:top w:val="nil"/>
              <w:left w:val="nil"/>
              <w:bottom w:val="nil"/>
              <w:right w:val="nil"/>
            </w:tcBorders>
            <w:shd w:val="clear" w:color="auto" w:fill="auto"/>
            <w:vAlign w:val="center"/>
            <w:hideMark/>
          </w:tcPr>
          <w:p w14:paraId="0B187842" w14:textId="6A03FF03" w:rsidR="00F030EA" w:rsidRPr="00F030EA" w:rsidRDefault="00F030EA" w:rsidP="00F22197">
            <w:pPr>
              <w:spacing w:before="100" w:after="100"/>
              <w:rPr>
                <w:rFonts w:ascii="Arial" w:hAnsi="Arial" w:cs="Arial"/>
                <w:color w:val="0F243E" w:themeColor="text2" w:themeShade="80"/>
                <w:sz w:val="20"/>
                <w:szCs w:val="20"/>
              </w:rPr>
            </w:pPr>
            <w:r w:rsidRPr="00F030EA">
              <w:rPr>
                <w:rFonts w:ascii="Arial" w:hAnsi="Arial" w:cs="Arial"/>
                <w:color w:val="0F243E" w:themeColor="text2" w:themeShade="80"/>
                <w:sz w:val="20"/>
                <w:szCs w:val="20"/>
              </w:rPr>
              <w:t xml:space="preserve">Julio </w:t>
            </w:r>
          </w:p>
        </w:tc>
        <w:tc>
          <w:tcPr>
            <w:tcW w:w="2693" w:type="dxa"/>
            <w:tcBorders>
              <w:top w:val="nil"/>
              <w:left w:val="nil"/>
              <w:bottom w:val="nil"/>
              <w:right w:val="nil"/>
            </w:tcBorders>
            <w:shd w:val="clear" w:color="auto" w:fill="auto"/>
            <w:noWrap/>
            <w:vAlign w:val="center"/>
            <w:hideMark/>
          </w:tcPr>
          <w:p w14:paraId="44CA232A" w14:textId="365AF40D"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3.053.126</w:t>
            </w:r>
          </w:p>
        </w:tc>
        <w:tc>
          <w:tcPr>
            <w:tcW w:w="2552" w:type="dxa"/>
            <w:tcBorders>
              <w:top w:val="nil"/>
              <w:left w:val="nil"/>
              <w:bottom w:val="nil"/>
              <w:right w:val="nil"/>
            </w:tcBorders>
            <w:shd w:val="clear" w:color="auto" w:fill="auto"/>
            <w:noWrap/>
            <w:vAlign w:val="center"/>
            <w:hideMark/>
          </w:tcPr>
          <w:p w14:paraId="19B3DC06" w14:textId="001064BB"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5.536.452</w:t>
            </w:r>
          </w:p>
        </w:tc>
        <w:tc>
          <w:tcPr>
            <w:tcW w:w="1984" w:type="dxa"/>
            <w:tcBorders>
              <w:top w:val="nil"/>
              <w:left w:val="nil"/>
              <w:bottom w:val="nil"/>
              <w:right w:val="nil"/>
            </w:tcBorders>
            <w:shd w:val="clear" w:color="auto" w:fill="auto"/>
            <w:noWrap/>
            <w:vAlign w:val="bottom"/>
            <w:hideMark/>
          </w:tcPr>
          <w:p w14:paraId="240C9CE3" w14:textId="61928A97"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(45%)</w:t>
            </w:r>
          </w:p>
        </w:tc>
      </w:tr>
      <w:tr w:rsidR="00F030EA" w:rsidRPr="009E3CBD" w14:paraId="159A1951" w14:textId="77777777" w:rsidTr="00347464">
        <w:trPr>
          <w:cantSplit/>
        </w:trPr>
        <w:tc>
          <w:tcPr>
            <w:tcW w:w="2400" w:type="dxa"/>
            <w:tcBorders>
              <w:top w:val="nil"/>
              <w:left w:val="nil"/>
              <w:bottom w:val="nil"/>
              <w:right w:val="nil"/>
            </w:tcBorders>
            <w:shd w:val="clear" w:color="auto" w:fill="auto"/>
            <w:vAlign w:val="center"/>
            <w:hideMark/>
          </w:tcPr>
          <w:p w14:paraId="6BF2BFE2" w14:textId="1FCCFF66" w:rsidR="00F030EA" w:rsidRPr="00F030EA" w:rsidRDefault="00F030EA" w:rsidP="00F22197">
            <w:pPr>
              <w:spacing w:before="100" w:after="100"/>
              <w:rPr>
                <w:rFonts w:ascii="Arial" w:hAnsi="Arial" w:cs="Arial"/>
                <w:color w:val="0F243E" w:themeColor="text2" w:themeShade="80"/>
                <w:sz w:val="20"/>
                <w:szCs w:val="20"/>
              </w:rPr>
            </w:pPr>
            <w:r w:rsidRPr="00F030EA">
              <w:rPr>
                <w:rFonts w:ascii="Arial" w:hAnsi="Arial" w:cs="Arial"/>
                <w:color w:val="0F243E" w:themeColor="text2" w:themeShade="80"/>
                <w:sz w:val="20"/>
                <w:szCs w:val="20"/>
              </w:rPr>
              <w:t>Agosto</w:t>
            </w:r>
          </w:p>
        </w:tc>
        <w:tc>
          <w:tcPr>
            <w:tcW w:w="2693" w:type="dxa"/>
            <w:tcBorders>
              <w:top w:val="nil"/>
              <w:left w:val="nil"/>
              <w:bottom w:val="nil"/>
              <w:right w:val="nil"/>
            </w:tcBorders>
            <w:shd w:val="clear" w:color="auto" w:fill="auto"/>
            <w:noWrap/>
            <w:vAlign w:val="center"/>
            <w:hideMark/>
          </w:tcPr>
          <w:p w14:paraId="5AB836BD" w14:textId="2CE25678"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7.780.088</w:t>
            </w:r>
          </w:p>
        </w:tc>
        <w:tc>
          <w:tcPr>
            <w:tcW w:w="2552" w:type="dxa"/>
            <w:tcBorders>
              <w:top w:val="nil"/>
              <w:left w:val="nil"/>
              <w:bottom w:val="nil"/>
              <w:right w:val="nil"/>
            </w:tcBorders>
            <w:shd w:val="clear" w:color="auto" w:fill="auto"/>
            <w:noWrap/>
            <w:vAlign w:val="center"/>
            <w:hideMark/>
          </w:tcPr>
          <w:p w14:paraId="6818D164" w14:textId="062BA8A7" w:rsidR="00F030EA" w:rsidRPr="00F030EA" w:rsidRDefault="00F030EA" w:rsidP="00F22197">
            <w:pPr>
              <w:spacing w:before="100" w:after="100"/>
              <w:ind w:firstLineChars="100" w:firstLine="2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2.827.786</w:t>
            </w:r>
          </w:p>
        </w:tc>
        <w:tc>
          <w:tcPr>
            <w:tcW w:w="1984" w:type="dxa"/>
            <w:tcBorders>
              <w:top w:val="nil"/>
              <w:left w:val="nil"/>
              <w:bottom w:val="nil"/>
              <w:right w:val="nil"/>
            </w:tcBorders>
            <w:shd w:val="clear" w:color="auto" w:fill="auto"/>
            <w:noWrap/>
            <w:vAlign w:val="bottom"/>
            <w:hideMark/>
          </w:tcPr>
          <w:p w14:paraId="1B25D647" w14:textId="7C2AD42F"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175%</w:t>
            </w:r>
          </w:p>
        </w:tc>
      </w:tr>
      <w:tr w:rsidR="00F030EA" w:rsidRPr="009E3CBD" w14:paraId="44186ED5" w14:textId="77777777" w:rsidTr="00F22197">
        <w:trPr>
          <w:cantSplit/>
          <w:trHeight w:val="549"/>
        </w:trPr>
        <w:tc>
          <w:tcPr>
            <w:tcW w:w="2400" w:type="dxa"/>
            <w:tcBorders>
              <w:top w:val="nil"/>
              <w:left w:val="nil"/>
              <w:bottom w:val="double" w:sz="4" w:space="0" w:color="4F81BD" w:themeColor="accent1"/>
              <w:right w:val="nil"/>
            </w:tcBorders>
            <w:shd w:val="clear" w:color="auto" w:fill="auto"/>
            <w:vAlign w:val="center"/>
            <w:hideMark/>
          </w:tcPr>
          <w:p w14:paraId="53CA02C1" w14:textId="2FB6501D" w:rsidR="00F030EA" w:rsidRPr="00F030EA" w:rsidRDefault="00F030EA" w:rsidP="00F22197">
            <w:pPr>
              <w:spacing w:before="100" w:after="100"/>
              <w:rPr>
                <w:rFonts w:ascii="Arial" w:hAnsi="Arial" w:cs="Arial"/>
                <w:color w:val="0F243E" w:themeColor="text2" w:themeShade="80"/>
                <w:sz w:val="20"/>
                <w:szCs w:val="20"/>
              </w:rPr>
            </w:pPr>
            <w:r w:rsidRPr="00F030EA">
              <w:rPr>
                <w:rFonts w:ascii="Arial" w:hAnsi="Arial" w:cs="Arial"/>
                <w:color w:val="0F243E" w:themeColor="text2" w:themeShade="80"/>
                <w:sz w:val="20"/>
                <w:szCs w:val="20"/>
              </w:rPr>
              <w:t xml:space="preserve">Septiembre </w:t>
            </w:r>
          </w:p>
        </w:tc>
        <w:tc>
          <w:tcPr>
            <w:tcW w:w="2693" w:type="dxa"/>
            <w:tcBorders>
              <w:top w:val="nil"/>
              <w:left w:val="nil"/>
              <w:bottom w:val="double" w:sz="4" w:space="0" w:color="4F81BD" w:themeColor="accent1"/>
              <w:right w:val="nil"/>
            </w:tcBorders>
            <w:shd w:val="clear" w:color="auto" w:fill="auto"/>
            <w:noWrap/>
            <w:vAlign w:val="center"/>
            <w:hideMark/>
          </w:tcPr>
          <w:p w14:paraId="07D88726" w14:textId="3D378BD5"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5.043.304</w:t>
            </w:r>
          </w:p>
        </w:tc>
        <w:tc>
          <w:tcPr>
            <w:tcW w:w="2552" w:type="dxa"/>
            <w:tcBorders>
              <w:top w:val="nil"/>
              <w:left w:val="nil"/>
              <w:bottom w:val="double" w:sz="4" w:space="0" w:color="4F81BD" w:themeColor="accent1"/>
              <w:right w:val="nil"/>
            </w:tcBorders>
            <w:shd w:val="clear" w:color="auto" w:fill="auto"/>
            <w:noWrap/>
            <w:vAlign w:val="center"/>
            <w:hideMark/>
          </w:tcPr>
          <w:p w14:paraId="18C578E6" w14:textId="65482A1E"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1.122.800</w:t>
            </w:r>
          </w:p>
        </w:tc>
        <w:tc>
          <w:tcPr>
            <w:tcW w:w="1984" w:type="dxa"/>
            <w:tcBorders>
              <w:top w:val="nil"/>
              <w:left w:val="nil"/>
              <w:bottom w:val="double" w:sz="4" w:space="0" w:color="4F81BD" w:themeColor="accent1"/>
              <w:right w:val="nil"/>
            </w:tcBorders>
            <w:shd w:val="clear" w:color="auto" w:fill="auto"/>
            <w:noWrap/>
            <w:vAlign w:val="bottom"/>
            <w:hideMark/>
          </w:tcPr>
          <w:p w14:paraId="6ABBDCF4" w14:textId="2986CFED" w:rsidR="00F030EA" w:rsidRPr="00F030EA" w:rsidRDefault="00F030EA" w:rsidP="00F22197">
            <w:pPr>
              <w:spacing w:before="100" w:after="100"/>
              <w:jc w:val="right"/>
              <w:rPr>
                <w:rFonts w:ascii="Arial" w:hAnsi="Arial" w:cs="Arial"/>
                <w:color w:val="0F243E" w:themeColor="text2" w:themeShade="80"/>
                <w:sz w:val="20"/>
                <w:szCs w:val="20"/>
              </w:rPr>
            </w:pPr>
            <w:r w:rsidRPr="00F030EA">
              <w:rPr>
                <w:rFonts w:ascii="Arial" w:hAnsi="Arial" w:cs="Arial"/>
                <w:color w:val="0F243E" w:themeColor="text2" w:themeShade="80"/>
                <w:sz w:val="20"/>
                <w:szCs w:val="20"/>
              </w:rPr>
              <w:t>349%</w:t>
            </w:r>
          </w:p>
        </w:tc>
      </w:tr>
      <w:tr w:rsidR="009E3CBD" w:rsidRPr="009E3CBD" w14:paraId="10601D41" w14:textId="77777777" w:rsidTr="00F22197">
        <w:trPr>
          <w:cantSplit/>
          <w:trHeight w:val="525"/>
        </w:trPr>
        <w:tc>
          <w:tcPr>
            <w:tcW w:w="2400" w:type="dxa"/>
            <w:tcBorders>
              <w:top w:val="double" w:sz="4" w:space="0" w:color="4F81BD" w:themeColor="accent1"/>
              <w:left w:val="nil"/>
              <w:bottom w:val="double" w:sz="6" w:space="0" w:color="4F81BD"/>
              <w:right w:val="nil"/>
            </w:tcBorders>
            <w:shd w:val="clear" w:color="auto" w:fill="auto"/>
            <w:noWrap/>
            <w:vAlign w:val="center"/>
            <w:hideMark/>
          </w:tcPr>
          <w:p w14:paraId="7860B452" w14:textId="77777777" w:rsidR="009E3CBD" w:rsidRPr="00F030EA" w:rsidRDefault="009E3CBD" w:rsidP="00F22197">
            <w:pPr>
              <w:spacing w:before="100" w:after="100"/>
              <w:rPr>
                <w:rFonts w:ascii="Arial" w:hAnsi="Arial" w:cs="Arial"/>
                <w:b/>
                <w:bCs/>
                <w:color w:val="0F243E" w:themeColor="text2" w:themeShade="80"/>
                <w:sz w:val="20"/>
                <w:szCs w:val="20"/>
              </w:rPr>
            </w:pPr>
            <w:r w:rsidRPr="00F030EA">
              <w:rPr>
                <w:rFonts w:ascii="Arial" w:hAnsi="Arial" w:cs="Arial"/>
                <w:b/>
                <w:bCs/>
                <w:color w:val="0F243E" w:themeColor="text2" w:themeShade="80"/>
                <w:sz w:val="20"/>
                <w:szCs w:val="20"/>
              </w:rPr>
              <w:t>Total Mantenimientos</w:t>
            </w:r>
          </w:p>
        </w:tc>
        <w:tc>
          <w:tcPr>
            <w:tcW w:w="2693" w:type="dxa"/>
            <w:tcBorders>
              <w:top w:val="double" w:sz="4" w:space="0" w:color="4F81BD" w:themeColor="accent1"/>
              <w:left w:val="nil"/>
              <w:bottom w:val="double" w:sz="4" w:space="0" w:color="4F81BD" w:themeColor="accent1"/>
              <w:right w:val="nil"/>
            </w:tcBorders>
            <w:shd w:val="clear" w:color="auto" w:fill="auto"/>
            <w:noWrap/>
            <w:vAlign w:val="center"/>
            <w:hideMark/>
          </w:tcPr>
          <w:p w14:paraId="30F2B0EA" w14:textId="77777777" w:rsidR="009E3CBD" w:rsidRPr="00F030EA" w:rsidRDefault="009E3CBD" w:rsidP="00F22197">
            <w:pPr>
              <w:spacing w:before="100" w:after="100"/>
              <w:jc w:val="right"/>
              <w:rPr>
                <w:rFonts w:ascii="Arial" w:hAnsi="Arial" w:cs="Arial"/>
                <w:b/>
                <w:bCs/>
                <w:color w:val="0F243E" w:themeColor="text2" w:themeShade="80"/>
                <w:sz w:val="20"/>
                <w:szCs w:val="20"/>
              </w:rPr>
            </w:pPr>
            <w:r w:rsidRPr="00F030EA">
              <w:rPr>
                <w:rFonts w:ascii="Arial" w:hAnsi="Arial" w:cs="Arial"/>
                <w:b/>
                <w:bCs/>
                <w:color w:val="0F243E" w:themeColor="text2" w:themeShade="80"/>
                <w:sz w:val="20"/>
                <w:szCs w:val="20"/>
              </w:rPr>
              <w:t>15.876.518</w:t>
            </w:r>
          </w:p>
        </w:tc>
        <w:tc>
          <w:tcPr>
            <w:tcW w:w="2552" w:type="dxa"/>
            <w:tcBorders>
              <w:top w:val="double" w:sz="4" w:space="0" w:color="4F81BD" w:themeColor="accent1"/>
              <w:left w:val="nil"/>
              <w:bottom w:val="double" w:sz="4" w:space="0" w:color="4F81BD" w:themeColor="accent1"/>
              <w:right w:val="nil"/>
            </w:tcBorders>
            <w:shd w:val="clear" w:color="auto" w:fill="auto"/>
            <w:noWrap/>
            <w:vAlign w:val="center"/>
            <w:hideMark/>
          </w:tcPr>
          <w:p w14:paraId="6979D60D" w14:textId="77777777" w:rsidR="009E3CBD" w:rsidRPr="00F030EA" w:rsidRDefault="009E3CBD" w:rsidP="00F22197">
            <w:pPr>
              <w:spacing w:before="100" w:after="100"/>
              <w:jc w:val="right"/>
              <w:rPr>
                <w:rFonts w:ascii="Arial" w:hAnsi="Arial" w:cs="Arial"/>
                <w:b/>
                <w:bCs/>
                <w:color w:val="0F243E" w:themeColor="text2" w:themeShade="80"/>
                <w:sz w:val="20"/>
                <w:szCs w:val="20"/>
              </w:rPr>
            </w:pPr>
            <w:r w:rsidRPr="00F030EA">
              <w:rPr>
                <w:rFonts w:ascii="Arial" w:hAnsi="Arial" w:cs="Arial"/>
                <w:b/>
                <w:bCs/>
                <w:color w:val="0F243E" w:themeColor="text2" w:themeShade="80"/>
                <w:sz w:val="20"/>
                <w:szCs w:val="20"/>
              </w:rPr>
              <w:t>9.487.038</w:t>
            </w:r>
          </w:p>
        </w:tc>
        <w:tc>
          <w:tcPr>
            <w:tcW w:w="1984" w:type="dxa"/>
            <w:tcBorders>
              <w:top w:val="double" w:sz="4" w:space="0" w:color="4F81BD" w:themeColor="accent1"/>
              <w:left w:val="nil"/>
              <w:bottom w:val="double" w:sz="4" w:space="0" w:color="4F81BD" w:themeColor="accent1"/>
              <w:right w:val="nil"/>
            </w:tcBorders>
            <w:shd w:val="clear" w:color="auto" w:fill="auto"/>
            <w:noWrap/>
            <w:vAlign w:val="center"/>
            <w:hideMark/>
          </w:tcPr>
          <w:p w14:paraId="021590C9" w14:textId="77777777" w:rsidR="009E3CBD" w:rsidRPr="00F030EA" w:rsidRDefault="009E3CBD" w:rsidP="00F22197">
            <w:pPr>
              <w:spacing w:before="100" w:after="100"/>
              <w:jc w:val="right"/>
              <w:rPr>
                <w:rFonts w:ascii="Arial" w:hAnsi="Arial" w:cs="Arial"/>
                <w:b/>
                <w:bCs/>
                <w:color w:val="0F243E" w:themeColor="text2" w:themeShade="80"/>
                <w:sz w:val="20"/>
                <w:szCs w:val="20"/>
              </w:rPr>
            </w:pPr>
          </w:p>
        </w:tc>
      </w:tr>
      <w:tr w:rsidR="009E3CBD" w:rsidRPr="009E3CBD" w14:paraId="4242AA2F" w14:textId="77777777" w:rsidTr="00347464">
        <w:trPr>
          <w:cantSplit/>
        </w:trPr>
        <w:tc>
          <w:tcPr>
            <w:tcW w:w="2400" w:type="dxa"/>
            <w:tcBorders>
              <w:top w:val="nil"/>
              <w:left w:val="nil"/>
              <w:bottom w:val="nil"/>
              <w:right w:val="nil"/>
            </w:tcBorders>
            <w:shd w:val="clear" w:color="auto" w:fill="4F81BD" w:themeFill="accent1"/>
            <w:vAlign w:val="center"/>
            <w:hideMark/>
          </w:tcPr>
          <w:p w14:paraId="524EFCDD" w14:textId="37908841" w:rsidR="009E3CBD" w:rsidRPr="009E3CBD" w:rsidRDefault="009E3CBD" w:rsidP="00F22197">
            <w:pPr>
              <w:spacing w:before="100" w:after="100"/>
              <w:rPr>
                <w:rFonts w:ascii="Arial" w:hAnsi="Arial" w:cs="Arial"/>
                <w:b/>
                <w:bCs/>
                <w:color w:val="FFFFFF"/>
                <w:sz w:val="20"/>
                <w:szCs w:val="20"/>
              </w:rPr>
            </w:pPr>
            <w:r w:rsidRPr="009E3CBD">
              <w:rPr>
                <w:rFonts w:ascii="Arial" w:hAnsi="Arial" w:cs="Arial"/>
                <w:b/>
                <w:bCs/>
                <w:color w:val="FFFFFF"/>
                <w:sz w:val="20"/>
                <w:szCs w:val="20"/>
              </w:rPr>
              <w:t>Variación Total $</w:t>
            </w:r>
          </w:p>
        </w:tc>
        <w:tc>
          <w:tcPr>
            <w:tcW w:w="7229" w:type="dxa"/>
            <w:gridSpan w:val="3"/>
            <w:tcBorders>
              <w:top w:val="double" w:sz="4" w:space="0" w:color="4F81BD" w:themeColor="accent1"/>
              <w:left w:val="nil"/>
              <w:bottom w:val="nil"/>
              <w:right w:val="nil"/>
            </w:tcBorders>
            <w:shd w:val="clear" w:color="auto" w:fill="4F81BD" w:themeFill="accent1"/>
            <w:noWrap/>
            <w:vAlign w:val="center"/>
            <w:hideMark/>
          </w:tcPr>
          <w:p w14:paraId="3B47883F" w14:textId="77777777"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rPr>
              <w:t>6.389.480</w:t>
            </w:r>
          </w:p>
        </w:tc>
      </w:tr>
      <w:tr w:rsidR="009E3CBD" w:rsidRPr="009E3CBD" w14:paraId="4C6E521E" w14:textId="77777777" w:rsidTr="00347464">
        <w:trPr>
          <w:cantSplit/>
        </w:trPr>
        <w:tc>
          <w:tcPr>
            <w:tcW w:w="2400" w:type="dxa"/>
            <w:tcBorders>
              <w:top w:val="nil"/>
              <w:left w:val="nil"/>
              <w:bottom w:val="nil"/>
              <w:right w:val="nil"/>
            </w:tcBorders>
            <w:shd w:val="clear" w:color="auto" w:fill="4F81BD" w:themeFill="accent1"/>
            <w:vAlign w:val="center"/>
            <w:hideMark/>
          </w:tcPr>
          <w:p w14:paraId="1287A9FD" w14:textId="77777777" w:rsidR="009E3CBD" w:rsidRPr="009E3CBD" w:rsidRDefault="009E3CBD" w:rsidP="00F22197">
            <w:pPr>
              <w:spacing w:before="100" w:after="100"/>
              <w:rPr>
                <w:rFonts w:ascii="Arial" w:hAnsi="Arial" w:cs="Arial"/>
                <w:b/>
                <w:bCs/>
                <w:color w:val="FFFFFF"/>
                <w:sz w:val="20"/>
                <w:szCs w:val="20"/>
              </w:rPr>
            </w:pPr>
            <w:r w:rsidRPr="009E3CBD">
              <w:rPr>
                <w:rFonts w:ascii="Arial" w:hAnsi="Arial" w:cs="Arial"/>
                <w:b/>
                <w:bCs/>
                <w:color w:val="FFFFFF"/>
                <w:sz w:val="20"/>
                <w:szCs w:val="20"/>
              </w:rPr>
              <w:t>Variación Total %</w:t>
            </w:r>
          </w:p>
        </w:tc>
        <w:tc>
          <w:tcPr>
            <w:tcW w:w="7229" w:type="dxa"/>
            <w:gridSpan w:val="3"/>
            <w:tcBorders>
              <w:top w:val="nil"/>
              <w:left w:val="nil"/>
              <w:bottom w:val="nil"/>
              <w:right w:val="nil"/>
            </w:tcBorders>
            <w:shd w:val="clear" w:color="auto" w:fill="4F81BD" w:themeFill="accent1"/>
            <w:noWrap/>
            <w:vAlign w:val="center"/>
            <w:hideMark/>
          </w:tcPr>
          <w:p w14:paraId="79910B60" w14:textId="77777777" w:rsidR="009E3CBD" w:rsidRPr="009E3CBD" w:rsidRDefault="009E3CBD" w:rsidP="00F22197">
            <w:pPr>
              <w:spacing w:before="100" w:after="100"/>
              <w:jc w:val="center"/>
              <w:rPr>
                <w:rFonts w:ascii="Arial" w:hAnsi="Arial" w:cs="Arial"/>
                <w:b/>
                <w:bCs/>
                <w:color w:val="FFFFFF"/>
                <w:sz w:val="20"/>
                <w:szCs w:val="20"/>
              </w:rPr>
            </w:pPr>
            <w:r w:rsidRPr="009E3CBD">
              <w:rPr>
                <w:rFonts w:ascii="Arial" w:hAnsi="Arial" w:cs="Arial"/>
                <w:b/>
                <w:bCs/>
                <w:color w:val="FFFFFF"/>
                <w:sz w:val="20"/>
                <w:szCs w:val="20"/>
              </w:rPr>
              <w:t>67%</w:t>
            </w:r>
          </w:p>
        </w:tc>
      </w:tr>
    </w:tbl>
    <w:p w14:paraId="2F0E479C" w14:textId="77777777" w:rsidR="001C7E33" w:rsidRDefault="001C7E33" w:rsidP="00DF3AC0">
      <w:pPr>
        <w:pStyle w:val="Default"/>
        <w:jc w:val="both"/>
        <w:rPr>
          <w:rFonts w:eastAsia="Times New Roman"/>
          <w:sz w:val="22"/>
          <w:szCs w:val="22"/>
          <w:lang w:eastAsia="es-CO"/>
        </w:rPr>
      </w:pPr>
    </w:p>
    <w:p w14:paraId="0FC5845D" w14:textId="44D3AB81" w:rsidR="00036E1E" w:rsidRPr="00C7012F" w:rsidRDefault="00036E1E" w:rsidP="00DF3AC0">
      <w:pPr>
        <w:pStyle w:val="Default"/>
        <w:jc w:val="both"/>
        <w:rPr>
          <w:rFonts w:eastAsia="Times New Roman"/>
          <w:sz w:val="22"/>
          <w:szCs w:val="22"/>
          <w:lang w:eastAsia="es-CO"/>
        </w:rPr>
      </w:pPr>
      <w:r w:rsidRPr="00C7012F">
        <w:rPr>
          <w:rFonts w:eastAsia="Times New Roman"/>
          <w:sz w:val="22"/>
          <w:szCs w:val="22"/>
          <w:lang w:eastAsia="es-CO"/>
        </w:rPr>
        <w:t xml:space="preserve">Sobre el resultado de las variaciones antes presentadas, </w:t>
      </w:r>
      <w:r w:rsidR="009E3CBD" w:rsidRPr="00C7012F">
        <w:rPr>
          <w:rFonts w:eastAsia="Times New Roman"/>
          <w:sz w:val="22"/>
          <w:szCs w:val="22"/>
          <w:lang w:eastAsia="es-CO"/>
        </w:rPr>
        <w:t>la Subdirección de Servicios informó que</w:t>
      </w:r>
      <w:r w:rsidRPr="00C7012F">
        <w:rPr>
          <w:rFonts w:eastAsia="Times New Roman"/>
          <w:sz w:val="22"/>
          <w:szCs w:val="22"/>
          <w:lang w:eastAsia="es-CO"/>
        </w:rPr>
        <w:t xml:space="preserve"> en parte el incremento obedeció a las siguientes situaciones: </w:t>
      </w:r>
    </w:p>
    <w:p w14:paraId="173425E3" w14:textId="77777777" w:rsidR="00036E1E" w:rsidRPr="00C7012F" w:rsidRDefault="00036E1E" w:rsidP="00D5430B">
      <w:pPr>
        <w:pStyle w:val="Default"/>
        <w:shd w:val="clear" w:color="auto" w:fill="FFFFFF" w:themeFill="background1"/>
        <w:jc w:val="both"/>
        <w:rPr>
          <w:rFonts w:eastAsia="Times New Roman"/>
          <w:sz w:val="22"/>
          <w:szCs w:val="22"/>
          <w:lang w:eastAsia="es-CO"/>
        </w:rPr>
      </w:pPr>
    </w:p>
    <w:p w14:paraId="6CA29534" w14:textId="34A521A2" w:rsidR="001C7E33" w:rsidRPr="00C7012F" w:rsidRDefault="00D5430B" w:rsidP="00391BD5">
      <w:pPr>
        <w:pStyle w:val="Default"/>
        <w:numPr>
          <w:ilvl w:val="0"/>
          <w:numId w:val="40"/>
        </w:numPr>
        <w:shd w:val="clear" w:color="auto" w:fill="FFFFFF" w:themeFill="background1"/>
        <w:spacing w:after="120"/>
        <w:ind w:left="357" w:hanging="357"/>
        <w:jc w:val="both"/>
        <w:rPr>
          <w:rFonts w:eastAsia="Times New Roman"/>
          <w:sz w:val="22"/>
          <w:szCs w:val="22"/>
          <w:lang w:eastAsia="es-CO"/>
        </w:rPr>
      </w:pPr>
      <w:r w:rsidRPr="00C7012F">
        <w:rPr>
          <w:rFonts w:eastAsia="Times New Roman"/>
          <w:sz w:val="22"/>
          <w:szCs w:val="22"/>
          <w:lang w:eastAsia="es-CO"/>
        </w:rPr>
        <w:t>P</w:t>
      </w:r>
      <w:r w:rsidR="007240AB" w:rsidRPr="00C7012F">
        <w:rPr>
          <w:rFonts w:eastAsia="Times New Roman"/>
          <w:sz w:val="22"/>
          <w:szCs w:val="22"/>
          <w:lang w:eastAsia="es-CO"/>
        </w:rPr>
        <w:t>ara la vigencia 2019 el mayor gasto por mantenimiento de vehículos se presentó durante el segundo trimestre</w:t>
      </w:r>
      <w:r w:rsidR="00BB35BB">
        <w:rPr>
          <w:rFonts w:eastAsia="Times New Roman"/>
          <w:sz w:val="22"/>
          <w:szCs w:val="22"/>
          <w:lang w:eastAsia="es-CO"/>
        </w:rPr>
        <w:t xml:space="preserve">, </w:t>
      </w:r>
      <w:r w:rsidR="007240AB" w:rsidRPr="00C7012F">
        <w:rPr>
          <w:rFonts w:eastAsia="Times New Roman"/>
          <w:sz w:val="22"/>
          <w:szCs w:val="22"/>
          <w:lang w:eastAsia="es-CO"/>
        </w:rPr>
        <w:t xml:space="preserve">debido a </w:t>
      </w:r>
      <w:r w:rsidR="00036E1E" w:rsidRPr="00C7012F">
        <w:rPr>
          <w:rFonts w:eastAsia="Times New Roman"/>
          <w:sz w:val="22"/>
          <w:szCs w:val="22"/>
          <w:lang w:eastAsia="es-CO"/>
        </w:rPr>
        <w:t xml:space="preserve">que </w:t>
      </w:r>
      <w:r w:rsidR="007240AB" w:rsidRPr="00C7012F">
        <w:rPr>
          <w:rFonts w:eastAsia="Times New Roman"/>
          <w:sz w:val="22"/>
          <w:szCs w:val="22"/>
          <w:lang w:eastAsia="es-CO"/>
        </w:rPr>
        <w:t>fue el periodo en el cual se suscribió el</w:t>
      </w:r>
      <w:r w:rsidR="00036E1E" w:rsidRPr="00C7012F">
        <w:rPr>
          <w:rFonts w:eastAsia="Times New Roman"/>
          <w:sz w:val="22"/>
          <w:szCs w:val="22"/>
          <w:lang w:eastAsia="es-CO"/>
        </w:rPr>
        <w:t xml:space="preserve"> </w:t>
      </w:r>
      <w:r w:rsidR="007240AB" w:rsidRPr="00C7012F">
        <w:rPr>
          <w:rFonts w:eastAsia="Times New Roman"/>
          <w:sz w:val="22"/>
          <w:szCs w:val="22"/>
          <w:lang w:eastAsia="es-CO"/>
        </w:rPr>
        <w:t>contrato</w:t>
      </w:r>
      <w:r w:rsidR="00036E1E" w:rsidRPr="00C7012F">
        <w:rPr>
          <w:rFonts w:eastAsia="Times New Roman"/>
          <w:sz w:val="22"/>
          <w:szCs w:val="22"/>
          <w:lang w:eastAsia="es-CO"/>
        </w:rPr>
        <w:t xml:space="preserve"> 3.187-2019 </w:t>
      </w:r>
      <w:r w:rsidRPr="00C7012F">
        <w:rPr>
          <w:rFonts w:eastAsia="Times New Roman"/>
          <w:sz w:val="22"/>
          <w:szCs w:val="22"/>
          <w:lang w:eastAsia="es-CO"/>
        </w:rPr>
        <w:t xml:space="preserve">entre este Ministerio y el contratista Casa Toro Automotriz S.A </w:t>
      </w:r>
      <w:r w:rsidR="00036E1E" w:rsidRPr="00C7012F">
        <w:rPr>
          <w:rFonts w:eastAsia="Times New Roman"/>
          <w:sz w:val="22"/>
          <w:szCs w:val="22"/>
          <w:lang w:eastAsia="es-CO"/>
        </w:rPr>
        <w:t>con fecha de inicio el 29 de marzo de 2020</w:t>
      </w:r>
      <w:r w:rsidRPr="00C7012F">
        <w:rPr>
          <w:rFonts w:eastAsia="Times New Roman"/>
          <w:sz w:val="22"/>
          <w:szCs w:val="22"/>
          <w:lang w:eastAsia="es-CO"/>
        </w:rPr>
        <w:t>, es así que, en el mes de abril de 2019 se inició el proceso de mantenimiento</w:t>
      </w:r>
      <w:r w:rsidR="00A67E72" w:rsidRPr="00C7012F">
        <w:rPr>
          <w:rFonts w:eastAsia="Times New Roman"/>
          <w:sz w:val="22"/>
          <w:szCs w:val="22"/>
          <w:lang w:eastAsia="es-CO"/>
        </w:rPr>
        <w:t>s</w:t>
      </w:r>
      <w:r w:rsidRPr="00C7012F">
        <w:rPr>
          <w:rFonts w:eastAsia="Times New Roman"/>
          <w:sz w:val="22"/>
          <w:szCs w:val="22"/>
          <w:lang w:eastAsia="es-CO"/>
        </w:rPr>
        <w:t xml:space="preserve"> preventivos y correctivo</w:t>
      </w:r>
      <w:r w:rsidR="00A67E72" w:rsidRPr="00C7012F">
        <w:rPr>
          <w:rFonts w:eastAsia="Times New Roman"/>
          <w:sz w:val="22"/>
          <w:szCs w:val="22"/>
          <w:lang w:eastAsia="es-CO"/>
        </w:rPr>
        <w:t>s</w:t>
      </w:r>
      <w:r w:rsidRPr="00C7012F">
        <w:rPr>
          <w:rFonts w:eastAsia="Times New Roman"/>
          <w:sz w:val="22"/>
          <w:szCs w:val="22"/>
          <w:lang w:eastAsia="es-CO"/>
        </w:rPr>
        <w:t xml:space="preserve"> a los vehículos según lo preceptuado en el contrato vigente. Por tal razón, para el tercer trimestre de 2019 el servicio de mantenimiento no fue requerido</w:t>
      </w:r>
      <w:r w:rsidR="00A67E72" w:rsidRPr="00C7012F">
        <w:rPr>
          <w:rFonts w:eastAsia="Times New Roman"/>
          <w:sz w:val="22"/>
          <w:szCs w:val="22"/>
          <w:lang w:eastAsia="es-CO"/>
        </w:rPr>
        <w:t xml:space="preserve"> por la totalidad de los vehículos, dado que, en el periodo anterior se habían realizado los respectivos mantenimientos</w:t>
      </w:r>
      <w:r w:rsidRPr="00C7012F">
        <w:rPr>
          <w:rFonts w:eastAsia="Times New Roman"/>
          <w:sz w:val="22"/>
          <w:szCs w:val="22"/>
          <w:lang w:eastAsia="es-CO"/>
        </w:rPr>
        <w:t xml:space="preserve">. </w:t>
      </w:r>
    </w:p>
    <w:p w14:paraId="30CDB98A" w14:textId="4F109F32" w:rsidR="00D5430B" w:rsidRPr="00C7012F" w:rsidRDefault="00470F0A" w:rsidP="00391BD5">
      <w:pPr>
        <w:pStyle w:val="Default"/>
        <w:shd w:val="clear" w:color="auto" w:fill="FFFFFF" w:themeFill="background1"/>
        <w:spacing w:after="120"/>
        <w:ind w:left="357"/>
        <w:jc w:val="both"/>
        <w:rPr>
          <w:rFonts w:eastAsia="Times New Roman"/>
          <w:sz w:val="22"/>
          <w:szCs w:val="22"/>
          <w:lang w:eastAsia="es-CO"/>
        </w:rPr>
      </w:pPr>
      <w:r w:rsidRPr="00C7012F">
        <w:rPr>
          <w:rFonts w:eastAsia="Times New Roman"/>
          <w:sz w:val="22"/>
          <w:szCs w:val="22"/>
          <w:lang w:eastAsia="es-CO"/>
        </w:rPr>
        <w:t xml:space="preserve">Adicionalmente, para la vigencia 2020 el parque automotor que presta los servicios de transporte a este Ministerio se incrementó en 2 vehículos entregados al Ministerio de Hacienda y Crédito Público </w:t>
      </w:r>
      <w:r w:rsidR="00B21800" w:rsidRPr="00C7012F">
        <w:rPr>
          <w:rFonts w:eastAsia="Times New Roman"/>
          <w:sz w:val="22"/>
          <w:szCs w:val="22"/>
          <w:lang w:eastAsia="es-CO"/>
        </w:rPr>
        <w:t xml:space="preserve">en figura de destinación provisional por parte de </w:t>
      </w:r>
      <w:r w:rsidRPr="00C7012F">
        <w:rPr>
          <w:rFonts w:eastAsia="Times New Roman"/>
          <w:sz w:val="22"/>
          <w:szCs w:val="22"/>
          <w:lang w:eastAsia="es-CO"/>
        </w:rPr>
        <w:t xml:space="preserve">la Sociedad de Activos Especiales (SAE). </w:t>
      </w:r>
    </w:p>
    <w:p w14:paraId="4A00FF85" w14:textId="1B348CFA" w:rsidR="00DA731F" w:rsidRPr="00C7012F" w:rsidRDefault="002B7877" w:rsidP="00391BD5">
      <w:pPr>
        <w:pStyle w:val="Default"/>
        <w:numPr>
          <w:ilvl w:val="0"/>
          <w:numId w:val="40"/>
        </w:numPr>
        <w:shd w:val="clear" w:color="auto" w:fill="FFFFFF" w:themeFill="background1"/>
        <w:spacing w:after="120"/>
        <w:jc w:val="both"/>
        <w:rPr>
          <w:rFonts w:eastAsia="Times New Roman"/>
          <w:sz w:val="22"/>
          <w:szCs w:val="22"/>
          <w:lang w:eastAsia="es-CO"/>
        </w:rPr>
      </w:pPr>
      <w:r w:rsidRPr="00C7012F">
        <w:rPr>
          <w:rFonts w:eastAsia="Times New Roman"/>
          <w:sz w:val="22"/>
          <w:szCs w:val="22"/>
          <w:lang w:eastAsia="es-CO"/>
        </w:rPr>
        <w:t xml:space="preserve">Referente </w:t>
      </w:r>
      <w:r w:rsidR="002F535E" w:rsidRPr="00C7012F">
        <w:rPr>
          <w:rFonts w:eastAsia="Times New Roman"/>
          <w:sz w:val="22"/>
          <w:szCs w:val="22"/>
          <w:lang w:eastAsia="es-CO"/>
        </w:rPr>
        <w:t xml:space="preserve">al impacto generado por la declaratoria de emergencia sanitaria derivada del COVID-19, en el tercer trimestre de 2020 fue necesario </w:t>
      </w:r>
      <w:r w:rsidRPr="00C7012F">
        <w:rPr>
          <w:rFonts w:eastAsia="Times New Roman"/>
          <w:sz w:val="22"/>
          <w:szCs w:val="22"/>
          <w:lang w:eastAsia="es-CO"/>
        </w:rPr>
        <w:t xml:space="preserve">solicitar el </w:t>
      </w:r>
      <w:r w:rsidR="002F535E" w:rsidRPr="00C7012F">
        <w:rPr>
          <w:rFonts w:eastAsia="Times New Roman"/>
          <w:sz w:val="22"/>
          <w:szCs w:val="22"/>
          <w:lang w:eastAsia="es-CO"/>
        </w:rPr>
        <w:t xml:space="preserve">mantenimiento </w:t>
      </w:r>
      <w:r w:rsidRPr="00C7012F">
        <w:rPr>
          <w:rFonts w:eastAsia="Times New Roman"/>
          <w:sz w:val="22"/>
          <w:szCs w:val="22"/>
          <w:lang w:eastAsia="es-CO"/>
        </w:rPr>
        <w:t xml:space="preserve">para </w:t>
      </w:r>
      <w:r w:rsidR="002F535E" w:rsidRPr="00C7012F">
        <w:rPr>
          <w:rFonts w:eastAsia="Times New Roman"/>
          <w:sz w:val="22"/>
          <w:szCs w:val="22"/>
          <w:lang w:eastAsia="es-CO"/>
        </w:rPr>
        <w:t>aquellos vehículos que por necesidad del servicio lo requirieron, así como, aquellos que por las restricciones de movilidad durante la etapa de aislamiento preventivo obligatorio fueron aplazados en el periodo inmediatamente anterior.</w:t>
      </w:r>
    </w:p>
    <w:p w14:paraId="0C304E0E" w14:textId="5D96BB0A" w:rsidR="002F535E" w:rsidRPr="00C7012F" w:rsidRDefault="00DA731F" w:rsidP="00DA731F">
      <w:pPr>
        <w:pStyle w:val="Default"/>
        <w:shd w:val="clear" w:color="auto" w:fill="FFFFFF" w:themeFill="background1"/>
        <w:spacing w:after="120"/>
        <w:ind w:left="360"/>
        <w:jc w:val="both"/>
        <w:rPr>
          <w:rFonts w:eastAsia="Times New Roman"/>
          <w:sz w:val="22"/>
          <w:szCs w:val="22"/>
          <w:lang w:eastAsia="es-CO"/>
        </w:rPr>
      </w:pPr>
      <w:r w:rsidRPr="00C7012F">
        <w:rPr>
          <w:rFonts w:eastAsia="Times New Roman"/>
          <w:sz w:val="22"/>
          <w:szCs w:val="22"/>
          <w:lang w:eastAsia="es-CO"/>
        </w:rPr>
        <w:t>De igual forma, el mantenimiento básico se incrementó teniendo en cuenta que se ha reforzado el lavado y la desinfección a los vehículos que se encuentran en funcionamiento</w:t>
      </w:r>
      <w:r w:rsidR="002B7877" w:rsidRPr="00C7012F">
        <w:rPr>
          <w:rFonts w:eastAsia="Times New Roman"/>
          <w:sz w:val="22"/>
          <w:szCs w:val="22"/>
          <w:lang w:eastAsia="es-CO"/>
        </w:rPr>
        <w:t xml:space="preserve"> con el </w:t>
      </w:r>
      <w:r w:rsidR="00E41235" w:rsidRPr="00C7012F">
        <w:rPr>
          <w:rFonts w:eastAsia="Times New Roman"/>
          <w:sz w:val="22"/>
          <w:szCs w:val="22"/>
          <w:lang w:eastAsia="es-CO"/>
        </w:rPr>
        <w:t>fin de</w:t>
      </w:r>
      <w:r w:rsidR="002B7877" w:rsidRPr="00C7012F">
        <w:rPr>
          <w:rFonts w:eastAsia="Times New Roman"/>
          <w:sz w:val="22"/>
          <w:szCs w:val="22"/>
          <w:lang w:eastAsia="es-CO"/>
        </w:rPr>
        <w:t xml:space="preserve"> dar </w:t>
      </w:r>
      <w:r w:rsidRPr="00C7012F">
        <w:rPr>
          <w:rFonts w:eastAsia="Times New Roman"/>
          <w:sz w:val="22"/>
          <w:szCs w:val="22"/>
          <w:lang w:eastAsia="es-CO"/>
        </w:rPr>
        <w:t xml:space="preserve">cumplimiento </w:t>
      </w:r>
      <w:r w:rsidR="002B7877" w:rsidRPr="00C7012F">
        <w:rPr>
          <w:rFonts w:eastAsia="Times New Roman"/>
          <w:sz w:val="22"/>
          <w:szCs w:val="22"/>
          <w:lang w:eastAsia="es-CO"/>
        </w:rPr>
        <w:t xml:space="preserve">a </w:t>
      </w:r>
      <w:r w:rsidRPr="00C7012F">
        <w:rPr>
          <w:rFonts w:eastAsia="Times New Roman"/>
          <w:sz w:val="22"/>
          <w:szCs w:val="22"/>
          <w:lang w:eastAsia="es-CO"/>
        </w:rPr>
        <w:t xml:space="preserve">las medidas de bioseguridad que se deben aplicar. </w:t>
      </w:r>
      <w:r w:rsidR="002F535E" w:rsidRPr="00C7012F">
        <w:rPr>
          <w:rFonts w:eastAsia="Times New Roman"/>
          <w:sz w:val="22"/>
          <w:szCs w:val="22"/>
          <w:lang w:eastAsia="es-CO"/>
        </w:rPr>
        <w:t xml:space="preserve"> </w:t>
      </w:r>
    </w:p>
    <w:p w14:paraId="6ED6663B" w14:textId="77777777" w:rsidR="004A504D" w:rsidRPr="00C7012F" w:rsidRDefault="00E41235" w:rsidP="00E41235">
      <w:pPr>
        <w:jc w:val="both"/>
        <w:rPr>
          <w:rFonts w:ascii="Arial" w:hAnsi="Arial" w:cs="Arial"/>
          <w:sz w:val="22"/>
          <w:szCs w:val="22"/>
        </w:rPr>
      </w:pPr>
      <w:r w:rsidRPr="00C7012F">
        <w:rPr>
          <w:rFonts w:ascii="Arial" w:hAnsi="Arial" w:cs="Arial"/>
          <w:color w:val="000000"/>
          <w:sz w:val="22"/>
          <w:szCs w:val="22"/>
        </w:rPr>
        <w:t xml:space="preserve">Finalmente se concluye que, las medidas adoptadas por este Ministerio en cumplimiento de las directrices impartidas por el Gobierno Nacional con ocasión a la Emergencia Económica, Social y Ecológica [COVID-19], contribuyeron para que los gastos por concepto de mantenimiento de vehículos durante el tercer trimestre de 2020 presentaran un </w:t>
      </w:r>
      <w:r w:rsidR="007933AE" w:rsidRPr="00C7012F">
        <w:rPr>
          <w:rFonts w:ascii="Arial" w:hAnsi="Arial" w:cs="Arial"/>
          <w:color w:val="000000"/>
          <w:sz w:val="22"/>
          <w:szCs w:val="22"/>
        </w:rPr>
        <w:t xml:space="preserve">aumento, </w:t>
      </w:r>
      <w:r w:rsidRPr="00C7012F">
        <w:rPr>
          <w:rFonts w:ascii="Arial" w:hAnsi="Arial" w:cs="Arial"/>
          <w:color w:val="000000"/>
          <w:sz w:val="22"/>
          <w:szCs w:val="22"/>
        </w:rPr>
        <w:t>teniendo en cuenta que, durante dicho periodo se intensificó el mantenimiento básico según las medidas de bioseguridad</w:t>
      </w:r>
      <w:r w:rsidR="007933AE" w:rsidRPr="00C7012F">
        <w:rPr>
          <w:rFonts w:ascii="Arial" w:hAnsi="Arial" w:cs="Arial"/>
          <w:color w:val="000000"/>
          <w:sz w:val="22"/>
          <w:szCs w:val="22"/>
        </w:rPr>
        <w:t xml:space="preserve"> </w:t>
      </w:r>
      <w:r w:rsidR="00391BD5" w:rsidRPr="00C7012F">
        <w:rPr>
          <w:rFonts w:ascii="Arial" w:hAnsi="Arial" w:cs="Arial"/>
          <w:color w:val="000000"/>
          <w:sz w:val="22"/>
          <w:szCs w:val="22"/>
        </w:rPr>
        <w:t>exigidas</w:t>
      </w:r>
      <w:r w:rsidR="007933AE" w:rsidRPr="00C7012F">
        <w:rPr>
          <w:rFonts w:ascii="Arial" w:hAnsi="Arial" w:cs="Arial"/>
          <w:color w:val="000000"/>
          <w:sz w:val="22"/>
          <w:szCs w:val="22"/>
        </w:rPr>
        <w:t>,</w:t>
      </w:r>
      <w:r w:rsidRPr="00C7012F">
        <w:rPr>
          <w:rFonts w:ascii="Arial" w:hAnsi="Arial" w:cs="Arial"/>
          <w:color w:val="000000"/>
          <w:sz w:val="22"/>
          <w:szCs w:val="22"/>
        </w:rPr>
        <w:t xml:space="preserve"> así mismo, fue </w:t>
      </w:r>
      <w:r w:rsidRPr="00C7012F">
        <w:rPr>
          <w:rFonts w:ascii="Arial" w:hAnsi="Arial" w:cs="Arial"/>
          <w:sz w:val="22"/>
          <w:szCs w:val="22"/>
        </w:rPr>
        <w:t xml:space="preserve">necesario solicitar el mantenimiento para aquellos </w:t>
      </w:r>
      <w:r w:rsidR="00EB4411" w:rsidRPr="00C7012F">
        <w:rPr>
          <w:rFonts w:ascii="Arial" w:hAnsi="Arial" w:cs="Arial"/>
          <w:sz w:val="22"/>
          <w:szCs w:val="22"/>
        </w:rPr>
        <w:t xml:space="preserve">vehículos que </w:t>
      </w:r>
      <w:r w:rsidRPr="00C7012F">
        <w:rPr>
          <w:rFonts w:ascii="Arial" w:hAnsi="Arial" w:cs="Arial"/>
          <w:sz w:val="22"/>
          <w:szCs w:val="22"/>
        </w:rPr>
        <w:t xml:space="preserve">por las restricciones de movilidad durante la etapa de aislamiento preventivo obligatorio fueron aplazados. </w:t>
      </w:r>
    </w:p>
    <w:p w14:paraId="1926D573" w14:textId="77777777" w:rsidR="004A504D" w:rsidRPr="00C7012F" w:rsidRDefault="004A504D" w:rsidP="00E41235">
      <w:pPr>
        <w:jc w:val="both"/>
        <w:rPr>
          <w:rFonts w:ascii="Arial" w:hAnsi="Arial" w:cs="Arial"/>
          <w:sz w:val="22"/>
          <w:szCs w:val="22"/>
        </w:rPr>
      </w:pPr>
    </w:p>
    <w:p w14:paraId="08FF4EAB" w14:textId="02A89A20" w:rsidR="00E41235" w:rsidRPr="00C7012F" w:rsidRDefault="00EB4411" w:rsidP="00E41235">
      <w:pPr>
        <w:jc w:val="both"/>
        <w:rPr>
          <w:rFonts w:ascii="Arial" w:hAnsi="Arial" w:cs="Arial"/>
          <w:sz w:val="22"/>
          <w:szCs w:val="22"/>
          <w:highlight w:val="yellow"/>
        </w:rPr>
      </w:pPr>
      <w:r w:rsidRPr="00C7012F">
        <w:rPr>
          <w:rFonts w:ascii="Arial" w:hAnsi="Arial" w:cs="Arial"/>
          <w:sz w:val="22"/>
          <w:szCs w:val="22"/>
        </w:rPr>
        <w:t>No obstante,</w:t>
      </w:r>
      <w:r w:rsidR="00E41235" w:rsidRPr="00C7012F">
        <w:rPr>
          <w:rFonts w:ascii="Arial" w:hAnsi="Arial" w:cs="Arial"/>
          <w:sz w:val="22"/>
          <w:szCs w:val="22"/>
        </w:rPr>
        <w:t xml:space="preserve"> se identificaron otros factores que influyeron en las variaciones positivas</w:t>
      </w:r>
      <w:r w:rsidR="008B70DA" w:rsidRPr="00C7012F">
        <w:rPr>
          <w:rFonts w:ascii="Arial" w:hAnsi="Arial" w:cs="Arial"/>
          <w:sz w:val="22"/>
          <w:szCs w:val="22"/>
        </w:rPr>
        <w:t>, relacionadas con la contratación del servicio de mantenimiento de la vigencia 2019 [contrato 3.187-2019] y el incremento del número de vehículos</w:t>
      </w:r>
      <w:r w:rsidR="000740D9" w:rsidRPr="00C7012F">
        <w:rPr>
          <w:rFonts w:ascii="Arial" w:hAnsi="Arial" w:cs="Arial"/>
          <w:sz w:val="22"/>
          <w:szCs w:val="22"/>
        </w:rPr>
        <w:t xml:space="preserve"> en la vigencia 2020.</w:t>
      </w:r>
    </w:p>
    <w:p w14:paraId="3FF73028" w14:textId="77777777" w:rsidR="00E41235" w:rsidRDefault="00E41235" w:rsidP="006E2879">
      <w:pPr>
        <w:rPr>
          <w:rFonts w:ascii="Arial" w:hAnsi="Arial" w:cs="Arial"/>
          <w:sz w:val="22"/>
          <w:szCs w:val="22"/>
          <w:highlight w:val="yellow"/>
        </w:rPr>
      </w:pPr>
    </w:p>
    <w:p w14:paraId="3944603C" w14:textId="77777777" w:rsidR="009F209D" w:rsidRPr="00CA48AF" w:rsidRDefault="009F209D" w:rsidP="006E2879">
      <w:pPr>
        <w:rPr>
          <w:rFonts w:ascii="Arial" w:hAnsi="Arial" w:cs="Arial"/>
          <w:sz w:val="22"/>
          <w:szCs w:val="22"/>
          <w:highlight w:val="yellow"/>
        </w:rPr>
      </w:pPr>
    </w:p>
    <w:p w14:paraId="4B554CD5" w14:textId="3D8F612F" w:rsidR="00BB72E3" w:rsidRPr="008B746E" w:rsidRDefault="00E234F0" w:rsidP="00D63504">
      <w:pPr>
        <w:rPr>
          <w:rFonts w:ascii="Arial" w:hAnsi="Arial" w:cs="Arial"/>
          <w:b/>
          <w:sz w:val="22"/>
          <w:szCs w:val="22"/>
        </w:rPr>
      </w:pPr>
      <w:r w:rsidRPr="008B746E">
        <w:rPr>
          <w:rFonts w:ascii="Arial" w:hAnsi="Arial" w:cs="Arial"/>
          <w:b/>
          <w:sz w:val="22"/>
          <w:szCs w:val="22"/>
        </w:rPr>
        <w:lastRenderedPageBreak/>
        <w:t xml:space="preserve">5.2 </w:t>
      </w:r>
      <w:r w:rsidR="00BB72E3" w:rsidRPr="008B746E">
        <w:rPr>
          <w:rFonts w:ascii="Arial" w:hAnsi="Arial" w:cs="Arial"/>
          <w:b/>
          <w:sz w:val="22"/>
          <w:szCs w:val="22"/>
        </w:rPr>
        <w:t>COMBUSTIBLES</w:t>
      </w:r>
      <w:r w:rsidR="00E27005" w:rsidRPr="008B746E">
        <w:rPr>
          <w:rStyle w:val="Refdenotaalpie"/>
          <w:rFonts w:ascii="Arial" w:hAnsi="Arial" w:cs="Arial"/>
          <w:b/>
          <w:sz w:val="22"/>
          <w:szCs w:val="22"/>
        </w:rPr>
        <w:footnoteReference w:id="7"/>
      </w:r>
    </w:p>
    <w:p w14:paraId="6825D3E9" w14:textId="22902353" w:rsidR="00EA6FE5" w:rsidRPr="008B746E" w:rsidRDefault="00EA6FE5" w:rsidP="00C51AE9">
      <w:pPr>
        <w:spacing w:line="168" w:lineRule="auto"/>
        <w:jc w:val="both"/>
        <w:rPr>
          <w:rFonts w:ascii="Arial" w:hAnsi="Arial" w:cs="Arial"/>
          <w:b/>
          <w:sz w:val="22"/>
          <w:szCs w:val="22"/>
        </w:rPr>
      </w:pPr>
    </w:p>
    <w:p w14:paraId="3AD10307" w14:textId="0D939B00" w:rsidR="00F33E12" w:rsidRPr="008B746E" w:rsidRDefault="00E462C5" w:rsidP="00C51AE9">
      <w:pPr>
        <w:jc w:val="both"/>
        <w:rPr>
          <w:rFonts w:ascii="Arial" w:hAnsi="Arial" w:cs="Arial"/>
          <w:color w:val="000000" w:themeColor="text1"/>
          <w:sz w:val="22"/>
          <w:szCs w:val="22"/>
        </w:rPr>
      </w:pPr>
      <w:r w:rsidRPr="008B746E">
        <w:rPr>
          <w:rFonts w:ascii="Arial" w:hAnsi="Arial" w:cs="Arial"/>
          <w:bCs/>
          <w:color w:val="000000" w:themeColor="text1"/>
          <w:sz w:val="22"/>
          <w:szCs w:val="22"/>
        </w:rPr>
        <w:t xml:space="preserve">Referente al gasto de combustible para los vehículos que </w:t>
      </w:r>
      <w:r w:rsidR="002D6B4A" w:rsidRPr="008B746E">
        <w:rPr>
          <w:rFonts w:ascii="Arial" w:hAnsi="Arial" w:cs="Arial"/>
          <w:bCs/>
          <w:color w:val="000000" w:themeColor="text1"/>
          <w:sz w:val="22"/>
          <w:szCs w:val="22"/>
        </w:rPr>
        <w:t xml:space="preserve">conforma el </w:t>
      </w:r>
      <w:r w:rsidRPr="008B746E">
        <w:rPr>
          <w:rFonts w:ascii="Arial" w:hAnsi="Arial" w:cs="Arial"/>
          <w:bCs/>
          <w:color w:val="000000" w:themeColor="text1"/>
          <w:sz w:val="22"/>
          <w:szCs w:val="22"/>
        </w:rPr>
        <w:t>parque automotor</w:t>
      </w:r>
      <w:r w:rsidR="00CE1BD9">
        <w:rPr>
          <w:rFonts w:ascii="Arial" w:hAnsi="Arial" w:cs="Arial"/>
          <w:bCs/>
          <w:color w:val="000000" w:themeColor="text1"/>
          <w:sz w:val="22"/>
          <w:szCs w:val="22"/>
        </w:rPr>
        <w:t xml:space="preserve">, el Ministerio de Hacienda y Crédito Público </w:t>
      </w:r>
      <w:r w:rsidR="003F0784" w:rsidRPr="008B746E">
        <w:rPr>
          <w:rFonts w:ascii="Arial" w:hAnsi="Arial" w:cs="Arial"/>
          <w:bCs/>
          <w:color w:val="000000" w:themeColor="text1"/>
          <w:sz w:val="22"/>
          <w:szCs w:val="22"/>
        </w:rPr>
        <w:t>a 3</w:t>
      </w:r>
      <w:r w:rsidR="001C0B02" w:rsidRPr="008B746E">
        <w:rPr>
          <w:rFonts w:ascii="Arial" w:hAnsi="Arial" w:cs="Arial"/>
          <w:bCs/>
          <w:color w:val="000000" w:themeColor="text1"/>
          <w:sz w:val="22"/>
          <w:szCs w:val="22"/>
        </w:rPr>
        <w:t>0</w:t>
      </w:r>
      <w:r w:rsidR="003F0784" w:rsidRPr="008B746E">
        <w:rPr>
          <w:rFonts w:ascii="Arial" w:hAnsi="Arial" w:cs="Arial"/>
          <w:bCs/>
          <w:color w:val="000000" w:themeColor="text1"/>
          <w:sz w:val="22"/>
          <w:szCs w:val="22"/>
        </w:rPr>
        <w:t xml:space="preserve"> de </w:t>
      </w:r>
      <w:r w:rsidR="003318D5" w:rsidRPr="008B746E">
        <w:rPr>
          <w:rFonts w:ascii="Arial" w:hAnsi="Arial" w:cs="Arial"/>
          <w:bCs/>
          <w:color w:val="000000" w:themeColor="text1"/>
          <w:sz w:val="22"/>
          <w:szCs w:val="22"/>
        </w:rPr>
        <w:t xml:space="preserve">septiembre </w:t>
      </w:r>
      <w:r w:rsidR="003F0784" w:rsidRPr="008B746E">
        <w:rPr>
          <w:rFonts w:ascii="Arial" w:hAnsi="Arial" w:cs="Arial"/>
          <w:bCs/>
          <w:color w:val="000000" w:themeColor="text1"/>
          <w:sz w:val="22"/>
          <w:szCs w:val="22"/>
        </w:rPr>
        <w:t xml:space="preserve">de 2020 </w:t>
      </w:r>
      <w:r w:rsidRPr="008B746E">
        <w:rPr>
          <w:rFonts w:ascii="Arial" w:hAnsi="Arial" w:cs="Arial"/>
          <w:bCs/>
          <w:color w:val="000000" w:themeColor="text1"/>
          <w:sz w:val="22"/>
          <w:szCs w:val="22"/>
        </w:rPr>
        <w:t>tiene suscrito</w:t>
      </w:r>
      <w:r w:rsidR="003F0784" w:rsidRPr="008B746E">
        <w:rPr>
          <w:rFonts w:ascii="Arial" w:hAnsi="Arial" w:cs="Arial"/>
          <w:bCs/>
          <w:color w:val="000000" w:themeColor="text1"/>
          <w:sz w:val="22"/>
          <w:szCs w:val="22"/>
        </w:rPr>
        <w:t xml:space="preserve"> </w:t>
      </w:r>
      <w:r w:rsidR="00F33E12" w:rsidRPr="008B746E">
        <w:rPr>
          <w:rFonts w:ascii="Arial" w:hAnsi="Arial" w:cs="Arial"/>
          <w:bCs/>
          <w:color w:val="000000" w:themeColor="text1"/>
          <w:sz w:val="22"/>
          <w:szCs w:val="22"/>
        </w:rPr>
        <w:t xml:space="preserve">el contrato </w:t>
      </w:r>
      <w:r w:rsidR="00EA6FE5" w:rsidRPr="008B746E">
        <w:rPr>
          <w:rFonts w:ascii="Arial" w:hAnsi="Arial" w:cs="Arial"/>
          <w:color w:val="000000" w:themeColor="text1"/>
          <w:sz w:val="22"/>
          <w:szCs w:val="22"/>
        </w:rPr>
        <w:t xml:space="preserve">No. </w:t>
      </w:r>
      <w:r w:rsidR="00E86826" w:rsidRPr="008B746E">
        <w:rPr>
          <w:rFonts w:ascii="Arial" w:hAnsi="Arial" w:cs="Arial"/>
          <w:color w:val="000000" w:themeColor="text1"/>
          <w:sz w:val="22"/>
          <w:szCs w:val="22"/>
        </w:rPr>
        <w:t xml:space="preserve">11.005-2019 </w:t>
      </w:r>
      <w:r w:rsidRPr="008B746E">
        <w:rPr>
          <w:rFonts w:ascii="Arial" w:hAnsi="Arial" w:cs="Arial"/>
          <w:color w:val="000000" w:themeColor="text1"/>
          <w:sz w:val="22"/>
          <w:szCs w:val="22"/>
        </w:rPr>
        <w:t xml:space="preserve">con la </w:t>
      </w:r>
      <w:r w:rsidR="00EA6FE5" w:rsidRPr="008B746E">
        <w:rPr>
          <w:rFonts w:ascii="Arial" w:hAnsi="Arial" w:cs="Arial"/>
          <w:color w:val="000000" w:themeColor="text1"/>
          <w:sz w:val="22"/>
          <w:szCs w:val="22"/>
        </w:rPr>
        <w:t>Organización Terpel S.A</w:t>
      </w:r>
      <w:r w:rsidR="00CE1BD9">
        <w:rPr>
          <w:rFonts w:ascii="Arial" w:hAnsi="Arial" w:cs="Arial"/>
          <w:color w:val="000000" w:themeColor="text1"/>
          <w:sz w:val="22"/>
          <w:szCs w:val="22"/>
        </w:rPr>
        <w:t xml:space="preserve"> </w:t>
      </w:r>
      <w:r w:rsidR="002D6B4A" w:rsidRPr="008B746E">
        <w:rPr>
          <w:rFonts w:ascii="Arial" w:hAnsi="Arial" w:cs="Arial"/>
          <w:i/>
          <w:iCs/>
          <w:color w:val="000000" w:themeColor="text1"/>
          <w:sz w:val="22"/>
          <w:szCs w:val="22"/>
        </w:rPr>
        <w:t>suministro</w:t>
      </w:r>
      <w:r w:rsidR="00EA6FE5" w:rsidRPr="008B746E">
        <w:rPr>
          <w:rFonts w:ascii="Arial" w:hAnsi="Arial" w:cs="Arial"/>
          <w:i/>
          <w:iCs/>
          <w:color w:val="000000" w:themeColor="text1"/>
          <w:sz w:val="22"/>
          <w:szCs w:val="22"/>
        </w:rPr>
        <w:t xml:space="preserve"> de </w:t>
      </w:r>
      <w:proofErr w:type="spellStart"/>
      <w:r w:rsidR="002D6B4A" w:rsidRPr="008B746E">
        <w:rPr>
          <w:rFonts w:ascii="Arial" w:hAnsi="Arial" w:cs="Arial"/>
          <w:i/>
          <w:iCs/>
          <w:color w:val="000000" w:themeColor="text1"/>
          <w:sz w:val="22"/>
          <w:szCs w:val="22"/>
        </w:rPr>
        <w:t>bio</w:t>
      </w:r>
      <w:r w:rsidR="00E86826" w:rsidRPr="008B746E">
        <w:rPr>
          <w:rFonts w:ascii="Arial" w:hAnsi="Arial" w:cs="Arial"/>
          <w:i/>
          <w:iCs/>
          <w:color w:val="000000" w:themeColor="text1"/>
          <w:sz w:val="22"/>
          <w:szCs w:val="22"/>
        </w:rPr>
        <w:t>gasolina</w:t>
      </w:r>
      <w:proofErr w:type="spellEnd"/>
      <w:r w:rsidR="00E86826" w:rsidRPr="008B746E">
        <w:rPr>
          <w:rFonts w:ascii="Arial" w:hAnsi="Arial" w:cs="Arial"/>
          <w:i/>
          <w:iCs/>
          <w:color w:val="000000" w:themeColor="text1"/>
          <w:sz w:val="22"/>
          <w:szCs w:val="22"/>
        </w:rPr>
        <w:t xml:space="preserve"> motor corriente, extra y diésel para los automotores del Ministerio de Hacienda y Crédito Público</w:t>
      </w:r>
      <w:r w:rsidR="00196219" w:rsidRPr="008B746E">
        <w:rPr>
          <w:rFonts w:ascii="Arial" w:hAnsi="Arial" w:cs="Arial"/>
          <w:i/>
          <w:iCs/>
          <w:color w:val="000000" w:themeColor="text1"/>
          <w:sz w:val="22"/>
          <w:szCs w:val="22"/>
        </w:rPr>
        <w:t>.</w:t>
      </w:r>
    </w:p>
    <w:p w14:paraId="36377176" w14:textId="0D3A1ACB" w:rsidR="00F33E12" w:rsidRPr="008B746E" w:rsidRDefault="00F33E12" w:rsidP="00C51AE9">
      <w:pPr>
        <w:jc w:val="both"/>
        <w:rPr>
          <w:rFonts w:ascii="Arial" w:hAnsi="Arial" w:cs="Arial"/>
          <w:color w:val="000000" w:themeColor="text1"/>
          <w:sz w:val="22"/>
          <w:szCs w:val="22"/>
        </w:rPr>
      </w:pPr>
    </w:p>
    <w:p w14:paraId="3C3A79A4" w14:textId="01ABA12B" w:rsidR="003318D5" w:rsidRPr="008B746E" w:rsidRDefault="00F33E12" w:rsidP="00C51AE9">
      <w:pPr>
        <w:jc w:val="both"/>
        <w:rPr>
          <w:rFonts w:ascii="Arial" w:hAnsi="Arial" w:cs="Arial"/>
          <w:color w:val="000000" w:themeColor="text1"/>
          <w:sz w:val="22"/>
          <w:szCs w:val="22"/>
        </w:rPr>
      </w:pPr>
      <w:r w:rsidRPr="008B746E">
        <w:rPr>
          <w:rFonts w:ascii="Arial" w:hAnsi="Arial" w:cs="Arial"/>
          <w:color w:val="000000" w:themeColor="text1"/>
          <w:sz w:val="22"/>
          <w:szCs w:val="22"/>
        </w:rPr>
        <w:t>En este punto, es importante mencionar que en la vigencia 2019, este Ministerio suscribió el contrato No. 11.00</w:t>
      </w:r>
      <w:r w:rsidR="004A504D">
        <w:rPr>
          <w:rFonts w:ascii="Arial" w:hAnsi="Arial" w:cs="Arial"/>
          <w:color w:val="000000" w:themeColor="text1"/>
          <w:sz w:val="22"/>
          <w:szCs w:val="22"/>
        </w:rPr>
        <w:t>4</w:t>
      </w:r>
      <w:r w:rsidRPr="008B746E">
        <w:rPr>
          <w:rFonts w:ascii="Arial" w:hAnsi="Arial" w:cs="Arial"/>
          <w:color w:val="000000" w:themeColor="text1"/>
          <w:sz w:val="22"/>
          <w:szCs w:val="22"/>
        </w:rPr>
        <w:t>-2019 por valor de $ 10.000.000 el cual t</w:t>
      </w:r>
      <w:r w:rsidR="006D5E86" w:rsidRPr="008B746E">
        <w:rPr>
          <w:rFonts w:ascii="Arial" w:hAnsi="Arial" w:cs="Arial"/>
          <w:color w:val="000000" w:themeColor="text1"/>
          <w:sz w:val="22"/>
          <w:szCs w:val="22"/>
        </w:rPr>
        <w:t>enía</w:t>
      </w:r>
      <w:r w:rsidRPr="008B746E">
        <w:rPr>
          <w:rFonts w:ascii="Arial" w:hAnsi="Arial" w:cs="Arial"/>
          <w:color w:val="000000" w:themeColor="text1"/>
          <w:sz w:val="22"/>
          <w:szCs w:val="22"/>
        </w:rPr>
        <w:t xml:space="preserve"> como objeto </w:t>
      </w:r>
      <w:r w:rsidRPr="008B746E">
        <w:rPr>
          <w:rFonts w:ascii="Arial" w:hAnsi="Arial" w:cs="Arial"/>
          <w:i/>
          <w:iCs/>
          <w:color w:val="000000" w:themeColor="text1"/>
          <w:sz w:val="22"/>
          <w:szCs w:val="22"/>
        </w:rPr>
        <w:t xml:space="preserve">Suministrar </w:t>
      </w:r>
      <w:proofErr w:type="spellStart"/>
      <w:r w:rsidRPr="008B746E">
        <w:rPr>
          <w:rFonts w:ascii="Arial" w:hAnsi="Arial" w:cs="Arial"/>
          <w:i/>
          <w:iCs/>
          <w:color w:val="000000" w:themeColor="text1"/>
          <w:sz w:val="22"/>
          <w:szCs w:val="22"/>
        </w:rPr>
        <w:t>biogasolina</w:t>
      </w:r>
      <w:proofErr w:type="spellEnd"/>
      <w:r w:rsidRPr="008B746E">
        <w:rPr>
          <w:rFonts w:ascii="Arial" w:hAnsi="Arial" w:cs="Arial"/>
          <w:i/>
          <w:iCs/>
          <w:color w:val="000000" w:themeColor="text1"/>
          <w:sz w:val="22"/>
          <w:szCs w:val="22"/>
        </w:rPr>
        <w:t xml:space="preserve"> motor corriente, extra y diésel para los automotores al servicio del Ministerio de Hacienda y Crédito Público. Adquisición de medios de pago alternativo o bonos para suministro de combustible de conformidad con el acuerdo marco de precios (categoría D)</w:t>
      </w:r>
      <w:r w:rsidR="005356E5" w:rsidRPr="008B746E">
        <w:rPr>
          <w:rFonts w:ascii="Arial" w:hAnsi="Arial" w:cs="Arial"/>
          <w:i/>
          <w:iCs/>
          <w:color w:val="000000" w:themeColor="text1"/>
          <w:sz w:val="22"/>
          <w:szCs w:val="22"/>
        </w:rPr>
        <w:t>.</w:t>
      </w:r>
      <w:r w:rsidR="00E80572" w:rsidRPr="008B746E">
        <w:rPr>
          <w:rFonts w:ascii="Arial" w:hAnsi="Arial" w:cs="Arial"/>
          <w:color w:val="000000" w:themeColor="text1"/>
          <w:sz w:val="22"/>
          <w:szCs w:val="22"/>
        </w:rPr>
        <w:t xml:space="preserve"> </w:t>
      </w:r>
      <w:r w:rsidR="00661898" w:rsidRPr="008B746E">
        <w:rPr>
          <w:rFonts w:ascii="Arial" w:hAnsi="Arial" w:cs="Arial"/>
          <w:color w:val="000000" w:themeColor="text1"/>
          <w:sz w:val="22"/>
          <w:szCs w:val="22"/>
        </w:rPr>
        <w:t xml:space="preserve">Si bien, </w:t>
      </w:r>
      <w:r w:rsidR="00D64027" w:rsidRPr="008B746E">
        <w:rPr>
          <w:rFonts w:ascii="Arial" w:hAnsi="Arial" w:cs="Arial"/>
          <w:color w:val="000000" w:themeColor="text1"/>
          <w:sz w:val="22"/>
          <w:szCs w:val="22"/>
        </w:rPr>
        <w:t xml:space="preserve">el citado </w:t>
      </w:r>
      <w:r w:rsidR="00661898" w:rsidRPr="008B746E">
        <w:rPr>
          <w:rFonts w:ascii="Arial" w:hAnsi="Arial" w:cs="Arial"/>
          <w:color w:val="000000" w:themeColor="text1"/>
          <w:sz w:val="22"/>
          <w:szCs w:val="22"/>
        </w:rPr>
        <w:t>contrato venció el 31 de diciembre de 20</w:t>
      </w:r>
      <w:r w:rsidR="0097411D" w:rsidRPr="008B746E">
        <w:rPr>
          <w:rFonts w:ascii="Arial" w:hAnsi="Arial" w:cs="Arial"/>
          <w:color w:val="000000" w:themeColor="text1"/>
          <w:sz w:val="22"/>
          <w:szCs w:val="22"/>
        </w:rPr>
        <w:t>19</w:t>
      </w:r>
      <w:r w:rsidR="00661898" w:rsidRPr="008B746E">
        <w:rPr>
          <w:rFonts w:ascii="Arial" w:hAnsi="Arial" w:cs="Arial"/>
          <w:color w:val="000000" w:themeColor="text1"/>
          <w:sz w:val="22"/>
          <w:szCs w:val="22"/>
        </w:rPr>
        <w:t xml:space="preserve">, </w:t>
      </w:r>
      <w:r w:rsidR="0097411D" w:rsidRPr="008B746E">
        <w:rPr>
          <w:rFonts w:ascii="Arial" w:hAnsi="Arial" w:cs="Arial"/>
          <w:color w:val="000000" w:themeColor="text1"/>
          <w:sz w:val="22"/>
          <w:szCs w:val="22"/>
        </w:rPr>
        <w:t xml:space="preserve">la </w:t>
      </w:r>
      <w:r w:rsidR="00661898" w:rsidRPr="008B746E">
        <w:rPr>
          <w:rFonts w:ascii="Arial" w:hAnsi="Arial" w:cs="Arial"/>
          <w:color w:val="000000" w:themeColor="text1"/>
          <w:sz w:val="22"/>
          <w:szCs w:val="22"/>
        </w:rPr>
        <w:t xml:space="preserve">ejecución </w:t>
      </w:r>
      <w:r w:rsidR="0097411D" w:rsidRPr="008B746E">
        <w:rPr>
          <w:rFonts w:ascii="Arial" w:hAnsi="Arial" w:cs="Arial"/>
          <w:color w:val="000000" w:themeColor="text1"/>
          <w:sz w:val="22"/>
          <w:szCs w:val="22"/>
        </w:rPr>
        <w:t>está vigente, es decir que los bonos [SODEXO] adquiridos serán</w:t>
      </w:r>
      <w:r w:rsidR="00A76E63" w:rsidRPr="008B746E">
        <w:rPr>
          <w:rFonts w:ascii="Arial" w:hAnsi="Arial" w:cs="Arial"/>
          <w:color w:val="000000" w:themeColor="text1"/>
          <w:sz w:val="22"/>
          <w:szCs w:val="22"/>
        </w:rPr>
        <w:t xml:space="preserve"> utilizados gradualmente </w:t>
      </w:r>
      <w:r w:rsidR="00C6042A" w:rsidRPr="008B746E">
        <w:rPr>
          <w:rFonts w:ascii="Arial" w:hAnsi="Arial" w:cs="Arial"/>
          <w:color w:val="000000" w:themeColor="text1"/>
          <w:sz w:val="22"/>
          <w:szCs w:val="22"/>
        </w:rPr>
        <w:t xml:space="preserve">durante la vigencia 2020 </w:t>
      </w:r>
      <w:r w:rsidR="00A76E63" w:rsidRPr="008B746E">
        <w:rPr>
          <w:rFonts w:ascii="Arial" w:hAnsi="Arial" w:cs="Arial"/>
          <w:color w:val="000000" w:themeColor="text1"/>
          <w:sz w:val="22"/>
          <w:szCs w:val="22"/>
        </w:rPr>
        <w:t>de acuerdo con la necesidad del servicio, para lo cual, la Subdirección de Servicios es el área encargada de aplicar los controles requeridos para la</w:t>
      </w:r>
      <w:r w:rsidR="00875DF5" w:rsidRPr="008B746E">
        <w:rPr>
          <w:rFonts w:ascii="Arial" w:hAnsi="Arial" w:cs="Arial"/>
          <w:color w:val="000000" w:themeColor="text1"/>
          <w:sz w:val="22"/>
          <w:szCs w:val="22"/>
        </w:rPr>
        <w:t xml:space="preserve"> respectiva </w:t>
      </w:r>
      <w:r w:rsidR="00A76E63" w:rsidRPr="008B746E">
        <w:rPr>
          <w:rFonts w:ascii="Arial" w:hAnsi="Arial" w:cs="Arial"/>
          <w:color w:val="000000" w:themeColor="text1"/>
          <w:sz w:val="22"/>
          <w:szCs w:val="22"/>
        </w:rPr>
        <w:t>ejecución de los bonos.</w:t>
      </w:r>
      <w:r w:rsidR="006D5E86" w:rsidRPr="008B746E">
        <w:rPr>
          <w:rFonts w:ascii="Arial" w:hAnsi="Arial" w:cs="Arial"/>
          <w:color w:val="000000" w:themeColor="text1"/>
          <w:sz w:val="22"/>
          <w:szCs w:val="22"/>
        </w:rPr>
        <w:t xml:space="preserve"> </w:t>
      </w:r>
    </w:p>
    <w:p w14:paraId="49BDB0F2" w14:textId="4D44CF76" w:rsidR="00F33E12" w:rsidRPr="00CA48AF" w:rsidRDefault="00F33E12" w:rsidP="00C51AE9">
      <w:pPr>
        <w:jc w:val="both"/>
        <w:rPr>
          <w:rFonts w:ascii="Arial" w:hAnsi="Arial" w:cs="Arial"/>
          <w:i/>
          <w:iCs/>
          <w:color w:val="000000" w:themeColor="text1"/>
          <w:sz w:val="22"/>
          <w:szCs w:val="22"/>
          <w:highlight w:val="yellow"/>
        </w:rPr>
      </w:pPr>
    </w:p>
    <w:p w14:paraId="31272098" w14:textId="0D3C20C5" w:rsidR="000A56A1" w:rsidRPr="00C51AE9" w:rsidRDefault="001C0B02" w:rsidP="00C51AE9">
      <w:pPr>
        <w:jc w:val="both"/>
        <w:rPr>
          <w:rFonts w:ascii="Arial" w:hAnsi="Arial" w:cs="Arial"/>
          <w:color w:val="000000" w:themeColor="text1"/>
          <w:sz w:val="22"/>
          <w:szCs w:val="22"/>
        </w:rPr>
      </w:pPr>
      <w:r w:rsidRPr="00C51AE9">
        <w:rPr>
          <w:rFonts w:ascii="Arial" w:hAnsi="Arial" w:cs="Arial"/>
          <w:color w:val="000000" w:themeColor="text1"/>
          <w:sz w:val="22"/>
          <w:szCs w:val="22"/>
        </w:rPr>
        <w:t xml:space="preserve">Ahora bien, </w:t>
      </w:r>
      <w:r w:rsidR="000D4390" w:rsidRPr="00C51AE9">
        <w:rPr>
          <w:rFonts w:ascii="Arial" w:hAnsi="Arial" w:cs="Arial"/>
          <w:color w:val="000000" w:themeColor="text1"/>
          <w:sz w:val="22"/>
          <w:szCs w:val="22"/>
        </w:rPr>
        <w:t xml:space="preserve">con </w:t>
      </w:r>
      <w:r w:rsidR="000A56A1" w:rsidRPr="00C51AE9">
        <w:rPr>
          <w:rFonts w:ascii="Arial" w:hAnsi="Arial" w:cs="Arial"/>
          <w:color w:val="000000" w:themeColor="text1"/>
          <w:sz w:val="22"/>
          <w:szCs w:val="22"/>
        </w:rPr>
        <w:t>ocasión a la coyuntura derivada de la Emergencia Económica, Social y Ecológica [COVID-19],</w:t>
      </w:r>
      <w:r w:rsidR="00C27950" w:rsidRPr="00C51AE9">
        <w:rPr>
          <w:rFonts w:ascii="Arial" w:hAnsi="Arial" w:cs="Arial"/>
          <w:color w:val="000000" w:themeColor="text1"/>
          <w:sz w:val="22"/>
          <w:szCs w:val="22"/>
        </w:rPr>
        <w:t xml:space="preserve"> </w:t>
      </w:r>
      <w:r w:rsidR="00C67600" w:rsidRPr="00C51AE9">
        <w:rPr>
          <w:rFonts w:ascii="Arial" w:hAnsi="Arial" w:cs="Arial"/>
          <w:color w:val="000000" w:themeColor="text1"/>
          <w:sz w:val="22"/>
          <w:szCs w:val="22"/>
        </w:rPr>
        <w:t xml:space="preserve">los gastos por conceptos de combustibles durante el </w:t>
      </w:r>
      <w:r w:rsidR="00C51AE9" w:rsidRPr="00C51AE9">
        <w:rPr>
          <w:rFonts w:ascii="Arial" w:hAnsi="Arial" w:cs="Arial"/>
          <w:color w:val="000000" w:themeColor="text1"/>
          <w:sz w:val="22"/>
          <w:szCs w:val="22"/>
        </w:rPr>
        <w:t xml:space="preserve">tercer </w:t>
      </w:r>
      <w:r w:rsidR="00C67600" w:rsidRPr="00C51AE9">
        <w:rPr>
          <w:rFonts w:ascii="Arial" w:hAnsi="Arial" w:cs="Arial"/>
          <w:color w:val="000000" w:themeColor="text1"/>
          <w:sz w:val="22"/>
          <w:szCs w:val="22"/>
        </w:rPr>
        <w:t xml:space="preserve">trimestre de 2020 </w:t>
      </w:r>
      <w:r w:rsidR="00C27950" w:rsidRPr="00C51AE9">
        <w:rPr>
          <w:rFonts w:ascii="Arial" w:hAnsi="Arial" w:cs="Arial"/>
          <w:color w:val="000000" w:themeColor="text1"/>
          <w:sz w:val="22"/>
          <w:szCs w:val="22"/>
        </w:rPr>
        <w:t xml:space="preserve">presentaron impactos derivados por las directrices adoptadas por este Ministerio en concordancia con los lineamientos impartidos por el Gobierno Nacional y Distrital durante el periodo objeto de </w:t>
      </w:r>
      <w:r w:rsidR="00BE027D" w:rsidRPr="00C51AE9">
        <w:rPr>
          <w:rFonts w:ascii="Arial" w:hAnsi="Arial" w:cs="Arial"/>
          <w:color w:val="000000" w:themeColor="text1"/>
          <w:sz w:val="22"/>
          <w:szCs w:val="22"/>
        </w:rPr>
        <w:t>verificación</w:t>
      </w:r>
      <w:r w:rsidR="00C27950" w:rsidRPr="00C51AE9">
        <w:rPr>
          <w:rFonts w:ascii="Arial" w:hAnsi="Arial" w:cs="Arial"/>
          <w:color w:val="000000" w:themeColor="text1"/>
          <w:sz w:val="22"/>
          <w:szCs w:val="22"/>
        </w:rPr>
        <w:t xml:space="preserve">. Por tal razón, el </w:t>
      </w:r>
      <w:r w:rsidR="000A56A1" w:rsidRPr="00C51AE9">
        <w:rPr>
          <w:rFonts w:ascii="Arial" w:hAnsi="Arial" w:cs="Arial"/>
          <w:color w:val="000000" w:themeColor="text1"/>
          <w:sz w:val="22"/>
          <w:szCs w:val="22"/>
        </w:rPr>
        <w:t>análisis y comparación de las variables del periodo actual frente al mismo periodo del año</w:t>
      </w:r>
      <w:r w:rsidR="006D5E86" w:rsidRPr="00C51AE9">
        <w:rPr>
          <w:rFonts w:ascii="Arial" w:hAnsi="Arial" w:cs="Arial"/>
          <w:color w:val="000000" w:themeColor="text1"/>
          <w:sz w:val="22"/>
          <w:szCs w:val="22"/>
        </w:rPr>
        <w:t xml:space="preserve"> anterior,</w:t>
      </w:r>
      <w:r w:rsidR="000A56A1" w:rsidRPr="00C51AE9">
        <w:rPr>
          <w:rFonts w:ascii="Arial" w:hAnsi="Arial" w:cs="Arial"/>
          <w:color w:val="000000" w:themeColor="text1"/>
          <w:sz w:val="22"/>
          <w:szCs w:val="22"/>
        </w:rPr>
        <w:t xml:space="preserve"> no es aplicable</w:t>
      </w:r>
      <w:r w:rsidR="00C51AE9" w:rsidRPr="00C51AE9">
        <w:rPr>
          <w:rFonts w:ascii="Arial" w:hAnsi="Arial" w:cs="Arial"/>
          <w:color w:val="000000" w:themeColor="text1"/>
          <w:sz w:val="22"/>
          <w:szCs w:val="22"/>
        </w:rPr>
        <w:t xml:space="preserve"> </w:t>
      </w:r>
      <w:r w:rsidR="000A56A1" w:rsidRPr="00C51AE9">
        <w:rPr>
          <w:rFonts w:ascii="Arial" w:hAnsi="Arial" w:cs="Arial"/>
          <w:color w:val="000000" w:themeColor="text1"/>
          <w:sz w:val="22"/>
          <w:szCs w:val="22"/>
        </w:rPr>
        <w:t xml:space="preserve">como se había desarrollado en ejercicios anteriores. </w:t>
      </w:r>
      <w:r w:rsidR="00C27950" w:rsidRPr="00C51AE9">
        <w:rPr>
          <w:rFonts w:ascii="Arial" w:hAnsi="Arial" w:cs="Arial"/>
          <w:color w:val="000000" w:themeColor="text1"/>
          <w:sz w:val="22"/>
          <w:szCs w:val="22"/>
        </w:rPr>
        <w:t>En consecuencia,</w:t>
      </w:r>
      <w:r w:rsidR="0080440E">
        <w:rPr>
          <w:rFonts w:ascii="Arial" w:hAnsi="Arial" w:cs="Arial"/>
          <w:color w:val="000000" w:themeColor="text1"/>
          <w:sz w:val="22"/>
          <w:szCs w:val="22"/>
        </w:rPr>
        <w:t xml:space="preserve"> </w:t>
      </w:r>
      <w:r w:rsidR="00C27950" w:rsidRPr="00C51AE9">
        <w:rPr>
          <w:rFonts w:ascii="Arial" w:hAnsi="Arial" w:cs="Arial"/>
          <w:color w:val="000000" w:themeColor="text1"/>
          <w:sz w:val="22"/>
          <w:szCs w:val="22"/>
        </w:rPr>
        <w:t xml:space="preserve">se presentará un análisis de los aspectos que generaron los resultados </w:t>
      </w:r>
      <w:r w:rsidR="00F7581E" w:rsidRPr="00C51AE9">
        <w:rPr>
          <w:rFonts w:ascii="Arial" w:hAnsi="Arial" w:cs="Arial"/>
          <w:color w:val="000000" w:themeColor="text1"/>
          <w:sz w:val="22"/>
          <w:szCs w:val="22"/>
        </w:rPr>
        <w:t xml:space="preserve">presentados en </w:t>
      </w:r>
      <w:r w:rsidR="00C27950" w:rsidRPr="00C51AE9">
        <w:rPr>
          <w:rFonts w:ascii="Arial" w:hAnsi="Arial" w:cs="Arial"/>
          <w:color w:val="000000" w:themeColor="text1"/>
          <w:sz w:val="22"/>
          <w:szCs w:val="22"/>
        </w:rPr>
        <w:t xml:space="preserve">los </w:t>
      </w:r>
      <w:r w:rsidR="00F7581E" w:rsidRPr="00C51AE9">
        <w:rPr>
          <w:rFonts w:ascii="Arial" w:hAnsi="Arial" w:cs="Arial"/>
          <w:color w:val="000000" w:themeColor="text1"/>
          <w:sz w:val="22"/>
          <w:szCs w:val="22"/>
        </w:rPr>
        <w:t>consumos y</w:t>
      </w:r>
      <w:r w:rsidR="00C27950" w:rsidRPr="00C51AE9">
        <w:rPr>
          <w:rFonts w:ascii="Arial" w:hAnsi="Arial" w:cs="Arial"/>
          <w:color w:val="000000" w:themeColor="text1"/>
          <w:sz w:val="22"/>
          <w:szCs w:val="22"/>
        </w:rPr>
        <w:t xml:space="preserve"> gastos de combustibles durante el </w:t>
      </w:r>
      <w:r w:rsidR="00C51AE9" w:rsidRPr="00C51AE9">
        <w:rPr>
          <w:rFonts w:ascii="Arial" w:hAnsi="Arial" w:cs="Arial"/>
          <w:color w:val="000000" w:themeColor="text1"/>
          <w:sz w:val="22"/>
          <w:szCs w:val="22"/>
        </w:rPr>
        <w:t>tercer</w:t>
      </w:r>
      <w:r w:rsidR="00C27950" w:rsidRPr="00C51AE9">
        <w:rPr>
          <w:rFonts w:ascii="Arial" w:hAnsi="Arial" w:cs="Arial"/>
          <w:color w:val="000000" w:themeColor="text1"/>
          <w:sz w:val="22"/>
          <w:szCs w:val="22"/>
        </w:rPr>
        <w:t xml:space="preserve"> trimestre de 2020</w:t>
      </w:r>
      <w:r w:rsidR="002976E4" w:rsidRPr="00C51AE9">
        <w:rPr>
          <w:rFonts w:ascii="Arial" w:hAnsi="Arial" w:cs="Arial"/>
          <w:color w:val="000000" w:themeColor="text1"/>
          <w:sz w:val="22"/>
          <w:szCs w:val="22"/>
        </w:rPr>
        <w:t>.</w:t>
      </w:r>
    </w:p>
    <w:p w14:paraId="0F937BD3" w14:textId="3465E11C" w:rsidR="000A56A1" w:rsidRPr="00CA48AF" w:rsidRDefault="000A56A1" w:rsidP="00C51AE9">
      <w:pPr>
        <w:jc w:val="both"/>
        <w:rPr>
          <w:rFonts w:ascii="Arial" w:hAnsi="Arial" w:cs="Arial"/>
          <w:color w:val="000000" w:themeColor="text1"/>
          <w:sz w:val="22"/>
          <w:szCs w:val="22"/>
          <w:highlight w:val="yellow"/>
        </w:rPr>
      </w:pPr>
    </w:p>
    <w:p w14:paraId="4379B0F6" w14:textId="067FBC3E" w:rsidR="00196219" w:rsidRDefault="006571D8" w:rsidP="00C51AE9">
      <w:pPr>
        <w:jc w:val="both"/>
        <w:rPr>
          <w:rFonts w:ascii="Arial" w:hAnsi="Arial" w:cs="Arial"/>
          <w:color w:val="000000" w:themeColor="text1"/>
          <w:sz w:val="22"/>
          <w:szCs w:val="22"/>
        </w:rPr>
      </w:pPr>
      <w:r>
        <w:rPr>
          <w:rFonts w:ascii="Arial" w:hAnsi="Arial" w:cs="Arial"/>
          <w:sz w:val="22"/>
          <w:szCs w:val="22"/>
        </w:rPr>
        <w:t xml:space="preserve">El </w:t>
      </w:r>
      <w:r w:rsidR="00C51AE9" w:rsidRPr="00C51AE9">
        <w:rPr>
          <w:rFonts w:ascii="Arial" w:hAnsi="Arial" w:cs="Arial"/>
          <w:sz w:val="22"/>
          <w:szCs w:val="22"/>
        </w:rPr>
        <w:t xml:space="preserve">Gobierno Nacional mediante el Decreto 1168 de 2020 estableció la </w:t>
      </w:r>
      <w:r w:rsidR="00C51AE9" w:rsidRPr="00C51AE9">
        <w:rPr>
          <w:rFonts w:ascii="Arial" w:hAnsi="Arial" w:cs="Arial"/>
          <w:color w:val="000000"/>
          <w:sz w:val="22"/>
          <w:szCs w:val="22"/>
        </w:rPr>
        <w:t>fase de aislamiento selectivo</w:t>
      </w:r>
      <w:r w:rsidR="00C51AE9" w:rsidRPr="00C51AE9">
        <w:rPr>
          <w:rFonts w:ascii="Arial" w:hAnsi="Arial" w:cs="Arial"/>
          <w:sz w:val="22"/>
          <w:szCs w:val="22"/>
        </w:rPr>
        <w:t xml:space="preserve">, siendo </w:t>
      </w:r>
      <w:r w:rsidR="00C51AE9" w:rsidRPr="00C51AE9">
        <w:rPr>
          <w:rFonts w:ascii="Arial" w:hAnsi="Arial" w:cs="Arial"/>
          <w:color w:val="000000"/>
          <w:sz w:val="22"/>
          <w:szCs w:val="22"/>
        </w:rPr>
        <w:t>una etapa que redu</w:t>
      </w:r>
      <w:r w:rsidR="00C51AE9" w:rsidRPr="00C51AE9">
        <w:rPr>
          <w:rFonts w:ascii="Arial" w:hAnsi="Arial" w:cs="Arial"/>
          <w:sz w:val="22"/>
          <w:szCs w:val="22"/>
        </w:rPr>
        <w:t>jo entre otros aspectos,</w:t>
      </w:r>
      <w:r w:rsidR="00C51AE9" w:rsidRPr="00C51AE9">
        <w:rPr>
          <w:rFonts w:ascii="Arial" w:hAnsi="Arial" w:cs="Arial"/>
          <w:color w:val="000000"/>
          <w:sz w:val="22"/>
          <w:szCs w:val="22"/>
        </w:rPr>
        <w:t xml:space="preserve"> las restricciones de movilidad</w:t>
      </w:r>
      <w:r w:rsidR="00C51AE9" w:rsidRPr="00C51AE9">
        <w:rPr>
          <w:rFonts w:ascii="Arial" w:hAnsi="Arial" w:cs="Arial"/>
          <w:sz w:val="22"/>
          <w:szCs w:val="22"/>
        </w:rPr>
        <w:t xml:space="preserve">, sin embargo, este Ministerio </w:t>
      </w:r>
      <w:r w:rsidR="004A1EC6">
        <w:rPr>
          <w:rFonts w:ascii="Arial" w:hAnsi="Arial" w:cs="Arial"/>
          <w:sz w:val="22"/>
          <w:szCs w:val="22"/>
        </w:rPr>
        <w:t xml:space="preserve">continuó aplicando la </w:t>
      </w:r>
      <w:r w:rsidR="00C51AE9" w:rsidRPr="00C51AE9">
        <w:rPr>
          <w:rFonts w:ascii="Arial" w:hAnsi="Arial" w:cs="Arial"/>
          <w:sz w:val="22"/>
          <w:szCs w:val="22"/>
        </w:rPr>
        <w:t xml:space="preserve">directriz de </w:t>
      </w:r>
      <w:r w:rsidR="00C51AE9" w:rsidRPr="00C51AE9">
        <w:rPr>
          <w:rFonts w:ascii="Arial" w:hAnsi="Arial" w:cs="Arial"/>
          <w:i/>
          <w:iCs/>
          <w:sz w:val="22"/>
          <w:szCs w:val="22"/>
        </w:rPr>
        <w:t>trabajo en casa</w:t>
      </w:r>
      <w:r w:rsidR="00C51AE9" w:rsidRPr="00C51AE9">
        <w:rPr>
          <w:rFonts w:ascii="Arial" w:hAnsi="Arial" w:cs="Arial"/>
          <w:sz w:val="22"/>
          <w:szCs w:val="22"/>
        </w:rPr>
        <w:t xml:space="preserve">, razón por la cual, durante el tercer trimestre de 2020 </w:t>
      </w:r>
      <w:r w:rsidR="00440B8A">
        <w:rPr>
          <w:rFonts w:ascii="Arial" w:hAnsi="Arial" w:cs="Arial"/>
          <w:color w:val="000000" w:themeColor="text1"/>
          <w:sz w:val="22"/>
          <w:szCs w:val="22"/>
        </w:rPr>
        <w:t>se mantuvo el</w:t>
      </w:r>
      <w:r w:rsidR="00C51AE9" w:rsidRPr="00C51AE9">
        <w:rPr>
          <w:rFonts w:ascii="Arial" w:hAnsi="Arial" w:cs="Arial"/>
          <w:color w:val="000000" w:themeColor="text1"/>
          <w:sz w:val="22"/>
          <w:szCs w:val="22"/>
        </w:rPr>
        <w:t xml:space="preserve"> comportamiento observado frente al consumo y </w:t>
      </w:r>
      <w:r w:rsidR="004A1EC6">
        <w:rPr>
          <w:rFonts w:ascii="Arial" w:hAnsi="Arial" w:cs="Arial"/>
          <w:color w:val="000000" w:themeColor="text1"/>
          <w:sz w:val="22"/>
          <w:szCs w:val="22"/>
        </w:rPr>
        <w:t xml:space="preserve">el </w:t>
      </w:r>
      <w:r w:rsidR="00C51AE9" w:rsidRPr="00C51AE9">
        <w:rPr>
          <w:rFonts w:ascii="Arial" w:hAnsi="Arial" w:cs="Arial"/>
          <w:color w:val="000000" w:themeColor="text1"/>
          <w:sz w:val="22"/>
          <w:szCs w:val="22"/>
        </w:rPr>
        <w:t>gasto de combustible del periodo inmediatamente anterior</w:t>
      </w:r>
      <w:r w:rsidR="00440B8A">
        <w:rPr>
          <w:rFonts w:ascii="Arial" w:hAnsi="Arial" w:cs="Arial"/>
          <w:color w:val="000000" w:themeColor="text1"/>
          <w:sz w:val="22"/>
          <w:szCs w:val="22"/>
        </w:rPr>
        <w:t xml:space="preserve">, </w:t>
      </w:r>
      <w:r w:rsidR="00C51AE9" w:rsidRPr="00C51AE9">
        <w:rPr>
          <w:rFonts w:ascii="Arial" w:hAnsi="Arial" w:cs="Arial"/>
          <w:color w:val="000000" w:themeColor="text1"/>
          <w:sz w:val="22"/>
          <w:szCs w:val="22"/>
        </w:rPr>
        <w:t xml:space="preserve">toda vez que, persiste la </w:t>
      </w:r>
      <w:r w:rsidR="00FF15CA" w:rsidRPr="00C51AE9">
        <w:rPr>
          <w:rFonts w:ascii="Arial" w:hAnsi="Arial" w:cs="Arial"/>
          <w:color w:val="000000" w:themeColor="text1"/>
          <w:sz w:val="22"/>
          <w:szCs w:val="22"/>
        </w:rPr>
        <w:t xml:space="preserve">reducción en el número de vehículos que hicieron uso del servicio de </w:t>
      </w:r>
      <w:r w:rsidR="00F476C3" w:rsidRPr="00C51AE9">
        <w:rPr>
          <w:rFonts w:ascii="Arial" w:hAnsi="Arial" w:cs="Arial"/>
          <w:color w:val="000000" w:themeColor="text1"/>
          <w:sz w:val="22"/>
          <w:szCs w:val="22"/>
        </w:rPr>
        <w:t>combustible</w:t>
      </w:r>
      <w:r>
        <w:rPr>
          <w:rFonts w:ascii="Arial" w:hAnsi="Arial" w:cs="Arial"/>
          <w:color w:val="000000" w:themeColor="text1"/>
          <w:sz w:val="22"/>
          <w:szCs w:val="22"/>
        </w:rPr>
        <w:t>.</w:t>
      </w:r>
      <w:r w:rsidR="00F476C3" w:rsidRPr="00C51AE9">
        <w:rPr>
          <w:rFonts w:ascii="Arial" w:hAnsi="Arial" w:cs="Arial"/>
          <w:color w:val="000000" w:themeColor="text1"/>
          <w:sz w:val="22"/>
          <w:szCs w:val="22"/>
        </w:rPr>
        <w:t xml:space="preserve"> </w:t>
      </w:r>
      <w:r>
        <w:rPr>
          <w:rFonts w:ascii="Arial" w:hAnsi="Arial" w:cs="Arial"/>
          <w:color w:val="000000" w:themeColor="text1"/>
          <w:sz w:val="22"/>
          <w:szCs w:val="22"/>
        </w:rPr>
        <w:t>L</w:t>
      </w:r>
      <w:r w:rsidR="00F476C3" w:rsidRPr="00C51AE9">
        <w:rPr>
          <w:rFonts w:ascii="Arial" w:hAnsi="Arial" w:cs="Arial"/>
          <w:color w:val="000000" w:themeColor="text1"/>
          <w:sz w:val="22"/>
          <w:szCs w:val="22"/>
        </w:rPr>
        <w:t>o anterior,</w:t>
      </w:r>
      <w:r w:rsidR="00FF15CA" w:rsidRPr="00C51AE9">
        <w:rPr>
          <w:rFonts w:ascii="Arial" w:hAnsi="Arial" w:cs="Arial"/>
          <w:color w:val="000000" w:themeColor="text1"/>
          <w:sz w:val="22"/>
          <w:szCs w:val="22"/>
        </w:rPr>
        <w:t xml:space="preserve"> derivado de las medidas </w:t>
      </w:r>
      <w:r w:rsidR="00C51AE9" w:rsidRPr="00C51AE9">
        <w:rPr>
          <w:rFonts w:ascii="Arial" w:hAnsi="Arial" w:cs="Arial"/>
          <w:color w:val="000000" w:themeColor="text1"/>
          <w:sz w:val="22"/>
          <w:szCs w:val="22"/>
        </w:rPr>
        <w:t xml:space="preserve">asociadas a la </w:t>
      </w:r>
      <w:r w:rsidR="00FF15CA" w:rsidRPr="00C51AE9">
        <w:rPr>
          <w:rFonts w:ascii="Arial" w:hAnsi="Arial" w:cs="Arial"/>
          <w:color w:val="000000" w:themeColor="text1"/>
          <w:sz w:val="22"/>
          <w:szCs w:val="22"/>
        </w:rPr>
        <w:t>Emergencia Económica, Social y Ecológica [COVID-19</w:t>
      </w:r>
      <w:r w:rsidR="00F476C3" w:rsidRPr="00C51AE9">
        <w:rPr>
          <w:rFonts w:ascii="Arial" w:hAnsi="Arial" w:cs="Arial"/>
          <w:color w:val="000000" w:themeColor="text1"/>
          <w:sz w:val="22"/>
          <w:szCs w:val="22"/>
        </w:rPr>
        <w:t>]</w:t>
      </w:r>
      <w:r w:rsidR="00C51AE9" w:rsidRPr="00C51AE9">
        <w:rPr>
          <w:rFonts w:ascii="Arial" w:hAnsi="Arial" w:cs="Arial"/>
          <w:color w:val="000000" w:themeColor="text1"/>
          <w:sz w:val="22"/>
          <w:szCs w:val="22"/>
        </w:rPr>
        <w:t xml:space="preserve">. </w:t>
      </w:r>
    </w:p>
    <w:p w14:paraId="23F81ED8" w14:textId="77777777" w:rsidR="006571D8" w:rsidRPr="00C51AE9" w:rsidRDefault="006571D8" w:rsidP="00C51AE9">
      <w:pPr>
        <w:jc w:val="both"/>
        <w:rPr>
          <w:rFonts w:ascii="Arial" w:hAnsi="Arial" w:cs="Arial"/>
          <w:color w:val="000000" w:themeColor="text1"/>
          <w:sz w:val="22"/>
          <w:szCs w:val="22"/>
        </w:rPr>
      </w:pPr>
    </w:p>
    <w:p w14:paraId="15BA67AF" w14:textId="3D57ACC6" w:rsidR="008A227B" w:rsidRPr="004A1EC6" w:rsidRDefault="008A227B" w:rsidP="008A227B">
      <w:pPr>
        <w:jc w:val="both"/>
        <w:rPr>
          <w:rFonts w:ascii="Arial" w:hAnsi="Arial" w:cs="Arial"/>
          <w:color w:val="000000" w:themeColor="text1"/>
          <w:sz w:val="22"/>
          <w:szCs w:val="22"/>
        </w:rPr>
      </w:pPr>
      <w:r w:rsidRPr="004A1EC6">
        <w:rPr>
          <w:rFonts w:ascii="Arial" w:hAnsi="Arial" w:cs="Arial"/>
          <w:color w:val="000000" w:themeColor="text1"/>
          <w:sz w:val="22"/>
          <w:szCs w:val="22"/>
        </w:rPr>
        <w:t>De igual forma, la Subdirección</w:t>
      </w:r>
      <w:r w:rsidR="006571D8">
        <w:rPr>
          <w:rFonts w:ascii="Arial" w:hAnsi="Arial" w:cs="Arial"/>
          <w:color w:val="000000" w:themeColor="text1"/>
          <w:sz w:val="22"/>
          <w:szCs w:val="22"/>
        </w:rPr>
        <w:t xml:space="preserve"> de Servicios</w:t>
      </w:r>
      <w:r w:rsidRPr="004A1EC6">
        <w:rPr>
          <w:rFonts w:ascii="Arial" w:hAnsi="Arial" w:cs="Arial"/>
          <w:color w:val="000000" w:themeColor="text1"/>
          <w:sz w:val="22"/>
          <w:szCs w:val="22"/>
        </w:rPr>
        <w:t xml:space="preserve"> informó que</w:t>
      </w:r>
      <w:r w:rsidR="006571D8">
        <w:rPr>
          <w:rFonts w:ascii="Arial" w:hAnsi="Arial" w:cs="Arial"/>
          <w:color w:val="000000" w:themeColor="text1"/>
          <w:sz w:val="22"/>
          <w:szCs w:val="22"/>
        </w:rPr>
        <w:t xml:space="preserve"> </w:t>
      </w:r>
      <w:r w:rsidRPr="004A1EC6">
        <w:rPr>
          <w:rFonts w:ascii="Arial" w:hAnsi="Arial" w:cs="Arial"/>
          <w:color w:val="000000" w:themeColor="text1"/>
          <w:sz w:val="22"/>
          <w:szCs w:val="22"/>
        </w:rPr>
        <w:t>dentro de los vehículos que presentaron consumo</w:t>
      </w:r>
      <w:r w:rsidR="002976E4" w:rsidRPr="004A1EC6">
        <w:rPr>
          <w:rFonts w:ascii="Arial" w:hAnsi="Arial" w:cs="Arial"/>
          <w:color w:val="000000" w:themeColor="text1"/>
          <w:sz w:val="22"/>
          <w:szCs w:val="22"/>
        </w:rPr>
        <w:t>s</w:t>
      </w:r>
      <w:r w:rsidRPr="004A1EC6">
        <w:rPr>
          <w:rFonts w:ascii="Arial" w:hAnsi="Arial" w:cs="Arial"/>
          <w:color w:val="000000" w:themeColor="text1"/>
          <w:sz w:val="22"/>
          <w:szCs w:val="22"/>
        </w:rPr>
        <w:t xml:space="preserve"> de combustible durante el </w:t>
      </w:r>
      <w:r w:rsidR="004A1EC6" w:rsidRPr="004A1EC6">
        <w:rPr>
          <w:rFonts w:ascii="Arial" w:hAnsi="Arial" w:cs="Arial"/>
          <w:color w:val="000000" w:themeColor="text1"/>
          <w:sz w:val="22"/>
          <w:szCs w:val="22"/>
        </w:rPr>
        <w:t xml:space="preserve">tercer </w:t>
      </w:r>
      <w:r w:rsidRPr="004A1EC6">
        <w:rPr>
          <w:rFonts w:ascii="Arial" w:hAnsi="Arial" w:cs="Arial"/>
          <w:color w:val="000000" w:themeColor="text1"/>
          <w:sz w:val="22"/>
          <w:szCs w:val="22"/>
        </w:rPr>
        <w:t xml:space="preserve">trimestre de 2020, se encontraban los asignados al esquema de seguridad del Ministro de Hacienda y el Viceministro General, </w:t>
      </w:r>
      <w:r w:rsidR="002976E4" w:rsidRPr="004A1EC6">
        <w:rPr>
          <w:rFonts w:ascii="Arial" w:hAnsi="Arial" w:cs="Arial"/>
          <w:color w:val="000000" w:themeColor="text1"/>
          <w:sz w:val="22"/>
          <w:szCs w:val="22"/>
        </w:rPr>
        <w:t xml:space="preserve">requiriendo dichos funcionarios </w:t>
      </w:r>
      <w:r w:rsidRPr="004A1EC6">
        <w:rPr>
          <w:rFonts w:ascii="Arial" w:hAnsi="Arial" w:cs="Arial"/>
          <w:color w:val="000000" w:themeColor="text1"/>
          <w:sz w:val="22"/>
          <w:szCs w:val="22"/>
        </w:rPr>
        <w:t>el servicio de traslado</w:t>
      </w:r>
      <w:r w:rsidR="002976E4" w:rsidRPr="004A1EC6">
        <w:rPr>
          <w:rFonts w:ascii="Arial" w:hAnsi="Arial" w:cs="Arial"/>
          <w:color w:val="000000" w:themeColor="text1"/>
          <w:sz w:val="22"/>
          <w:szCs w:val="22"/>
        </w:rPr>
        <w:t>,</w:t>
      </w:r>
      <w:r w:rsidRPr="004A1EC6">
        <w:rPr>
          <w:rFonts w:ascii="Arial" w:hAnsi="Arial" w:cs="Arial"/>
          <w:color w:val="000000" w:themeColor="text1"/>
          <w:sz w:val="22"/>
          <w:szCs w:val="22"/>
        </w:rPr>
        <w:t xml:space="preserve"> en cumplimiento de las funciones asignadas según los cargos que desempeñan. </w:t>
      </w:r>
    </w:p>
    <w:p w14:paraId="24484EF9" w14:textId="53A90EE5" w:rsidR="008A227B" w:rsidRPr="00CA48AF" w:rsidRDefault="008A227B" w:rsidP="00FF15CA">
      <w:pPr>
        <w:jc w:val="both"/>
        <w:rPr>
          <w:rFonts w:ascii="Arial" w:hAnsi="Arial" w:cs="Arial"/>
          <w:color w:val="000000" w:themeColor="text1"/>
          <w:sz w:val="22"/>
          <w:szCs w:val="22"/>
          <w:highlight w:val="yellow"/>
        </w:rPr>
      </w:pPr>
    </w:p>
    <w:p w14:paraId="086B80C6" w14:textId="4959E7A2" w:rsidR="00784AF9" w:rsidRDefault="00784AF9" w:rsidP="00784AF9">
      <w:pPr>
        <w:pStyle w:val="Default"/>
        <w:jc w:val="both"/>
        <w:rPr>
          <w:rFonts w:eastAsia="Times New Roman"/>
          <w:color w:val="000000" w:themeColor="text1"/>
          <w:sz w:val="22"/>
          <w:szCs w:val="22"/>
          <w:lang w:eastAsia="es-CO"/>
        </w:rPr>
      </w:pPr>
      <w:r w:rsidRPr="003274CF">
        <w:rPr>
          <w:rFonts w:eastAsia="Times New Roman"/>
          <w:color w:val="000000" w:themeColor="text1"/>
          <w:sz w:val="22"/>
          <w:szCs w:val="22"/>
          <w:lang w:eastAsia="es-CO"/>
        </w:rPr>
        <w:t>Con el objetivo de</w:t>
      </w:r>
      <w:r w:rsidR="001212E2" w:rsidRPr="003274CF">
        <w:rPr>
          <w:rFonts w:eastAsia="Times New Roman"/>
          <w:color w:val="000000" w:themeColor="text1"/>
          <w:sz w:val="22"/>
          <w:szCs w:val="22"/>
          <w:lang w:eastAsia="es-CO"/>
        </w:rPr>
        <w:t xml:space="preserve"> </w:t>
      </w:r>
      <w:r w:rsidRPr="003274CF">
        <w:rPr>
          <w:rFonts w:eastAsia="Times New Roman"/>
          <w:color w:val="000000" w:themeColor="text1"/>
          <w:sz w:val="22"/>
          <w:szCs w:val="22"/>
          <w:lang w:eastAsia="es-CO"/>
        </w:rPr>
        <w:t xml:space="preserve">confirmar el impacto generado </w:t>
      </w:r>
      <w:r w:rsidR="008A2040" w:rsidRPr="003274CF">
        <w:rPr>
          <w:rFonts w:eastAsia="Times New Roman"/>
          <w:color w:val="000000" w:themeColor="text1"/>
          <w:sz w:val="22"/>
          <w:szCs w:val="22"/>
          <w:lang w:eastAsia="es-CO"/>
        </w:rPr>
        <w:t xml:space="preserve">en los gastos de combustibles </w:t>
      </w:r>
      <w:r w:rsidRPr="003274CF">
        <w:rPr>
          <w:rFonts w:eastAsia="Times New Roman"/>
          <w:color w:val="000000" w:themeColor="text1"/>
          <w:sz w:val="22"/>
          <w:szCs w:val="22"/>
          <w:lang w:eastAsia="es-CO"/>
        </w:rPr>
        <w:t xml:space="preserve">por las medidas </w:t>
      </w:r>
      <w:r w:rsidR="008A2040" w:rsidRPr="003274CF">
        <w:rPr>
          <w:rFonts w:eastAsia="Times New Roman"/>
          <w:color w:val="000000" w:themeColor="text1"/>
          <w:sz w:val="22"/>
          <w:szCs w:val="22"/>
          <w:lang w:eastAsia="es-CO"/>
        </w:rPr>
        <w:t xml:space="preserve">aplicadas </w:t>
      </w:r>
      <w:r w:rsidR="000D4390" w:rsidRPr="003274CF">
        <w:rPr>
          <w:rFonts w:eastAsia="Times New Roman"/>
          <w:color w:val="000000" w:themeColor="text1"/>
          <w:sz w:val="22"/>
          <w:szCs w:val="22"/>
          <w:lang w:eastAsia="es-CO"/>
        </w:rPr>
        <w:t xml:space="preserve">con </w:t>
      </w:r>
      <w:r w:rsidR="008A2040" w:rsidRPr="003274CF">
        <w:rPr>
          <w:rFonts w:eastAsia="Times New Roman"/>
          <w:color w:val="000000" w:themeColor="text1"/>
          <w:sz w:val="22"/>
          <w:szCs w:val="22"/>
          <w:lang w:eastAsia="es-CO"/>
        </w:rPr>
        <w:t xml:space="preserve">ocasión a la emergencia </w:t>
      </w:r>
      <w:r w:rsidR="008B5BA1" w:rsidRPr="003274CF">
        <w:rPr>
          <w:rFonts w:eastAsia="Times New Roman"/>
          <w:color w:val="000000" w:themeColor="text1"/>
          <w:sz w:val="22"/>
          <w:szCs w:val="22"/>
          <w:lang w:eastAsia="es-CO"/>
        </w:rPr>
        <w:t>sanitaria [</w:t>
      </w:r>
      <w:r w:rsidRPr="003274CF">
        <w:rPr>
          <w:rFonts w:eastAsia="Times New Roman"/>
          <w:color w:val="000000" w:themeColor="text1"/>
          <w:sz w:val="22"/>
          <w:szCs w:val="22"/>
          <w:lang w:eastAsia="es-CO"/>
        </w:rPr>
        <w:t>COVID-19</w:t>
      </w:r>
      <w:r w:rsidR="008A2040" w:rsidRPr="003274CF">
        <w:rPr>
          <w:rFonts w:eastAsia="Times New Roman"/>
          <w:color w:val="000000" w:themeColor="text1"/>
          <w:sz w:val="22"/>
          <w:szCs w:val="22"/>
          <w:lang w:eastAsia="es-CO"/>
        </w:rPr>
        <w:t>]</w:t>
      </w:r>
      <w:r w:rsidRPr="003274CF">
        <w:rPr>
          <w:rFonts w:eastAsia="Times New Roman"/>
          <w:color w:val="000000" w:themeColor="text1"/>
          <w:sz w:val="22"/>
          <w:szCs w:val="22"/>
          <w:lang w:eastAsia="es-CO"/>
        </w:rPr>
        <w:t xml:space="preserve">, </w:t>
      </w:r>
      <w:r w:rsidR="008B5BA1" w:rsidRPr="003274CF">
        <w:rPr>
          <w:rFonts w:eastAsia="Times New Roman"/>
          <w:color w:val="000000" w:themeColor="text1"/>
          <w:sz w:val="22"/>
          <w:szCs w:val="22"/>
          <w:lang w:eastAsia="es-CO"/>
        </w:rPr>
        <w:t>se</w:t>
      </w:r>
      <w:r w:rsidRPr="003274CF">
        <w:rPr>
          <w:rFonts w:eastAsia="Times New Roman"/>
          <w:color w:val="000000" w:themeColor="text1"/>
          <w:sz w:val="22"/>
          <w:szCs w:val="22"/>
          <w:lang w:eastAsia="es-CO"/>
        </w:rPr>
        <w:t xml:space="preserve"> efectuó el siguiente trabajo: </w:t>
      </w:r>
    </w:p>
    <w:p w14:paraId="19180300" w14:textId="77777777" w:rsidR="00FF2AE0" w:rsidRPr="003274CF" w:rsidRDefault="00FF2AE0" w:rsidP="00784AF9">
      <w:pPr>
        <w:pStyle w:val="Default"/>
        <w:jc w:val="both"/>
        <w:rPr>
          <w:rFonts w:eastAsia="Times New Roman"/>
          <w:color w:val="000000" w:themeColor="text1"/>
          <w:sz w:val="22"/>
          <w:szCs w:val="22"/>
          <w:lang w:eastAsia="es-CO"/>
        </w:rPr>
      </w:pPr>
    </w:p>
    <w:p w14:paraId="48F33B00" w14:textId="7C71A4E7" w:rsidR="00633B1A" w:rsidRPr="003274CF" w:rsidRDefault="008B5BA1" w:rsidP="00784AF9">
      <w:pPr>
        <w:pStyle w:val="Prrafodelista"/>
        <w:numPr>
          <w:ilvl w:val="0"/>
          <w:numId w:val="27"/>
        </w:numPr>
        <w:rPr>
          <w:rFonts w:ascii="Arial" w:hAnsi="Arial" w:cs="Arial"/>
          <w:color w:val="000000" w:themeColor="text1"/>
          <w:sz w:val="22"/>
          <w:szCs w:val="22"/>
        </w:rPr>
      </w:pPr>
      <w:r w:rsidRPr="003274CF">
        <w:rPr>
          <w:rFonts w:ascii="Arial" w:hAnsi="Arial" w:cs="Arial"/>
          <w:color w:val="000000" w:themeColor="text1"/>
          <w:sz w:val="22"/>
          <w:szCs w:val="22"/>
        </w:rPr>
        <w:t>L</w:t>
      </w:r>
      <w:r w:rsidR="002934A7" w:rsidRPr="003274CF">
        <w:rPr>
          <w:rFonts w:ascii="Arial" w:hAnsi="Arial" w:cs="Arial"/>
          <w:color w:val="000000" w:themeColor="text1"/>
          <w:sz w:val="22"/>
          <w:szCs w:val="22"/>
        </w:rPr>
        <w:t xml:space="preserve">a Oficina de Control Interno verificó los informes de supervisión del </w:t>
      </w:r>
      <w:r w:rsidR="002934A7" w:rsidRPr="003274CF">
        <w:rPr>
          <w:rFonts w:ascii="Arial" w:hAnsi="Arial" w:cs="Arial"/>
          <w:bCs/>
          <w:color w:val="000000" w:themeColor="text1"/>
          <w:sz w:val="22"/>
          <w:szCs w:val="22"/>
        </w:rPr>
        <w:t xml:space="preserve">contrato </w:t>
      </w:r>
      <w:r w:rsidR="002934A7" w:rsidRPr="003274CF">
        <w:rPr>
          <w:rFonts w:ascii="Arial" w:hAnsi="Arial" w:cs="Arial"/>
          <w:color w:val="000000" w:themeColor="text1"/>
          <w:sz w:val="22"/>
          <w:szCs w:val="22"/>
        </w:rPr>
        <w:t xml:space="preserve">11.005-2019 suscrito por parte de este Ministerio con la Organización Terpel S.A. Como resultado de lo anterior </w:t>
      </w:r>
      <w:r w:rsidR="001212E2" w:rsidRPr="003274CF">
        <w:rPr>
          <w:rFonts w:ascii="Arial" w:hAnsi="Arial" w:cs="Arial"/>
          <w:color w:val="000000" w:themeColor="text1"/>
          <w:sz w:val="22"/>
          <w:szCs w:val="22"/>
        </w:rPr>
        <w:t>se</w:t>
      </w:r>
      <w:r w:rsidR="002934A7" w:rsidRPr="003274CF">
        <w:rPr>
          <w:rFonts w:ascii="Arial" w:hAnsi="Arial" w:cs="Arial"/>
          <w:color w:val="000000" w:themeColor="text1"/>
          <w:sz w:val="22"/>
          <w:szCs w:val="22"/>
        </w:rPr>
        <w:t xml:space="preserve"> evidenció que, </w:t>
      </w:r>
      <w:r w:rsidR="00B50237" w:rsidRPr="003274CF">
        <w:rPr>
          <w:rFonts w:ascii="Arial" w:hAnsi="Arial" w:cs="Arial"/>
          <w:color w:val="000000" w:themeColor="text1"/>
          <w:sz w:val="22"/>
          <w:szCs w:val="22"/>
        </w:rPr>
        <w:t xml:space="preserve">según los </w:t>
      </w:r>
      <w:r w:rsidR="00123505" w:rsidRPr="003274CF">
        <w:rPr>
          <w:rFonts w:ascii="Arial" w:hAnsi="Arial" w:cs="Arial"/>
          <w:color w:val="000000" w:themeColor="text1"/>
          <w:sz w:val="22"/>
          <w:szCs w:val="22"/>
        </w:rPr>
        <w:t>periodo</w:t>
      </w:r>
      <w:r w:rsidR="00B50237" w:rsidRPr="003274CF">
        <w:rPr>
          <w:rFonts w:ascii="Arial" w:hAnsi="Arial" w:cs="Arial"/>
          <w:color w:val="000000" w:themeColor="text1"/>
          <w:sz w:val="22"/>
          <w:szCs w:val="22"/>
        </w:rPr>
        <w:t>s</w:t>
      </w:r>
      <w:r w:rsidR="00123505" w:rsidRPr="003274CF">
        <w:rPr>
          <w:rFonts w:ascii="Arial" w:hAnsi="Arial" w:cs="Arial"/>
          <w:color w:val="000000" w:themeColor="text1"/>
          <w:sz w:val="22"/>
          <w:szCs w:val="22"/>
        </w:rPr>
        <w:t xml:space="preserve"> de facturación [quincenal]</w:t>
      </w:r>
      <w:r w:rsidR="00633B1A" w:rsidRPr="003274CF">
        <w:rPr>
          <w:rFonts w:ascii="Arial" w:hAnsi="Arial" w:cs="Arial"/>
          <w:color w:val="000000" w:themeColor="text1"/>
          <w:sz w:val="22"/>
          <w:szCs w:val="22"/>
        </w:rPr>
        <w:t xml:space="preserve"> de los meses de </w:t>
      </w:r>
      <w:r w:rsidR="00322C53">
        <w:rPr>
          <w:rFonts w:ascii="Arial" w:hAnsi="Arial" w:cs="Arial"/>
          <w:color w:val="000000" w:themeColor="text1"/>
          <w:sz w:val="22"/>
          <w:szCs w:val="22"/>
        </w:rPr>
        <w:t>julio, agosto y septiembre de 20</w:t>
      </w:r>
      <w:r w:rsidR="00633B1A" w:rsidRPr="003274CF">
        <w:rPr>
          <w:rFonts w:ascii="Arial" w:hAnsi="Arial" w:cs="Arial"/>
          <w:color w:val="000000" w:themeColor="text1"/>
          <w:sz w:val="22"/>
          <w:szCs w:val="22"/>
        </w:rPr>
        <w:t>20</w:t>
      </w:r>
      <w:r w:rsidR="001212E2" w:rsidRPr="003274CF">
        <w:rPr>
          <w:rFonts w:ascii="Arial" w:hAnsi="Arial" w:cs="Arial"/>
          <w:color w:val="000000" w:themeColor="text1"/>
          <w:sz w:val="22"/>
          <w:szCs w:val="22"/>
        </w:rPr>
        <w:t xml:space="preserve"> </w:t>
      </w:r>
      <w:r w:rsidR="002934A7" w:rsidRPr="003274CF">
        <w:rPr>
          <w:rFonts w:ascii="Arial" w:hAnsi="Arial" w:cs="Arial"/>
          <w:color w:val="000000" w:themeColor="text1"/>
          <w:sz w:val="22"/>
          <w:szCs w:val="22"/>
        </w:rPr>
        <w:t xml:space="preserve">de los </w:t>
      </w:r>
      <w:r w:rsidR="002934A7" w:rsidRPr="003274CF">
        <w:rPr>
          <w:rFonts w:ascii="Arial" w:hAnsi="Arial" w:cs="Arial"/>
          <w:b/>
          <w:bCs/>
          <w:color w:val="000000" w:themeColor="text1"/>
          <w:sz w:val="22"/>
          <w:szCs w:val="22"/>
        </w:rPr>
        <w:t>2</w:t>
      </w:r>
      <w:r w:rsidR="00322C53">
        <w:rPr>
          <w:rFonts w:ascii="Arial" w:hAnsi="Arial" w:cs="Arial"/>
          <w:b/>
          <w:bCs/>
          <w:color w:val="000000" w:themeColor="text1"/>
          <w:sz w:val="22"/>
          <w:szCs w:val="22"/>
        </w:rPr>
        <w:t>7</w:t>
      </w:r>
      <w:r w:rsidR="002934A7" w:rsidRPr="003274CF">
        <w:rPr>
          <w:rFonts w:ascii="Arial" w:hAnsi="Arial" w:cs="Arial"/>
          <w:b/>
          <w:bCs/>
          <w:color w:val="000000" w:themeColor="text1"/>
          <w:sz w:val="22"/>
          <w:szCs w:val="22"/>
        </w:rPr>
        <w:t xml:space="preserve"> vehículos</w:t>
      </w:r>
      <w:r w:rsidR="002934A7" w:rsidRPr="003274CF">
        <w:rPr>
          <w:rFonts w:ascii="Arial" w:hAnsi="Arial" w:cs="Arial"/>
          <w:color w:val="000000" w:themeColor="text1"/>
          <w:sz w:val="22"/>
          <w:szCs w:val="22"/>
        </w:rPr>
        <w:t xml:space="preserve"> que conforman el parque automotor del Ministerio de Hacienda y Crédito Público, </w:t>
      </w:r>
      <w:r w:rsidR="00322C53">
        <w:rPr>
          <w:rFonts w:ascii="Arial" w:hAnsi="Arial" w:cs="Arial"/>
          <w:color w:val="000000" w:themeColor="text1"/>
          <w:sz w:val="22"/>
          <w:szCs w:val="22"/>
        </w:rPr>
        <w:t xml:space="preserve">en </w:t>
      </w:r>
      <w:r w:rsidR="00322C53" w:rsidRPr="00322C53">
        <w:rPr>
          <w:rFonts w:ascii="Arial" w:hAnsi="Arial" w:cs="Arial"/>
          <w:b/>
          <w:bCs/>
          <w:color w:val="000000" w:themeColor="text1"/>
          <w:sz w:val="22"/>
          <w:szCs w:val="22"/>
        </w:rPr>
        <w:t>promedio 8 vehículos</w:t>
      </w:r>
      <w:r w:rsidR="00123505" w:rsidRPr="003274CF">
        <w:rPr>
          <w:rFonts w:ascii="Arial" w:hAnsi="Arial" w:cs="Arial"/>
          <w:color w:val="000000" w:themeColor="text1"/>
          <w:sz w:val="22"/>
          <w:szCs w:val="22"/>
        </w:rPr>
        <w:t xml:space="preserve"> presentaron consumos de combustibles</w:t>
      </w:r>
      <w:r w:rsidR="008A227B" w:rsidRPr="003274CF">
        <w:rPr>
          <w:rFonts w:ascii="Arial" w:hAnsi="Arial" w:cs="Arial"/>
          <w:color w:val="000000" w:themeColor="text1"/>
          <w:sz w:val="22"/>
          <w:szCs w:val="22"/>
        </w:rPr>
        <w:t xml:space="preserve">, así: </w:t>
      </w:r>
      <w:r w:rsidR="00633B1A" w:rsidRPr="003274CF">
        <w:rPr>
          <w:rFonts w:ascii="Arial" w:hAnsi="Arial" w:cs="Arial"/>
          <w:color w:val="000000" w:themeColor="text1"/>
          <w:sz w:val="22"/>
          <w:szCs w:val="22"/>
        </w:rPr>
        <w:t xml:space="preserve"> </w:t>
      </w:r>
    </w:p>
    <w:p w14:paraId="6044659C" w14:textId="77777777" w:rsidR="003274CF" w:rsidRPr="003274CF" w:rsidRDefault="003274CF" w:rsidP="003274CF">
      <w:pPr>
        <w:pStyle w:val="Prrafodelista"/>
        <w:ind w:left="360"/>
        <w:rPr>
          <w:rFonts w:ascii="Arial" w:hAnsi="Arial" w:cs="Arial"/>
          <w:color w:val="000000" w:themeColor="text1"/>
          <w:sz w:val="22"/>
          <w:szCs w:val="22"/>
        </w:rPr>
      </w:pPr>
    </w:p>
    <w:tbl>
      <w:tblPr>
        <w:tblStyle w:val="Tabladecuadrcula1clara-nfasis1"/>
        <w:tblW w:w="8283" w:type="dxa"/>
        <w:jc w:val="center"/>
        <w:tblLook w:val="04A0" w:firstRow="1" w:lastRow="0" w:firstColumn="1" w:lastColumn="0" w:noHBand="0" w:noVBand="1"/>
      </w:tblPr>
      <w:tblGrid>
        <w:gridCol w:w="2020"/>
        <w:gridCol w:w="1319"/>
        <w:gridCol w:w="2337"/>
        <w:gridCol w:w="2607"/>
      </w:tblGrid>
      <w:tr w:rsidR="00633B1A" w:rsidRPr="00322C53" w14:paraId="390A4A85" w14:textId="77777777" w:rsidTr="0048113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39" w:type="dxa"/>
            <w:gridSpan w:val="2"/>
            <w:shd w:val="clear" w:color="auto" w:fill="4F81BD" w:themeFill="accent1"/>
            <w:vAlign w:val="center"/>
            <w:hideMark/>
          </w:tcPr>
          <w:p w14:paraId="2CE7AEC1" w14:textId="19DEF115" w:rsidR="00633B1A" w:rsidRPr="00322C53" w:rsidRDefault="00633B1A" w:rsidP="00AB144F">
            <w:pPr>
              <w:spacing w:before="80" w:after="60"/>
              <w:jc w:val="center"/>
              <w:rPr>
                <w:rFonts w:ascii="Arial" w:hAnsi="Arial" w:cs="Arial"/>
                <w:color w:val="FFFFFF" w:themeColor="background1"/>
                <w:sz w:val="20"/>
                <w:szCs w:val="20"/>
              </w:rPr>
            </w:pPr>
            <w:r w:rsidRPr="00322C53">
              <w:rPr>
                <w:rFonts w:ascii="Arial" w:hAnsi="Arial" w:cs="Arial"/>
                <w:color w:val="FFFFFF" w:themeColor="background1"/>
                <w:sz w:val="20"/>
                <w:szCs w:val="20"/>
              </w:rPr>
              <w:lastRenderedPageBreak/>
              <w:t>Periodo 2020</w:t>
            </w:r>
          </w:p>
        </w:tc>
        <w:tc>
          <w:tcPr>
            <w:tcW w:w="0" w:type="auto"/>
            <w:shd w:val="clear" w:color="auto" w:fill="4F81BD" w:themeFill="accent1"/>
            <w:vAlign w:val="center"/>
            <w:hideMark/>
          </w:tcPr>
          <w:p w14:paraId="4F27E28D" w14:textId="77777777" w:rsidR="00633B1A" w:rsidRPr="00322C53" w:rsidRDefault="00633B1A" w:rsidP="00AB144F">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22C53">
              <w:rPr>
                <w:rFonts w:ascii="Arial" w:hAnsi="Arial" w:cs="Arial"/>
                <w:color w:val="FFFFFF" w:themeColor="background1"/>
                <w:sz w:val="20"/>
                <w:szCs w:val="20"/>
              </w:rPr>
              <w:t xml:space="preserve">Cantidad de Vehículos </w:t>
            </w:r>
          </w:p>
        </w:tc>
        <w:tc>
          <w:tcPr>
            <w:tcW w:w="0" w:type="auto"/>
            <w:shd w:val="clear" w:color="auto" w:fill="4F81BD" w:themeFill="accent1"/>
            <w:vAlign w:val="center"/>
            <w:hideMark/>
          </w:tcPr>
          <w:p w14:paraId="482B1D27" w14:textId="66370361" w:rsidR="00633B1A" w:rsidRPr="00322C53" w:rsidRDefault="00633B1A" w:rsidP="00AB144F">
            <w:pPr>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22C53">
              <w:rPr>
                <w:rFonts w:ascii="Arial" w:hAnsi="Arial" w:cs="Arial"/>
                <w:color w:val="FFFFFF" w:themeColor="background1"/>
                <w:sz w:val="20"/>
                <w:szCs w:val="20"/>
              </w:rPr>
              <w:t>Valor de Factura ($)</w:t>
            </w:r>
          </w:p>
        </w:tc>
      </w:tr>
      <w:tr w:rsidR="00322C53" w:rsidRPr="00322C53" w14:paraId="5736277D"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5AD992A0" w14:textId="3E6FA108" w:rsidR="00322C53" w:rsidRPr="00322C53" w:rsidRDefault="00322C53" w:rsidP="00AB144F">
            <w:pPr>
              <w:spacing w:before="80" w:after="60"/>
              <w:jc w:val="center"/>
              <w:rPr>
                <w:rFonts w:ascii="Arial" w:hAnsi="Arial" w:cs="Arial"/>
                <w:color w:val="0F243E" w:themeColor="text2" w:themeShade="80"/>
                <w:sz w:val="20"/>
                <w:szCs w:val="20"/>
              </w:rPr>
            </w:pPr>
            <w:r w:rsidRPr="00322C53">
              <w:rPr>
                <w:rFonts w:ascii="Arial" w:hAnsi="Arial" w:cs="Arial"/>
                <w:color w:val="0F243E" w:themeColor="text2" w:themeShade="80"/>
                <w:sz w:val="20"/>
                <w:szCs w:val="20"/>
              </w:rPr>
              <w:t>Julio</w:t>
            </w:r>
          </w:p>
        </w:tc>
        <w:tc>
          <w:tcPr>
            <w:tcW w:w="0" w:type="auto"/>
            <w:noWrap/>
            <w:vAlign w:val="center"/>
            <w:hideMark/>
          </w:tcPr>
          <w:p w14:paraId="67DAFACF"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1° Quincena </w:t>
            </w:r>
          </w:p>
        </w:tc>
        <w:tc>
          <w:tcPr>
            <w:tcW w:w="0" w:type="auto"/>
            <w:noWrap/>
            <w:vAlign w:val="center"/>
            <w:hideMark/>
          </w:tcPr>
          <w:p w14:paraId="56D4CC9C" w14:textId="27E321D8"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7</w:t>
            </w:r>
          </w:p>
        </w:tc>
        <w:tc>
          <w:tcPr>
            <w:tcW w:w="0" w:type="auto"/>
            <w:noWrap/>
            <w:vAlign w:val="center"/>
          </w:tcPr>
          <w:p w14:paraId="3CBA6EB7" w14:textId="109ECDCF"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1.758.333 </w:t>
            </w:r>
          </w:p>
        </w:tc>
      </w:tr>
      <w:tr w:rsidR="00322C53" w:rsidRPr="00322C53" w14:paraId="218D5CEE"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ign w:val="center"/>
            <w:hideMark/>
          </w:tcPr>
          <w:p w14:paraId="5395CB6A" w14:textId="77777777" w:rsidR="00322C53" w:rsidRPr="00322C53" w:rsidRDefault="00322C53" w:rsidP="00AB144F">
            <w:pPr>
              <w:spacing w:before="80" w:after="60"/>
              <w:rPr>
                <w:rFonts w:ascii="Arial" w:hAnsi="Arial" w:cs="Arial"/>
                <w:color w:val="0F243E" w:themeColor="text2" w:themeShade="80"/>
                <w:sz w:val="20"/>
                <w:szCs w:val="20"/>
              </w:rPr>
            </w:pPr>
          </w:p>
        </w:tc>
        <w:tc>
          <w:tcPr>
            <w:tcW w:w="0" w:type="auto"/>
            <w:noWrap/>
            <w:vAlign w:val="center"/>
            <w:hideMark/>
          </w:tcPr>
          <w:p w14:paraId="34A975A7"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2° Quincena</w:t>
            </w:r>
          </w:p>
        </w:tc>
        <w:tc>
          <w:tcPr>
            <w:tcW w:w="0" w:type="auto"/>
            <w:noWrap/>
            <w:vAlign w:val="center"/>
            <w:hideMark/>
          </w:tcPr>
          <w:p w14:paraId="641360D5" w14:textId="4B1B9ED7"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6</w:t>
            </w:r>
          </w:p>
        </w:tc>
        <w:tc>
          <w:tcPr>
            <w:tcW w:w="0" w:type="auto"/>
            <w:noWrap/>
            <w:vAlign w:val="center"/>
          </w:tcPr>
          <w:p w14:paraId="5676AB10" w14:textId="374A41C9"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1.794.865 </w:t>
            </w:r>
          </w:p>
        </w:tc>
      </w:tr>
      <w:tr w:rsidR="00322C53" w:rsidRPr="00322C53" w14:paraId="7A1136C2"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4732E150" w14:textId="6A4BA5B0" w:rsidR="00322C53" w:rsidRPr="00322C53" w:rsidRDefault="00322C53" w:rsidP="00AB144F">
            <w:pPr>
              <w:spacing w:before="80" w:after="60"/>
              <w:jc w:val="center"/>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Agosto </w:t>
            </w:r>
          </w:p>
        </w:tc>
        <w:tc>
          <w:tcPr>
            <w:tcW w:w="0" w:type="auto"/>
            <w:noWrap/>
            <w:vAlign w:val="center"/>
            <w:hideMark/>
          </w:tcPr>
          <w:p w14:paraId="05FAA583"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1° Quincena </w:t>
            </w:r>
          </w:p>
        </w:tc>
        <w:tc>
          <w:tcPr>
            <w:tcW w:w="0" w:type="auto"/>
            <w:noWrap/>
            <w:vAlign w:val="center"/>
            <w:hideMark/>
          </w:tcPr>
          <w:p w14:paraId="7BAC5832" w14:textId="6754A8A3"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7</w:t>
            </w:r>
          </w:p>
        </w:tc>
        <w:tc>
          <w:tcPr>
            <w:tcW w:w="0" w:type="auto"/>
            <w:noWrap/>
            <w:vAlign w:val="center"/>
          </w:tcPr>
          <w:p w14:paraId="1DC06C8E" w14:textId="36CA8FB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1.674.158 </w:t>
            </w:r>
          </w:p>
        </w:tc>
      </w:tr>
      <w:tr w:rsidR="00322C53" w:rsidRPr="00322C53" w14:paraId="67547FC8"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ign w:val="center"/>
            <w:hideMark/>
          </w:tcPr>
          <w:p w14:paraId="016EB301" w14:textId="77777777" w:rsidR="00322C53" w:rsidRPr="00322C53" w:rsidRDefault="00322C53" w:rsidP="00AB144F">
            <w:pPr>
              <w:spacing w:before="80" w:after="60"/>
              <w:rPr>
                <w:rFonts w:ascii="Arial" w:hAnsi="Arial" w:cs="Arial"/>
                <w:color w:val="0F243E" w:themeColor="text2" w:themeShade="80"/>
                <w:sz w:val="20"/>
                <w:szCs w:val="20"/>
              </w:rPr>
            </w:pPr>
          </w:p>
        </w:tc>
        <w:tc>
          <w:tcPr>
            <w:tcW w:w="0" w:type="auto"/>
            <w:noWrap/>
            <w:vAlign w:val="center"/>
            <w:hideMark/>
          </w:tcPr>
          <w:p w14:paraId="0ED5F107"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2° Quincena</w:t>
            </w:r>
          </w:p>
        </w:tc>
        <w:tc>
          <w:tcPr>
            <w:tcW w:w="0" w:type="auto"/>
            <w:noWrap/>
            <w:vAlign w:val="center"/>
            <w:hideMark/>
          </w:tcPr>
          <w:p w14:paraId="408C4DD8" w14:textId="7F355D9C"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9</w:t>
            </w:r>
          </w:p>
        </w:tc>
        <w:tc>
          <w:tcPr>
            <w:tcW w:w="0" w:type="auto"/>
            <w:noWrap/>
            <w:vAlign w:val="center"/>
          </w:tcPr>
          <w:p w14:paraId="61933491" w14:textId="13F83534"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1.695.506 </w:t>
            </w:r>
          </w:p>
        </w:tc>
      </w:tr>
      <w:tr w:rsidR="00322C53" w:rsidRPr="00322C53" w14:paraId="6B87D121"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restart"/>
            <w:noWrap/>
            <w:vAlign w:val="center"/>
            <w:hideMark/>
          </w:tcPr>
          <w:p w14:paraId="2FB70515" w14:textId="2D32F3BA" w:rsidR="00322C53" w:rsidRPr="00322C53" w:rsidRDefault="00322C53" w:rsidP="00AB144F">
            <w:pPr>
              <w:spacing w:before="80" w:after="60"/>
              <w:jc w:val="center"/>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Septiembre </w:t>
            </w:r>
          </w:p>
        </w:tc>
        <w:tc>
          <w:tcPr>
            <w:tcW w:w="0" w:type="auto"/>
            <w:noWrap/>
            <w:vAlign w:val="center"/>
            <w:hideMark/>
          </w:tcPr>
          <w:p w14:paraId="1B4ABFE9"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1° Quincena </w:t>
            </w:r>
          </w:p>
        </w:tc>
        <w:tc>
          <w:tcPr>
            <w:tcW w:w="0" w:type="auto"/>
            <w:noWrap/>
            <w:vAlign w:val="center"/>
            <w:hideMark/>
          </w:tcPr>
          <w:p w14:paraId="1DB119D9" w14:textId="05851B86"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9</w:t>
            </w:r>
          </w:p>
        </w:tc>
        <w:tc>
          <w:tcPr>
            <w:tcW w:w="0" w:type="auto"/>
            <w:noWrap/>
            <w:vAlign w:val="center"/>
          </w:tcPr>
          <w:p w14:paraId="2E396942" w14:textId="341DB793"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1.820.144 </w:t>
            </w:r>
          </w:p>
        </w:tc>
      </w:tr>
      <w:tr w:rsidR="00322C53" w:rsidRPr="00322C53" w14:paraId="381B5EFB" w14:textId="77777777" w:rsidTr="00481136">
        <w:trPr>
          <w:cantSplit/>
          <w:jc w:val="center"/>
        </w:trPr>
        <w:tc>
          <w:tcPr>
            <w:cnfStyle w:val="001000000000" w:firstRow="0" w:lastRow="0" w:firstColumn="1" w:lastColumn="0" w:oddVBand="0" w:evenVBand="0" w:oddHBand="0" w:evenHBand="0" w:firstRowFirstColumn="0" w:firstRowLastColumn="0" w:lastRowFirstColumn="0" w:lastRowLastColumn="0"/>
            <w:tcW w:w="2020" w:type="dxa"/>
            <w:vMerge/>
            <w:vAlign w:val="center"/>
            <w:hideMark/>
          </w:tcPr>
          <w:p w14:paraId="546EDC1E" w14:textId="77777777" w:rsidR="00322C53" w:rsidRPr="00322C53" w:rsidRDefault="00322C53" w:rsidP="00AB144F">
            <w:pPr>
              <w:spacing w:before="80" w:after="60"/>
              <w:rPr>
                <w:rFonts w:ascii="Arial" w:hAnsi="Arial" w:cs="Arial"/>
                <w:color w:val="0F243E" w:themeColor="text2" w:themeShade="80"/>
                <w:sz w:val="20"/>
                <w:szCs w:val="20"/>
              </w:rPr>
            </w:pPr>
          </w:p>
        </w:tc>
        <w:tc>
          <w:tcPr>
            <w:tcW w:w="0" w:type="auto"/>
            <w:noWrap/>
            <w:vAlign w:val="center"/>
            <w:hideMark/>
          </w:tcPr>
          <w:p w14:paraId="3BFF51ED" w14:textId="77777777"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2° Quincena</w:t>
            </w:r>
          </w:p>
        </w:tc>
        <w:tc>
          <w:tcPr>
            <w:tcW w:w="0" w:type="auto"/>
            <w:noWrap/>
            <w:vAlign w:val="center"/>
            <w:hideMark/>
          </w:tcPr>
          <w:p w14:paraId="4CF6C192" w14:textId="14BD7874"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10</w:t>
            </w:r>
          </w:p>
        </w:tc>
        <w:tc>
          <w:tcPr>
            <w:tcW w:w="0" w:type="auto"/>
            <w:noWrap/>
            <w:vAlign w:val="center"/>
          </w:tcPr>
          <w:p w14:paraId="316CDB07" w14:textId="73185844" w:rsidR="00322C53"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 xml:space="preserve">                           1.709.657 </w:t>
            </w:r>
          </w:p>
        </w:tc>
      </w:tr>
      <w:tr w:rsidR="00322C53" w:rsidRPr="00322C53" w14:paraId="6553C595" w14:textId="77777777" w:rsidTr="00481136">
        <w:trPr>
          <w:cantSplit/>
          <w:trHeight w:val="574"/>
          <w:jc w:val="center"/>
        </w:trPr>
        <w:tc>
          <w:tcPr>
            <w:cnfStyle w:val="001000000000" w:firstRow="0" w:lastRow="0" w:firstColumn="1" w:lastColumn="0" w:oddVBand="0" w:evenVBand="0" w:oddHBand="0" w:evenHBand="0" w:firstRowFirstColumn="0" w:firstRowLastColumn="0" w:lastRowFirstColumn="0" w:lastRowLastColumn="0"/>
            <w:tcW w:w="3339" w:type="dxa"/>
            <w:gridSpan w:val="2"/>
            <w:shd w:val="clear" w:color="auto" w:fill="auto"/>
            <w:noWrap/>
            <w:vAlign w:val="center"/>
          </w:tcPr>
          <w:p w14:paraId="180C5FF3" w14:textId="029BB1BA" w:rsidR="00322C53" w:rsidRPr="00322C53" w:rsidRDefault="00322C53" w:rsidP="00AB144F">
            <w:pPr>
              <w:spacing w:before="80" w:after="60"/>
              <w:rPr>
                <w:rFonts w:ascii="Arial" w:hAnsi="Arial" w:cs="Arial"/>
                <w:b w:val="0"/>
                <w:bCs w:val="0"/>
                <w:color w:val="0F243E" w:themeColor="text2" w:themeShade="80"/>
                <w:sz w:val="20"/>
                <w:szCs w:val="20"/>
              </w:rPr>
            </w:pPr>
            <w:r w:rsidRPr="00322C53">
              <w:rPr>
                <w:rFonts w:ascii="Arial" w:hAnsi="Arial" w:cs="Arial"/>
                <w:b w:val="0"/>
                <w:bCs w:val="0"/>
                <w:color w:val="0F243E" w:themeColor="text2" w:themeShade="80"/>
                <w:sz w:val="20"/>
                <w:szCs w:val="20"/>
              </w:rPr>
              <w:t>Bonos Sodexo</w:t>
            </w:r>
          </w:p>
        </w:tc>
        <w:tc>
          <w:tcPr>
            <w:tcW w:w="0" w:type="auto"/>
            <w:shd w:val="clear" w:color="auto" w:fill="auto"/>
            <w:vAlign w:val="center"/>
          </w:tcPr>
          <w:p w14:paraId="131F1F57" w14:textId="2DC9AACB" w:rsidR="00322C53" w:rsidRPr="00322C53" w:rsidRDefault="00322C53" w:rsidP="00AB144F">
            <w:pPr>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1</w:t>
            </w:r>
          </w:p>
        </w:tc>
        <w:tc>
          <w:tcPr>
            <w:tcW w:w="0" w:type="auto"/>
            <w:shd w:val="clear" w:color="auto" w:fill="auto"/>
            <w:noWrap/>
            <w:vAlign w:val="center"/>
          </w:tcPr>
          <w:p w14:paraId="2C020A59" w14:textId="547EE659" w:rsidR="00322C53" w:rsidRPr="00322C53" w:rsidRDefault="00322C53" w:rsidP="00AB144F">
            <w:pPr>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22C53">
              <w:rPr>
                <w:rFonts w:ascii="Arial" w:hAnsi="Arial" w:cs="Arial"/>
                <w:color w:val="0F243E" w:themeColor="text2" w:themeShade="80"/>
                <w:sz w:val="20"/>
                <w:szCs w:val="20"/>
              </w:rPr>
              <w:t>300.000</w:t>
            </w:r>
          </w:p>
        </w:tc>
      </w:tr>
      <w:tr w:rsidR="00633B1A" w:rsidRPr="00322C53" w14:paraId="600F69E3" w14:textId="77777777" w:rsidTr="00481136">
        <w:trPr>
          <w:cantSplit/>
          <w:trHeight w:val="574"/>
          <w:jc w:val="center"/>
        </w:trPr>
        <w:tc>
          <w:tcPr>
            <w:cnfStyle w:val="001000000000" w:firstRow="0" w:lastRow="0" w:firstColumn="1" w:lastColumn="0" w:oddVBand="0" w:evenVBand="0" w:oddHBand="0" w:evenHBand="0" w:firstRowFirstColumn="0" w:firstRowLastColumn="0" w:lastRowFirstColumn="0" w:lastRowLastColumn="0"/>
            <w:tcW w:w="5676" w:type="dxa"/>
            <w:gridSpan w:val="3"/>
            <w:shd w:val="clear" w:color="auto" w:fill="4F81BD" w:themeFill="accent1"/>
            <w:noWrap/>
            <w:vAlign w:val="center"/>
            <w:hideMark/>
          </w:tcPr>
          <w:p w14:paraId="0D1788F2" w14:textId="5C37DE95" w:rsidR="00633B1A" w:rsidRPr="00322C53" w:rsidRDefault="00633B1A" w:rsidP="00AB144F">
            <w:pPr>
              <w:spacing w:before="80" w:after="60"/>
              <w:jc w:val="center"/>
              <w:rPr>
                <w:rFonts w:ascii="Arial" w:hAnsi="Arial" w:cs="Arial"/>
                <w:color w:val="FFFFFF" w:themeColor="background1"/>
                <w:sz w:val="20"/>
                <w:szCs w:val="20"/>
              </w:rPr>
            </w:pPr>
            <w:r w:rsidRPr="00322C53">
              <w:rPr>
                <w:rFonts w:ascii="Arial" w:hAnsi="Arial" w:cs="Arial"/>
                <w:color w:val="FFFFFF" w:themeColor="background1"/>
                <w:sz w:val="20"/>
                <w:szCs w:val="20"/>
              </w:rPr>
              <w:t xml:space="preserve">Total Gastos de Combustible </w:t>
            </w:r>
            <w:r w:rsidR="00322C53" w:rsidRPr="00322C53">
              <w:rPr>
                <w:rFonts w:ascii="Arial" w:hAnsi="Arial" w:cs="Arial"/>
                <w:color w:val="FFFFFF" w:themeColor="background1"/>
                <w:sz w:val="20"/>
                <w:szCs w:val="20"/>
              </w:rPr>
              <w:t>I</w:t>
            </w:r>
            <w:r w:rsidRPr="00322C53">
              <w:rPr>
                <w:rFonts w:ascii="Arial" w:hAnsi="Arial" w:cs="Arial"/>
                <w:color w:val="FFFFFF" w:themeColor="background1"/>
                <w:sz w:val="20"/>
                <w:szCs w:val="20"/>
              </w:rPr>
              <w:t>II Trimestre de 2020</w:t>
            </w:r>
          </w:p>
        </w:tc>
        <w:tc>
          <w:tcPr>
            <w:tcW w:w="0" w:type="auto"/>
            <w:shd w:val="clear" w:color="auto" w:fill="4F81BD" w:themeFill="accent1"/>
            <w:noWrap/>
            <w:vAlign w:val="center"/>
          </w:tcPr>
          <w:p w14:paraId="5AED6382" w14:textId="0703D702" w:rsidR="00633B1A" w:rsidRPr="00322C53" w:rsidRDefault="00322C53" w:rsidP="00AB144F">
            <w:pPr>
              <w:spacing w:before="8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22C53">
              <w:rPr>
                <w:rFonts w:ascii="Arial" w:hAnsi="Arial" w:cs="Arial"/>
                <w:b/>
                <w:bCs/>
                <w:color w:val="000000"/>
                <w:sz w:val="20"/>
                <w:szCs w:val="20"/>
              </w:rPr>
              <w:t xml:space="preserve">                         </w:t>
            </w:r>
            <w:r w:rsidRPr="00322C53">
              <w:rPr>
                <w:rFonts w:ascii="Arial" w:hAnsi="Arial" w:cs="Arial"/>
                <w:b/>
                <w:bCs/>
                <w:color w:val="FFFFFF" w:themeColor="background1"/>
                <w:sz w:val="20"/>
                <w:szCs w:val="20"/>
              </w:rPr>
              <w:t xml:space="preserve">10.752.663 </w:t>
            </w:r>
          </w:p>
        </w:tc>
      </w:tr>
    </w:tbl>
    <w:p w14:paraId="31B96D49" w14:textId="79DBB565" w:rsidR="00633B1A" w:rsidRPr="00CA48AF" w:rsidRDefault="00633B1A" w:rsidP="007C1419">
      <w:pPr>
        <w:jc w:val="both"/>
        <w:rPr>
          <w:rFonts w:ascii="Arial" w:hAnsi="Arial" w:cs="Arial"/>
          <w:color w:val="000000" w:themeColor="text1"/>
          <w:sz w:val="22"/>
          <w:szCs w:val="22"/>
          <w:highlight w:val="yellow"/>
        </w:rPr>
      </w:pPr>
    </w:p>
    <w:p w14:paraId="4FA467FE" w14:textId="10459793" w:rsidR="00633B1A" w:rsidRPr="00CA48AF" w:rsidRDefault="00633B1A" w:rsidP="009D7D19">
      <w:pPr>
        <w:ind w:left="360"/>
        <w:jc w:val="both"/>
        <w:rPr>
          <w:rFonts w:ascii="Arial" w:hAnsi="Arial" w:cs="Arial"/>
          <w:sz w:val="22"/>
          <w:szCs w:val="22"/>
          <w:highlight w:val="yellow"/>
        </w:rPr>
      </w:pPr>
      <w:r w:rsidRPr="00FA2D56">
        <w:rPr>
          <w:rFonts w:ascii="Arial" w:hAnsi="Arial" w:cs="Arial"/>
          <w:sz w:val="22"/>
          <w:szCs w:val="22"/>
        </w:rPr>
        <w:t xml:space="preserve">De igual forma, </w:t>
      </w:r>
      <w:r w:rsidR="008A227B" w:rsidRPr="00FA2D56">
        <w:rPr>
          <w:rFonts w:ascii="Arial" w:hAnsi="Arial" w:cs="Arial"/>
          <w:sz w:val="22"/>
          <w:szCs w:val="22"/>
        </w:rPr>
        <w:t>con base en los soportes de los tiquetes de venta expedidos por el contratista</w:t>
      </w:r>
      <w:r w:rsidR="005E5514" w:rsidRPr="00FA2D56">
        <w:rPr>
          <w:rFonts w:ascii="Arial" w:hAnsi="Arial" w:cs="Arial"/>
          <w:sz w:val="22"/>
          <w:szCs w:val="22"/>
        </w:rPr>
        <w:t>,</w:t>
      </w:r>
      <w:r w:rsidR="008A227B" w:rsidRPr="00FA2D56">
        <w:rPr>
          <w:rFonts w:ascii="Arial" w:hAnsi="Arial" w:cs="Arial"/>
          <w:sz w:val="22"/>
          <w:szCs w:val="22"/>
        </w:rPr>
        <w:t xml:space="preserve"> se constató que, </w:t>
      </w:r>
      <w:r w:rsidRPr="00FA2D56">
        <w:rPr>
          <w:rFonts w:ascii="Arial" w:hAnsi="Arial" w:cs="Arial"/>
          <w:sz w:val="22"/>
          <w:szCs w:val="22"/>
        </w:rPr>
        <w:t xml:space="preserve">dentro de los vehículos </w:t>
      </w:r>
      <w:r w:rsidR="008A227B" w:rsidRPr="00FA2D56">
        <w:rPr>
          <w:rFonts w:ascii="Arial" w:hAnsi="Arial" w:cs="Arial"/>
          <w:sz w:val="22"/>
          <w:szCs w:val="22"/>
        </w:rPr>
        <w:t xml:space="preserve">que hicieron uso del servicio de combustible estaban los </w:t>
      </w:r>
      <w:r w:rsidR="00784AF9" w:rsidRPr="00FA2D56">
        <w:rPr>
          <w:rFonts w:ascii="Arial" w:hAnsi="Arial" w:cs="Arial"/>
          <w:sz w:val="22"/>
          <w:szCs w:val="22"/>
        </w:rPr>
        <w:t xml:space="preserve">correspondientes </w:t>
      </w:r>
      <w:r w:rsidR="00CD14F9" w:rsidRPr="00FA2D56">
        <w:rPr>
          <w:rFonts w:ascii="Arial" w:hAnsi="Arial" w:cs="Arial"/>
          <w:sz w:val="22"/>
          <w:szCs w:val="22"/>
        </w:rPr>
        <w:t>al esquema</w:t>
      </w:r>
      <w:r w:rsidRPr="00FA2D56">
        <w:rPr>
          <w:rFonts w:ascii="Arial" w:hAnsi="Arial" w:cs="Arial"/>
          <w:sz w:val="22"/>
          <w:szCs w:val="22"/>
        </w:rPr>
        <w:t xml:space="preserve"> de seguridad del Ministro de Hacienda y el Viceministro General</w:t>
      </w:r>
      <w:r w:rsidR="00FA2D56">
        <w:rPr>
          <w:rFonts w:ascii="Arial" w:hAnsi="Arial" w:cs="Arial"/>
          <w:sz w:val="22"/>
          <w:szCs w:val="22"/>
        </w:rPr>
        <w:t>, así como, los asignados a prestar el servicio de operativos y el traslado de directivos.</w:t>
      </w:r>
    </w:p>
    <w:p w14:paraId="45593DC9" w14:textId="0BA41CB1" w:rsidR="00784AF9" w:rsidRPr="00F43C59" w:rsidRDefault="00784AF9" w:rsidP="00633B1A">
      <w:pPr>
        <w:jc w:val="both"/>
        <w:rPr>
          <w:rFonts w:ascii="Arial" w:hAnsi="Arial" w:cs="Arial"/>
          <w:sz w:val="22"/>
          <w:szCs w:val="22"/>
        </w:rPr>
      </w:pPr>
    </w:p>
    <w:p w14:paraId="31ED6F85" w14:textId="44FA3C4E" w:rsidR="00784AF9" w:rsidRPr="00F43C59" w:rsidRDefault="008B5BA1" w:rsidP="008B5BA1">
      <w:pPr>
        <w:pStyle w:val="Prrafodelista"/>
        <w:numPr>
          <w:ilvl w:val="0"/>
          <w:numId w:val="27"/>
        </w:numPr>
        <w:rPr>
          <w:rFonts w:ascii="Arial" w:hAnsi="Arial" w:cs="Arial"/>
          <w:color w:val="000000" w:themeColor="text1"/>
          <w:sz w:val="22"/>
          <w:szCs w:val="22"/>
        </w:rPr>
      </w:pPr>
      <w:r w:rsidRPr="00F43C59">
        <w:rPr>
          <w:rFonts w:ascii="Arial" w:hAnsi="Arial" w:cs="Arial"/>
          <w:color w:val="000000" w:themeColor="text1"/>
          <w:sz w:val="22"/>
          <w:szCs w:val="22"/>
        </w:rPr>
        <w:t xml:space="preserve">De acuerdo con la información consultada en el SIIF, referente a los gastos de combustible del </w:t>
      </w:r>
      <w:r w:rsidR="00481136">
        <w:rPr>
          <w:rFonts w:ascii="Arial" w:hAnsi="Arial" w:cs="Arial"/>
          <w:color w:val="000000" w:themeColor="text1"/>
          <w:sz w:val="22"/>
          <w:szCs w:val="22"/>
        </w:rPr>
        <w:t xml:space="preserve">tercer </w:t>
      </w:r>
      <w:r w:rsidRPr="00F43C59">
        <w:rPr>
          <w:rFonts w:ascii="Arial" w:hAnsi="Arial" w:cs="Arial"/>
          <w:color w:val="000000" w:themeColor="text1"/>
          <w:sz w:val="22"/>
          <w:szCs w:val="22"/>
        </w:rPr>
        <w:t xml:space="preserve">trimestre de 2020, se </w:t>
      </w:r>
      <w:r w:rsidR="00FD4BDD" w:rsidRPr="00F43C59">
        <w:rPr>
          <w:rFonts w:ascii="Arial" w:hAnsi="Arial" w:cs="Arial"/>
          <w:color w:val="000000" w:themeColor="text1"/>
          <w:sz w:val="22"/>
          <w:szCs w:val="22"/>
        </w:rPr>
        <w:t xml:space="preserve">comparó </w:t>
      </w:r>
      <w:r w:rsidR="00F3702B" w:rsidRPr="00F43C59">
        <w:rPr>
          <w:rFonts w:ascii="Arial" w:hAnsi="Arial" w:cs="Arial"/>
          <w:color w:val="000000" w:themeColor="text1"/>
          <w:sz w:val="22"/>
          <w:szCs w:val="22"/>
        </w:rPr>
        <w:t xml:space="preserve">con la información allegada por la Subdirección de Servicios, confirmando que las cifras de las fuentes verificadas son concordantes, de igual forma, se efectuó el respectivo análisis, así: </w:t>
      </w:r>
    </w:p>
    <w:p w14:paraId="31A4D2E5" w14:textId="77777777" w:rsidR="00F3702B" w:rsidRPr="00F43C59" w:rsidRDefault="00F3702B" w:rsidP="00F3702B">
      <w:pPr>
        <w:rPr>
          <w:rFonts w:ascii="Arial" w:hAnsi="Arial" w:cs="Arial"/>
          <w:color w:val="000000" w:themeColor="text1"/>
          <w:sz w:val="22"/>
          <w:szCs w:val="22"/>
        </w:rPr>
      </w:pPr>
    </w:p>
    <w:tbl>
      <w:tblPr>
        <w:tblStyle w:val="Tabladecuadrcula1clara-nfasis1"/>
        <w:tblW w:w="0" w:type="auto"/>
        <w:tblInd w:w="421" w:type="dxa"/>
        <w:tblLook w:val="04A0" w:firstRow="1" w:lastRow="0" w:firstColumn="1" w:lastColumn="0" w:noHBand="0" w:noVBand="1"/>
      </w:tblPr>
      <w:tblGrid>
        <w:gridCol w:w="1559"/>
        <w:gridCol w:w="1276"/>
        <w:gridCol w:w="1292"/>
        <w:gridCol w:w="1106"/>
        <w:gridCol w:w="1139"/>
        <w:gridCol w:w="1428"/>
        <w:gridCol w:w="1408"/>
      </w:tblGrid>
      <w:tr w:rsidR="00481136" w:rsidRPr="00481136" w14:paraId="32E4CCC6" w14:textId="77777777" w:rsidTr="001B6534">
        <w:trPr>
          <w:cnfStyle w:val="100000000000" w:firstRow="1" w:lastRow="0" w:firstColumn="0" w:lastColumn="0" w:oddVBand="0" w:evenVBand="0" w:oddHBand="0" w:evenHBand="0" w:firstRowFirstColumn="0" w:firstRowLastColumn="0" w:lastRowFirstColumn="0" w:lastRowLastColumn="0"/>
          <w:cantSplit/>
          <w:trHeight w:val="1203"/>
        </w:trPr>
        <w:tc>
          <w:tcPr>
            <w:cnfStyle w:val="001000000000" w:firstRow="0" w:lastRow="0" w:firstColumn="1" w:lastColumn="0" w:oddVBand="0" w:evenVBand="0" w:oddHBand="0" w:evenHBand="0" w:firstRowFirstColumn="0" w:firstRowLastColumn="0" w:lastRowFirstColumn="0" w:lastRowLastColumn="0"/>
            <w:tcW w:w="1559" w:type="dxa"/>
            <w:shd w:val="clear" w:color="auto" w:fill="4F81BD" w:themeFill="accent1"/>
            <w:vAlign w:val="center"/>
            <w:hideMark/>
          </w:tcPr>
          <w:p w14:paraId="34289A8E" w14:textId="77777777" w:rsidR="00474F6E" w:rsidRPr="00481136" w:rsidRDefault="00474F6E" w:rsidP="00FF2AE0">
            <w:pPr>
              <w:spacing w:before="80" w:after="100"/>
              <w:rPr>
                <w:rFonts w:ascii="Arial" w:hAnsi="Arial" w:cs="Arial"/>
                <w:color w:val="FFFFFF"/>
                <w:sz w:val="20"/>
                <w:szCs w:val="20"/>
              </w:rPr>
            </w:pPr>
            <w:r w:rsidRPr="00481136">
              <w:rPr>
                <w:rFonts w:ascii="Arial" w:hAnsi="Arial" w:cs="Arial"/>
                <w:color w:val="FFFFFF"/>
                <w:sz w:val="20"/>
                <w:szCs w:val="20"/>
              </w:rPr>
              <w:t>Periodo</w:t>
            </w:r>
          </w:p>
        </w:tc>
        <w:tc>
          <w:tcPr>
            <w:tcW w:w="1276" w:type="dxa"/>
            <w:shd w:val="clear" w:color="auto" w:fill="4F81BD" w:themeFill="accent1"/>
            <w:vAlign w:val="center"/>
            <w:hideMark/>
          </w:tcPr>
          <w:p w14:paraId="14BE0B30" w14:textId="01989511"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Gasto de Gasolina ($</w:t>
            </w:r>
            <w:r w:rsidR="00481136">
              <w:rPr>
                <w:rFonts w:ascii="Arial" w:hAnsi="Arial" w:cs="Arial"/>
                <w:color w:val="FFFFFF"/>
                <w:sz w:val="20"/>
                <w:szCs w:val="20"/>
              </w:rPr>
              <w:t>)</w:t>
            </w:r>
          </w:p>
        </w:tc>
        <w:tc>
          <w:tcPr>
            <w:tcW w:w="1292" w:type="dxa"/>
            <w:shd w:val="clear" w:color="auto" w:fill="4F81BD" w:themeFill="accent1"/>
            <w:vAlign w:val="center"/>
            <w:hideMark/>
          </w:tcPr>
          <w:p w14:paraId="59BFDC7E" w14:textId="0FB471BE"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 xml:space="preserve">Consumo en Galones </w:t>
            </w:r>
          </w:p>
        </w:tc>
        <w:tc>
          <w:tcPr>
            <w:tcW w:w="1106" w:type="dxa"/>
            <w:shd w:val="clear" w:color="auto" w:fill="4F81BD" w:themeFill="accent1"/>
            <w:vAlign w:val="center"/>
            <w:hideMark/>
          </w:tcPr>
          <w:p w14:paraId="307AC67C" w14:textId="77777777"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Gasto de ACPM ($)</w:t>
            </w:r>
          </w:p>
        </w:tc>
        <w:tc>
          <w:tcPr>
            <w:tcW w:w="1139" w:type="dxa"/>
            <w:shd w:val="clear" w:color="auto" w:fill="4F81BD" w:themeFill="accent1"/>
            <w:vAlign w:val="center"/>
            <w:hideMark/>
          </w:tcPr>
          <w:p w14:paraId="711D4E6C" w14:textId="11319A0A"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 xml:space="preserve">Consumo en Galones </w:t>
            </w:r>
          </w:p>
        </w:tc>
        <w:tc>
          <w:tcPr>
            <w:tcW w:w="1428" w:type="dxa"/>
            <w:shd w:val="clear" w:color="auto" w:fill="4F81BD" w:themeFill="accent1"/>
            <w:vAlign w:val="center"/>
            <w:hideMark/>
          </w:tcPr>
          <w:p w14:paraId="0C567B1A" w14:textId="77777777"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Total Gasto Combustible ($)</w:t>
            </w:r>
          </w:p>
        </w:tc>
        <w:tc>
          <w:tcPr>
            <w:tcW w:w="1408" w:type="dxa"/>
            <w:shd w:val="clear" w:color="auto" w:fill="4F81BD" w:themeFill="accent1"/>
            <w:vAlign w:val="center"/>
            <w:hideMark/>
          </w:tcPr>
          <w:p w14:paraId="6CBD3D47" w14:textId="77777777" w:rsidR="00474F6E" w:rsidRPr="00481136" w:rsidRDefault="00474F6E" w:rsidP="00FF2AE0">
            <w:pPr>
              <w:spacing w:before="8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481136">
              <w:rPr>
                <w:rFonts w:ascii="Arial" w:hAnsi="Arial" w:cs="Arial"/>
                <w:color w:val="FFFFFF"/>
                <w:sz w:val="20"/>
                <w:szCs w:val="20"/>
              </w:rPr>
              <w:t>Total Consumo en Galones (#)</w:t>
            </w:r>
          </w:p>
        </w:tc>
      </w:tr>
      <w:tr w:rsidR="00481136" w:rsidRPr="00481136" w14:paraId="59772767" w14:textId="77777777" w:rsidTr="001B6534">
        <w:trPr>
          <w:cantSplit/>
          <w:trHeight w:val="535"/>
        </w:trPr>
        <w:tc>
          <w:tcPr>
            <w:cnfStyle w:val="001000000000" w:firstRow="0" w:lastRow="0" w:firstColumn="1" w:lastColumn="0" w:oddVBand="0" w:evenVBand="0" w:oddHBand="0" w:evenHBand="0" w:firstRowFirstColumn="0" w:firstRowLastColumn="0" w:lastRowFirstColumn="0" w:lastRowLastColumn="0"/>
            <w:tcW w:w="1559" w:type="dxa"/>
            <w:noWrap/>
            <w:vAlign w:val="center"/>
            <w:hideMark/>
          </w:tcPr>
          <w:p w14:paraId="0E9084B3" w14:textId="3CA07778" w:rsidR="00481136" w:rsidRPr="00481136" w:rsidRDefault="00481136" w:rsidP="00FF2AE0">
            <w:pPr>
              <w:spacing w:before="80" w:after="100"/>
              <w:jc w:val="center"/>
              <w:rPr>
                <w:rFonts w:ascii="Arial" w:hAnsi="Arial" w:cs="Arial"/>
                <w:color w:val="0F243E"/>
                <w:sz w:val="20"/>
                <w:szCs w:val="20"/>
              </w:rPr>
            </w:pPr>
            <w:r>
              <w:rPr>
                <w:rFonts w:ascii="Arial" w:hAnsi="Arial" w:cs="Arial"/>
                <w:color w:val="0F243E"/>
                <w:sz w:val="20"/>
                <w:szCs w:val="20"/>
              </w:rPr>
              <w:t>Julio</w:t>
            </w:r>
            <w:r w:rsidRPr="00481136">
              <w:rPr>
                <w:rFonts w:ascii="Arial" w:hAnsi="Arial" w:cs="Arial"/>
                <w:color w:val="0F243E"/>
                <w:sz w:val="20"/>
                <w:szCs w:val="20"/>
              </w:rPr>
              <w:t xml:space="preserve"> </w:t>
            </w:r>
          </w:p>
        </w:tc>
        <w:tc>
          <w:tcPr>
            <w:tcW w:w="1276" w:type="dxa"/>
            <w:vAlign w:val="center"/>
          </w:tcPr>
          <w:p w14:paraId="593F866A" w14:textId="3A7442F9"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1.033.827 </w:t>
            </w:r>
          </w:p>
        </w:tc>
        <w:tc>
          <w:tcPr>
            <w:tcW w:w="1292" w:type="dxa"/>
            <w:vAlign w:val="center"/>
          </w:tcPr>
          <w:p w14:paraId="751483F8" w14:textId="46A9ACF6" w:rsidR="00481136" w:rsidRPr="001B6534" w:rsidRDefault="00481136"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132 </w:t>
            </w:r>
          </w:p>
        </w:tc>
        <w:tc>
          <w:tcPr>
            <w:tcW w:w="1106" w:type="dxa"/>
            <w:vAlign w:val="center"/>
          </w:tcPr>
          <w:p w14:paraId="2F17BDC7" w14:textId="0F8E5B63"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2.519.372 </w:t>
            </w:r>
          </w:p>
        </w:tc>
        <w:tc>
          <w:tcPr>
            <w:tcW w:w="1139" w:type="dxa"/>
            <w:vAlign w:val="center"/>
          </w:tcPr>
          <w:p w14:paraId="3CD8385C" w14:textId="51B1B44A"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322 </w:t>
            </w:r>
          </w:p>
        </w:tc>
        <w:tc>
          <w:tcPr>
            <w:tcW w:w="1428" w:type="dxa"/>
            <w:noWrap/>
            <w:vAlign w:val="center"/>
          </w:tcPr>
          <w:p w14:paraId="4DF6FCAF" w14:textId="361ED822" w:rsidR="00481136" w:rsidRPr="001B6534" w:rsidRDefault="00481136" w:rsidP="00FF2AE0">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3.553.199 </w:t>
            </w:r>
          </w:p>
        </w:tc>
        <w:tc>
          <w:tcPr>
            <w:tcW w:w="1408" w:type="dxa"/>
            <w:noWrap/>
            <w:vAlign w:val="center"/>
          </w:tcPr>
          <w:p w14:paraId="1748A88F" w14:textId="73A19286"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455 </w:t>
            </w:r>
          </w:p>
        </w:tc>
      </w:tr>
      <w:tr w:rsidR="00481136" w:rsidRPr="00481136" w14:paraId="4BA964CD" w14:textId="77777777" w:rsidTr="001B6534">
        <w:trPr>
          <w:cantSplit/>
          <w:trHeight w:val="549"/>
        </w:trPr>
        <w:tc>
          <w:tcPr>
            <w:cnfStyle w:val="001000000000" w:firstRow="0" w:lastRow="0" w:firstColumn="1" w:lastColumn="0" w:oddVBand="0" w:evenVBand="0" w:oddHBand="0" w:evenHBand="0" w:firstRowFirstColumn="0" w:firstRowLastColumn="0" w:lastRowFirstColumn="0" w:lastRowLastColumn="0"/>
            <w:tcW w:w="1559" w:type="dxa"/>
            <w:noWrap/>
            <w:vAlign w:val="center"/>
            <w:hideMark/>
          </w:tcPr>
          <w:p w14:paraId="4B2F6FC3" w14:textId="3ADAFE58" w:rsidR="00481136" w:rsidRPr="00481136" w:rsidRDefault="00481136" w:rsidP="00FF2AE0">
            <w:pPr>
              <w:spacing w:before="80" w:after="100"/>
              <w:jc w:val="center"/>
              <w:rPr>
                <w:rFonts w:ascii="Arial" w:hAnsi="Arial" w:cs="Arial"/>
                <w:color w:val="0F243E"/>
                <w:sz w:val="20"/>
                <w:szCs w:val="20"/>
              </w:rPr>
            </w:pPr>
            <w:r>
              <w:rPr>
                <w:rFonts w:ascii="Arial" w:hAnsi="Arial" w:cs="Arial"/>
                <w:color w:val="0F243E"/>
                <w:sz w:val="20"/>
                <w:szCs w:val="20"/>
              </w:rPr>
              <w:t xml:space="preserve">Agosto </w:t>
            </w:r>
            <w:r w:rsidRPr="00481136">
              <w:rPr>
                <w:rFonts w:ascii="Arial" w:hAnsi="Arial" w:cs="Arial"/>
                <w:color w:val="0F243E"/>
                <w:sz w:val="20"/>
                <w:szCs w:val="20"/>
              </w:rPr>
              <w:t xml:space="preserve"> </w:t>
            </w:r>
          </w:p>
        </w:tc>
        <w:tc>
          <w:tcPr>
            <w:tcW w:w="1276" w:type="dxa"/>
            <w:vAlign w:val="center"/>
          </w:tcPr>
          <w:p w14:paraId="75DF6168" w14:textId="491CFFC9"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1.181.203 </w:t>
            </w:r>
          </w:p>
        </w:tc>
        <w:tc>
          <w:tcPr>
            <w:tcW w:w="1292" w:type="dxa"/>
            <w:vAlign w:val="center"/>
          </w:tcPr>
          <w:p w14:paraId="15A8BD42" w14:textId="78573AE9" w:rsidR="00481136" w:rsidRPr="001B6534" w:rsidRDefault="00481136"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151 </w:t>
            </w:r>
          </w:p>
        </w:tc>
        <w:tc>
          <w:tcPr>
            <w:tcW w:w="1106" w:type="dxa"/>
            <w:vAlign w:val="center"/>
          </w:tcPr>
          <w:p w14:paraId="057144CD" w14:textId="32E9D207"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2.188.461 </w:t>
            </w:r>
          </w:p>
        </w:tc>
        <w:tc>
          <w:tcPr>
            <w:tcW w:w="1139" w:type="dxa"/>
            <w:vAlign w:val="center"/>
          </w:tcPr>
          <w:p w14:paraId="65692C4F" w14:textId="4D44BEA0" w:rsidR="00481136" w:rsidRPr="001B6534" w:rsidRDefault="00481136"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282 </w:t>
            </w:r>
          </w:p>
        </w:tc>
        <w:tc>
          <w:tcPr>
            <w:tcW w:w="1428" w:type="dxa"/>
            <w:noWrap/>
            <w:vAlign w:val="center"/>
          </w:tcPr>
          <w:p w14:paraId="0ED5C99D" w14:textId="74D00601" w:rsidR="00481136" w:rsidRPr="001B6534" w:rsidRDefault="00481136" w:rsidP="00FF2AE0">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3.369.664 </w:t>
            </w:r>
          </w:p>
        </w:tc>
        <w:tc>
          <w:tcPr>
            <w:tcW w:w="1408" w:type="dxa"/>
            <w:noWrap/>
            <w:vAlign w:val="center"/>
          </w:tcPr>
          <w:p w14:paraId="3AA449A0" w14:textId="7BF6902C" w:rsidR="00481136" w:rsidRPr="001B6534" w:rsidRDefault="00481136"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433 </w:t>
            </w:r>
          </w:p>
        </w:tc>
      </w:tr>
      <w:tr w:rsidR="00A32DF2" w:rsidRPr="00481136" w14:paraId="46D0F3D2" w14:textId="77777777" w:rsidTr="001B6534">
        <w:trPr>
          <w:cantSplit/>
          <w:trHeight w:val="556"/>
        </w:trPr>
        <w:tc>
          <w:tcPr>
            <w:cnfStyle w:val="001000000000" w:firstRow="0" w:lastRow="0" w:firstColumn="1" w:lastColumn="0" w:oddVBand="0" w:evenVBand="0" w:oddHBand="0" w:evenHBand="0" w:firstRowFirstColumn="0" w:firstRowLastColumn="0" w:lastRowFirstColumn="0" w:lastRowLastColumn="0"/>
            <w:tcW w:w="1559" w:type="dxa"/>
            <w:noWrap/>
            <w:vAlign w:val="center"/>
            <w:hideMark/>
          </w:tcPr>
          <w:p w14:paraId="3C8CF8F8" w14:textId="0E6C2AB2" w:rsidR="00A32DF2" w:rsidRPr="00481136" w:rsidRDefault="00A32DF2" w:rsidP="00FF2AE0">
            <w:pPr>
              <w:spacing w:before="80" w:after="100"/>
              <w:jc w:val="center"/>
              <w:rPr>
                <w:rFonts w:ascii="Arial" w:hAnsi="Arial" w:cs="Arial"/>
                <w:color w:val="0F243E"/>
                <w:sz w:val="20"/>
                <w:szCs w:val="20"/>
              </w:rPr>
            </w:pPr>
            <w:r>
              <w:rPr>
                <w:rFonts w:ascii="Arial" w:hAnsi="Arial" w:cs="Arial"/>
                <w:color w:val="0F243E"/>
                <w:sz w:val="20"/>
                <w:szCs w:val="20"/>
              </w:rPr>
              <w:t>Septiembre</w:t>
            </w:r>
          </w:p>
        </w:tc>
        <w:tc>
          <w:tcPr>
            <w:tcW w:w="1276" w:type="dxa"/>
            <w:vAlign w:val="center"/>
          </w:tcPr>
          <w:p w14:paraId="07381C89" w14:textId="2575F146" w:rsidR="00A32DF2" w:rsidRPr="001B6534" w:rsidRDefault="00A32DF2" w:rsidP="00FF2AE0">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801.868 </w:t>
            </w:r>
          </w:p>
        </w:tc>
        <w:tc>
          <w:tcPr>
            <w:tcW w:w="1292" w:type="dxa"/>
            <w:vAlign w:val="center"/>
          </w:tcPr>
          <w:p w14:paraId="0EAB7077" w14:textId="38B5CF70" w:rsidR="00A32DF2" w:rsidRPr="001B6534" w:rsidRDefault="00A32DF2"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103 </w:t>
            </w:r>
          </w:p>
        </w:tc>
        <w:tc>
          <w:tcPr>
            <w:tcW w:w="1106" w:type="dxa"/>
            <w:vAlign w:val="center"/>
          </w:tcPr>
          <w:p w14:paraId="62063DA6" w14:textId="4FD120AA" w:rsidR="00A32DF2" w:rsidRPr="001B6534"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3.027.934 </w:t>
            </w:r>
          </w:p>
        </w:tc>
        <w:tc>
          <w:tcPr>
            <w:tcW w:w="1139" w:type="dxa"/>
            <w:vAlign w:val="center"/>
          </w:tcPr>
          <w:p w14:paraId="247800E4" w14:textId="79C4EEEE" w:rsidR="00A32DF2" w:rsidRPr="001B6534"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389 </w:t>
            </w:r>
          </w:p>
        </w:tc>
        <w:tc>
          <w:tcPr>
            <w:tcW w:w="1428" w:type="dxa"/>
            <w:noWrap/>
            <w:vAlign w:val="center"/>
          </w:tcPr>
          <w:p w14:paraId="2AC700C6" w14:textId="6A6F321F" w:rsidR="00A32DF2" w:rsidRPr="001B6534" w:rsidRDefault="00A32DF2" w:rsidP="00FF2AE0">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3.829.801 </w:t>
            </w:r>
          </w:p>
        </w:tc>
        <w:tc>
          <w:tcPr>
            <w:tcW w:w="1408" w:type="dxa"/>
            <w:noWrap/>
            <w:vAlign w:val="center"/>
          </w:tcPr>
          <w:p w14:paraId="2F756C85" w14:textId="7226EA07" w:rsidR="00A32DF2" w:rsidRPr="001B6534"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B6534">
              <w:rPr>
                <w:rFonts w:ascii="Arial" w:hAnsi="Arial" w:cs="Arial"/>
                <w:color w:val="0F243E" w:themeColor="text2" w:themeShade="80"/>
                <w:sz w:val="20"/>
                <w:szCs w:val="20"/>
              </w:rPr>
              <w:t xml:space="preserve">              492 </w:t>
            </w:r>
          </w:p>
        </w:tc>
      </w:tr>
      <w:tr w:rsidR="00A32DF2" w:rsidRPr="00CA48AF" w14:paraId="45E1BAED" w14:textId="77777777" w:rsidTr="001B6534">
        <w:trPr>
          <w:cantSplit/>
        </w:trPr>
        <w:tc>
          <w:tcPr>
            <w:cnfStyle w:val="001000000000" w:firstRow="0" w:lastRow="0" w:firstColumn="1" w:lastColumn="0" w:oddVBand="0" w:evenVBand="0" w:oddHBand="0" w:evenHBand="0" w:firstRowFirstColumn="0" w:firstRowLastColumn="0" w:lastRowFirstColumn="0" w:lastRowLastColumn="0"/>
            <w:tcW w:w="1559" w:type="dxa"/>
            <w:shd w:val="clear" w:color="auto" w:fill="4F81BD" w:themeFill="accent1"/>
            <w:vAlign w:val="center"/>
            <w:hideMark/>
          </w:tcPr>
          <w:p w14:paraId="5926A065" w14:textId="77777777" w:rsidR="00A32DF2" w:rsidRPr="00481136" w:rsidRDefault="00A32DF2" w:rsidP="00FF2AE0">
            <w:pPr>
              <w:spacing w:before="80" w:after="100"/>
              <w:jc w:val="center"/>
              <w:rPr>
                <w:rFonts w:ascii="Arial" w:hAnsi="Arial" w:cs="Arial"/>
                <w:color w:val="FFFFFF"/>
                <w:sz w:val="20"/>
                <w:szCs w:val="20"/>
              </w:rPr>
            </w:pPr>
            <w:r w:rsidRPr="00481136">
              <w:rPr>
                <w:rFonts w:ascii="Arial" w:hAnsi="Arial" w:cs="Arial"/>
                <w:color w:val="FFFFFF"/>
                <w:sz w:val="20"/>
                <w:szCs w:val="20"/>
              </w:rPr>
              <w:t>Total</w:t>
            </w:r>
          </w:p>
        </w:tc>
        <w:tc>
          <w:tcPr>
            <w:tcW w:w="1276" w:type="dxa"/>
            <w:shd w:val="clear" w:color="auto" w:fill="4F81BD" w:themeFill="accent1"/>
            <w:vAlign w:val="center"/>
          </w:tcPr>
          <w:p w14:paraId="39E42C1E" w14:textId="106CA7E3" w:rsidR="00A32DF2" w:rsidRPr="00481136"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81136">
              <w:rPr>
                <w:rFonts w:ascii="Arial" w:hAnsi="Arial" w:cs="Arial"/>
                <w:b/>
                <w:bCs/>
                <w:color w:val="FFFFFF"/>
                <w:sz w:val="20"/>
                <w:szCs w:val="20"/>
              </w:rPr>
              <w:t xml:space="preserve"> 3.016.897 </w:t>
            </w:r>
          </w:p>
        </w:tc>
        <w:tc>
          <w:tcPr>
            <w:tcW w:w="1292" w:type="dxa"/>
            <w:shd w:val="clear" w:color="auto" w:fill="4F81BD" w:themeFill="accent1"/>
            <w:vAlign w:val="center"/>
          </w:tcPr>
          <w:p w14:paraId="017D442F" w14:textId="6A5EB80B" w:rsidR="00A32DF2" w:rsidRPr="00481136" w:rsidRDefault="00A32DF2"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481136">
              <w:rPr>
                <w:rFonts w:ascii="Arial" w:hAnsi="Arial" w:cs="Arial"/>
                <w:b/>
                <w:bCs/>
                <w:color w:val="FFFFFF"/>
                <w:sz w:val="20"/>
                <w:szCs w:val="20"/>
              </w:rPr>
              <w:t xml:space="preserve">            386 </w:t>
            </w:r>
          </w:p>
        </w:tc>
        <w:tc>
          <w:tcPr>
            <w:tcW w:w="1106" w:type="dxa"/>
            <w:shd w:val="clear" w:color="auto" w:fill="4F81BD" w:themeFill="accent1"/>
            <w:vAlign w:val="center"/>
          </w:tcPr>
          <w:p w14:paraId="3DAD64EA" w14:textId="5778D8CD" w:rsidR="00A32DF2" w:rsidRPr="00481136"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 xml:space="preserve">7.735.767 </w:t>
            </w:r>
          </w:p>
        </w:tc>
        <w:tc>
          <w:tcPr>
            <w:tcW w:w="1139" w:type="dxa"/>
            <w:shd w:val="clear" w:color="auto" w:fill="4F81BD" w:themeFill="accent1"/>
            <w:vAlign w:val="center"/>
          </w:tcPr>
          <w:p w14:paraId="4005346F" w14:textId="48FFBB6F" w:rsidR="00A32DF2" w:rsidRPr="00481136" w:rsidRDefault="00A32DF2" w:rsidP="00FF2AE0">
            <w:pPr>
              <w:spacing w:before="8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 xml:space="preserve">         993 </w:t>
            </w:r>
          </w:p>
        </w:tc>
        <w:tc>
          <w:tcPr>
            <w:tcW w:w="1428" w:type="dxa"/>
            <w:shd w:val="clear" w:color="auto" w:fill="4F81BD" w:themeFill="accent1"/>
            <w:vAlign w:val="center"/>
          </w:tcPr>
          <w:p w14:paraId="22B959F2" w14:textId="6BB3C2A3" w:rsidR="00A32DF2" w:rsidRPr="00481136" w:rsidRDefault="00A32DF2" w:rsidP="00FF2AE0">
            <w:pPr>
              <w:spacing w:before="8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 xml:space="preserve"> 10.752.664 </w:t>
            </w:r>
          </w:p>
        </w:tc>
        <w:tc>
          <w:tcPr>
            <w:tcW w:w="1408" w:type="dxa"/>
            <w:shd w:val="clear" w:color="auto" w:fill="4F81BD" w:themeFill="accent1"/>
            <w:vAlign w:val="center"/>
          </w:tcPr>
          <w:p w14:paraId="3BBC67AA" w14:textId="07442806" w:rsidR="00A32DF2" w:rsidRPr="00481136" w:rsidRDefault="00A32DF2" w:rsidP="00FF2AE0">
            <w:pPr>
              <w:spacing w:before="8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 xml:space="preserve">         1.380 </w:t>
            </w:r>
          </w:p>
        </w:tc>
      </w:tr>
    </w:tbl>
    <w:p w14:paraId="7079060E" w14:textId="77777777" w:rsidR="002D6281" w:rsidRDefault="00B43327" w:rsidP="00021B93">
      <w:pPr>
        <w:ind w:left="426" w:hanging="284"/>
        <w:jc w:val="both"/>
        <w:rPr>
          <w:rFonts w:ascii="Arial" w:hAnsi="Arial" w:cs="Arial"/>
          <w:color w:val="000000" w:themeColor="text1"/>
          <w:sz w:val="22"/>
          <w:szCs w:val="22"/>
        </w:rPr>
      </w:pPr>
      <w:r w:rsidRPr="00C6110B">
        <w:rPr>
          <w:rFonts w:ascii="Arial" w:hAnsi="Arial" w:cs="Arial"/>
          <w:color w:val="000000" w:themeColor="text1"/>
          <w:sz w:val="22"/>
          <w:szCs w:val="22"/>
        </w:rPr>
        <w:t xml:space="preserve">   </w:t>
      </w:r>
    </w:p>
    <w:p w14:paraId="277F63CA" w14:textId="2276A935" w:rsidR="00C6110B" w:rsidRDefault="0043677B" w:rsidP="002D6281">
      <w:pPr>
        <w:ind w:left="426"/>
        <w:jc w:val="both"/>
        <w:rPr>
          <w:rFonts w:ascii="Arial" w:hAnsi="Arial" w:cs="Arial"/>
          <w:color w:val="000000" w:themeColor="text1"/>
          <w:sz w:val="22"/>
          <w:szCs w:val="22"/>
        </w:rPr>
      </w:pPr>
      <w:r w:rsidRPr="00C6110B">
        <w:rPr>
          <w:rFonts w:ascii="Arial" w:hAnsi="Arial" w:cs="Arial"/>
          <w:color w:val="000000" w:themeColor="text1"/>
          <w:sz w:val="22"/>
          <w:szCs w:val="22"/>
        </w:rPr>
        <w:t xml:space="preserve">Del total de gasto de combustible registrado durante el </w:t>
      </w:r>
      <w:r w:rsidR="00C6110B">
        <w:rPr>
          <w:rFonts w:ascii="Arial" w:hAnsi="Arial" w:cs="Arial"/>
          <w:color w:val="000000" w:themeColor="text1"/>
          <w:sz w:val="22"/>
          <w:szCs w:val="22"/>
        </w:rPr>
        <w:t xml:space="preserve">tercer </w:t>
      </w:r>
      <w:r w:rsidRPr="00C6110B">
        <w:rPr>
          <w:rFonts w:ascii="Arial" w:hAnsi="Arial" w:cs="Arial"/>
          <w:color w:val="000000" w:themeColor="text1"/>
          <w:sz w:val="22"/>
          <w:szCs w:val="22"/>
        </w:rPr>
        <w:t xml:space="preserve">trimestre de 2020, el </w:t>
      </w:r>
      <w:r w:rsidR="00C6110B">
        <w:rPr>
          <w:rFonts w:ascii="Arial" w:hAnsi="Arial" w:cs="Arial"/>
          <w:color w:val="000000" w:themeColor="text1"/>
          <w:sz w:val="22"/>
          <w:szCs w:val="22"/>
        </w:rPr>
        <w:t>2</w:t>
      </w:r>
      <w:r w:rsidR="00A32DF2">
        <w:rPr>
          <w:rFonts w:ascii="Arial" w:hAnsi="Arial" w:cs="Arial"/>
          <w:color w:val="000000" w:themeColor="text1"/>
          <w:sz w:val="22"/>
          <w:szCs w:val="22"/>
        </w:rPr>
        <w:t>8</w:t>
      </w:r>
      <w:r w:rsidRPr="00C6110B">
        <w:rPr>
          <w:rFonts w:ascii="Arial" w:hAnsi="Arial" w:cs="Arial"/>
          <w:color w:val="000000" w:themeColor="text1"/>
          <w:sz w:val="22"/>
          <w:szCs w:val="22"/>
        </w:rPr>
        <w:t>%</w:t>
      </w:r>
      <w:r w:rsidR="00B20F87" w:rsidRPr="00C6110B">
        <w:rPr>
          <w:rFonts w:ascii="Arial" w:hAnsi="Arial" w:cs="Arial"/>
          <w:color w:val="000000" w:themeColor="text1"/>
          <w:sz w:val="22"/>
          <w:szCs w:val="22"/>
        </w:rPr>
        <w:t xml:space="preserve"> </w:t>
      </w:r>
      <w:r w:rsidRPr="00C6110B">
        <w:rPr>
          <w:rFonts w:ascii="Arial" w:hAnsi="Arial" w:cs="Arial"/>
          <w:color w:val="000000" w:themeColor="text1"/>
          <w:sz w:val="22"/>
          <w:szCs w:val="22"/>
        </w:rPr>
        <w:t xml:space="preserve">obedeció </w:t>
      </w:r>
      <w:r w:rsidR="000A2420" w:rsidRPr="00C6110B">
        <w:rPr>
          <w:rFonts w:ascii="Arial" w:hAnsi="Arial" w:cs="Arial"/>
          <w:color w:val="000000" w:themeColor="text1"/>
          <w:sz w:val="22"/>
          <w:szCs w:val="22"/>
        </w:rPr>
        <w:t>a</w:t>
      </w:r>
      <w:r w:rsidR="00021B93" w:rsidRPr="00C6110B">
        <w:rPr>
          <w:rFonts w:ascii="Arial" w:hAnsi="Arial" w:cs="Arial"/>
          <w:color w:val="000000" w:themeColor="text1"/>
          <w:sz w:val="22"/>
          <w:szCs w:val="22"/>
        </w:rPr>
        <w:t xml:space="preserve"> consumo de </w:t>
      </w:r>
      <w:r w:rsidR="000A2420" w:rsidRPr="00C6110B">
        <w:rPr>
          <w:rFonts w:ascii="Arial" w:hAnsi="Arial" w:cs="Arial"/>
          <w:color w:val="000000" w:themeColor="text1"/>
          <w:sz w:val="22"/>
          <w:szCs w:val="22"/>
        </w:rPr>
        <w:t>gasolina</w:t>
      </w:r>
      <w:r w:rsidRPr="00C6110B">
        <w:rPr>
          <w:rFonts w:ascii="Arial" w:hAnsi="Arial" w:cs="Arial"/>
          <w:color w:val="000000" w:themeColor="text1"/>
          <w:sz w:val="22"/>
          <w:szCs w:val="22"/>
        </w:rPr>
        <w:t xml:space="preserve"> y el </w:t>
      </w:r>
      <w:r w:rsidR="00C6110B">
        <w:rPr>
          <w:rFonts w:ascii="Arial" w:hAnsi="Arial" w:cs="Arial"/>
          <w:color w:val="000000" w:themeColor="text1"/>
          <w:sz w:val="22"/>
          <w:szCs w:val="22"/>
        </w:rPr>
        <w:t>7</w:t>
      </w:r>
      <w:r w:rsidR="00A32DF2">
        <w:rPr>
          <w:rFonts w:ascii="Arial" w:hAnsi="Arial" w:cs="Arial"/>
          <w:color w:val="000000" w:themeColor="text1"/>
          <w:sz w:val="22"/>
          <w:szCs w:val="22"/>
        </w:rPr>
        <w:t>2</w:t>
      </w:r>
      <w:r w:rsidR="000A2420" w:rsidRPr="00C6110B">
        <w:rPr>
          <w:rFonts w:ascii="Arial" w:hAnsi="Arial" w:cs="Arial"/>
          <w:color w:val="000000" w:themeColor="text1"/>
          <w:sz w:val="22"/>
          <w:szCs w:val="22"/>
        </w:rPr>
        <w:t>% a</w:t>
      </w:r>
      <w:r w:rsidRPr="00C6110B">
        <w:rPr>
          <w:rFonts w:ascii="Arial" w:hAnsi="Arial" w:cs="Arial"/>
          <w:color w:val="000000" w:themeColor="text1"/>
          <w:sz w:val="22"/>
          <w:szCs w:val="22"/>
        </w:rPr>
        <w:t xml:space="preserve"> ACPM.</w:t>
      </w:r>
      <w:r w:rsidR="00C6110B">
        <w:rPr>
          <w:rFonts w:ascii="Arial" w:hAnsi="Arial" w:cs="Arial"/>
          <w:color w:val="000000" w:themeColor="text1"/>
          <w:sz w:val="22"/>
          <w:szCs w:val="22"/>
        </w:rPr>
        <w:t xml:space="preserve"> </w:t>
      </w:r>
      <w:r w:rsidR="002D6281">
        <w:rPr>
          <w:rFonts w:ascii="Arial" w:hAnsi="Arial" w:cs="Arial"/>
          <w:color w:val="000000" w:themeColor="text1"/>
          <w:sz w:val="22"/>
          <w:szCs w:val="22"/>
        </w:rPr>
        <w:t xml:space="preserve">Con respecto al porcentaje de consumo de ACPM, se generó debido a </w:t>
      </w:r>
      <w:r w:rsidR="00C6110B">
        <w:rPr>
          <w:rFonts w:ascii="Arial" w:hAnsi="Arial" w:cs="Arial"/>
          <w:color w:val="000000" w:themeColor="text1"/>
          <w:sz w:val="22"/>
          <w:szCs w:val="22"/>
        </w:rPr>
        <w:t>que la mayor parte de los vehículos que presentaron consumo de combustible durante el periodo analizado corresponden a las camionetas del esquema de seguridad del Ministro de Hacienda y el Viceministro General, las cuales</w:t>
      </w:r>
      <w:r w:rsidR="009977B1">
        <w:rPr>
          <w:rFonts w:ascii="Arial" w:hAnsi="Arial" w:cs="Arial"/>
          <w:color w:val="000000" w:themeColor="text1"/>
          <w:sz w:val="22"/>
          <w:szCs w:val="22"/>
        </w:rPr>
        <w:t xml:space="preserve"> utilizan combustible </w:t>
      </w:r>
      <w:proofErr w:type="spellStart"/>
      <w:r w:rsidR="009977B1">
        <w:rPr>
          <w:rFonts w:ascii="Arial" w:hAnsi="Arial" w:cs="Arial"/>
          <w:color w:val="000000" w:themeColor="text1"/>
          <w:sz w:val="22"/>
          <w:szCs w:val="22"/>
        </w:rPr>
        <w:t>diesel</w:t>
      </w:r>
      <w:proofErr w:type="spellEnd"/>
      <w:r w:rsidR="002D6281">
        <w:rPr>
          <w:rFonts w:ascii="Arial" w:hAnsi="Arial" w:cs="Arial"/>
          <w:color w:val="000000" w:themeColor="text1"/>
          <w:sz w:val="22"/>
          <w:szCs w:val="22"/>
        </w:rPr>
        <w:t xml:space="preserve"> (ACPM).</w:t>
      </w:r>
    </w:p>
    <w:p w14:paraId="2F9C1984" w14:textId="77777777" w:rsidR="00C6110B" w:rsidRDefault="00C6110B" w:rsidP="00021B93">
      <w:pPr>
        <w:ind w:left="426" w:hanging="284"/>
        <w:jc w:val="both"/>
        <w:rPr>
          <w:rFonts w:ascii="Arial" w:hAnsi="Arial" w:cs="Arial"/>
          <w:color w:val="000000" w:themeColor="text1"/>
          <w:sz w:val="22"/>
          <w:szCs w:val="22"/>
        </w:rPr>
      </w:pPr>
    </w:p>
    <w:p w14:paraId="38203B7B" w14:textId="640F622C" w:rsidR="000A2420" w:rsidRDefault="00FD4BDD" w:rsidP="00E3581B">
      <w:pPr>
        <w:ind w:left="426"/>
        <w:jc w:val="both"/>
        <w:rPr>
          <w:rFonts w:ascii="Arial" w:hAnsi="Arial" w:cs="Arial"/>
          <w:color w:val="000000" w:themeColor="text1"/>
          <w:sz w:val="22"/>
          <w:szCs w:val="22"/>
        </w:rPr>
      </w:pPr>
      <w:r w:rsidRPr="00C6110B">
        <w:rPr>
          <w:rFonts w:ascii="Arial" w:hAnsi="Arial" w:cs="Arial"/>
          <w:color w:val="000000" w:themeColor="text1"/>
          <w:sz w:val="22"/>
          <w:szCs w:val="22"/>
        </w:rPr>
        <w:t xml:space="preserve">En la siguiente grafica se presenta el comportamiento del gasto </w:t>
      </w:r>
      <w:r w:rsidR="006D38AE" w:rsidRPr="00C6110B">
        <w:rPr>
          <w:rFonts w:ascii="Arial" w:hAnsi="Arial" w:cs="Arial"/>
          <w:color w:val="000000" w:themeColor="text1"/>
          <w:sz w:val="22"/>
          <w:szCs w:val="22"/>
        </w:rPr>
        <w:t>de combustible</w:t>
      </w:r>
      <w:r w:rsidR="003240FC" w:rsidRPr="00C6110B">
        <w:rPr>
          <w:rFonts w:ascii="Arial" w:hAnsi="Arial" w:cs="Arial"/>
          <w:color w:val="000000" w:themeColor="text1"/>
          <w:sz w:val="22"/>
          <w:szCs w:val="22"/>
        </w:rPr>
        <w:t xml:space="preserve"> (gasolina y</w:t>
      </w:r>
      <w:r w:rsidR="00E3581B">
        <w:rPr>
          <w:rFonts w:ascii="Arial" w:hAnsi="Arial" w:cs="Arial"/>
          <w:color w:val="000000" w:themeColor="text1"/>
          <w:sz w:val="22"/>
          <w:szCs w:val="22"/>
        </w:rPr>
        <w:t xml:space="preserve"> </w:t>
      </w:r>
      <w:r w:rsidR="003240FC" w:rsidRPr="00C6110B">
        <w:rPr>
          <w:rFonts w:ascii="Arial" w:hAnsi="Arial" w:cs="Arial"/>
          <w:color w:val="000000" w:themeColor="text1"/>
          <w:sz w:val="22"/>
          <w:szCs w:val="22"/>
        </w:rPr>
        <w:t>ACPM),</w:t>
      </w:r>
      <w:r w:rsidR="006D38AE" w:rsidRPr="00C6110B">
        <w:rPr>
          <w:rFonts w:ascii="Arial" w:hAnsi="Arial" w:cs="Arial"/>
          <w:color w:val="000000" w:themeColor="text1"/>
          <w:sz w:val="22"/>
          <w:szCs w:val="22"/>
        </w:rPr>
        <w:t xml:space="preserve"> durante </w:t>
      </w:r>
      <w:r w:rsidR="00983FD3">
        <w:rPr>
          <w:rFonts w:ascii="Arial" w:hAnsi="Arial" w:cs="Arial"/>
          <w:color w:val="000000" w:themeColor="text1"/>
          <w:sz w:val="22"/>
          <w:szCs w:val="22"/>
        </w:rPr>
        <w:t xml:space="preserve">el tercer trimestre de 2020 comparado con el mismo periodo de la </w:t>
      </w:r>
      <w:r w:rsidR="009F625A">
        <w:rPr>
          <w:rFonts w:ascii="Arial" w:hAnsi="Arial" w:cs="Arial"/>
          <w:color w:val="000000" w:themeColor="text1"/>
          <w:sz w:val="22"/>
          <w:szCs w:val="22"/>
        </w:rPr>
        <w:t>vigencia</w:t>
      </w:r>
      <w:r w:rsidR="00983FD3">
        <w:rPr>
          <w:rFonts w:ascii="Arial" w:hAnsi="Arial" w:cs="Arial"/>
          <w:color w:val="000000" w:themeColor="text1"/>
          <w:sz w:val="22"/>
          <w:szCs w:val="22"/>
        </w:rPr>
        <w:t xml:space="preserve"> 2019</w:t>
      </w:r>
      <w:r w:rsidR="006D38AE" w:rsidRPr="00C6110B">
        <w:rPr>
          <w:rFonts w:ascii="Arial" w:hAnsi="Arial" w:cs="Arial"/>
          <w:color w:val="000000" w:themeColor="text1"/>
          <w:sz w:val="22"/>
          <w:szCs w:val="22"/>
        </w:rPr>
        <w:t xml:space="preserve">: </w:t>
      </w:r>
    </w:p>
    <w:p w14:paraId="2F687A67" w14:textId="359E3957" w:rsidR="00FF2AE0" w:rsidRPr="00C6110B" w:rsidRDefault="001B6534" w:rsidP="00E3581B">
      <w:pPr>
        <w:ind w:left="426"/>
        <w:jc w:val="both"/>
        <w:rPr>
          <w:rFonts w:ascii="Arial" w:hAnsi="Arial" w:cs="Arial"/>
          <w:color w:val="000000" w:themeColor="text1"/>
          <w:sz w:val="22"/>
          <w:szCs w:val="22"/>
        </w:rPr>
      </w:pPr>
      <w:r>
        <w:rPr>
          <w:noProof/>
          <w:lang w:val="en-US" w:eastAsia="en-US"/>
        </w:rPr>
        <w:lastRenderedPageBreak/>
        <w:drawing>
          <wp:inline distT="0" distB="0" distL="0" distR="0" wp14:anchorId="120A7D06" wp14:editId="05AB388C">
            <wp:extent cx="5676900" cy="2743200"/>
            <wp:effectExtent l="0" t="0" r="0" b="0"/>
            <wp:docPr id="45" name="Gráfico 45">
              <a:extLst xmlns:a="http://schemas.openxmlformats.org/drawingml/2006/main">
                <a:ext uri="{FF2B5EF4-FFF2-40B4-BE49-F238E27FC236}">
                  <a16:creationId xmlns:a16="http://schemas.microsoft.com/office/drawing/2014/main" id="{594C397D-03F2-4A2D-87BE-36B720DCB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BCCB21" w14:textId="0243E1A7" w:rsidR="006D38AE" w:rsidRDefault="006D38AE" w:rsidP="000A2420">
      <w:pPr>
        <w:ind w:left="426"/>
        <w:jc w:val="both"/>
        <w:rPr>
          <w:noProof/>
        </w:rPr>
      </w:pPr>
    </w:p>
    <w:p w14:paraId="4CF5A7AF" w14:textId="68A2DA0A" w:rsidR="001B6534" w:rsidRPr="003923E3" w:rsidRDefault="001B6534" w:rsidP="000A2420">
      <w:pPr>
        <w:ind w:left="426"/>
        <w:jc w:val="both"/>
        <w:rPr>
          <w:rFonts w:ascii="Arial" w:hAnsi="Arial" w:cs="Arial"/>
          <w:noProof/>
          <w:color w:val="000000"/>
          <w:sz w:val="22"/>
          <w:szCs w:val="22"/>
          <w:lang w:eastAsia="en-US"/>
        </w:rPr>
      </w:pPr>
      <w:r w:rsidRPr="003923E3">
        <w:rPr>
          <w:rFonts w:ascii="Arial" w:hAnsi="Arial" w:cs="Arial"/>
          <w:noProof/>
          <w:color w:val="000000"/>
          <w:sz w:val="22"/>
          <w:szCs w:val="22"/>
          <w:lang w:eastAsia="en-US"/>
        </w:rPr>
        <w:t xml:space="preserve">Al comparar el comportamiento del gasto </w:t>
      </w:r>
      <w:r w:rsidR="003923E3">
        <w:rPr>
          <w:rFonts w:ascii="Arial" w:hAnsi="Arial" w:cs="Arial"/>
          <w:noProof/>
          <w:color w:val="000000"/>
          <w:sz w:val="22"/>
          <w:szCs w:val="22"/>
          <w:lang w:eastAsia="en-US"/>
        </w:rPr>
        <w:t xml:space="preserve">por combustible </w:t>
      </w:r>
      <w:r w:rsidRPr="003923E3">
        <w:rPr>
          <w:rFonts w:ascii="Arial" w:hAnsi="Arial" w:cs="Arial"/>
          <w:noProof/>
          <w:color w:val="000000"/>
          <w:sz w:val="22"/>
          <w:szCs w:val="22"/>
          <w:lang w:eastAsia="en-US"/>
        </w:rPr>
        <w:t>durante el tercer trimestre de 2020 y 2019, se observaron reducciones</w:t>
      </w:r>
      <w:r w:rsidR="003923E3">
        <w:rPr>
          <w:rFonts w:ascii="Arial" w:hAnsi="Arial" w:cs="Arial"/>
          <w:noProof/>
          <w:color w:val="000000"/>
          <w:sz w:val="22"/>
          <w:szCs w:val="22"/>
          <w:lang w:eastAsia="en-US"/>
        </w:rPr>
        <w:t xml:space="preserve"> en el gasto para los tres periodo</w:t>
      </w:r>
      <w:r w:rsidR="00BB2358">
        <w:rPr>
          <w:rFonts w:ascii="Arial" w:hAnsi="Arial" w:cs="Arial"/>
          <w:noProof/>
          <w:color w:val="000000"/>
          <w:sz w:val="22"/>
          <w:szCs w:val="22"/>
          <w:lang w:eastAsia="en-US"/>
        </w:rPr>
        <w:t>s</w:t>
      </w:r>
      <w:r w:rsidR="003923E3">
        <w:rPr>
          <w:rFonts w:ascii="Arial" w:hAnsi="Arial" w:cs="Arial"/>
          <w:noProof/>
          <w:color w:val="000000"/>
          <w:sz w:val="22"/>
          <w:szCs w:val="22"/>
          <w:lang w:eastAsia="en-US"/>
        </w:rPr>
        <w:t xml:space="preserve"> que conforman el trimestre analizado. Para el mes de julio el ahorro fue del 73%, para  agosto el  76% y para septiembre una disminución del 68%. </w:t>
      </w:r>
    </w:p>
    <w:p w14:paraId="5920EF55" w14:textId="77777777" w:rsidR="00E357C2" w:rsidRDefault="00E357C2" w:rsidP="00133AE9">
      <w:pPr>
        <w:ind w:left="426"/>
        <w:jc w:val="both"/>
        <w:rPr>
          <w:rFonts w:ascii="Arial" w:hAnsi="Arial" w:cs="Arial"/>
          <w:color w:val="000000" w:themeColor="text1"/>
          <w:sz w:val="22"/>
          <w:szCs w:val="22"/>
        </w:rPr>
      </w:pPr>
    </w:p>
    <w:p w14:paraId="18BEE65D" w14:textId="4F48D81D" w:rsidR="002544B6" w:rsidRDefault="0019749A" w:rsidP="00133AE9">
      <w:pPr>
        <w:ind w:left="426"/>
        <w:jc w:val="both"/>
        <w:rPr>
          <w:rFonts w:ascii="Arial" w:hAnsi="Arial" w:cs="Arial"/>
          <w:color w:val="000000" w:themeColor="text1"/>
          <w:sz w:val="22"/>
          <w:szCs w:val="22"/>
        </w:rPr>
      </w:pPr>
      <w:r>
        <w:rPr>
          <w:rFonts w:ascii="Arial" w:hAnsi="Arial" w:cs="Arial"/>
          <w:color w:val="000000" w:themeColor="text1"/>
          <w:sz w:val="22"/>
          <w:szCs w:val="22"/>
        </w:rPr>
        <w:t>Con respecto al</w:t>
      </w:r>
      <w:r w:rsidR="003923E3">
        <w:rPr>
          <w:rFonts w:ascii="Arial" w:hAnsi="Arial" w:cs="Arial"/>
          <w:color w:val="000000" w:themeColor="text1"/>
          <w:sz w:val="22"/>
          <w:szCs w:val="22"/>
        </w:rPr>
        <w:t xml:space="preserve"> total de </w:t>
      </w:r>
      <w:r>
        <w:rPr>
          <w:rFonts w:ascii="Arial" w:hAnsi="Arial" w:cs="Arial"/>
          <w:color w:val="000000" w:themeColor="text1"/>
          <w:sz w:val="22"/>
          <w:szCs w:val="22"/>
        </w:rPr>
        <w:t>combustible del tercer trimestre de 2020</w:t>
      </w:r>
      <w:r w:rsidR="002544B6">
        <w:rPr>
          <w:rFonts w:ascii="Arial" w:hAnsi="Arial" w:cs="Arial"/>
          <w:color w:val="000000" w:themeColor="text1"/>
          <w:sz w:val="22"/>
          <w:szCs w:val="22"/>
        </w:rPr>
        <w:t xml:space="preserve"> comparado con el periodo inmediatamente anterior, se observó un </w:t>
      </w:r>
      <w:r w:rsidR="002544B6">
        <w:rPr>
          <w:rFonts w:ascii="Arial" w:hAnsi="Arial" w:cs="Arial"/>
          <w:b/>
          <w:bCs/>
          <w:color w:val="000000" w:themeColor="text1"/>
          <w:sz w:val="22"/>
          <w:szCs w:val="22"/>
        </w:rPr>
        <w:t xml:space="preserve">incremento </w:t>
      </w:r>
      <w:r w:rsidR="002544B6">
        <w:rPr>
          <w:rFonts w:ascii="Arial" w:hAnsi="Arial" w:cs="Arial"/>
          <w:color w:val="000000" w:themeColor="text1"/>
          <w:sz w:val="22"/>
          <w:szCs w:val="22"/>
        </w:rPr>
        <w:t xml:space="preserve">en el valor del gasto y la cantidad de galones de 42% y 43% respectivamente. Lo anterior, se deduce que se originó en parte por </w:t>
      </w:r>
      <w:r w:rsidR="00FA0919">
        <w:rPr>
          <w:rFonts w:ascii="Arial" w:hAnsi="Arial" w:cs="Arial"/>
          <w:color w:val="000000" w:themeColor="text1"/>
          <w:sz w:val="22"/>
          <w:szCs w:val="22"/>
        </w:rPr>
        <w:t xml:space="preserve">el levantamiento de ciertas </w:t>
      </w:r>
      <w:r w:rsidR="002544B6">
        <w:rPr>
          <w:rFonts w:ascii="Arial" w:hAnsi="Arial" w:cs="Arial"/>
          <w:color w:val="000000" w:themeColor="text1"/>
          <w:sz w:val="22"/>
          <w:szCs w:val="22"/>
        </w:rPr>
        <w:t>restricciones</w:t>
      </w:r>
      <w:r w:rsidR="00FA0919">
        <w:rPr>
          <w:rFonts w:ascii="Arial" w:hAnsi="Arial" w:cs="Arial"/>
          <w:color w:val="000000" w:themeColor="text1"/>
          <w:sz w:val="22"/>
          <w:szCs w:val="22"/>
        </w:rPr>
        <w:t xml:space="preserve"> en materia de </w:t>
      </w:r>
      <w:r w:rsidR="002544B6">
        <w:rPr>
          <w:rFonts w:ascii="Arial" w:hAnsi="Arial" w:cs="Arial"/>
          <w:color w:val="000000" w:themeColor="text1"/>
          <w:sz w:val="22"/>
          <w:szCs w:val="22"/>
        </w:rPr>
        <w:t xml:space="preserve">movilidad </w:t>
      </w:r>
      <w:r w:rsidR="00FA0919">
        <w:rPr>
          <w:rFonts w:ascii="Arial" w:hAnsi="Arial" w:cs="Arial"/>
          <w:color w:val="000000" w:themeColor="text1"/>
          <w:sz w:val="22"/>
          <w:szCs w:val="22"/>
        </w:rPr>
        <w:t xml:space="preserve">según </w:t>
      </w:r>
      <w:r w:rsidR="002544B6">
        <w:rPr>
          <w:rFonts w:ascii="Arial" w:hAnsi="Arial" w:cs="Arial"/>
          <w:color w:val="000000" w:themeColor="text1"/>
          <w:sz w:val="22"/>
          <w:szCs w:val="22"/>
        </w:rPr>
        <w:t xml:space="preserve">el Decreto 1168 de 2020 </w:t>
      </w:r>
      <w:r w:rsidR="00BF2653">
        <w:rPr>
          <w:rFonts w:ascii="Arial" w:hAnsi="Arial" w:cs="Arial"/>
          <w:color w:val="000000" w:themeColor="text1"/>
          <w:sz w:val="22"/>
          <w:szCs w:val="22"/>
        </w:rPr>
        <w:t>en virtud de</w:t>
      </w:r>
      <w:r w:rsidR="002544B6">
        <w:rPr>
          <w:rFonts w:ascii="Arial" w:hAnsi="Arial" w:cs="Arial"/>
          <w:color w:val="000000" w:themeColor="text1"/>
          <w:sz w:val="22"/>
          <w:szCs w:val="22"/>
        </w:rPr>
        <w:t xml:space="preserve"> la fase de aislamiento selectivo</w:t>
      </w:r>
      <w:r w:rsidR="00FA0919">
        <w:rPr>
          <w:rFonts w:ascii="Arial" w:hAnsi="Arial" w:cs="Arial"/>
          <w:color w:val="000000" w:themeColor="text1"/>
          <w:sz w:val="22"/>
          <w:szCs w:val="22"/>
        </w:rPr>
        <w:t xml:space="preserve"> [COVID-19]</w:t>
      </w:r>
      <w:r w:rsidR="002544B6">
        <w:rPr>
          <w:rFonts w:ascii="Arial" w:hAnsi="Arial" w:cs="Arial"/>
          <w:color w:val="000000" w:themeColor="text1"/>
          <w:sz w:val="22"/>
          <w:szCs w:val="22"/>
        </w:rPr>
        <w:t>, lo cual permitió</w:t>
      </w:r>
      <w:r w:rsidR="00FA0919">
        <w:rPr>
          <w:rFonts w:ascii="Arial" w:hAnsi="Arial" w:cs="Arial"/>
          <w:color w:val="000000" w:themeColor="text1"/>
          <w:sz w:val="22"/>
          <w:szCs w:val="22"/>
        </w:rPr>
        <w:t xml:space="preserve"> </w:t>
      </w:r>
      <w:r w:rsidR="002544B6">
        <w:rPr>
          <w:rFonts w:ascii="Arial" w:hAnsi="Arial" w:cs="Arial"/>
          <w:color w:val="000000" w:themeColor="text1"/>
          <w:sz w:val="22"/>
          <w:szCs w:val="22"/>
        </w:rPr>
        <w:t xml:space="preserve">una mayor movilidad. Como fundamento de lo anterior, </w:t>
      </w:r>
      <w:r w:rsidR="00BF2653">
        <w:rPr>
          <w:rFonts w:ascii="Arial" w:hAnsi="Arial" w:cs="Arial"/>
          <w:color w:val="000000" w:themeColor="text1"/>
          <w:sz w:val="22"/>
          <w:szCs w:val="22"/>
        </w:rPr>
        <w:t xml:space="preserve">están las estadísticas de </w:t>
      </w:r>
      <w:r w:rsidR="002544B6">
        <w:rPr>
          <w:rFonts w:ascii="Arial" w:hAnsi="Arial" w:cs="Arial"/>
          <w:color w:val="000000" w:themeColor="text1"/>
          <w:sz w:val="22"/>
          <w:szCs w:val="22"/>
        </w:rPr>
        <w:t xml:space="preserve">los servicios de traslado de funcionarios (operativos), los cuales para el segundo trimestre de 2020 se </w:t>
      </w:r>
      <w:r w:rsidR="00BF2653">
        <w:rPr>
          <w:rFonts w:ascii="Arial" w:hAnsi="Arial" w:cs="Arial"/>
          <w:color w:val="000000" w:themeColor="text1"/>
          <w:sz w:val="22"/>
          <w:szCs w:val="22"/>
        </w:rPr>
        <w:t>prestaron 3</w:t>
      </w:r>
      <w:r w:rsidR="002544B6">
        <w:rPr>
          <w:rFonts w:ascii="Arial" w:hAnsi="Arial" w:cs="Arial"/>
          <w:color w:val="000000" w:themeColor="text1"/>
          <w:sz w:val="22"/>
          <w:szCs w:val="22"/>
        </w:rPr>
        <w:t xml:space="preserve"> y para el tercer trimestre de 2020 fueron </w:t>
      </w:r>
      <w:r w:rsidR="00BF2653">
        <w:rPr>
          <w:rFonts w:ascii="Arial" w:hAnsi="Arial" w:cs="Arial"/>
          <w:color w:val="000000" w:themeColor="text1"/>
          <w:sz w:val="22"/>
          <w:szCs w:val="22"/>
        </w:rPr>
        <w:t>27</w:t>
      </w:r>
      <w:r w:rsidR="002544B6">
        <w:rPr>
          <w:rFonts w:ascii="Arial" w:hAnsi="Arial" w:cs="Arial"/>
          <w:color w:val="000000" w:themeColor="text1"/>
          <w:sz w:val="22"/>
          <w:szCs w:val="22"/>
        </w:rPr>
        <w:t>, representando un aumento del</w:t>
      </w:r>
      <w:r w:rsidR="00BF2653">
        <w:rPr>
          <w:rFonts w:ascii="Arial" w:hAnsi="Arial" w:cs="Arial"/>
          <w:color w:val="000000" w:themeColor="text1"/>
          <w:sz w:val="22"/>
          <w:szCs w:val="22"/>
        </w:rPr>
        <w:t xml:space="preserve"> 800%. </w:t>
      </w:r>
      <w:r w:rsidR="002544B6">
        <w:rPr>
          <w:rFonts w:ascii="Arial" w:hAnsi="Arial" w:cs="Arial"/>
          <w:color w:val="000000" w:themeColor="text1"/>
          <w:sz w:val="22"/>
          <w:szCs w:val="22"/>
        </w:rPr>
        <w:t xml:space="preserve">  </w:t>
      </w:r>
    </w:p>
    <w:p w14:paraId="61EB4EE3" w14:textId="77777777" w:rsidR="002544B6" w:rsidRDefault="002544B6" w:rsidP="00133AE9">
      <w:pPr>
        <w:ind w:left="426"/>
        <w:jc w:val="both"/>
        <w:rPr>
          <w:rFonts w:ascii="Arial" w:hAnsi="Arial" w:cs="Arial"/>
          <w:color w:val="000000" w:themeColor="text1"/>
          <w:sz w:val="22"/>
          <w:szCs w:val="22"/>
        </w:rPr>
      </w:pPr>
    </w:p>
    <w:p w14:paraId="14CC478E" w14:textId="4FD44139" w:rsidR="00133AE9" w:rsidRPr="007D024E" w:rsidRDefault="00CE5CEF" w:rsidP="007D024E">
      <w:pPr>
        <w:ind w:left="426"/>
        <w:jc w:val="both"/>
        <w:rPr>
          <w:rFonts w:ascii="Arial" w:hAnsi="Arial" w:cs="Arial"/>
          <w:color w:val="000000" w:themeColor="text1"/>
          <w:sz w:val="22"/>
          <w:szCs w:val="22"/>
        </w:rPr>
      </w:pPr>
      <w:r w:rsidRPr="007D024E">
        <w:rPr>
          <w:rFonts w:ascii="Arial" w:hAnsi="Arial" w:cs="Arial"/>
          <w:color w:val="000000" w:themeColor="text1"/>
          <w:sz w:val="22"/>
          <w:szCs w:val="22"/>
        </w:rPr>
        <w:t xml:space="preserve">Si bien, para este seguimiento </w:t>
      </w:r>
      <w:r w:rsidR="00E4530C">
        <w:rPr>
          <w:rFonts w:ascii="Arial" w:hAnsi="Arial" w:cs="Arial"/>
          <w:color w:val="000000" w:themeColor="text1"/>
          <w:sz w:val="22"/>
          <w:szCs w:val="22"/>
        </w:rPr>
        <w:t xml:space="preserve">el </w:t>
      </w:r>
      <w:r w:rsidRPr="007D024E">
        <w:rPr>
          <w:rFonts w:ascii="Arial" w:hAnsi="Arial" w:cs="Arial"/>
          <w:color w:val="000000" w:themeColor="text1"/>
          <w:sz w:val="22"/>
          <w:szCs w:val="22"/>
        </w:rPr>
        <w:t>enfo</w:t>
      </w:r>
      <w:r w:rsidR="00E4530C">
        <w:rPr>
          <w:rFonts w:ascii="Arial" w:hAnsi="Arial" w:cs="Arial"/>
          <w:color w:val="000000" w:themeColor="text1"/>
          <w:sz w:val="22"/>
          <w:szCs w:val="22"/>
        </w:rPr>
        <w:t xml:space="preserve">que no es el </w:t>
      </w:r>
      <w:r w:rsidRPr="007D024E">
        <w:rPr>
          <w:rFonts w:ascii="Arial" w:hAnsi="Arial" w:cs="Arial"/>
          <w:color w:val="000000" w:themeColor="text1"/>
          <w:sz w:val="22"/>
          <w:szCs w:val="22"/>
        </w:rPr>
        <w:t>análisis de variaciones</w:t>
      </w:r>
      <w:r w:rsidR="00E4530C">
        <w:rPr>
          <w:rFonts w:ascii="Arial" w:hAnsi="Arial" w:cs="Arial"/>
          <w:color w:val="000000" w:themeColor="text1"/>
          <w:sz w:val="22"/>
          <w:szCs w:val="22"/>
        </w:rPr>
        <w:t xml:space="preserve">, </w:t>
      </w:r>
      <w:r w:rsidRPr="007D024E">
        <w:rPr>
          <w:rFonts w:ascii="Arial" w:hAnsi="Arial" w:cs="Arial"/>
          <w:color w:val="000000" w:themeColor="text1"/>
          <w:sz w:val="22"/>
          <w:szCs w:val="22"/>
        </w:rPr>
        <w:t xml:space="preserve">se determinaron las mismas con el fin de establecer cuantitativamente el impacto generado </w:t>
      </w:r>
      <w:r w:rsidR="0013122A" w:rsidRPr="007D024E">
        <w:rPr>
          <w:rFonts w:ascii="Arial" w:hAnsi="Arial" w:cs="Arial"/>
          <w:color w:val="000000" w:themeColor="text1"/>
          <w:sz w:val="22"/>
          <w:szCs w:val="22"/>
        </w:rPr>
        <w:t xml:space="preserve">por las medidas derivadas del COVID-19 </w:t>
      </w:r>
      <w:r w:rsidR="00F31929" w:rsidRPr="007D024E">
        <w:rPr>
          <w:rFonts w:ascii="Arial" w:hAnsi="Arial" w:cs="Arial"/>
          <w:color w:val="000000" w:themeColor="text1"/>
          <w:sz w:val="22"/>
          <w:szCs w:val="22"/>
        </w:rPr>
        <w:t>al concepto de combustibles</w:t>
      </w:r>
      <w:r w:rsidR="007D024E" w:rsidRPr="007D024E">
        <w:rPr>
          <w:rFonts w:ascii="Arial" w:hAnsi="Arial" w:cs="Arial"/>
          <w:color w:val="000000" w:themeColor="text1"/>
          <w:sz w:val="22"/>
          <w:szCs w:val="22"/>
        </w:rPr>
        <w:t>. A</w:t>
      </w:r>
      <w:r w:rsidRPr="007D024E">
        <w:rPr>
          <w:rFonts w:ascii="Arial" w:hAnsi="Arial" w:cs="Arial"/>
          <w:color w:val="000000" w:themeColor="text1"/>
          <w:sz w:val="22"/>
          <w:szCs w:val="22"/>
        </w:rPr>
        <w:t xml:space="preserve">l comparar el </w:t>
      </w:r>
      <w:r w:rsidR="007D024E" w:rsidRPr="007D024E">
        <w:rPr>
          <w:rFonts w:ascii="Arial" w:hAnsi="Arial" w:cs="Arial"/>
          <w:color w:val="000000" w:themeColor="text1"/>
          <w:sz w:val="22"/>
          <w:szCs w:val="22"/>
        </w:rPr>
        <w:t>tercer trimestre</w:t>
      </w:r>
      <w:r w:rsidRPr="007D024E">
        <w:rPr>
          <w:rFonts w:ascii="Arial" w:hAnsi="Arial" w:cs="Arial"/>
          <w:color w:val="000000" w:themeColor="text1"/>
          <w:sz w:val="22"/>
          <w:szCs w:val="22"/>
        </w:rPr>
        <w:t xml:space="preserve"> de 2020 con el mismo periodo de 2019, el gasto de combustible presentó una </w:t>
      </w:r>
      <w:r w:rsidRPr="007D024E">
        <w:rPr>
          <w:rFonts w:ascii="Arial" w:hAnsi="Arial" w:cs="Arial"/>
          <w:b/>
          <w:bCs/>
          <w:color w:val="000000" w:themeColor="text1"/>
          <w:sz w:val="22"/>
          <w:szCs w:val="22"/>
        </w:rPr>
        <w:t xml:space="preserve">reducción </w:t>
      </w:r>
      <w:r w:rsidRPr="007D024E">
        <w:rPr>
          <w:rFonts w:ascii="Arial" w:hAnsi="Arial" w:cs="Arial"/>
          <w:color w:val="000000" w:themeColor="text1"/>
          <w:sz w:val="22"/>
          <w:szCs w:val="22"/>
        </w:rPr>
        <w:t>del 7</w:t>
      </w:r>
      <w:r w:rsidR="007D024E" w:rsidRPr="007D024E">
        <w:rPr>
          <w:rFonts w:ascii="Arial" w:hAnsi="Arial" w:cs="Arial"/>
          <w:color w:val="000000" w:themeColor="text1"/>
          <w:sz w:val="22"/>
          <w:szCs w:val="22"/>
        </w:rPr>
        <w:t>2</w:t>
      </w:r>
      <w:r w:rsidRPr="007D024E">
        <w:rPr>
          <w:rFonts w:ascii="Arial" w:hAnsi="Arial" w:cs="Arial"/>
          <w:color w:val="000000" w:themeColor="text1"/>
          <w:sz w:val="22"/>
          <w:szCs w:val="22"/>
        </w:rPr>
        <w:t xml:space="preserve">% y para el consumo en galones </w:t>
      </w:r>
      <w:r w:rsidR="002731C4" w:rsidRPr="007D024E">
        <w:rPr>
          <w:rFonts w:ascii="Arial" w:hAnsi="Arial" w:cs="Arial"/>
          <w:color w:val="000000" w:themeColor="text1"/>
          <w:sz w:val="22"/>
          <w:szCs w:val="22"/>
        </w:rPr>
        <w:t xml:space="preserve">una </w:t>
      </w:r>
      <w:r w:rsidR="002731C4" w:rsidRPr="007D024E">
        <w:rPr>
          <w:rFonts w:ascii="Arial" w:hAnsi="Arial" w:cs="Arial"/>
          <w:b/>
          <w:bCs/>
          <w:color w:val="000000" w:themeColor="text1"/>
          <w:sz w:val="22"/>
          <w:szCs w:val="22"/>
        </w:rPr>
        <w:t xml:space="preserve">disminución </w:t>
      </w:r>
      <w:r w:rsidR="002731C4" w:rsidRPr="007D024E">
        <w:rPr>
          <w:rFonts w:ascii="Arial" w:hAnsi="Arial" w:cs="Arial"/>
          <w:color w:val="000000" w:themeColor="text1"/>
          <w:sz w:val="22"/>
          <w:szCs w:val="22"/>
        </w:rPr>
        <w:t xml:space="preserve">del </w:t>
      </w:r>
      <w:r w:rsidR="007D024E" w:rsidRPr="007D024E">
        <w:rPr>
          <w:rFonts w:ascii="Arial" w:hAnsi="Arial" w:cs="Arial"/>
          <w:color w:val="000000" w:themeColor="text1"/>
          <w:sz w:val="22"/>
          <w:szCs w:val="22"/>
        </w:rPr>
        <w:t>68</w:t>
      </w:r>
      <w:r w:rsidR="002731C4" w:rsidRPr="007D024E">
        <w:rPr>
          <w:rFonts w:ascii="Arial" w:hAnsi="Arial" w:cs="Arial"/>
          <w:color w:val="000000" w:themeColor="text1"/>
          <w:sz w:val="22"/>
          <w:szCs w:val="22"/>
        </w:rPr>
        <w:t xml:space="preserve">%. </w:t>
      </w:r>
    </w:p>
    <w:p w14:paraId="1C8704DF" w14:textId="01260FC1" w:rsidR="00CE5CEF" w:rsidRPr="007D024E" w:rsidRDefault="00CE5CEF" w:rsidP="00AA5C46">
      <w:pPr>
        <w:ind w:left="426"/>
        <w:jc w:val="both"/>
        <w:rPr>
          <w:rFonts w:ascii="Arial" w:hAnsi="Arial" w:cs="Arial"/>
          <w:color w:val="000000" w:themeColor="text1"/>
          <w:sz w:val="22"/>
          <w:szCs w:val="22"/>
        </w:rPr>
      </w:pPr>
    </w:p>
    <w:tbl>
      <w:tblPr>
        <w:tblStyle w:val="Tabladecuadrcula1clara-nfasis1"/>
        <w:tblW w:w="0" w:type="auto"/>
        <w:jc w:val="right"/>
        <w:tblLook w:val="04A0" w:firstRow="1" w:lastRow="0" w:firstColumn="1" w:lastColumn="0" w:noHBand="0" w:noVBand="1"/>
      </w:tblPr>
      <w:tblGrid>
        <w:gridCol w:w="2122"/>
        <w:gridCol w:w="1217"/>
        <w:gridCol w:w="2113"/>
        <w:gridCol w:w="1281"/>
        <w:gridCol w:w="2547"/>
      </w:tblGrid>
      <w:tr w:rsidR="0013025F" w:rsidRPr="0013025F" w14:paraId="15EB9B3C" w14:textId="77777777" w:rsidTr="00FF2AE0">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4F81BD" w:themeFill="accent1"/>
            <w:vAlign w:val="center"/>
            <w:hideMark/>
          </w:tcPr>
          <w:p w14:paraId="10C65660" w14:textId="77777777" w:rsidR="0013025F" w:rsidRPr="0013025F" w:rsidRDefault="0013025F" w:rsidP="00FF2AE0">
            <w:pPr>
              <w:spacing w:before="60" w:after="60"/>
              <w:jc w:val="center"/>
              <w:rPr>
                <w:rFonts w:ascii="Arial" w:hAnsi="Arial" w:cs="Arial"/>
                <w:color w:val="FFFFFF"/>
                <w:sz w:val="20"/>
                <w:szCs w:val="20"/>
              </w:rPr>
            </w:pPr>
            <w:r w:rsidRPr="0013025F">
              <w:rPr>
                <w:rFonts w:ascii="Arial" w:hAnsi="Arial" w:cs="Arial"/>
                <w:color w:val="FFFFFF"/>
                <w:sz w:val="20"/>
                <w:szCs w:val="20"/>
              </w:rPr>
              <w:t>Gasolina y ACPM</w:t>
            </w:r>
          </w:p>
        </w:tc>
        <w:tc>
          <w:tcPr>
            <w:tcW w:w="3264" w:type="dxa"/>
            <w:gridSpan w:val="2"/>
            <w:shd w:val="clear" w:color="auto" w:fill="4F81BD" w:themeFill="accent1"/>
            <w:vAlign w:val="center"/>
            <w:hideMark/>
          </w:tcPr>
          <w:p w14:paraId="23EC63A3" w14:textId="5BA1B43C" w:rsidR="0013025F" w:rsidRPr="00FF2AE0"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13025F">
              <w:rPr>
                <w:rFonts w:ascii="Arial" w:hAnsi="Arial" w:cs="Arial"/>
                <w:color w:val="FFFFFF"/>
                <w:sz w:val="20"/>
                <w:szCs w:val="20"/>
              </w:rPr>
              <w:t>Gasto de Combustible III Trimestre</w:t>
            </w:r>
          </w:p>
        </w:tc>
        <w:tc>
          <w:tcPr>
            <w:tcW w:w="3828" w:type="dxa"/>
            <w:gridSpan w:val="2"/>
            <w:shd w:val="clear" w:color="auto" w:fill="4F81BD" w:themeFill="accent1"/>
            <w:vAlign w:val="center"/>
            <w:hideMark/>
          </w:tcPr>
          <w:p w14:paraId="3EB737FC" w14:textId="1B33047F" w:rsidR="0013025F" w:rsidRPr="00FF2AE0"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13025F">
              <w:rPr>
                <w:rFonts w:ascii="Arial" w:hAnsi="Arial" w:cs="Arial"/>
                <w:color w:val="FFFFFF"/>
                <w:sz w:val="20"/>
                <w:szCs w:val="20"/>
              </w:rPr>
              <w:t>Galones de Combustible III</w:t>
            </w:r>
            <w:r w:rsidR="00FF2AE0">
              <w:rPr>
                <w:rFonts w:ascii="Arial" w:hAnsi="Arial" w:cs="Arial"/>
                <w:color w:val="FFFFFF"/>
                <w:sz w:val="20"/>
                <w:szCs w:val="20"/>
              </w:rPr>
              <w:t xml:space="preserve"> </w:t>
            </w:r>
            <w:r w:rsidRPr="0013025F">
              <w:rPr>
                <w:rFonts w:ascii="Arial" w:hAnsi="Arial" w:cs="Arial"/>
                <w:color w:val="FFFFFF"/>
                <w:sz w:val="20"/>
                <w:szCs w:val="20"/>
              </w:rPr>
              <w:t>Trimestre</w:t>
            </w:r>
          </w:p>
        </w:tc>
      </w:tr>
      <w:tr w:rsidR="0013025F" w:rsidRPr="0013025F" w14:paraId="6CB5B390" w14:textId="77777777" w:rsidTr="00FF2AE0">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2122" w:type="dxa"/>
            <w:vMerge/>
            <w:shd w:val="clear" w:color="auto" w:fill="4F81BD" w:themeFill="accent1"/>
            <w:vAlign w:val="center"/>
            <w:hideMark/>
          </w:tcPr>
          <w:p w14:paraId="0AAF1ABA" w14:textId="77777777" w:rsidR="0013025F" w:rsidRPr="0013025F" w:rsidRDefault="0013025F" w:rsidP="00FF2AE0">
            <w:pPr>
              <w:spacing w:before="60" w:after="60"/>
              <w:rPr>
                <w:rFonts w:ascii="Arial" w:hAnsi="Arial" w:cs="Arial"/>
                <w:color w:val="FFFFFF"/>
                <w:sz w:val="20"/>
                <w:szCs w:val="20"/>
              </w:rPr>
            </w:pPr>
          </w:p>
        </w:tc>
        <w:tc>
          <w:tcPr>
            <w:tcW w:w="1151" w:type="dxa"/>
            <w:shd w:val="clear" w:color="auto" w:fill="DBE5F1" w:themeFill="accent1" w:themeFillTint="33"/>
            <w:vAlign w:val="center"/>
            <w:hideMark/>
          </w:tcPr>
          <w:p w14:paraId="7AA10172" w14:textId="77777777" w:rsidR="0013025F" w:rsidRPr="0013025F"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13025F">
              <w:rPr>
                <w:rFonts w:ascii="Arial" w:hAnsi="Arial" w:cs="Arial"/>
                <w:b w:val="0"/>
                <w:bCs w:val="0"/>
                <w:color w:val="0F243E" w:themeColor="text2" w:themeShade="80"/>
                <w:sz w:val="20"/>
                <w:szCs w:val="20"/>
              </w:rPr>
              <w:t>2020</w:t>
            </w:r>
          </w:p>
        </w:tc>
        <w:tc>
          <w:tcPr>
            <w:tcW w:w="2113" w:type="dxa"/>
            <w:shd w:val="clear" w:color="auto" w:fill="DBE5F1" w:themeFill="accent1" w:themeFillTint="33"/>
            <w:vAlign w:val="center"/>
            <w:hideMark/>
          </w:tcPr>
          <w:p w14:paraId="0DC1753E" w14:textId="77777777" w:rsidR="0013025F" w:rsidRPr="0013025F"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13025F">
              <w:rPr>
                <w:rFonts w:ascii="Arial" w:hAnsi="Arial" w:cs="Arial"/>
                <w:b w:val="0"/>
                <w:bCs w:val="0"/>
                <w:color w:val="0F243E" w:themeColor="text2" w:themeShade="80"/>
                <w:sz w:val="20"/>
                <w:szCs w:val="20"/>
              </w:rPr>
              <w:t>2019</w:t>
            </w:r>
          </w:p>
        </w:tc>
        <w:tc>
          <w:tcPr>
            <w:tcW w:w="1281" w:type="dxa"/>
            <w:shd w:val="clear" w:color="auto" w:fill="DBE5F1" w:themeFill="accent1" w:themeFillTint="33"/>
            <w:vAlign w:val="center"/>
            <w:hideMark/>
          </w:tcPr>
          <w:p w14:paraId="51BB84B1" w14:textId="77777777" w:rsidR="0013025F" w:rsidRPr="0013025F"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13025F">
              <w:rPr>
                <w:rFonts w:ascii="Arial" w:hAnsi="Arial" w:cs="Arial"/>
                <w:b w:val="0"/>
                <w:bCs w:val="0"/>
                <w:color w:val="0F243E" w:themeColor="text2" w:themeShade="80"/>
                <w:sz w:val="20"/>
                <w:szCs w:val="20"/>
              </w:rPr>
              <w:t>2020</w:t>
            </w:r>
          </w:p>
        </w:tc>
        <w:tc>
          <w:tcPr>
            <w:tcW w:w="2547" w:type="dxa"/>
            <w:shd w:val="clear" w:color="auto" w:fill="DBE5F1" w:themeFill="accent1" w:themeFillTint="33"/>
            <w:vAlign w:val="center"/>
            <w:hideMark/>
          </w:tcPr>
          <w:p w14:paraId="21DE6AD8" w14:textId="77777777" w:rsidR="0013025F" w:rsidRPr="0013025F" w:rsidRDefault="0013025F" w:rsidP="00FF2AE0">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13025F">
              <w:rPr>
                <w:rFonts w:ascii="Arial" w:hAnsi="Arial" w:cs="Arial"/>
                <w:b w:val="0"/>
                <w:bCs w:val="0"/>
                <w:color w:val="0F243E" w:themeColor="text2" w:themeShade="80"/>
                <w:sz w:val="20"/>
                <w:szCs w:val="20"/>
              </w:rPr>
              <w:t>2019</w:t>
            </w:r>
          </w:p>
        </w:tc>
      </w:tr>
      <w:tr w:rsidR="0013025F" w:rsidRPr="0013025F" w14:paraId="6AB1DC0F"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11B68603" w14:textId="77777777" w:rsidR="0013025F" w:rsidRPr="0013025F" w:rsidRDefault="0013025F" w:rsidP="00FF2AE0">
            <w:pPr>
              <w:spacing w:before="60" w:after="60"/>
              <w:jc w:val="center"/>
              <w:rPr>
                <w:rFonts w:ascii="Arial" w:hAnsi="Arial" w:cs="Arial"/>
                <w:color w:val="0F243E" w:themeColor="text2" w:themeShade="80"/>
                <w:sz w:val="20"/>
                <w:szCs w:val="20"/>
              </w:rPr>
            </w:pPr>
            <w:r w:rsidRPr="0013025F">
              <w:rPr>
                <w:rFonts w:ascii="Arial" w:hAnsi="Arial" w:cs="Arial"/>
                <w:color w:val="0F243E" w:themeColor="text2" w:themeShade="80"/>
                <w:sz w:val="20"/>
                <w:szCs w:val="20"/>
              </w:rPr>
              <w:t>Julio</w:t>
            </w:r>
          </w:p>
        </w:tc>
        <w:tc>
          <w:tcPr>
            <w:tcW w:w="1151" w:type="dxa"/>
            <w:vAlign w:val="center"/>
            <w:hideMark/>
          </w:tcPr>
          <w:p w14:paraId="223FEDBE" w14:textId="48C21364" w:rsidR="0013025F" w:rsidRPr="0013025F" w:rsidRDefault="0013025F" w:rsidP="00FF2AE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3.553.199 </w:t>
            </w:r>
          </w:p>
        </w:tc>
        <w:tc>
          <w:tcPr>
            <w:tcW w:w="2113" w:type="dxa"/>
            <w:vAlign w:val="center"/>
            <w:hideMark/>
          </w:tcPr>
          <w:p w14:paraId="099064E6" w14:textId="71977BD4"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13.104.617 </w:t>
            </w:r>
          </w:p>
        </w:tc>
        <w:tc>
          <w:tcPr>
            <w:tcW w:w="1281" w:type="dxa"/>
            <w:vAlign w:val="center"/>
            <w:hideMark/>
          </w:tcPr>
          <w:p w14:paraId="037B7AFD" w14:textId="0023E1D0"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     455 </w:t>
            </w:r>
          </w:p>
        </w:tc>
        <w:tc>
          <w:tcPr>
            <w:tcW w:w="2547" w:type="dxa"/>
            <w:vAlign w:val="center"/>
            <w:hideMark/>
          </w:tcPr>
          <w:p w14:paraId="3329EE90" w14:textId="16260F31"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1.442 </w:t>
            </w:r>
          </w:p>
        </w:tc>
      </w:tr>
      <w:tr w:rsidR="0013025F" w:rsidRPr="0013025F" w14:paraId="5013EF5F"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44540BCF" w14:textId="77777777" w:rsidR="0013025F" w:rsidRPr="0013025F" w:rsidRDefault="0013025F" w:rsidP="00FF2AE0">
            <w:pPr>
              <w:spacing w:before="60" w:after="60"/>
              <w:jc w:val="center"/>
              <w:rPr>
                <w:rFonts w:ascii="Arial" w:hAnsi="Arial" w:cs="Arial"/>
                <w:color w:val="0F243E" w:themeColor="text2" w:themeShade="80"/>
                <w:sz w:val="20"/>
                <w:szCs w:val="20"/>
              </w:rPr>
            </w:pPr>
            <w:r w:rsidRPr="0013025F">
              <w:rPr>
                <w:rFonts w:ascii="Arial" w:hAnsi="Arial" w:cs="Arial"/>
                <w:color w:val="0F243E" w:themeColor="text2" w:themeShade="80"/>
                <w:sz w:val="20"/>
                <w:szCs w:val="20"/>
              </w:rPr>
              <w:t>Agosto</w:t>
            </w:r>
          </w:p>
        </w:tc>
        <w:tc>
          <w:tcPr>
            <w:tcW w:w="1151" w:type="dxa"/>
            <w:vAlign w:val="center"/>
            <w:hideMark/>
          </w:tcPr>
          <w:p w14:paraId="6755CE4D" w14:textId="225D85AC"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3.369.664 </w:t>
            </w:r>
          </w:p>
        </w:tc>
        <w:tc>
          <w:tcPr>
            <w:tcW w:w="2113" w:type="dxa"/>
            <w:vAlign w:val="center"/>
            <w:hideMark/>
          </w:tcPr>
          <w:p w14:paraId="61D85276" w14:textId="5B765C3D"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13.848.412 </w:t>
            </w:r>
          </w:p>
        </w:tc>
        <w:tc>
          <w:tcPr>
            <w:tcW w:w="1281" w:type="dxa"/>
            <w:vAlign w:val="center"/>
            <w:hideMark/>
          </w:tcPr>
          <w:p w14:paraId="42E067B0" w14:textId="7B9A8A5A"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     433 </w:t>
            </w:r>
          </w:p>
        </w:tc>
        <w:tc>
          <w:tcPr>
            <w:tcW w:w="2547" w:type="dxa"/>
            <w:vAlign w:val="center"/>
            <w:hideMark/>
          </w:tcPr>
          <w:p w14:paraId="35F69737" w14:textId="4D2178BB"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1.542 </w:t>
            </w:r>
          </w:p>
        </w:tc>
      </w:tr>
      <w:tr w:rsidR="0013025F" w:rsidRPr="0013025F" w14:paraId="146FD7A7"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vAlign w:val="center"/>
            <w:hideMark/>
          </w:tcPr>
          <w:p w14:paraId="27D2F9E9" w14:textId="77777777" w:rsidR="0013025F" w:rsidRPr="0013025F" w:rsidRDefault="0013025F" w:rsidP="00FF2AE0">
            <w:pPr>
              <w:spacing w:before="60" w:after="60"/>
              <w:jc w:val="center"/>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Septiembre </w:t>
            </w:r>
          </w:p>
        </w:tc>
        <w:tc>
          <w:tcPr>
            <w:tcW w:w="1151" w:type="dxa"/>
            <w:vAlign w:val="center"/>
            <w:hideMark/>
          </w:tcPr>
          <w:p w14:paraId="63CA36C9" w14:textId="78DDD73F"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3.829.801 </w:t>
            </w:r>
          </w:p>
        </w:tc>
        <w:tc>
          <w:tcPr>
            <w:tcW w:w="2113" w:type="dxa"/>
            <w:vAlign w:val="center"/>
            <w:hideMark/>
          </w:tcPr>
          <w:p w14:paraId="5FA4A05F" w14:textId="66BD8379"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11.787.165 </w:t>
            </w:r>
          </w:p>
        </w:tc>
        <w:tc>
          <w:tcPr>
            <w:tcW w:w="1281" w:type="dxa"/>
            <w:vAlign w:val="center"/>
            <w:hideMark/>
          </w:tcPr>
          <w:p w14:paraId="49A9572B" w14:textId="72BA9BD3"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      492 </w:t>
            </w:r>
          </w:p>
        </w:tc>
        <w:tc>
          <w:tcPr>
            <w:tcW w:w="2547" w:type="dxa"/>
            <w:vAlign w:val="center"/>
            <w:hideMark/>
          </w:tcPr>
          <w:p w14:paraId="0081F3BA" w14:textId="1821850A"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3025F">
              <w:rPr>
                <w:rFonts w:ascii="Arial" w:hAnsi="Arial" w:cs="Arial"/>
                <w:color w:val="0F243E" w:themeColor="text2" w:themeShade="80"/>
                <w:sz w:val="20"/>
                <w:szCs w:val="20"/>
              </w:rPr>
              <w:t xml:space="preserve">1.292 </w:t>
            </w:r>
          </w:p>
        </w:tc>
      </w:tr>
      <w:tr w:rsidR="006E51DB" w:rsidRPr="0013025F" w14:paraId="7B02816C"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shd w:val="clear" w:color="auto" w:fill="DBE5F1" w:themeFill="accent1" w:themeFillTint="33"/>
            <w:vAlign w:val="center"/>
            <w:hideMark/>
          </w:tcPr>
          <w:p w14:paraId="21B0D42C" w14:textId="77777777" w:rsidR="0013025F" w:rsidRPr="0013025F" w:rsidRDefault="0013025F" w:rsidP="00FF2AE0">
            <w:pPr>
              <w:spacing w:before="60" w:after="60"/>
              <w:jc w:val="center"/>
              <w:rPr>
                <w:rFonts w:ascii="Arial" w:hAnsi="Arial" w:cs="Arial"/>
                <w:color w:val="0F243E" w:themeColor="text2" w:themeShade="80"/>
                <w:sz w:val="20"/>
                <w:szCs w:val="20"/>
              </w:rPr>
            </w:pPr>
            <w:r w:rsidRPr="0013025F">
              <w:rPr>
                <w:rFonts w:ascii="Arial" w:hAnsi="Arial" w:cs="Arial"/>
                <w:color w:val="0F243E" w:themeColor="text2" w:themeShade="80"/>
                <w:sz w:val="20"/>
                <w:szCs w:val="20"/>
              </w:rPr>
              <w:t>Total</w:t>
            </w:r>
          </w:p>
        </w:tc>
        <w:tc>
          <w:tcPr>
            <w:tcW w:w="1151" w:type="dxa"/>
            <w:shd w:val="clear" w:color="auto" w:fill="DBE5F1" w:themeFill="accent1" w:themeFillTint="33"/>
            <w:vAlign w:val="center"/>
            <w:hideMark/>
          </w:tcPr>
          <w:p w14:paraId="17C86B4C" w14:textId="74DA4739"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3025F">
              <w:rPr>
                <w:rFonts w:ascii="Arial" w:hAnsi="Arial" w:cs="Arial"/>
                <w:b/>
                <w:bCs/>
                <w:color w:val="0F243E" w:themeColor="text2" w:themeShade="80"/>
                <w:sz w:val="20"/>
                <w:szCs w:val="20"/>
              </w:rPr>
              <w:t xml:space="preserve">10.752.664 </w:t>
            </w:r>
          </w:p>
        </w:tc>
        <w:tc>
          <w:tcPr>
            <w:tcW w:w="2113" w:type="dxa"/>
            <w:shd w:val="clear" w:color="auto" w:fill="DBE5F1" w:themeFill="accent1" w:themeFillTint="33"/>
            <w:vAlign w:val="center"/>
            <w:hideMark/>
          </w:tcPr>
          <w:p w14:paraId="7EC9137E" w14:textId="74EB40DA"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3025F">
              <w:rPr>
                <w:rFonts w:ascii="Arial" w:hAnsi="Arial" w:cs="Arial"/>
                <w:b/>
                <w:bCs/>
                <w:color w:val="0F243E" w:themeColor="text2" w:themeShade="80"/>
                <w:sz w:val="20"/>
                <w:szCs w:val="20"/>
              </w:rPr>
              <w:t xml:space="preserve">38.740.193 </w:t>
            </w:r>
          </w:p>
        </w:tc>
        <w:tc>
          <w:tcPr>
            <w:tcW w:w="1281" w:type="dxa"/>
            <w:shd w:val="clear" w:color="auto" w:fill="DBE5F1" w:themeFill="accent1" w:themeFillTint="33"/>
            <w:vAlign w:val="center"/>
            <w:hideMark/>
          </w:tcPr>
          <w:p w14:paraId="02FDB8E8" w14:textId="7BF8E2E9"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3025F">
              <w:rPr>
                <w:rFonts w:ascii="Arial" w:hAnsi="Arial" w:cs="Arial"/>
                <w:b/>
                <w:bCs/>
                <w:color w:val="0F243E" w:themeColor="text2" w:themeShade="80"/>
                <w:sz w:val="20"/>
                <w:szCs w:val="20"/>
              </w:rPr>
              <w:t xml:space="preserve">  1.380 </w:t>
            </w:r>
          </w:p>
        </w:tc>
        <w:tc>
          <w:tcPr>
            <w:tcW w:w="2547" w:type="dxa"/>
            <w:shd w:val="clear" w:color="auto" w:fill="DBE5F1" w:themeFill="accent1" w:themeFillTint="33"/>
            <w:vAlign w:val="center"/>
            <w:hideMark/>
          </w:tcPr>
          <w:p w14:paraId="5AAB5C58" w14:textId="58F981B6" w:rsidR="0013025F" w:rsidRPr="0013025F" w:rsidRDefault="0013025F" w:rsidP="00FF2AE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13025F">
              <w:rPr>
                <w:rFonts w:ascii="Arial" w:hAnsi="Arial" w:cs="Arial"/>
                <w:b/>
                <w:bCs/>
                <w:color w:val="0F243E" w:themeColor="text2" w:themeShade="80"/>
                <w:sz w:val="20"/>
                <w:szCs w:val="20"/>
              </w:rPr>
              <w:t xml:space="preserve">4.275 </w:t>
            </w:r>
          </w:p>
        </w:tc>
      </w:tr>
      <w:tr w:rsidR="0013025F" w:rsidRPr="0013025F" w14:paraId="0C035A4A"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shd w:val="clear" w:color="auto" w:fill="4F81BD" w:themeFill="accent1"/>
            <w:vAlign w:val="center"/>
            <w:hideMark/>
          </w:tcPr>
          <w:p w14:paraId="2A2BFAD5" w14:textId="77777777" w:rsidR="0013025F" w:rsidRPr="0013025F" w:rsidRDefault="0013025F" w:rsidP="00FF2AE0">
            <w:pPr>
              <w:spacing w:before="60" w:after="60"/>
              <w:jc w:val="center"/>
              <w:rPr>
                <w:rFonts w:ascii="Arial" w:hAnsi="Arial" w:cs="Arial"/>
                <w:color w:val="FFFFFF" w:themeColor="background1"/>
                <w:sz w:val="20"/>
                <w:szCs w:val="20"/>
              </w:rPr>
            </w:pPr>
            <w:r w:rsidRPr="0013025F">
              <w:rPr>
                <w:rFonts w:ascii="Arial" w:hAnsi="Arial" w:cs="Arial"/>
                <w:color w:val="FFFFFF" w:themeColor="background1"/>
                <w:sz w:val="20"/>
                <w:szCs w:val="20"/>
              </w:rPr>
              <w:t>Variación Absoluta</w:t>
            </w:r>
          </w:p>
        </w:tc>
        <w:tc>
          <w:tcPr>
            <w:tcW w:w="3264" w:type="dxa"/>
            <w:gridSpan w:val="2"/>
            <w:shd w:val="clear" w:color="auto" w:fill="4F81BD" w:themeFill="accent1"/>
            <w:noWrap/>
            <w:vAlign w:val="center"/>
            <w:hideMark/>
          </w:tcPr>
          <w:p w14:paraId="744274C0" w14:textId="76F1FBFB" w:rsidR="0013025F" w:rsidRPr="0013025F" w:rsidRDefault="0013025F" w:rsidP="00FF2AE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3025F">
              <w:rPr>
                <w:rFonts w:ascii="Arial" w:hAnsi="Arial" w:cs="Arial"/>
                <w:b/>
                <w:bCs/>
                <w:color w:val="FFFFFF" w:themeColor="background1"/>
                <w:sz w:val="20"/>
                <w:szCs w:val="20"/>
              </w:rPr>
              <w:t>(27.987.529)</w:t>
            </w:r>
          </w:p>
        </w:tc>
        <w:tc>
          <w:tcPr>
            <w:tcW w:w="3828" w:type="dxa"/>
            <w:gridSpan w:val="2"/>
            <w:shd w:val="clear" w:color="auto" w:fill="4F81BD" w:themeFill="accent1"/>
            <w:noWrap/>
            <w:vAlign w:val="center"/>
            <w:hideMark/>
          </w:tcPr>
          <w:p w14:paraId="3485CC82" w14:textId="3C5CB65C" w:rsidR="0013025F" w:rsidRPr="0013025F" w:rsidRDefault="0013025F" w:rsidP="00FF2AE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3025F">
              <w:rPr>
                <w:rFonts w:ascii="Arial" w:hAnsi="Arial" w:cs="Arial"/>
                <w:b/>
                <w:bCs/>
                <w:color w:val="FFFFFF" w:themeColor="background1"/>
                <w:sz w:val="20"/>
                <w:szCs w:val="20"/>
              </w:rPr>
              <w:t>(2.895)</w:t>
            </w:r>
          </w:p>
        </w:tc>
      </w:tr>
      <w:tr w:rsidR="0013025F" w:rsidRPr="0013025F" w14:paraId="35449446" w14:textId="77777777" w:rsidTr="00FF2AE0">
        <w:trPr>
          <w:cantSplit/>
          <w:jc w:val="right"/>
        </w:trPr>
        <w:tc>
          <w:tcPr>
            <w:cnfStyle w:val="001000000000" w:firstRow="0" w:lastRow="0" w:firstColumn="1" w:lastColumn="0" w:oddVBand="0" w:evenVBand="0" w:oddHBand="0" w:evenHBand="0" w:firstRowFirstColumn="0" w:firstRowLastColumn="0" w:lastRowFirstColumn="0" w:lastRowLastColumn="0"/>
            <w:tcW w:w="2122" w:type="dxa"/>
            <w:shd w:val="clear" w:color="auto" w:fill="4F81BD" w:themeFill="accent1"/>
            <w:vAlign w:val="center"/>
            <w:hideMark/>
          </w:tcPr>
          <w:p w14:paraId="77AB9229" w14:textId="24046C16" w:rsidR="0013025F" w:rsidRPr="0013025F" w:rsidRDefault="0013025F" w:rsidP="00FF2AE0">
            <w:pPr>
              <w:spacing w:before="60" w:after="60"/>
              <w:jc w:val="center"/>
              <w:rPr>
                <w:rFonts w:ascii="Arial" w:hAnsi="Arial" w:cs="Arial"/>
                <w:color w:val="FFFFFF" w:themeColor="background1"/>
                <w:sz w:val="20"/>
                <w:szCs w:val="20"/>
              </w:rPr>
            </w:pPr>
            <w:r w:rsidRPr="0013025F">
              <w:rPr>
                <w:rFonts w:ascii="Arial" w:hAnsi="Arial" w:cs="Arial"/>
                <w:color w:val="FFFFFF" w:themeColor="background1"/>
                <w:sz w:val="20"/>
                <w:szCs w:val="20"/>
              </w:rPr>
              <w:t xml:space="preserve">Variación Relativa </w:t>
            </w:r>
          </w:p>
        </w:tc>
        <w:tc>
          <w:tcPr>
            <w:tcW w:w="3264" w:type="dxa"/>
            <w:gridSpan w:val="2"/>
            <w:shd w:val="clear" w:color="auto" w:fill="4F81BD" w:themeFill="accent1"/>
            <w:noWrap/>
            <w:vAlign w:val="center"/>
            <w:hideMark/>
          </w:tcPr>
          <w:p w14:paraId="0C132177" w14:textId="5182917C" w:rsidR="0013025F" w:rsidRPr="0013025F" w:rsidRDefault="0013025F" w:rsidP="00FF2AE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3025F">
              <w:rPr>
                <w:rFonts w:ascii="Arial" w:hAnsi="Arial" w:cs="Arial"/>
                <w:b/>
                <w:bCs/>
                <w:color w:val="FFFFFF" w:themeColor="background1"/>
                <w:sz w:val="20"/>
                <w:szCs w:val="20"/>
              </w:rPr>
              <w:t>(72%)</w:t>
            </w:r>
          </w:p>
        </w:tc>
        <w:tc>
          <w:tcPr>
            <w:tcW w:w="3828" w:type="dxa"/>
            <w:gridSpan w:val="2"/>
            <w:shd w:val="clear" w:color="auto" w:fill="4F81BD" w:themeFill="accent1"/>
            <w:noWrap/>
            <w:vAlign w:val="center"/>
            <w:hideMark/>
          </w:tcPr>
          <w:p w14:paraId="54F77B5D" w14:textId="65188C25" w:rsidR="0013025F" w:rsidRPr="0013025F" w:rsidRDefault="0013025F" w:rsidP="00FF2AE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13025F">
              <w:rPr>
                <w:rFonts w:ascii="Arial" w:hAnsi="Arial" w:cs="Arial"/>
                <w:b/>
                <w:bCs/>
                <w:color w:val="FFFFFF" w:themeColor="background1"/>
                <w:sz w:val="20"/>
                <w:szCs w:val="20"/>
              </w:rPr>
              <w:t>(68%)</w:t>
            </w:r>
          </w:p>
        </w:tc>
      </w:tr>
    </w:tbl>
    <w:p w14:paraId="4D8861DD" w14:textId="32E3442C" w:rsidR="009D7D19" w:rsidRPr="00D84E39" w:rsidRDefault="00A844D2" w:rsidP="007C1419">
      <w:pPr>
        <w:jc w:val="both"/>
        <w:rPr>
          <w:rFonts w:ascii="Arial" w:hAnsi="Arial" w:cs="Arial"/>
          <w:color w:val="000000" w:themeColor="text1"/>
          <w:sz w:val="22"/>
          <w:szCs w:val="22"/>
        </w:rPr>
      </w:pPr>
      <w:r w:rsidRPr="00D84E39">
        <w:rPr>
          <w:rFonts w:ascii="Arial" w:hAnsi="Arial" w:cs="Arial"/>
          <w:color w:val="000000" w:themeColor="text1"/>
          <w:sz w:val="22"/>
          <w:szCs w:val="22"/>
        </w:rPr>
        <w:lastRenderedPageBreak/>
        <w:t xml:space="preserve">Con base en las verificaciones efectuadas, se concluye que </w:t>
      </w:r>
      <w:r w:rsidR="0032058A" w:rsidRPr="00D84E39">
        <w:rPr>
          <w:rFonts w:ascii="Arial" w:hAnsi="Arial" w:cs="Arial"/>
          <w:color w:val="000000" w:themeColor="text1"/>
          <w:sz w:val="22"/>
          <w:szCs w:val="22"/>
        </w:rPr>
        <w:t>la</w:t>
      </w:r>
      <w:r w:rsidR="0048153E" w:rsidRPr="00D84E39">
        <w:rPr>
          <w:rFonts w:ascii="Arial" w:hAnsi="Arial" w:cs="Arial"/>
          <w:color w:val="000000" w:themeColor="text1"/>
          <w:sz w:val="22"/>
          <w:szCs w:val="22"/>
        </w:rPr>
        <w:t>s</w:t>
      </w:r>
      <w:r w:rsidR="0032058A" w:rsidRPr="00D84E39">
        <w:rPr>
          <w:rFonts w:ascii="Arial" w:hAnsi="Arial" w:cs="Arial"/>
          <w:color w:val="000000" w:themeColor="text1"/>
          <w:sz w:val="22"/>
          <w:szCs w:val="22"/>
        </w:rPr>
        <w:t xml:space="preserve"> disminuci</w:t>
      </w:r>
      <w:r w:rsidR="0048153E" w:rsidRPr="00D84E39">
        <w:rPr>
          <w:rFonts w:ascii="Arial" w:hAnsi="Arial" w:cs="Arial"/>
          <w:color w:val="000000" w:themeColor="text1"/>
          <w:sz w:val="22"/>
          <w:szCs w:val="22"/>
        </w:rPr>
        <w:t>ones</w:t>
      </w:r>
      <w:r w:rsidR="0032058A" w:rsidRPr="00D84E39">
        <w:rPr>
          <w:rFonts w:ascii="Arial" w:hAnsi="Arial" w:cs="Arial"/>
          <w:color w:val="000000" w:themeColor="text1"/>
          <w:sz w:val="22"/>
          <w:szCs w:val="22"/>
        </w:rPr>
        <w:t xml:space="preserve"> </w:t>
      </w:r>
      <w:r w:rsidR="0048153E" w:rsidRPr="00D84E39">
        <w:rPr>
          <w:rFonts w:ascii="Arial" w:hAnsi="Arial" w:cs="Arial"/>
          <w:color w:val="000000" w:themeColor="text1"/>
          <w:sz w:val="22"/>
          <w:szCs w:val="22"/>
        </w:rPr>
        <w:t xml:space="preserve">tanto del </w:t>
      </w:r>
      <w:r w:rsidR="0032058A" w:rsidRPr="00D84E39">
        <w:rPr>
          <w:rFonts w:ascii="Arial" w:hAnsi="Arial" w:cs="Arial"/>
          <w:color w:val="000000" w:themeColor="text1"/>
          <w:sz w:val="22"/>
          <w:szCs w:val="22"/>
        </w:rPr>
        <w:t xml:space="preserve">gasto </w:t>
      </w:r>
      <w:r w:rsidR="0048153E" w:rsidRPr="00D84E39">
        <w:rPr>
          <w:rFonts w:ascii="Arial" w:hAnsi="Arial" w:cs="Arial"/>
          <w:color w:val="000000" w:themeColor="text1"/>
          <w:sz w:val="22"/>
          <w:szCs w:val="22"/>
        </w:rPr>
        <w:t xml:space="preserve">como el consumo en galones de </w:t>
      </w:r>
      <w:r w:rsidR="0032058A" w:rsidRPr="00D84E39">
        <w:rPr>
          <w:rFonts w:ascii="Arial" w:hAnsi="Arial" w:cs="Arial"/>
          <w:color w:val="000000" w:themeColor="text1"/>
          <w:sz w:val="22"/>
          <w:szCs w:val="22"/>
        </w:rPr>
        <w:t>combustible</w:t>
      </w:r>
      <w:r w:rsidR="008C18A9" w:rsidRPr="00D84E39">
        <w:rPr>
          <w:rFonts w:ascii="Arial" w:hAnsi="Arial" w:cs="Arial"/>
          <w:color w:val="000000" w:themeColor="text1"/>
          <w:sz w:val="22"/>
          <w:szCs w:val="22"/>
        </w:rPr>
        <w:t xml:space="preserve"> para e</w:t>
      </w:r>
      <w:r w:rsidR="0032058A" w:rsidRPr="00D84E39">
        <w:rPr>
          <w:rFonts w:ascii="Arial" w:hAnsi="Arial" w:cs="Arial"/>
          <w:color w:val="000000" w:themeColor="text1"/>
          <w:sz w:val="22"/>
          <w:szCs w:val="22"/>
        </w:rPr>
        <w:t xml:space="preserve">l </w:t>
      </w:r>
      <w:r w:rsidR="00D84E39">
        <w:rPr>
          <w:rFonts w:ascii="Arial" w:hAnsi="Arial" w:cs="Arial"/>
          <w:color w:val="000000" w:themeColor="text1"/>
          <w:sz w:val="22"/>
          <w:szCs w:val="22"/>
        </w:rPr>
        <w:t xml:space="preserve">tercer </w:t>
      </w:r>
      <w:r w:rsidR="0032058A" w:rsidRPr="00D84E39">
        <w:rPr>
          <w:rFonts w:ascii="Arial" w:hAnsi="Arial" w:cs="Arial"/>
          <w:color w:val="000000" w:themeColor="text1"/>
          <w:sz w:val="22"/>
          <w:szCs w:val="22"/>
        </w:rPr>
        <w:t xml:space="preserve">trimestre de 2020, se </w:t>
      </w:r>
      <w:r w:rsidR="00C513B5" w:rsidRPr="00D84E39">
        <w:rPr>
          <w:rFonts w:ascii="Arial" w:hAnsi="Arial" w:cs="Arial"/>
          <w:color w:val="000000" w:themeColor="text1"/>
          <w:sz w:val="22"/>
          <w:szCs w:val="22"/>
        </w:rPr>
        <w:t xml:space="preserve">originó </w:t>
      </w:r>
      <w:r w:rsidR="0032058A" w:rsidRPr="00D84E39">
        <w:rPr>
          <w:rFonts w:ascii="Arial" w:hAnsi="Arial" w:cs="Arial"/>
          <w:color w:val="000000" w:themeColor="text1"/>
          <w:sz w:val="22"/>
          <w:szCs w:val="22"/>
        </w:rPr>
        <w:t xml:space="preserve">de la aplicación </w:t>
      </w:r>
      <w:r w:rsidR="0013122A" w:rsidRPr="00D84E39">
        <w:rPr>
          <w:rFonts w:ascii="Arial" w:hAnsi="Arial" w:cs="Arial"/>
          <w:color w:val="000000" w:themeColor="text1"/>
          <w:sz w:val="22"/>
          <w:szCs w:val="22"/>
        </w:rPr>
        <w:t xml:space="preserve">las directrices </w:t>
      </w:r>
      <w:r w:rsidR="0032058A" w:rsidRPr="00D84E39">
        <w:rPr>
          <w:rFonts w:ascii="Arial" w:hAnsi="Arial" w:cs="Arial"/>
          <w:color w:val="000000" w:themeColor="text1"/>
          <w:sz w:val="22"/>
          <w:szCs w:val="22"/>
        </w:rPr>
        <w:t>por parte de esta Entidad</w:t>
      </w:r>
      <w:r w:rsidR="0013122A" w:rsidRPr="00D84E39">
        <w:rPr>
          <w:rFonts w:ascii="Arial" w:hAnsi="Arial" w:cs="Arial"/>
          <w:color w:val="000000" w:themeColor="text1"/>
          <w:sz w:val="22"/>
          <w:szCs w:val="22"/>
        </w:rPr>
        <w:t xml:space="preserve"> </w:t>
      </w:r>
      <w:r w:rsidR="0032058A" w:rsidRPr="00D84E39">
        <w:rPr>
          <w:rFonts w:ascii="Arial" w:hAnsi="Arial" w:cs="Arial"/>
          <w:color w:val="000000" w:themeColor="text1"/>
          <w:sz w:val="22"/>
          <w:szCs w:val="22"/>
        </w:rPr>
        <w:t xml:space="preserve">en virtud de la </w:t>
      </w:r>
      <w:r w:rsidR="0032058A" w:rsidRPr="00D84E39">
        <w:rPr>
          <w:rFonts w:ascii="Arial" w:hAnsi="Arial" w:cs="Arial"/>
          <w:sz w:val="22"/>
          <w:szCs w:val="22"/>
        </w:rPr>
        <w:t>Emergencia Económica, Social y Ecológica [COVID-19]</w:t>
      </w:r>
      <w:r w:rsidR="00B346B3" w:rsidRPr="00D84E39">
        <w:rPr>
          <w:rFonts w:ascii="Arial" w:hAnsi="Arial" w:cs="Arial"/>
          <w:sz w:val="22"/>
          <w:szCs w:val="22"/>
        </w:rPr>
        <w:t xml:space="preserve">, </w:t>
      </w:r>
      <w:r w:rsidR="00D84E39">
        <w:rPr>
          <w:rFonts w:ascii="Arial" w:hAnsi="Arial" w:cs="Arial"/>
          <w:sz w:val="22"/>
          <w:szCs w:val="22"/>
        </w:rPr>
        <w:t>que si bien el Decreto 1168 de 2020</w:t>
      </w:r>
      <w:r w:rsidR="00C71E5E">
        <w:rPr>
          <w:rFonts w:ascii="Arial" w:hAnsi="Arial" w:cs="Arial"/>
          <w:sz w:val="22"/>
          <w:szCs w:val="22"/>
        </w:rPr>
        <w:t xml:space="preserve"> en la fase de aislamiento selectivo</w:t>
      </w:r>
      <w:r w:rsidR="00D84E39">
        <w:rPr>
          <w:rFonts w:ascii="Arial" w:hAnsi="Arial" w:cs="Arial"/>
          <w:sz w:val="22"/>
          <w:szCs w:val="22"/>
        </w:rPr>
        <w:t xml:space="preserve"> redujo </w:t>
      </w:r>
      <w:r w:rsidR="00B346B3" w:rsidRPr="00D84E39">
        <w:rPr>
          <w:rFonts w:ascii="Arial" w:hAnsi="Arial" w:cs="Arial"/>
          <w:sz w:val="22"/>
          <w:szCs w:val="22"/>
        </w:rPr>
        <w:t>las restricciones</w:t>
      </w:r>
      <w:r w:rsidR="00C71E5E">
        <w:rPr>
          <w:rFonts w:ascii="Arial" w:hAnsi="Arial" w:cs="Arial"/>
          <w:sz w:val="22"/>
          <w:szCs w:val="22"/>
        </w:rPr>
        <w:t xml:space="preserve"> en materia de </w:t>
      </w:r>
      <w:r w:rsidR="00B346B3" w:rsidRPr="00D84E39">
        <w:rPr>
          <w:rFonts w:ascii="Arial" w:hAnsi="Arial" w:cs="Arial"/>
          <w:sz w:val="22"/>
          <w:szCs w:val="22"/>
        </w:rPr>
        <w:t xml:space="preserve">movilidad, </w:t>
      </w:r>
      <w:r w:rsidR="00D84E39">
        <w:rPr>
          <w:rFonts w:ascii="Arial" w:hAnsi="Arial" w:cs="Arial"/>
          <w:sz w:val="22"/>
          <w:szCs w:val="22"/>
        </w:rPr>
        <w:t xml:space="preserve">este Ministerio continuó aplicando medidas tales como, el trabajo en casa, </w:t>
      </w:r>
      <w:r w:rsidR="00B346B3" w:rsidRPr="00D84E39">
        <w:rPr>
          <w:rFonts w:ascii="Arial" w:hAnsi="Arial" w:cs="Arial"/>
          <w:sz w:val="22"/>
          <w:szCs w:val="22"/>
        </w:rPr>
        <w:t>por tal razón, los vehículos oficiales no fueron utilizados en su totalidad</w:t>
      </w:r>
      <w:r w:rsidR="00A70A92" w:rsidRPr="00D84E39">
        <w:rPr>
          <w:rFonts w:ascii="Arial" w:hAnsi="Arial" w:cs="Arial"/>
          <w:sz w:val="22"/>
          <w:szCs w:val="22"/>
        </w:rPr>
        <w:t xml:space="preserve"> y por ende no fue necesario el consumo de combustible que habitualmente se venía generando. </w:t>
      </w:r>
    </w:p>
    <w:p w14:paraId="2C9F88F3" w14:textId="77777777" w:rsidR="002934A7" w:rsidRPr="00CA48AF" w:rsidRDefault="002934A7" w:rsidP="007C1419">
      <w:pPr>
        <w:jc w:val="both"/>
        <w:rPr>
          <w:rFonts w:ascii="Arial" w:hAnsi="Arial" w:cs="Arial"/>
          <w:color w:val="000000" w:themeColor="text1"/>
          <w:sz w:val="22"/>
          <w:szCs w:val="22"/>
          <w:highlight w:val="yellow"/>
        </w:rPr>
      </w:pPr>
    </w:p>
    <w:p w14:paraId="17C658E9" w14:textId="6A5314EE" w:rsidR="00D34F20" w:rsidRPr="00BC20BC" w:rsidRDefault="008C18A9" w:rsidP="001F5D54">
      <w:pPr>
        <w:jc w:val="both"/>
        <w:rPr>
          <w:rFonts w:ascii="Arial" w:hAnsi="Arial" w:cs="Arial"/>
          <w:sz w:val="22"/>
          <w:szCs w:val="22"/>
        </w:rPr>
      </w:pPr>
      <w:r w:rsidRPr="00BC20BC">
        <w:rPr>
          <w:rFonts w:ascii="Arial" w:hAnsi="Arial" w:cs="Arial"/>
          <w:sz w:val="22"/>
          <w:szCs w:val="22"/>
        </w:rPr>
        <w:t xml:space="preserve">Finalmente, es importante </w:t>
      </w:r>
      <w:r w:rsidR="00C513B5" w:rsidRPr="00BC20BC">
        <w:rPr>
          <w:rFonts w:ascii="Arial" w:hAnsi="Arial" w:cs="Arial"/>
          <w:sz w:val="22"/>
          <w:szCs w:val="22"/>
        </w:rPr>
        <w:t xml:space="preserve">mencionar que </w:t>
      </w:r>
      <w:r w:rsidR="00F96968" w:rsidRPr="00BC20BC">
        <w:rPr>
          <w:rFonts w:ascii="Arial" w:hAnsi="Arial" w:cs="Arial"/>
          <w:sz w:val="22"/>
          <w:szCs w:val="22"/>
        </w:rPr>
        <w:t xml:space="preserve">la Subdirección de </w:t>
      </w:r>
      <w:r w:rsidR="001F5D54" w:rsidRPr="00BC20BC">
        <w:rPr>
          <w:rFonts w:ascii="Arial" w:hAnsi="Arial" w:cs="Arial"/>
          <w:sz w:val="22"/>
          <w:szCs w:val="22"/>
        </w:rPr>
        <w:t xml:space="preserve">Servicios </w:t>
      </w:r>
      <w:r w:rsidR="00C513B5" w:rsidRPr="00BC20BC">
        <w:rPr>
          <w:rFonts w:ascii="Arial" w:hAnsi="Arial" w:cs="Arial"/>
          <w:sz w:val="22"/>
          <w:szCs w:val="22"/>
        </w:rPr>
        <w:t xml:space="preserve">ha venido aplicando </w:t>
      </w:r>
      <w:r w:rsidR="005B02E4" w:rsidRPr="00BC20BC">
        <w:rPr>
          <w:rFonts w:ascii="Arial" w:hAnsi="Arial" w:cs="Arial"/>
          <w:sz w:val="22"/>
          <w:szCs w:val="22"/>
        </w:rPr>
        <w:t xml:space="preserve">el </w:t>
      </w:r>
      <w:r w:rsidR="00C513B5" w:rsidRPr="00BC20BC">
        <w:rPr>
          <w:rFonts w:ascii="Arial" w:hAnsi="Arial" w:cs="Arial"/>
          <w:sz w:val="22"/>
          <w:szCs w:val="22"/>
        </w:rPr>
        <w:t xml:space="preserve"> control</w:t>
      </w:r>
      <w:r w:rsidR="00E26BAC" w:rsidRPr="00BC20BC">
        <w:rPr>
          <w:rFonts w:ascii="Arial" w:hAnsi="Arial" w:cs="Arial"/>
          <w:sz w:val="22"/>
          <w:szCs w:val="22"/>
        </w:rPr>
        <w:t xml:space="preserve"> </w:t>
      </w:r>
      <w:r w:rsidR="00C513B5" w:rsidRPr="00BC20BC">
        <w:rPr>
          <w:rFonts w:ascii="Arial" w:hAnsi="Arial" w:cs="Arial"/>
          <w:sz w:val="22"/>
          <w:szCs w:val="22"/>
        </w:rPr>
        <w:t>d</w:t>
      </w:r>
      <w:r w:rsidR="00E26BAC" w:rsidRPr="00BC20BC">
        <w:rPr>
          <w:rFonts w:ascii="Arial" w:hAnsi="Arial" w:cs="Arial"/>
          <w:sz w:val="22"/>
          <w:szCs w:val="22"/>
        </w:rPr>
        <w:t xml:space="preserve">el consumo de </w:t>
      </w:r>
      <w:r w:rsidR="006E710E" w:rsidRPr="00BC20BC">
        <w:rPr>
          <w:rFonts w:ascii="Arial" w:hAnsi="Arial" w:cs="Arial"/>
          <w:sz w:val="22"/>
          <w:szCs w:val="22"/>
        </w:rPr>
        <w:t>combustible</w:t>
      </w:r>
      <w:r w:rsidR="00C513B5" w:rsidRPr="00BC20BC">
        <w:rPr>
          <w:rFonts w:ascii="Arial" w:hAnsi="Arial" w:cs="Arial"/>
          <w:sz w:val="22"/>
          <w:szCs w:val="22"/>
        </w:rPr>
        <w:t xml:space="preserve">, </w:t>
      </w:r>
      <w:r w:rsidR="00E26BAC" w:rsidRPr="00BC20BC">
        <w:rPr>
          <w:rFonts w:ascii="Arial" w:hAnsi="Arial" w:cs="Arial"/>
          <w:sz w:val="22"/>
          <w:szCs w:val="22"/>
        </w:rPr>
        <w:t xml:space="preserve">mediante </w:t>
      </w:r>
      <w:r w:rsidR="00D34F20" w:rsidRPr="00BC20BC">
        <w:rPr>
          <w:rFonts w:ascii="Arial" w:hAnsi="Arial" w:cs="Arial"/>
          <w:sz w:val="22"/>
          <w:szCs w:val="22"/>
        </w:rPr>
        <w:t>el dispositivo</w:t>
      </w:r>
      <w:r w:rsidR="00AF3352" w:rsidRPr="00BC20BC">
        <w:rPr>
          <w:rFonts w:ascii="Arial" w:hAnsi="Arial" w:cs="Arial"/>
          <w:sz w:val="22"/>
          <w:szCs w:val="22"/>
        </w:rPr>
        <w:t xml:space="preserve"> [CHIP]</w:t>
      </w:r>
      <w:r w:rsidR="00D34F20" w:rsidRPr="00BC20BC">
        <w:rPr>
          <w:rFonts w:ascii="Arial" w:hAnsi="Arial" w:cs="Arial"/>
          <w:sz w:val="22"/>
          <w:szCs w:val="22"/>
        </w:rPr>
        <w:t xml:space="preserve"> que se encuentra instalado en cada vehículo y motocicleta que conforma el parque automotor de la Entidad y las camionetas de la Unidad Nacional de Protección asignadas al esquema de seguridad del Ministro y el </w:t>
      </w:r>
      <w:r w:rsidR="00010843" w:rsidRPr="00BC20BC">
        <w:rPr>
          <w:rFonts w:ascii="Arial" w:hAnsi="Arial" w:cs="Arial"/>
          <w:sz w:val="22"/>
          <w:szCs w:val="22"/>
        </w:rPr>
        <w:t>V</w:t>
      </w:r>
      <w:r w:rsidR="00D34F20" w:rsidRPr="00BC20BC">
        <w:rPr>
          <w:rFonts w:ascii="Arial" w:hAnsi="Arial" w:cs="Arial"/>
          <w:sz w:val="22"/>
          <w:szCs w:val="22"/>
        </w:rPr>
        <w:t>iceministro</w:t>
      </w:r>
      <w:r w:rsidR="001F5D54" w:rsidRPr="00BC20BC">
        <w:rPr>
          <w:rFonts w:ascii="Arial" w:hAnsi="Arial" w:cs="Arial"/>
          <w:sz w:val="22"/>
          <w:szCs w:val="22"/>
        </w:rPr>
        <w:t xml:space="preserve"> General</w:t>
      </w:r>
      <w:r w:rsidR="00D34F20" w:rsidRPr="00BC20BC">
        <w:rPr>
          <w:rFonts w:ascii="Arial" w:hAnsi="Arial" w:cs="Arial"/>
          <w:sz w:val="22"/>
          <w:szCs w:val="22"/>
        </w:rPr>
        <w:t xml:space="preserve">, </w:t>
      </w:r>
      <w:r w:rsidR="00AF3352" w:rsidRPr="00BC20BC">
        <w:rPr>
          <w:rFonts w:ascii="Arial" w:hAnsi="Arial" w:cs="Arial"/>
          <w:sz w:val="22"/>
          <w:szCs w:val="22"/>
        </w:rPr>
        <w:t xml:space="preserve">los cuales </w:t>
      </w:r>
      <w:r w:rsidR="00D34F20" w:rsidRPr="00BC20BC">
        <w:rPr>
          <w:rFonts w:ascii="Arial" w:hAnsi="Arial" w:cs="Arial"/>
          <w:sz w:val="22"/>
          <w:szCs w:val="22"/>
        </w:rPr>
        <w:t>est</w:t>
      </w:r>
      <w:r w:rsidR="005A2DC3" w:rsidRPr="00BC20BC">
        <w:rPr>
          <w:rFonts w:ascii="Arial" w:hAnsi="Arial" w:cs="Arial"/>
          <w:sz w:val="22"/>
          <w:szCs w:val="22"/>
        </w:rPr>
        <w:t>á</w:t>
      </w:r>
      <w:r w:rsidR="00AF3352" w:rsidRPr="00BC20BC">
        <w:rPr>
          <w:rFonts w:ascii="Arial" w:hAnsi="Arial" w:cs="Arial"/>
          <w:sz w:val="22"/>
          <w:szCs w:val="22"/>
        </w:rPr>
        <w:t>n</w:t>
      </w:r>
      <w:r w:rsidR="00D34F20" w:rsidRPr="00BC20BC">
        <w:rPr>
          <w:rFonts w:ascii="Arial" w:hAnsi="Arial" w:cs="Arial"/>
          <w:sz w:val="22"/>
          <w:szCs w:val="22"/>
        </w:rPr>
        <w:t xml:space="preserve"> parametrizado</w:t>
      </w:r>
      <w:r w:rsidR="00AF3352" w:rsidRPr="00BC20BC">
        <w:rPr>
          <w:rFonts w:ascii="Arial" w:hAnsi="Arial" w:cs="Arial"/>
          <w:sz w:val="22"/>
          <w:szCs w:val="22"/>
        </w:rPr>
        <w:t>s</w:t>
      </w:r>
      <w:r w:rsidR="00D34F20" w:rsidRPr="00BC20BC">
        <w:rPr>
          <w:rFonts w:ascii="Arial" w:hAnsi="Arial" w:cs="Arial"/>
          <w:sz w:val="22"/>
          <w:szCs w:val="22"/>
        </w:rPr>
        <w:t xml:space="preserve"> para llevar el registro de los consumos de gasolina y ACPM, con fecha, día, hora y kilometraje</w:t>
      </w:r>
      <w:r w:rsidR="008D3B33" w:rsidRPr="00BC20BC">
        <w:rPr>
          <w:rFonts w:ascii="Arial" w:hAnsi="Arial" w:cs="Arial"/>
          <w:sz w:val="22"/>
          <w:szCs w:val="22"/>
        </w:rPr>
        <w:t>. D</w:t>
      </w:r>
      <w:r w:rsidR="00D34F20" w:rsidRPr="00BC20BC">
        <w:rPr>
          <w:rFonts w:ascii="Arial" w:hAnsi="Arial" w:cs="Arial"/>
          <w:sz w:val="22"/>
          <w:szCs w:val="22"/>
        </w:rPr>
        <w:t>icho dispositivo es suministrado por el contratista, de este modo, cuando el proveedor del servicio contratado envía el informe de ejecución mensual detallado con los consumos por placa</w:t>
      </w:r>
      <w:r w:rsidR="001561A5" w:rsidRPr="00BC20BC">
        <w:rPr>
          <w:rFonts w:ascii="Arial" w:hAnsi="Arial" w:cs="Arial"/>
          <w:sz w:val="22"/>
          <w:szCs w:val="22"/>
        </w:rPr>
        <w:t>, se</w:t>
      </w:r>
      <w:r w:rsidR="00D34F20" w:rsidRPr="00BC20BC">
        <w:rPr>
          <w:rFonts w:ascii="Arial" w:hAnsi="Arial" w:cs="Arial"/>
          <w:sz w:val="22"/>
          <w:szCs w:val="22"/>
        </w:rPr>
        <w:t xml:space="preserve"> </w:t>
      </w:r>
      <w:r w:rsidR="00BF749A">
        <w:rPr>
          <w:rFonts w:ascii="Arial" w:hAnsi="Arial" w:cs="Arial"/>
          <w:sz w:val="22"/>
          <w:szCs w:val="22"/>
        </w:rPr>
        <w:t xml:space="preserve">compara </w:t>
      </w:r>
      <w:r w:rsidR="00D34F20" w:rsidRPr="00BC20BC">
        <w:rPr>
          <w:rFonts w:ascii="Arial" w:hAnsi="Arial" w:cs="Arial"/>
          <w:sz w:val="22"/>
          <w:szCs w:val="22"/>
        </w:rPr>
        <w:t>con el t</w:t>
      </w:r>
      <w:r w:rsidR="00C513B5" w:rsidRPr="00BC20BC">
        <w:rPr>
          <w:rFonts w:ascii="Arial" w:hAnsi="Arial" w:cs="Arial"/>
          <w:sz w:val="22"/>
          <w:szCs w:val="22"/>
        </w:rPr>
        <w:t xml:space="preserve">iquete de </w:t>
      </w:r>
      <w:r w:rsidR="00F23CF2" w:rsidRPr="00BC20BC">
        <w:rPr>
          <w:rFonts w:ascii="Arial" w:hAnsi="Arial" w:cs="Arial"/>
          <w:sz w:val="22"/>
          <w:szCs w:val="22"/>
        </w:rPr>
        <w:t>venta entregado</w:t>
      </w:r>
      <w:r w:rsidR="00D34F20" w:rsidRPr="00BC20BC">
        <w:rPr>
          <w:rFonts w:ascii="Arial" w:hAnsi="Arial" w:cs="Arial"/>
          <w:sz w:val="22"/>
          <w:szCs w:val="22"/>
        </w:rPr>
        <w:t xml:space="preserve"> por cada conductor. </w:t>
      </w:r>
    </w:p>
    <w:p w14:paraId="04605B13" w14:textId="5CA2CA97" w:rsidR="001F5D54" w:rsidRPr="00BC20BC" w:rsidRDefault="001F5D54" w:rsidP="00D046DC">
      <w:pPr>
        <w:spacing w:line="168" w:lineRule="auto"/>
        <w:jc w:val="both"/>
        <w:rPr>
          <w:rFonts w:ascii="Arial" w:hAnsi="Arial" w:cs="Arial"/>
          <w:sz w:val="22"/>
          <w:szCs w:val="22"/>
        </w:rPr>
      </w:pPr>
    </w:p>
    <w:p w14:paraId="4EEBDBBE" w14:textId="77777777" w:rsidR="00FF2AE0" w:rsidRPr="005754BD" w:rsidRDefault="00FF2AE0" w:rsidP="001F5D54">
      <w:pPr>
        <w:jc w:val="both"/>
        <w:rPr>
          <w:rFonts w:ascii="Arial" w:hAnsi="Arial" w:cs="Arial"/>
          <w:sz w:val="22"/>
          <w:szCs w:val="22"/>
        </w:rPr>
      </w:pPr>
    </w:p>
    <w:p w14:paraId="46918C8B" w14:textId="1C615593" w:rsidR="00DF6E6A" w:rsidRPr="005754BD" w:rsidRDefault="00E234F0" w:rsidP="00B83072">
      <w:pPr>
        <w:rPr>
          <w:rFonts w:ascii="Arial" w:hAnsi="Arial" w:cs="Arial"/>
          <w:b/>
          <w:sz w:val="22"/>
          <w:szCs w:val="22"/>
        </w:rPr>
      </w:pPr>
      <w:r w:rsidRPr="005754BD">
        <w:rPr>
          <w:rFonts w:ascii="Arial" w:hAnsi="Arial" w:cs="Arial"/>
          <w:b/>
          <w:sz w:val="22"/>
          <w:szCs w:val="22"/>
        </w:rPr>
        <w:t>5.3</w:t>
      </w:r>
      <w:r w:rsidR="00AA58AE" w:rsidRPr="005754BD">
        <w:rPr>
          <w:rFonts w:ascii="Arial" w:hAnsi="Arial" w:cs="Arial"/>
          <w:b/>
          <w:sz w:val="22"/>
          <w:szCs w:val="22"/>
        </w:rPr>
        <w:t xml:space="preserve">. </w:t>
      </w:r>
      <w:r w:rsidRPr="005754BD">
        <w:rPr>
          <w:rFonts w:ascii="Arial" w:hAnsi="Arial" w:cs="Arial"/>
          <w:b/>
          <w:sz w:val="22"/>
          <w:szCs w:val="22"/>
        </w:rPr>
        <w:t xml:space="preserve"> </w:t>
      </w:r>
      <w:r w:rsidR="00FB4B9D" w:rsidRPr="005754BD">
        <w:rPr>
          <w:rFonts w:ascii="Arial" w:hAnsi="Arial" w:cs="Arial"/>
          <w:b/>
          <w:sz w:val="22"/>
          <w:szCs w:val="22"/>
        </w:rPr>
        <w:t>GARAJES Y/O PARQUEADEROS</w:t>
      </w:r>
    </w:p>
    <w:p w14:paraId="58C9828B" w14:textId="77777777" w:rsidR="00FB4B9D" w:rsidRPr="005754BD" w:rsidRDefault="00FB4B9D" w:rsidP="00B83072">
      <w:pPr>
        <w:rPr>
          <w:rFonts w:ascii="Arial" w:hAnsi="Arial" w:cs="Arial"/>
          <w:sz w:val="22"/>
          <w:szCs w:val="22"/>
        </w:rPr>
      </w:pPr>
    </w:p>
    <w:p w14:paraId="45A1E45D" w14:textId="108BB85F" w:rsidR="00A86733" w:rsidRPr="005754BD" w:rsidRDefault="003B6677" w:rsidP="00FF1131">
      <w:pPr>
        <w:jc w:val="both"/>
        <w:rPr>
          <w:rFonts w:ascii="Arial" w:hAnsi="Arial" w:cs="Arial"/>
          <w:sz w:val="22"/>
          <w:szCs w:val="22"/>
        </w:rPr>
      </w:pPr>
      <w:r w:rsidRPr="005754BD">
        <w:rPr>
          <w:rFonts w:ascii="Arial" w:hAnsi="Arial" w:cs="Arial"/>
          <w:sz w:val="22"/>
          <w:szCs w:val="22"/>
        </w:rPr>
        <w:t>El Ministerio de Hacienda y Crédito Públic</w:t>
      </w:r>
      <w:r w:rsidR="00B65AB2" w:rsidRPr="005754BD">
        <w:rPr>
          <w:rFonts w:ascii="Arial" w:hAnsi="Arial" w:cs="Arial"/>
          <w:sz w:val="22"/>
          <w:szCs w:val="22"/>
        </w:rPr>
        <w:t>o, mediante</w:t>
      </w:r>
      <w:r w:rsidRPr="005754BD">
        <w:rPr>
          <w:rFonts w:ascii="Arial" w:hAnsi="Arial" w:cs="Arial"/>
          <w:sz w:val="22"/>
          <w:szCs w:val="22"/>
        </w:rPr>
        <w:t xml:space="preserve"> </w:t>
      </w:r>
      <w:r w:rsidR="00A86733" w:rsidRPr="005754BD">
        <w:rPr>
          <w:rFonts w:ascii="Arial" w:hAnsi="Arial" w:cs="Arial"/>
          <w:sz w:val="22"/>
          <w:szCs w:val="22"/>
        </w:rPr>
        <w:t>Resolución Interna 743 del 22 de abril de 2002, viabilizó el reconocimiento mensual de pago por concepto de servicio de garaje y /o pa</w:t>
      </w:r>
      <w:r w:rsidR="00431DA7" w:rsidRPr="005754BD">
        <w:rPr>
          <w:rFonts w:ascii="Arial" w:hAnsi="Arial" w:cs="Arial"/>
          <w:sz w:val="22"/>
          <w:szCs w:val="22"/>
        </w:rPr>
        <w:t>rqueadero para los vehículos de</w:t>
      </w:r>
      <w:r w:rsidR="00A86733" w:rsidRPr="005754BD">
        <w:rPr>
          <w:rFonts w:ascii="Arial" w:hAnsi="Arial" w:cs="Arial"/>
          <w:sz w:val="22"/>
          <w:szCs w:val="22"/>
        </w:rPr>
        <w:t xml:space="preserve"> esta Entidad </w:t>
      </w:r>
      <w:r w:rsidR="00EE1932" w:rsidRPr="005754BD">
        <w:rPr>
          <w:rFonts w:ascii="Arial" w:hAnsi="Arial" w:cs="Arial"/>
          <w:sz w:val="22"/>
          <w:szCs w:val="22"/>
        </w:rPr>
        <w:t xml:space="preserve">asignados a los Directivos y </w:t>
      </w:r>
      <w:r w:rsidR="00B65AB2" w:rsidRPr="005754BD">
        <w:rPr>
          <w:rFonts w:ascii="Arial" w:hAnsi="Arial" w:cs="Arial"/>
          <w:sz w:val="22"/>
          <w:szCs w:val="22"/>
        </w:rPr>
        <w:t>los destinado</w:t>
      </w:r>
      <w:r w:rsidR="00A06428" w:rsidRPr="005754BD">
        <w:rPr>
          <w:rFonts w:ascii="Arial" w:hAnsi="Arial" w:cs="Arial"/>
          <w:sz w:val="22"/>
          <w:szCs w:val="22"/>
        </w:rPr>
        <w:t>s</w:t>
      </w:r>
      <w:r w:rsidR="00B65AB2" w:rsidRPr="005754BD">
        <w:rPr>
          <w:rFonts w:ascii="Arial" w:hAnsi="Arial" w:cs="Arial"/>
          <w:sz w:val="22"/>
          <w:szCs w:val="22"/>
        </w:rPr>
        <w:t xml:space="preserve"> a ofrecer el servicio de </w:t>
      </w:r>
      <w:r w:rsidR="00EE1932" w:rsidRPr="005754BD">
        <w:rPr>
          <w:rFonts w:ascii="Arial" w:hAnsi="Arial" w:cs="Arial"/>
          <w:sz w:val="22"/>
          <w:szCs w:val="22"/>
        </w:rPr>
        <w:t xml:space="preserve">operativo, los cuales </w:t>
      </w:r>
      <w:r w:rsidR="00A86733" w:rsidRPr="005754BD">
        <w:rPr>
          <w:rFonts w:ascii="Arial" w:hAnsi="Arial" w:cs="Arial"/>
          <w:sz w:val="22"/>
          <w:szCs w:val="22"/>
        </w:rPr>
        <w:t xml:space="preserve">deben </w:t>
      </w:r>
      <w:r w:rsidR="00B65AB2" w:rsidRPr="005754BD">
        <w:rPr>
          <w:rFonts w:ascii="Arial" w:hAnsi="Arial" w:cs="Arial"/>
          <w:sz w:val="22"/>
          <w:szCs w:val="22"/>
        </w:rPr>
        <w:t xml:space="preserve">prestar los </w:t>
      </w:r>
      <w:r w:rsidR="00A86733" w:rsidRPr="005754BD">
        <w:rPr>
          <w:rFonts w:ascii="Arial" w:hAnsi="Arial" w:cs="Arial"/>
          <w:sz w:val="22"/>
          <w:szCs w:val="22"/>
        </w:rPr>
        <w:t>servicio</w:t>
      </w:r>
      <w:r w:rsidR="00B65AB2" w:rsidRPr="005754BD">
        <w:rPr>
          <w:rFonts w:ascii="Arial" w:hAnsi="Arial" w:cs="Arial"/>
          <w:sz w:val="22"/>
          <w:szCs w:val="22"/>
        </w:rPr>
        <w:t>s</w:t>
      </w:r>
      <w:r w:rsidR="00A86733" w:rsidRPr="005754BD">
        <w:rPr>
          <w:rFonts w:ascii="Arial" w:hAnsi="Arial" w:cs="Arial"/>
          <w:sz w:val="22"/>
          <w:szCs w:val="22"/>
        </w:rPr>
        <w:t xml:space="preserve"> en horas nocturnas y días no laborales. Actualmente, el valor mensual pagado por concepto de parqueadero es de $ 111.700 el cual fue determinado mediante la Resolución Interna 3464 de 2014.  </w:t>
      </w:r>
    </w:p>
    <w:p w14:paraId="6EC2A3C4" w14:textId="77777777" w:rsidR="00273BC5" w:rsidRPr="005754BD" w:rsidRDefault="00273BC5" w:rsidP="00FF1131">
      <w:pPr>
        <w:jc w:val="both"/>
        <w:rPr>
          <w:rFonts w:ascii="Arial" w:hAnsi="Arial" w:cs="Arial"/>
          <w:sz w:val="22"/>
          <w:szCs w:val="22"/>
        </w:rPr>
      </w:pPr>
    </w:p>
    <w:p w14:paraId="3C118A31" w14:textId="2932E546" w:rsidR="00443160" w:rsidRPr="005754BD" w:rsidRDefault="00C96B65" w:rsidP="00FF1131">
      <w:pPr>
        <w:jc w:val="both"/>
        <w:rPr>
          <w:rFonts w:ascii="Arial" w:hAnsi="Arial" w:cs="Arial"/>
          <w:sz w:val="22"/>
          <w:szCs w:val="22"/>
        </w:rPr>
      </w:pPr>
      <w:r w:rsidRPr="005754BD">
        <w:rPr>
          <w:rFonts w:ascii="Arial" w:hAnsi="Arial" w:cs="Arial"/>
          <w:sz w:val="22"/>
          <w:szCs w:val="22"/>
        </w:rPr>
        <w:t xml:space="preserve">Para este punto, la Dirección Administrativa mensualmente mediante acto administrativo (resolución) reconoce y ordena el pago por concepto de servicio de garajes y /o parqueaderos para los vehículos </w:t>
      </w:r>
      <w:r w:rsidR="00455163" w:rsidRPr="005754BD">
        <w:rPr>
          <w:rFonts w:ascii="Arial" w:hAnsi="Arial" w:cs="Arial"/>
          <w:sz w:val="22"/>
          <w:szCs w:val="22"/>
        </w:rPr>
        <w:t>que están al servicio del</w:t>
      </w:r>
      <w:r w:rsidRPr="005754BD">
        <w:rPr>
          <w:rFonts w:ascii="Arial" w:hAnsi="Arial" w:cs="Arial"/>
          <w:sz w:val="22"/>
          <w:szCs w:val="22"/>
        </w:rPr>
        <w:t xml:space="preserve"> Ministerio</w:t>
      </w:r>
      <w:r w:rsidR="00EE1932" w:rsidRPr="005754BD">
        <w:rPr>
          <w:rFonts w:ascii="Arial" w:hAnsi="Arial" w:cs="Arial"/>
          <w:sz w:val="22"/>
          <w:szCs w:val="22"/>
        </w:rPr>
        <w:t xml:space="preserve"> de Hacienda y Crédito Público. </w:t>
      </w:r>
      <w:r w:rsidR="002651E2" w:rsidRPr="005754BD">
        <w:rPr>
          <w:rFonts w:ascii="Arial" w:hAnsi="Arial" w:cs="Arial"/>
          <w:sz w:val="22"/>
          <w:szCs w:val="22"/>
        </w:rPr>
        <w:t>El</w:t>
      </w:r>
      <w:r w:rsidR="00C47475" w:rsidRPr="005754BD">
        <w:rPr>
          <w:rFonts w:ascii="Arial" w:hAnsi="Arial" w:cs="Arial"/>
          <w:sz w:val="22"/>
          <w:szCs w:val="22"/>
        </w:rPr>
        <w:t xml:space="preserve"> gasto analizado, se fundamen</w:t>
      </w:r>
      <w:r w:rsidR="002651E2" w:rsidRPr="005754BD">
        <w:rPr>
          <w:rFonts w:ascii="Arial" w:hAnsi="Arial" w:cs="Arial"/>
          <w:sz w:val="22"/>
          <w:szCs w:val="22"/>
        </w:rPr>
        <w:t xml:space="preserve">ta en la necesidad del servicio prestado por </w:t>
      </w:r>
      <w:r w:rsidR="00C47475" w:rsidRPr="005754BD">
        <w:rPr>
          <w:rFonts w:ascii="Arial" w:hAnsi="Arial" w:cs="Arial"/>
          <w:sz w:val="22"/>
          <w:szCs w:val="22"/>
        </w:rPr>
        <w:t xml:space="preserve">los conductores que tienen asignados </w:t>
      </w:r>
      <w:r w:rsidR="002651E2" w:rsidRPr="005754BD">
        <w:rPr>
          <w:rFonts w:ascii="Arial" w:hAnsi="Arial" w:cs="Arial"/>
          <w:sz w:val="22"/>
          <w:szCs w:val="22"/>
        </w:rPr>
        <w:t xml:space="preserve">vehículos para el traslado de </w:t>
      </w:r>
      <w:r w:rsidR="00C47475" w:rsidRPr="005754BD">
        <w:rPr>
          <w:rFonts w:ascii="Arial" w:hAnsi="Arial" w:cs="Arial"/>
          <w:sz w:val="22"/>
          <w:szCs w:val="22"/>
        </w:rPr>
        <w:t>los Directivos de esta Entidad</w:t>
      </w:r>
      <w:r w:rsidR="002651E2" w:rsidRPr="005754BD">
        <w:rPr>
          <w:rFonts w:ascii="Arial" w:hAnsi="Arial" w:cs="Arial"/>
          <w:sz w:val="22"/>
          <w:szCs w:val="22"/>
        </w:rPr>
        <w:t xml:space="preserve">. </w:t>
      </w:r>
    </w:p>
    <w:p w14:paraId="2092679A" w14:textId="7459E7ED" w:rsidR="00CD14F9" w:rsidRPr="00CA48AF" w:rsidRDefault="00CD14F9" w:rsidP="009169DF">
      <w:pPr>
        <w:spacing w:line="168" w:lineRule="auto"/>
        <w:jc w:val="both"/>
        <w:rPr>
          <w:rFonts w:ascii="Arial" w:hAnsi="Arial" w:cs="Arial"/>
          <w:color w:val="000000" w:themeColor="text1"/>
          <w:sz w:val="22"/>
          <w:szCs w:val="22"/>
          <w:highlight w:val="yellow"/>
        </w:rPr>
      </w:pPr>
    </w:p>
    <w:p w14:paraId="73E95C1C" w14:textId="218E33CE" w:rsidR="00CB267F" w:rsidRPr="00801691" w:rsidRDefault="00CB267F" w:rsidP="00CB267F">
      <w:pPr>
        <w:jc w:val="both"/>
        <w:rPr>
          <w:rFonts w:ascii="Arial" w:hAnsi="Arial" w:cs="Arial"/>
          <w:color w:val="000000" w:themeColor="text1"/>
          <w:sz w:val="22"/>
          <w:szCs w:val="22"/>
        </w:rPr>
      </w:pPr>
      <w:r w:rsidRPr="005F64D0">
        <w:rPr>
          <w:rFonts w:ascii="Arial" w:hAnsi="Arial" w:cs="Arial"/>
          <w:color w:val="000000" w:themeColor="text1"/>
          <w:sz w:val="22"/>
          <w:szCs w:val="22"/>
        </w:rPr>
        <w:t>Con base en las resoluciones emitidas por la Dirección Administrativa, correspondiente</w:t>
      </w:r>
      <w:r w:rsidR="00444D09" w:rsidRPr="005F64D0">
        <w:rPr>
          <w:rFonts w:ascii="Arial" w:hAnsi="Arial" w:cs="Arial"/>
          <w:color w:val="000000" w:themeColor="text1"/>
          <w:sz w:val="22"/>
          <w:szCs w:val="22"/>
        </w:rPr>
        <w:t xml:space="preserve"> al reconocimiento del servicio de garajes y/o parqueaderos para los vehículos del Ministerio de Hacienda y Crédito Público</w:t>
      </w:r>
      <w:r w:rsidR="00DC25E1" w:rsidRPr="005F64D0">
        <w:rPr>
          <w:rFonts w:ascii="Arial" w:hAnsi="Arial" w:cs="Arial"/>
          <w:color w:val="000000" w:themeColor="text1"/>
          <w:sz w:val="22"/>
          <w:szCs w:val="22"/>
        </w:rPr>
        <w:t xml:space="preserve"> </w:t>
      </w:r>
      <w:r w:rsidR="00444D09" w:rsidRPr="005F64D0">
        <w:rPr>
          <w:rFonts w:ascii="Arial" w:hAnsi="Arial" w:cs="Arial"/>
          <w:color w:val="000000" w:themeColor="text1"/>
          <w:sz w:val="22"/>
          <w:szCs w:val="22"/>
        </w:rPr>
        <w:t xml:space="preserve">de los meses </w:t>
      </w:r>
      <w:r w:rsidR="00801691" w:rsidRPr="005F64D0">
        <w:rPr>
          <w:rFonts w:ascii="Arial" w:hAnsi="Arial" w:cs="Arial"/>
          <w:color w:val="000000" w:themeColor="text1"/>
          <w:sz w:val="22"/>
          <w:szCs w:val="22"/>
        </w:rPr>
        <w:t xml:space="preserve">julio, agosto </w:t>
      </w:r>
      <w:r w:rsidR="00444D09" w:rsidRPr="005F64D0">
        <w:rPr>
          <w:rFonts w:ascii="Arial" w:hAnsi="Arial" w:cs="Arial"/>
          <w:color w:val="000000" w:themeColor="text1"/>
          <w:sz w:val="22"/>
          <w:szCs w:val="22"/>
        </w:rPr>
        <w:t xml:space="preserve">y </w:t>
      </w:r>
      <w:r w:rsidR="00801691" w:rsidRPr="005F64D0">
        <w:rPr>
          <w:rFonts w:ascii="Arial" w:hAnsi="Arial" w:cs="Arial"/>
          <w:color w:val="000000" w:themeColor="text1"/>
          <w:sz w:val="22"/>
          <w:szCs w:val="22"/>
        </w:rPr>
        <w:t xml:space="preserve">septiembre </w:t>
      </w:r>
      <w:r w:rsidRPr="005F64D0">
        <w:rPr>
          <w:rFonts w:ascii="Arial" w:hAnsi="Arial" w:cs="Arial"/>
          <w:color w:val="000000" w:themeColor="text1"/>
          <w:sz w:val="22"/>
          <w:szCs w:val="22"/>
        </w:rPr>
        <w:t xml:space="preserve">de 2020, </w:t>
      </w:r>
      <w:r w:rsidR="00444D09" w:rsidRPr="005F64D0">
        <w:rPr>
          <w:rFonts w:ascii="Arial" w:hAnsi="Arial" w:cs="Arial"/>
          <w:color w:val="000000" w:themeColor="text1"/>
          <w:sz w:val="22"/>
          <w:szCs w:val="22"/>
        </w:rPr>
        <w:t xml:space="preserve">se llevó a cabo una comparación </w:t>
      </w:r>
      <w:r w:rsidR="005B6B28" w:rsidRPr="005F64D0">
        <w:rPr>
          <w:rFonts w:ascii="Arial" w:hAnsi="Arial" w:cs="Arial"/>
          <w:color w:val="000000" w:themeColor="text1"/>
          <w:sz w:val="22"/>
          <w:szCs w:val="22"/>
        </w:rPr>
        <w:t xml:space="preserve">con </w:t>
      </w:r>
      <w:r w:rsidR="00444D09" w:rsidRPr="005F64D0">
        <w:rPr>
          <w:rFonts w:ascii="Arial" w:hAnsi="Arial" w:cs="Arial"/>
          <w:color w:val="000000" w:themeColor="text1"/>
          <w:sz w:val="22"/>
          <w:szCs w:val="22"/>
        </w:rPr>
        <w:t>la</w:t>
      </w:r>
      <w:r w:rsidR="000261C7" w:rsidRPr="005F64D0">
        <w:rPr>
          <w:rFonts w:ascii="Arial" w:hAnsi="Arial" w:cs="Arial"/>
          <w:color w:val="000000" w:themeColor="text1"/>
          <w:sz w:val="22"/>
          <w:szCs w:val="22"/>
        </w:rPr>
        <w:t xml:space="preserve">s obligaciones registradas </w:t>
      </w:r>
      <w:r w:rsidR="00444D09" w:rsidRPr="005F64D0">
        <w:rPr>
          <w:rFonts w:ascii="Arial" w:hAnsi="Arial" w:cs="Arial"/>
          <w:color w:val="000000" w:themeColor="text1"/>
          <w:sz w:val="22"/>
          <w:szCs w:val="22"/>
        </w:rPr>
        <w:t>en el SIIF</w:t>
      </w:r>
      <w:r w:rsidR="000261C7" w:rsidRPr="005F64D0">
        <w:rPr>
          <w:rFonts w:ascii="Arial" w:hAnsi="Arial" w:cs="Arial"/>
          <w:color w:val="000000" w:themeColor="text1"/>
          <w:sz w:val="22"/>
          <w:szCs w:val="22"/>
        </w:rPr>
        <w:t xml:space="preserve"> por cada uno de los funcionarios que se desempeñan como conductores, a quienes se les reconoció el servicio de garaje y/o parqueadero,</w:t>
      </w:r>
      <w:r w:rsidR="000261C7" w:rsidRPr="00801691">
        <w:rPr>
          <w:rFonts w:ascii="Arial" w:hAnsi="Arial" w:cs="Arial"/>
          <w:color w:val="000000" w:themeColor="text1"/>
          <w:sz w:val="22"/>
          <w:szCs w:val="22"/>
        </w:rPr>
        <w:t xml:space="preserve"> </w:t>
      </w:r>
      <w:r w:rsidR="00444D09" w:rsidRPr="00801691">
        <w:rPr>
          <w:rFonts w:ascii="Arial" w:hAnsi="Arial" w:cs="Arial"/>
          <w:color w:val="000000" w:themeColor="text1"/>
          <w:sz w:val="22"/>
          <w:szCs w:val="22"/>
        </w:rPr>
        <w:t>corrobor</w:t>
      </w:r>
      <w:r w:rsidR="000261C7" w:rsidRPr="00801691">
        <w:rPr>
          <w:rFonts w:ascii="Arial" w:hAnsi="Arial" w:cs="Arial"/>
          <w:color w:val="000000" w:themeColor="text1"/>
          <w:sz w:val="22"/>
          <w:szCs w:val="22"/>
        </w:rPr>
        <w:t>ando</w:t>
      </w:r>
      <w:r w:rsidR="00444D09" w:rsidRPr="00801691">
        <w:rPr>
          <w:rFonts w:ascii="Arial" w:hAnsi="Arial" w:cs="Arial"/>
          <w:color w:val="000000" w:themeColor="text1"/>
          <w:sz w:val="22"/>
          <w:szCs w:val="22"/>
        </w:rPr>
        <w:t xml:space="preserve"> que</w:t>
      </w:r>
      <w:r w:rsidR="005B6B28" w:rsidRPr="00801691">
        <w:rPr>
          <w:rFonts w:ascii="Arial" w:hAnsi="Arial" w:cs="Arial"/>
          <w:color w:val="000000" w:themeColor="text1"/>
          <w:sz w:val="22"/>
          <w:szCs w:val="22"/>
        </w:rPr>
        <w:t xml:space="preserve"> </w:t>
      </w:r>
      <w:r w:rsidR="00E8539B" w:rsidRPr="00801691">
        <w:rPr>
          <w:rFonts w:ascii="Arial" w:hAnsi="Arial" w:cs="Arial"/>
          <w:color w:val="000000" w:themeColor="text1"/>
          <w:sz w:val="22"/>
          <w:szCs w:val="22"/>
        </w:rPr>
        <w:t xml:space="preserve">las cifras son </w:t>
      </w:r>
      <w:r w:rsidR="005B6B28" w:rsidRPr="00801691">
        <w:rPr>
          <w:rFonts w:ascii="Arial" w:hAnsi="Arial" w:cs="Arial"/>
          <w:color w:val="000000" w:themeColor="text1"/>
          <w:sz w:val="22"/>
          <w:szCs w:val="22"/>
        </w:rPr>
        <w:t>concordant</w:t>
      </w:r>
      <w:r w:rsidR="000261C7" w:rsidRPr="00801691">
        <w:rPr>
          <w:rFonts w:ascii="Arial" w:hAnsi="Arial" w:cs="Arial"/>
          <w:color w:val="000000" w:themeColor="text1"/>
          <w:sz w:val="22"/>
          <w:szCs w:val="22"/>
        </w:rPr>
        <w:t>e</w:t>
      </w:r>
      <w:r w:rsidR="00E8539B" w:rsidRPr="00801691">
        <w:rPr>
          <w:rFonts w:ascii="Arial" w:hAnsi="Arial" w:cs="Arial"/>
          <w:color w:val="000000" w:themeColor="text1"/>
          <w:sz w:val="22"/>
          <w:szCs w:val="22"/>
        </w:rPr>
        <w:t>s</w:t>
      </w:r>
      <w:r w:rsidR="000261C7" w:rsidRPr="00801691">
        <w:rPr>
          <w:rFonts w:ascii="Arial" w:hAnsi="Arial" w:cs="Arial"/>
          <w:color w:val="000000" w:themeColor="text1"/>
          <w:sz w:val="22"/>
          <w:szCs w:val="22"/>
        </w:rPr>
        <w:t xml:space="preserve"> </w:t>
      </w:r>
      <w:r w:rsidR="00DC25E1" w:rsidRPr="00801691">
        <w:rPr>
          <w:rFonts w:ascii="Arial" w:hAnsi="Arial" w:cs="Arial"/>
          <w:color w:val="000000" w:themeColor="text1"/>
          <w:sz w:val="22"/>
          <w:szCs w:val="22"/>
        </w:rPr>
        <w:t xml:space="preserve">en </w:t>
      </w:r>
      <w:r w:rsidR="000261C7" w:rsidRPr="00801691">
        <w:rPr>
          <w:rFonts w:ascii="Arial" w:hAnsi="Arial" w:cs="Arial"/>
          <w:color w:val="000000" w:themeColor="text1"/>
          <w:sz w:val="22"/>
          <w:szCs w:val="22"/>
        </w:rPr>
        <w:t xml:space="preserve">las fuentes consultadas. </w:t>
      </w:r>
    </w:p>
    <w:p w14:paraId="6F825B43" w14:textId="3B6ABBA6" w:rsidR="00E21336" w:rsidRPr="00CA48AF" w:rsidRDefault="00E21336" w:rsidP="009169DF">
      <w:pPr>
        <w:spacing w:line="168" w:lineRule="auto"/>
        <w:jc w:val="both"/>
        <w:rPr>
          <w:rFonts w:ascii="Arial" w:hAnsi="Arial" w:cs="Arial"/>
          <w:sz w:val="22"/>
          <w:szCs w:val="22"/>
          <w:highlight w:val="yellow"/>
        </w:rPr>
      </w:pPr>
    </w:p>
    <w:p w14:paraId="08AD9883" w14:textId="230FD396" w:rsidR="0002175C" w:rsidRPr="00D41CBB" w:rsidRDefault="0002175C" w:rsidP="00FF1131">
      <w:pPr>
        <w:jc w:val="both"/>
        <w:rPr>
          <w:rFonts w:ascii="Arial" w:hAnsi="Arial" w:cs="Arial"/>
          <w:sz w:val="22"/>
          <w:szCs w:val="22"/>
        </w:rPr>
      </w:pPr>
      <w:r w:rsidRPr="00E70C95">
        <w:rPr>
          <w:rFonts w:ascii="Arial" w:hAnsi="Arial" w:cs="Arial"/>
          <w:sz w:val="22"/>
          <w:szCs w:val="22"/>
        </w:rPr>
        <w:t xml:space="preserve">Para el </w:t>
      </w:r>
      <w:r w:rsidR="00E70C95" w:rsidRPr="00E70C95">
        <w:rPr>
          <w:rFonts w:ascii="Arial" w:hAnsi="Arial" w:cs="Arial"/>
          <w:sz w:val="22"/>
          <w:szCs w:val="22"/>
        </w:rPr>
        <w:t xml:space="preserve">tercer </w:t>
      </w:r>
      <w:r w:rsidRPr="00E70C95">
        <w:rPr>
          <w:rFonts w:ascii="Arial" w:hAnsi="Arial" w:cs="Arial"/>
          <w:sz w:val="22"/>
          <w:szCs w:val="22"/>
        </w:rPr>
        <w:t>trimestre de 2020, el gasto por el servicio de garaje y/o parqueadero ascendió a $4.</w:t>
      </w:r>
      <w:r w:rsidR="00E70C95" w:rsidRPr="00E70C95">
        <w:rPr>
          <w:rFonts w:ascii="Arial" w:hAnsi="Arial" w:cs="Arial"/>
          <w:sz w:val="22"/>
          <w:szCs w:val="22"/>
        </w:rPr>
        <w:t>192.472</w:t>
      </w:r>
      <w:r w:rsidRPr="00E70C95">
        <w:rPr>
          <w:rFonts w:ascii="Arial" w:hAnsi="Arial" w:cs="Arial"/>
          <w:sz w:val="22"/>
          <w:szCs w:val="22"/>
        </w:rPr>
        <w:t>.</w:t>
      </w:r>
      <w:r w:rsidRPr="00D41CBB">
        <w:rPr>
          <w:rFonts w:ascii="Arial" w:hAnsi="Arial" w:cs="Arial"/>
          <w:sz w:val="22"/>
          <w:szCs w:val="22"/>
        </w:rPr>
        <w:t xml:space="preserve"> </w:t>
      </w:r>
    </w:p>
    <w:p w14:paraId="00B5286C" w14:textId="77777777" w:rsidR="009E29CE" w:rsidRPr="00D41CBB" w:rsidRDefault="009E29CE" w:rsidP="00FF1131">
      <w:pPr>
        <w:jc w:val="both"/>
        <w:rPr>
          <w:rFonts w:ascii="Arial" w:hAnsi="Arial" w:cs="Arial"/>
          <w:sz w:val="22"/>
          <w:szCs w:val="22"/>
        </w:rPr>
      </w:pPr>
    </w:p>
    <w:tbl>
      <w:tblPr>
        <w:tblW w:w="0" w:type="auto"/>
        <w:jc w:val="center"/>
        <w:tblCellMar>
          <w:left w:w="70" w:type="dxa"/>
          <w:right w:w="70" w:type="dxa"/>
        </w:tblCellMar>
        <w:tblLook w:val="04A0" w:firstRow="1" w:lastRow="0" w:firstColumn="1" w:lastColumn="0" w:noHBand="0" w:noVBand="1"/>
      </w:tblPr>
      <w:tblGrid>
        <w:gridCol w:w="983"/>
        <w:gridCol w:w="1163"/>
        <w:gridCol w:w="2319"/>
        <w:gridCol w:w="1141"/>
        <w:gridCol w:w="1919"/>
      </w:tblGrid>
      <w:tr w:rsidR="0002175C" w:rsidRPr="00CA5941" w14:paraId="00773F0B" w14:textId="77777777" w:rsidTr="00C9511A">
        <w:trPr>
          <w:tblHeader/>
          <w:jc w:val="center"/>
        </w:trPr>
        <w:tc>
          <w:tcPr>
            <w:tcW w:w="983" w:type="dxa"/>
            <w:tcBorders>
              <w:top w:val="single" w:sz="8" w:space="0" w:color="B8CCE4"/>
              <w:left w:val="single" w:sz="8" w:space="0" w:color="B8CCE4"/>
              <w:bottom w:val="single" w:sz="12" w:space="0" w:color="95B3D7"/>
              <w:right w:val="single" w:sz="8" w:space="0" w:color="B8CCE4"/>
            </w:tcBorders>
            <w:shd w:val="clear" w:color="auto" w:fill="4F81BD" w:themeFill="accent1"/>
            <w:vAlign w:val="center"/>
            <w:hideMark/>
          </w:tcPr>
          <w:p w14:paraId="47688C22" w14:textId="77777777" w:rsidR="00870585" w:rsidRPr="00CA5941" w:rsidRDefault="00870585"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 xml:space="preserve">Periodo </w:t>
            </w:r>
          </w:p>
        </w:tc>
        <w:tc>
          <w:tcPr>
            <w:tcW w:w="1065"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10D4C9FF" w14:textId="77777777" w:rsidR="00870585" w:rsidRPr="00CA5941" w:rsidRDefault="00870585"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Mes</w:t>
            </w:r>
          </w:p>
        </w:tc>
        <w:tc>
          <w:tcPr>
            <w:tcW w:w="0" w:type="auto"/>
            <w:tcBorders>
              <w:top w:val="single" w:sz="8" w:space="0" w:color="B8CCE4"/>
              <w:left w:val="nil"/>
              <w:bottom w:val="single" w:sz="12" w:space="0" w:color="95B3D7"/>
              <w:right w:val="single" w:sz="8" w:space="0" w:color="B8CCE4"/>
            </w:tcBorders>
            <w:shd w:val="clear" w:color="auto" w:fill="4F81BD" w:themeFill="accent1"/>
            <w:vAlign w:val="center"/>
            <w:hideMark/>
          </w:tcPr>
          <w:p w14:paraId="4E5606B7" w14:textId="77777777" w:rsidR="00870585" w:rsidRPr="00CA5941" w:rsidRDefault="00870585"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 xml:space="preserve">Número de Resolución </w:t>
            </w:r>
          </w:p>
        </w:tc>
        <w:tc>
          <w:tcPr>
            <w:tcW w:w="0" w:type="auto"/>
            <w:tcBorders>
              <w:top w:val="single" w:sz="8" w:space="0" w:color="B8CCE4"/>
              <w:left w:val="nil"/>
              <w:bottom w:val="single" w:sz="12" w:space="0" w:color="95B3D7"/>
              <w:right w:val="single" w:sz="8" w:space="0" w:color="B8CCE4"/>
            </w:tcBorders>
            <w:shd w:val="clear" w:color="auto" w:fill="4F81BD" w:themeFill="accent1"/>
            <w:vAlign w:val="center"/>
            <w:hideMark/>
          </w:tcPr>
          <w:p w14:paraId="554C7478" w14:textId="77777777" w:rsidR="00870585" w:rsidRPr="00CA5941" w:rsidRDefault="00870585"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 xml:space="preserve">Fecha </w:t>
            </w:r>
          </w:p>
        </w:tc>
        <w:tc>
          <w:tcPr>
            <w:tcW w:w="0" w:type="auto"/>
            <w:tcBorders>
              <w:top w:val="single" w:sz="8" w:space="0" w:color="B8CCE4"/>
              <w:left w:val="nil"/>
              <w:bottom w:val="single" w:sz="12" w:space="0" w:color="95B3D7"/>
              <w:right w:val="single" w:sz="8" w:space="0" w:color="B8CCE4"/>
            </w:tcBorders>
            <w:shd w:val="clear" w:color="auto" w:fill="4F81BD" w:themeFill="accent1"/>
            <w:vAlign w:val="center"/>
            <w:hideMark/>
          </w:tcPr>
          <w:p w14:paraId="711CFF33" w14:textId="77777777" w:rsidR="00870585" w:rsidRPr="00CA5941" w:rsidRDefault="00870585"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Valor ($)</w:t>
            </w:r>
          </w:p>
        </w:tc>
      </w:tr>
      <w:tr w:rsidR="00C9511A" w:rsidRPr="00CA5941" w14:paraId="5715D39D" w14:textId="77777777" w:rsidTr="00C9511A">
        <w:trPr>
          <w:trHeight w:val="1375"/>
          <w:jc w:val="center"/>
        </w:trPr>
        <w:tc>
          <w:tcPr>
            <w:tcW w:w="983" w:type="dxa"/>
            <w:vMerge w:val="restart"/>
            <w:tcBorders>
              <w:top w:val="nil"/>
              <w:left w:val="single" w:sz="8" w:space="0" w:color="B8CCE4"/>
              <w:right w:val="single" w:sz="8" w:space="0" w:color="B8CCE4"/>
            </w:tcBorders>
            <w:shd w:val="clear" w:color="auto" w:fill="4F81BD" w:themeFill="accent1"/>
            <w:noWrap/>
            <w:textDirection w:val="btLr"/>
            <w:vAlign w:val="center"/>
            <w:hideMark/>
          </w:tcPr>
          <w:p w14:paraId="79BA31AE" w14:textId="32D806BC" w:rsidR="00C9511A" w:rsidRPr="00CA5941" w:rsidRDefault="00C9511A" w:rsidP="00C9511A">
            <w:pPr>
              <w:spacing w:before="100" w:after="100"/>
              <w:jc w:val="center"/>
              <w:rPr>
                <w:rFonts w:ascii="Arial" w:hAnsi="Arial" w:cs="Arial"/>
                <w:b/>
                <w:bCs/>
                <w:color w:val="FFFFFF"/>
                <w:sz w:val="20"/>
                <w:szCs w:val="20"/>
              </w:rPr>
            </w:pPr>
            <w:r>
              <w:rPr>
                <w:rFonts w:ascii="Arial" w:hAnsi="Arial" w:cs="Arial"/>
                <w:b/>
                <w:bCs/>
                <w:color w:val="FFFFFF"/>
                <w:sz w:val="20"/>
                <w:szCs w:val="20"/>
              </w:rPr>
              <w:t>I</w:t>
            </w:r>
            <w:r w:rsidRPr="00CA5941">
              <w:rPr>
                <w:rFonts w:ascii="Arial" w:hAnsi="Arial" w:cs="Arial"/>
                <w:b/>
                <w:bCs/>
                <w:color w:val="FFFFFF"/>
                <w:sz w:val="20"/>
                <w:szCs w:val="20"/>
              </w:rPr>
              <w:t>II Trimestre 2020</w:t>
            </w:r>
          </w:p>
        </w:tc>
        <w:tc>
          <w:tcPr>
            <w:tcW w:w="1065" w:type="dxa"/>
            <w:tcBorders>
              <w:top w:val="nil"/>
              <w:left w:val="nil"/>
              <w:bottom w:val="single" w:sz="8" w:space="0" w:color="B8CCE4"/>
              <w:right w:val="single" w:sz="8" w:space="0" w:color="B8CCE4"/>
            </w:tcBorders>
            <w:shd w:val="clear" w:color="auto" w:fill="auto"/>
            <w:noWrap/>
            <w:vAlign w:val="center"/>
            <w:hideMark/>
          </w:tcPr>
          <w:p w14:paraId="7710D240" w14:textId="51E0AAF8" w:rsidR="00C9511A" w:rsidRPr="00E70C95" w:rsidRDefault="00C9511A" w:rsidP="00C9511A">
            <w:pPr>
              <w:spacing w:before="100" w:after="100"/>
              <w:rPr>
                <w:rFonts w:ascii="Arial" w:hAnsi="Arial" w:cs="Arial"/>
                <w:color w:val="0F243E" w:themeColor="text2" w:themeShade="80"/>
                <w:sz w:val="20"/>
                <w:szCs w:val="20"/>
              </w:rPr>
            </w:pPr>
            <w:r w:rsidRPr="00E70C95">
              <w:rPr>
                <w:rFonts w:ascii="Arial" w:hAnsi="Arial" w:cs="Arial"/>
                <w:color w:val="0F243E" w:themeColor="text2" w:themeShade="80"/>
                <w:sz w:val="20"/>
                <w:szCs w:val="20"/>
              </w:rPr>
              <w:t>Julio</w:t>
            </w:r>
          </w:p>
        </w:tc>
        <w:tc>
          <w:tcPr>
            <w:tcW w:w="0" w:type="auto"/>
            <w:tcBorders>
              <w:top w:val="nil"/>
              <w:left w:val="nil"/>
              <w:bottom w:val="single" w:sz="8" w:space="0" w:color="B8CCE4"/>
              <w:right w:val="single" w:sz="8" w:space="0" w:color="B8CCE4"/>
            </w:tcBorders>
            <w:shd w:val="clear" w:color="auto" w:fill="auto"/>
            <w:noWrap/>
            <w:vAlign w:val="center"/>
          </w:tcPr>
          <w:p w14:paraId="5B5ED829" w14:textId="4D929148" w:rsidR="00C9511A" w:rsidRPr="00E70C95" w:rsidRDefault="00C9511A" w:rsidP="00C9511A">
            <w:pPr>
              <w:spacing w:before="100" w:after="100"/>
              <w:jc w:val="center"/>
              <w:rPr>
                <w:rFonts w:ascii="Arial" w:hAnsi="Arial" w:cs="Arial"/>
                <w:color w:val="0F243E" w:themeColor="text2" w:themeShade="80"/>
                <w:sz w:val="20"/>
                <w:szCs w:val="20"/>
              </w:rPr>
            </w:pPr>
            <w:r w:rsidRPr="00E70C95">
              <w:rPr>
                <w:rFonts w:ascii="Arial" w:hAnsi="Arial" w:cs="Arial"/>
                <w:color w:val="0F243E" w:themeColor="text2" w:themeShade="80"/>
                <w:sz w:val="20"/>
                <w:szCs w:val="20"/>
              </w:rPr>
              <w:t>1583</w:t>
            </w:r>
          </w:p>
        </w:tc>
        <w:tc>
          <w:tcPr>
            <w:tcW w:w="0" w:type="auto"/>
            <w:tcBorders>
              <w:top w:val="nil"/>
              <w:left w:val="nil"/>
              <w:bottom w:val="single" w:sz="8" w:space="0" w:color="B8CCE4"/>
              <w:right w:val="single" w:sz="8" w:space="0" w:color="B8CCE4"/>
            </w:tcBorders>
            <w:shd w:val="clear" w:color="auto" w:fill="auto"/>
            <w:noWrap/>
            <w:vAlign w:val="center"/>
          </w:tcPr>
          <w:p w14:paraId="609780EC" w14:textId="0ADC49F5"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11/08/2020</w:t>
            </w:r>
          </w:p>
        </w:tc>
        <w:tc>
          <w:tcPr>
            <w:tcW w:w="0" w:type="auto"/>
            <w:tcBorders>
              <w:top w:val="nil"/>
              <w:left w:val="nil"/>
              <w:bottom w:val="single" w:sz="8" w:space="0" w:color="B8CCE4"/>
              <w:right w:val="single" w:sz="8" w:space="0" w:color="B8CCE4"/>
            </w:tcBorders>
            <w:shd w:val="clear" w:color="auto" w:fill="auto"/>
            <w:noWrap/>
            <w:vAlign w:val="center"/>
          </w:tcPr>
          <w:p w14:paraId="2F39CA62" w14:textId="12C64D11"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 xml:space="preserve">                1.452.100 </w:t>
            </w:r>
          </w:p>
        </w:tc>
      </w:tr>
      <w:tr w:rsidR="00C9511A" w:rsidRPr="00CA5941" w14:paraId="631B5FE8" w14:textId="77777777" w:rsidTr="00C9511A">
        <w:trPr>
          <w:trHeight w:val="655"/>
          <w:jc w:val="center"/>
        </w:trPr>
        <w:tc>
          <w:tcPr>
            <w:tcW w:w="983" w:type="dxa"/>
            <w:vMerge/>
            <w:tcBorders>
              <w:left w:val="single" w:sz="8" w:space="0" w:color="B8CCE4"/>
              <w:right w:val="single" w:sz="8" w:space="0" w:color="B8CCE4"/>
            </w:tcBorders>
            <w:shd w:val="clear" w:color="auto" w:fill="4F81BD" w:themeFill="accent1"/>
            <w:vAlign w:val="center"/>
          </w:tcPr>
          <w:p w14:paraId="405CFB88" w14:textId="77777777" w:rsidR="00C9511A" w:rsidRPr="00CA5941" w:rsidRDefault="00C9511A" w:rsidP="00C9511A">
            <w:pPr>
              <w:spacing w:before="100" w:after="100"/>
              <w:rPr>
                <w:rFonts w:ascii="Arial" w:hAnsi="Arial" w:cs="Arial"/>
                <w:b/>
                <w:bCs/>
                <w:color w:val="FFFFFF"/>
                <w:sz w:val="20"/>
                <w:szCs w:val="20"/>
              </w:rPr>
            </w:pPr>
          </w:p>
        </w:tc>
        <w:tc>
          <w:tcPr>
            <w:tcW w:w="1065" w:type="dxa"/>
            <w:vMerge w:val="restart"/>
            <w:tcBorders>
              <w:top w:val="nil"/>
              <w:left w:val="nil"/>
              <w:right w:val="single" w:sz="8" w:space="0" w:color="B8CCE4"/>
            </w:tcBorders>
            <w:shd w:val="clear" w:color="auto" w:fill="auto"/>
            <w:noWrap/>
            <w:vAlign w:val="center"/>
          </w:tcPr>
          <w:p w14:paraId="4A2A5411" w14:textId="4A56F1CC" w:rsidR="00C9511A" w:rsidRPr="00E70C95" w:rsidRDefault="00C9511A" w:rsidP="00C9511A">
            <w:pPr>
              <w:spacing w:before="100" w:after="100"/>
              <w:rPr>
                <w:rFonts w:ascii="Arial" w:hAnsi="Arial" w:cs="Arial"/>
                <w:color w:val="0F243E" w:themeColor="text2" w:themeShade="80"/>
                <w:sz w:val="20"/>
                <w:szCs w:val="20"/>
              </w:rPr>
            </w:pPr>
            <w:r w:rsidRPr="00E70C95">
              <w:rPr>
                <w:rFonts w:ascii="Arial" w:hAnsi="Arial" w:cs="Arial"/>
                <w:color w:val="0F243E" w:themeColor="text2" w:themeShade="80"/>
                <w:sz w:val="20"/>
                <w:szCs w:val="20"/>
              </w:rPr>
              <w:t>Agosto</w:t>
            </w:r>
          </w:p>
        </w:tc>
        <w:tc>
          <w:tcPr>
            <w:tcW w:w="0" w:type="auto"/>
            <w:tcBorders>
              <w:top w:val="nil"/>
              <w:left w:val="nil"/>
              <w:bottom w:val="single" w:sz="8" w:space="0" w:color="B8CCE4"/>
              <w:right w:val="single" w:sz="8" w:space="0" w:color="B8CCE4"/>
            </w:tcBorders>
            <w:shd w:val="clear" w:color="auto" w:fill="auto"/>
            <w:noWrap/>
            <w:vAlign w:val="center"/>
          </w:tcPr>
          <w:p w14:paraId="54E7EAD7" w14:textId="7002865D" w:rsidR="00C9511A" w:rsidRPr="00E70C95" w:rsidRDefault="00C9511A" w:rsidP="00C9511A">
            <w:pPr>
              <w:spacing w:before="100" w:after="100"/>
              <w:jc w:val="center"/>
              <w:rPr>
                <w:rFonts w:ascii="Arial" w:hAnsi="Arial" w:cs="Arial"/>
                <w:color w:val="0F243E" w:themeColor="text2" w:themeShade="80"/>
                <w:sz w:val="20"/>
                <w:szCs w:val="20"/>
              </w:rPr>
            </w:pPr>
            <w:r w:rsidRPr="00E70C95">
              <w:rPr>
                <w:rFonts w:ascii="Arial" w:hAnsi="Arial" w:cs="Arial"/>
                <w:color w:val="0F243E" w:themeColor="text2" w:themeShade="80"/>
                <w:sz w:val="20"/>
                <w:szCs w:val="20"/>
              </w:rPr>
              <w:t>1784</w:t>
            </w:r>
          </w:p>
        </w:tc>
        <w:tc>
          <w:tcPr>
            <w:tcW w:w="0" w:type="auto"/>
            <w:tcBorders>
              <w:top w:val="nil"/>
              <w:left w:val="nil"/>
              <w:bottom w:val="single" w:sz="8" w:space="0" w:color="B8CCE4"/>
              <w:right w:val="single" w:sz="8" w:space="0" w:color="B8CCE4"/>
            </w:tcBorders>
            <w:shd w:val="clear" w:color="auto" w:fill="auto"/>
            <w:noWrap/>
            <w:vAlign w:val="center"/>
          </w:tcPr>
          <w:p w14:paraId="60290BB3" w14:textId="2BE99586"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17/09/2020</w:t>
            </w:r>
          </w:p>
        </w:tc>
        <w:tc>
          <w:tcPr>
            <w:tcW w:w="0" w:type="auto"/>
            <w:tcBorders>
              <w:top w:val="nil"/>
              <w:left w:val="nil"/>
              <w:bottom w:val="single" w:sz="8" w:space="0" w:color="B8CCE4"/>
              <w:right w:val="single" w:sz="8" w:space="0" w:color="B8CCE4"/>
            </w:tcBorders>
            <w:shd w:val="clear" w:color="auto" w:fill="auto"/>
            <w:noWrap/>
            <w:vAlign w:val="center"/>
          </w:tcPr>
          <w:p w14:paraId="21B2CAD0" w14:textId="49226106"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 xml:space="preserve">                1.280.826 </w:t>
            </w:r>
          </w:p>
        </w:tc>
      </w:tr>
      <w:tr w:rsidR="00C9511A" w:rsidRPr="00CA5941" w14:paraId="7983351B" w14:textId="77777777" w:rsidTr="00C9511A">
        <w:trPr>
          <w:trHeight w:val="701"/>
          <w:jc w:val="center"/>
        </w:trPr>
        <w:tc>
          <w:tcPr>
            <w:tcW w:w="983" w:type="dxa"/>
            <w:vMerge w:val="restart"/>
            <w:tcBorders>
              <w:left w:val="single" w:sz="8" w:space="0" w:color="B8CCE4"/>
              <w:right w:val="single" w:sz="8" w:space="0" w:color="B8CCE4"/>
            </w:tcBorders>
            <w:shd w:val="clear" w:color="auto" w:fill="4F81BD" w:themeFill="accent1"/>
            <w:textDirection w:val="btLr"/>
            <w:vAlign w:val="center"/>
            <w:hideMark/>
          </w:tcPr>
          <w:p w14:paraId="7B6408D8" w14:textId="7DBB6C40" w:rsidR="00C9511A" w:rsidRPr="00CA5941" w:rsidRDefault="00C9511A" w:rsidP="00C9511A">
            <w:pPr>
              <w:spacing w:before="100" w:after="100"/>
              <w:jc w:val="center"/>
              <w:rPr>
                <w:rFonts w:ascii="Arial" w:hAnsi="Arial" w:cs="Arial"/>
                <w:b/>
                <w:bCs/>
                <w:color w:val="FFFFFF"/>
                <w:sz w:val="20"/>
                <w:szCs w:val="20"/>
              </w:rPr>
            </w:pPr>
            <w:r>
              <w:rPr>
                <w:rFonts w:ascii="Arial" w:hAnsi="Arial" w:cs="Arial"/>
                <w:b/>
                <w:bCs/>
                <w:color w:val="FFFFFF"/>
                <w:sz w:val="20"/>
                <w:szCs w:val="20"/>
              </w:rPr>
              <w:t>I</w:t>
            </w:r>
            <w:r w:rsidRPr="00CA5941">
              <w:rPr>
                <w:rFonts w:ascii="Arial" w:hAnsi="Arial" w:cs="Arial"/>
                <w:b/>
                <w:bCs/>
                <w:color w:val="FFFFFF"/>
                <w:sz w:val="20"/>
                <w:szCs w:val="20"/>
              </w:rPr>
              <w:t>II Trimestre 2020</w:t>
            </w:r>
          </w:p>
        </w:tc>
        <w:tc>
          <w:tcPr>
            <w:tcW w:w="1065" w:type="dxa"/>
            <w:vMerge/>
            <w:tcBorders>
              <w:left w:val="nil"/>
              <w:bottom w:val="single" w:sz="8" w:space="0" w:color="B8CCE4"/>
              <w:right w:val="single" w:sz="8" w:space="0" w:color="B8CCE4"/>
            </w:tcBorders>
            <w:shd w:val="clear" w:color="auto" w:fill="auto"/>
            <w:noWrap/>
            <w:vAlign w:val="center"/>
            <w:hideMark/>
          </w:tcPr>
          <w:p w14:paraId="47B44C5E" w14:textId="4C57409F" w:rsidR="00C9511A" w:rsidRPr="00E70C95" w:rsidRDefault="00C9511A" w:rsidP="00C9511A">
            <w:pPr>
              <w:spacing w:before="100" w:after="100"/>
              <w:rPr>
                <w:rFonts w:ascii="Arial" w:hAnsi="Arial" w:cs="Arial"/>
                <w:color w:val="0F243E" w:themeColor="text2" w:themeShade="80"/>
                <w:sz w:val="20"/>
                <w:szCs w:val="20"/>
              </w:rPr>
            </w:pPr>
          </w:p>
        </w:tc>
        <w:tc>
          <w:tcPr>
            <w:tcW w:w="0" w:type="auto"/>
            <w:tcBorders>
              <w:top w:val="nil"/>
              <w:left w:val="nil"/>
              <w:bottom w:val="single" w:sz="8" w:space="0" w:color="B8CCE4"/>
              <w:right w:val="single" w:sz="8" w:space="0" w:color="B8CCE4"/>
            </w:tcBorders>
            <w:shd w:val="clear" w:color="auto" w:fill="auto"/>
            <w:noWrap/>
            <w:vAlign w:val="center"/>
          </w:tcPr>
          <w:p w14:paraId="6AE27C66" w14:textId="6D99639D" w:rsidR="00C9511A" w:rsidRPr="00E70C95" w:rsidRDefault="00C9511A" w:rsidP="00C9511A">
            <w:pPr>
              <w:spacing w:before="100" w:after="100"/>
              <w:jc w:val="center"/>
              <w:rPr>
                <w:rFonts w:ascii="Arial" w:hAnsi="Arial" w:cs="Arial"/>
                <w:color w:val="0F243E" w:themeColor="text2" w:themeShade="80"/>
                <w:sz w:val="20"/>
                <w:szCs w:val="20"/>
              </w:rPr>
            </w:pPr>
            <w:r w:rsidRPr="00E70C95">
              <w:rPr>
                <w:rFonts w:ascii="Arial" w:hAnsi="Arial" w:cs="Arial"/>
                <w:color w:val="0F243E" w:themeColor="text2" w:themeShade="80"/>
                <w:sz w:val="20"/>
                <w:szCs w:val="20"/>
              </w:rPr>
              <w:t>1947</w:t>
            </w:r>
          </w:p>
        </w:tc>
        <w:tc>
          <w:tcPr>
            <w:tcW w:w="0" w:type="auto"/>
            <w:tcBorders>
              <w:top w:val="nil"/>
              <w:left w:val="nil"/>
              <w:bottom w:val="single" w:sz="8" w:space="0" w:color="B8CCE4"/>
              <w:right w:val="single" w:sz="8" w:space="0" w:color="B8CCE4"/>
            </w:tcBorders>
            <w:shd w:val="clear" w:color="auto" w:fill="auto"/>
            <w:noWrap/>
            <w:vAlign w:val="center"/>
          </w:tcPr>
          <w:p w14:paraId="0DCB557C" w14:textId="308F6669"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14/10/2020</w:t>
            </w:r>
          </w:p>
        </w:tc>
        <w:tc>
          <w:tcPr>
            <w:tcW w:w="0" w:type="auto"/>
            <w:tcBorders>
              <w:top w:val="nil"/>
              <w:left w:val="nil"/>
              <w:bottom w:val="single" w:sz="8" w:space="0" w:color="B8CCE4"/>
              <w:right w:val="single" w:sz="8" w:space="0" w:color="B8CCE4"/>
            </w:tcBorders>
            <w:shd w:val="clear" w:color="auto" w:fill="auto"/>
            <w:noWrap/>
            <w:vAlign w:val="center"/>
          </w:tcPr>
          <w:p w14:paraId="4C9B3669" w14:textId="254464B5"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 xml:space="preserve">                1.373.910 </w:t>
            </w:r>
          </w:p>
        </w:tc>
      </w:tr>
      <w:tr w:rsidR="00C9511A" w:rsidRPr="00CA5941" w14:paraId="32A3F58B" w14:textId="77777777" w:rsidTr="00C9511A">
        <w:trPr>
          <w:trHeight w:val="820"/>
          <w:jc w:val="center"/>
        </w:trPr>
        <w:tc>
          <w:tcPr>
            <w:tcW w:w="983" w:type="dxa"/>
            <w:vMerge/>
            <w:tcBorders>
              <w:left w:val="single" w:sz="8" w:space="0" w:color="B8CCE4"/>
              <w:bottom w:val="single" w:sz="8" w:space="0" w:color="B8CCE4"/>
              <w:right w:val="single" w:sz="8" w:space="0" w:color="B8CCE4"/>
            </w:tcBorders>
            <w:shd w:val="clear" w:color="auto" w:fill="4F81BD" w:themeFill="accent1"/>
            <w:vAlign w:val="center"/>
            <w:hideMark/>
          </w:tcPr>
          <w:p w14:paraId="39993A48" w14:textId="77777777" w:rsidR="00C9511A" w:rsidRPr="00CA5941" w:rsidRDefault="00C9511A" w:rsidP="00C9511A">
            <w:pPr>
              <w:spacing w:before="100" w:after="100"/>
              <w:rPr>
                <w:rFonts w:ascii="Arial" w:hAnsi="Arial" w:cs="Arial"/>
                <w:b/>
                <w:bCs/>
                <w:color w:val="FFFFFF"/>
                <w:sz w:val="20"/>
                <w:szCs w:val="20"/>
              </w:rPr>
            </w:pPr>
          </w:p>
        </w:tc>
        <w:tc>
          <w:tcPr>
            <w:tcW w:w="1065" w:type="dxa"/>
            <w:tcBorders>
              <w:top w:val="nil"/>
              <w:left w:val="nil"/>
              <w:bottom w:val="single" w:sz="8" w:space="0" w:color="B8CCE4"/>
              <w:right w:val="single" w:sz="8" w:space="0" w:color="B8CCE4"/>
            </w:tcBorders>
            <w:shd w:val="clear" w:color="auto" w:fill="auto"/>
            <w:noWrap/>
            <w:vAlign w:val="center"/>
            <w:hideMark/>
          </w:tcPr>
          <w:p w14:paraId="465D9E2B" w14:textId="16FC3319" w:rsidR="00C9511A" w:rsidRPr="00E70C95" w:rsidRDefault="00C9511A" w:rsidP="00C9511A">
            <w:pPr>
              <w:spacing w:before="100" w:after="100"/>
              <w:rPr>
                <w:rFonts w:ascii="Arial" w:hAnsi="Arial" w:cs="Arial"/>
                <w:color w:val="0F243E" w:themeColor="text2" w:themeShade="80"/>
                <w:sz w:val="20"/>
                <w:szCs w:val="20"/>
              </w:rPr>
            </w:pPr>
            <w:r w:rsidRPr="00E70C95">
              <w:rPr>
                <w:rFonts w:ascii="Arial" w:hAnsi="Arial" w:cs="Arial"/>
                <w:color w:val="0F243E" w:themeColor="text2" w:themeShade="80"/>
                <w:sz w:val="20"/>
                <w:szCs w:val="20"/>
              </w:rPr>
              <w:t>Septiembre</w:t>
            </w:r>
          </w:p>
        </w:tc>
        <w:tc>
          <w:tcPr>
            <w:tcW w:w="0" w:type="auto"/>
            <w:tcBorders>
              <w:top w:val="nil"/>
              <w:left w:val="nil"/>
              <w:bottom w:val="single" w:sz="8" w:space="0" w:color="B8CCE4"/>
              <w:right w:val="single" w:sz="8" w:space="0" w:color="B8CCE4"/>
            </w:tcBorders>
            <w:shd w:val="clear" w:color="auto" w:fill="auto"/>
            <w:noWrap/>
            <w:vAlign w:val="center"/>
          </w:tcPr>
          <w:p w14:paraId="1089B270" w14:textId="4BC00A68" w:rsidR="00C9511A" w:rsidRPr="00E70C95" w:rsidRDefault="00C9511A" w:rsidP="00C9511A">
            <w:pPr>
              <w:spacing w:before="100" w:after="100"/>
              <w:jc w:val="center"/>
              <w:rPr>
                <w:rFonts w:ascii="Arial" w:hAnsi="Arial" w:cs="Arial"/>
                <w:color w:val="0F243E" w:themeColor="text2" w:themeShade="80"/>
                <w:sz w:val="20"/>
                <w:szCs w:val="20"/>
              </w:rPr>
            </w:pPr>
            <w:r w:rsidRPr="00E70C95">
              <w:rPr>
                <w:rFonts w:ascii="Arial" w:hAnsi="Arial" w:cs="Arial"/>
                <w:color w:val="0F243E" w:themeColor="text2" w:themeShade="80"/>
                <w:sz w:val="20"/>
                <w:szCs w:val="20"/>
              </w:rPr>
              <w:t>2065</w:t>
            </w:r>
          </w:p>
        </w:tc>
        <w:tc>
          <w:tcPr>
            <w:tcW w:w="0" w:type="auto"/>
            <w:tcBorders>
              <w:top w:val="nil"/>
              <w:left w:val="nil"/>
              <w:bottom w:val="single" w:sz="8" w:space="0" w:color="B8CCE4"/>
              <w:right w:val="single" w:sz="8" w:space="0" w:color="B8CCE4"/>
            </w:tcBorders>
            <w:shd w:val="clear" w:color="auto" w:fill="auto"/>
            <w:noWrap/>
            <w:vAlign w:val="center"/>
          </w:tcPr>
          <w:p w14:paraId="0D8F2BDC" w14:textId="215C2434"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29/10/2020</w:t>
            </w:r>
          </w:p>
        </w:tc>
        <w:tc>
          <w:tcPr>
            <w:tcW w:w="0" w:type="auto"/>
            <w:tcBorders>
              <w:top w:val="nil"/>
              <w:left w:val="nil"/>
              <w:bottom w:val="single" w:sz="8" w:space="0" w:color="B8CCE4"/>
              <w:right w:val="single" w:sz="8" w:space="0" w:color="B8CCE4"/>
            </w:tcBorders>
            <w:shd w:val="clear" w:color="auto" w:fill="auto"/>
            <w:noWrap/>
            <w:vAlign w:val="center"/>
          </w:tcPr>
          <w:p w14:paraId="4892611A" w14:textId="412054AE" w:rsidR="00C9511A" w:rsidRPr="00E70C95" w:rsidRDefault="00C9511A" w:rsidP="00C9511A">
            <w:pPr>
              <w:spacing w:before="100" w:after="100"/>
              <w:jc w:val="right"/>
              <w:rPr>
                <w:rFonts w:ascii="Arial" w:hAnsi="Arial" w:cs="Arial"/>
                <w:color w:val="0F243E" w:themeColor="text2" w:themeShade="80"/>
                <w:sz w:val="20"/>
                <w:szCs w:val="20"/>
              </w:rPr>
            </w:pPr>
            <w:r w:rsidRPr="00E70C95">
              <w:rPr>
                <w:rFonts w:ascii="Arial" w:hAnsi="Arial" w:cs="Arial"/>
                <w:color w:val="0F243E" w:themeColor="text2" w:themeShade="80"/>
                <w:sz w:val="20"/>
                <w:szCs w:val="20"/>
              </w:rPr>
              <w:t xml:space="preserve">                    85.636 </w:t>
            </w:r>
          </w:p>
        </w:tc>
      </w:tr>
      <w:tr w:rsidR="00C9511A" w:rsidRPr="00CA48AF" w14:paraId="23D0FEC7" w14:textId="77777777" w:rsidTr="00C9511A">
        <w:trPr>
          <w:jc w:val="center"/>
        </w:trPr>
        <w:tc>
          <w:tcPr>
            <w:tcW w:w="0" w:type="auto"/>
            <w:gridSpan w:val="4"/>
            <w:tcBorders>
              <w:top w:val="single" w:sz="8" w:space="0" w:color="B8CCE4"/>
              <w:left w:val="single" w:sz="8" w:space="0" w:color="B8CCE4"/>
              <w:bottom w:val="single" w:sz="8" w:space="0" w:color="B8CCE4"/>
              <w:right w:val="single" w:sz="8" w:space="0" w:color="B8CCE4"/>
            </w:tcBorders>
            <w:shd w:val="clear" w:color="auto" w:fill="4F81BD" w:themeFill="accent1"/>
            <w:noWrap/>
            <w:vAlign w:val="center"/>
            <w:hideMark/>
          </w:tcPr>
          <w:p w14:paraId="570F99D4" w14:textId="57F50209" w:rsidR="00C9511A" w:rsidRPr="00CA5941" w:rsidRDefault="00C9511A" w:rsidP="00C9511A">
            <w:pPr>
              <w:spacing w:before="100" w:after="100"/>
              <w:jc w:val="center"/>
              <w:rPr>
                <w:rFonts w:ascii="Arial" w:hAnsi="Arial" w:cs="Arial"/>
                <w:b/>
                <w:bCs/>
                <w:color w:val="FFFFFF"/>
                <w:sz w:val="20"/>
                <w:szCs w:val="20"/>
              </w:rPr>
            </w:pPr>
            <w:r w:rsidRPr="00CA5941">
              <w:rPr>
                <w:rFonts w:ascii="Arial" w:hAnsi="Arial" w:cs="Arial"/>
                <w:b/>
                <w:bCs/>
                <w:color w:val="FFFFFF"/>
                <w:sz w:val="20"/>
                <w:szCs w:val="20"/>
              </w:rPr>
              <w:t>Total Pago de Garajes I</w:t>
            </w:r>
            <w:r>
              <w:rPr>
                <w:rFonts w:ascii="Arial" w:hAnsi="Arial" w:cs="Arial"/>
                <w:b/>
                <w:bCs/>
                <w:color w:val="FFFFFF"/>
                <w:sz w:val="20"/>
                <w:szCs w:val="20"/>
              </w:rPr>
              <w:t>I</w:t>
            </w:r>
            <w:r w:rsidRPr="00CA5941">
              <w:rPr>
                <w:rFonts w:ascii="Arial" w:hAnsi="Arial" w:cs="Arial"/>
                <w:b/>
                <w:bCs/>
                <w:color w:val="FFFFFF"/>
                <w:sz w:val="20"/>
                <w:szCs w:val="20"/>
              </w:rPr>
              <w:t>I Trimestre 2020</w:t>
            </w:r>
          </w:p>
        </w:tc>
        <w:tc>
          <w:tcPr>
            <w:tcW w:w="0" w:type="auto"/>
            <w:tcBorders>
              <w:top w:val="nil"/>
              <w:left w:val="nil"/>
              <w:bottom w:val="single" w:sz="8" w:space="0" w:color="B8CCE4"/>
              <w:right w:val="single" w:sz="8" w:space="0" w:color="B8CCE4"/>
            </w:tcBorders>
            <w:shd w:val="clear" w:color="auto" w:fill="4F81BD" w:themeFill="accent1"/>
            <w:noWrap/>
            <w:vAlign w:val="center"/>
            <w:hideMark/>
          </w:tcPr>
          <w:p w14:paraId="0C8D4D09" w14:textId="3BC0366F" w:rsidR="00C9511A" w:rsidRPr="00801691" w:rsidRDefault="00C9511A" w:rsidP="00C9511A">
            <w:pPr>
              <w:spacing w:before="100" w:after="100"/>
              <w:jc w:val="right"/>
              <w:rPr>
                <w:rFonts w:ascii="Arial" w:hAnsi="Arial" w:cs="Arial"/>
                <w:b/>
                <w:bCs/>
                <w:color w:val="FFFFFF"/>
                <w:sz w:val="20"/>
                <w:szCs w:val="20"/>
              </w:rPr>
            </w:pPr>
            <w:r>
              <w:rPr>
                <w:rFonts w:ascii="Arial" w:hAnsi="Arial" w:cs="Arial"/>
                <w:b/>
                <w:bCs/>
                <w:color w:val="FFFFFF"/>
                <w:sz w:val="20"/>
                <w:szCs w:val="20"/>
              </w:rPr>
              <w:t>4.192.472</w:t>
            </w:r>
          </w:p>
        </w:tc>
      </w:tr>
    </w:tbl>
    <w:p w14:paraId="478FF091" w14:textId="77777777" w:rsidR="00870585" w:rsidRPr="00CA48AF" w:rsidRDefault="00870585" w:rsidP="009169DF">
      <w:pPr>
        <w:spacing w:line="168" w:lineRule="auto"/>
        <w:jc w:val="both"/>
        <w:rPr>
          <w:rFonts w:ascii="Arial" w:hAnsi="Arial" w:cs="Arial"/>
          <w:sz w:val="22"/>
          <w:szCs w:val="22"/>
          <w:highlight w:val="yellow"/>
        </w:rPr>
      </w:pPr>
    </w:p>
    <w:p w14:paraId="6112ADCF" w14:textId="56193EA3" w:rsidR="00A8316F" w:rsidRDefault="00CB267F" w:rsidP="00CB267F">
      <w:pPr>
        <w:jc w:val="both"/>
        <w:rPr>
          <w:rFonts w:ascii="Arial" w:hAnsi="Arial" w:cs="Arial"/>
          <w:color w:val="000000" w:themeColor="text1"/>
          <w:sz w:val="22"/>
          <w:szCs w:val="22"/>
        </w:rPr>
      </w:pPr>
      <w:r w:rsidRPr="00B06A97">
        <w:rPr>
          <w:rFonts w:ascii="Arial" w:hAnsi="Arial" w:cs="Arial"/>
          <w:color w:val="000000" w:themeColor="text1"/>
          <w:sz w:val="22"/>
          <w:szCs w:val="22"/>
        </w:rPr>
        <w:t xml:space="preserve">Sobre </w:t>
      </w:r>
      <w:r w:rsidR="00DC25E1" w:rsidRPr="00B06A97">
        <w:rPr>
          <w:rFonts w:ascii="Arial" w:hAnsi="Arial" w:cs="Arial"/>
          <w:color w:val="000000" w:themeColor="text1"/>
          <w:sz w:val="22"/>
          <w:szCs w:val="22"/>
        </w:rPr>
        <w:t>este punto</w:t>
      </w:r>
      <w:r w:rsidR="009169DF" w:rsidRPr="00B06A97">
        <w:rPr>
          <w:rFonts w:ascii="Arial" w:hAnsi="Arial" w:cs="Arial"/>
          <w:color w:val="000000" w:themeColor="text1"/>
          <w:sz w:val="22"/>
          <w:szCs w:val="22"/>
        </w:rPr>
        <w:t xml:space="preserve"> </w:t>
      </w:r>
      <w:r w:rsidRPr="00B06A97">
        <w:rPr>
          <w:rFonts w:ascii="Arial" w:hAnsi="Arial" w:cs="Arial"/>
          <w:color w:val="000000" w:themeColor="text1"/>
          <w:sz w:val="22"/>
          <w:szCs w:val="22"/>
        </w:rPr>
        <w:t>la Subdirección de Servicios informó que, debido a las restricciones</w:t>
      </w:r>
      <w:r w:rsidR="00F573A7" w:rsidRPr="00B06A97">
        <w:rPr>
          <w:rFonts w:ascii="Arial" w:hAnsi="Arial" w:cs="Arial"/>
          <w:color w:val="000000" w:themeColor="text1"/>
          <w:sz w:val="22"/>
          <w:szCs w:val="22"/>
        </w:rPr>
        <w:t xml:space="preserve"> de movilidad</w:t>
      </w:r>
      <w:r w:rsidRPr="00B06A97">
        <w:rPr>
          <w:rFonts w:ascii="Arial" w:hAnsi="Arial" w:cs="Arial"/>
          <w:color w:val="000000" w:themeColor="text1"/>
          <w:sz w:val="22"/>
          <w:szCs w:val="22"/>
        </w:rPr>
        <w:t xml:space="preserve"> establecidas por el Gobierno Nación y Distrital durante el periodo de aislamiento preventivo obligatorio, generó que el parque automotor de este Ministerio no se utilizara en su totalidad, por ende, para ciertos casos los vehículos oficiales estuvieron en el parqueadero de las instalaciones de este Ministerio, sin generar gastos por </w:t>
      </w:r>
      <w:r w:rsidR="00F573A7" w:rsidRPr="00B06A97">
        <w:rPr>
          <w:rFonts w:ascii="Arial" w:hAnsi="Arial" w:cs="Arial"/>
          <w:color w:val="000000" w:themeColor="text1"/>
          <w:sz w:val="22"/>
          <w:szCs w:val="22"/>
        </w:rPr>
        <w:t>servicio de garajes y/o parqueaderos.</w:t>
      </w:r>
      <w:r w:rsidR="00A8316F">
        <w:rPr>
          <w:rFonts w:ascii="Arial" w:hAnsi="Arial" w:cs="Arial"/>
          <w:color w:val="000000" w:themeColor="text1"/>
          <w:sz w:val="22"/>
          <w:szCs w:val="22"/>
        </w:rPr>
        <w:t xml:space="preserve"> Es importante mencionar que, </w:t>
      </w:r>
      <w:r w:rsidR="00FA0919">
        <w:rPr>
          <w:rFonts w:ascii="Arial" w:hAnsi="Arial" w:cs="Arial"/>
          <w:color w:val="000000" w:themeColor="text1"/>
          <w:sz w:val="22"/>
          <w:szCs w:val="22"/>
        </w:rPr>
        <w:t xml:space="preserve">según </w:t>
      </w:r>
      <w:r w:rsidR="00A8316F">
        <w:rPr>
          <w:rFonts w:ascii="Arial" w:hAnsi="Arial" w:cs="Arial"/>
          <w:color w:val="000000" w:themeColor="text1"/>
          <w:sz w:val="22"/>
          <w:szCs w:val="22"/>
        </w:rPr>
        <w:t>el Decreto 1168 de 2020 estableció la fase de aislamiento selectivo,</w:t>
      </w:r>
      <w:r w:rsidR="007904A9">
        <w:rPr>
          <w:rFonts w:ascii="Arial" w:hAnsi="Arial" w:cs="Arial"/>
          <w:color w:val="000000" w:themeColor="text1"/>
          <w:sz w:val="22"/>
          <w:szCs w:val="22"/>
        </w:rPr>
        <w:t xml:space="preserve"> sin embargo, </w:t>
      </w:r>
      <w:r w:rsidR="00A8316F">
        <w:rPr>
          <w:rFonts w:ascii="Arial" w:hAnsi="Arial" w:cs="Arial"/>
          <w:color w:val="000000" w:themeColor="text1"/>
          <w:sz w:val="22"/>
          <w:szCs w:val="22"/>
        </w:rPr>
        <w:t>este Ministerio continuó aplicando medidas</w:t>
      </w:r>
      <w:r w:rsidR="007904A9">
        <w:rPr>
          <w:rFonts w:ascii="Arial" w:hAnsi="Arial" w:cs="Arial"/>
          <w:color w:val="000000" w:themeColor="text1"/>
          <w:sz w:val="22"/>
          <w:szCs w:val="22"/>
        </w:rPr>
        <w:t xml:space="preserve"> </w:t>
      </w:r>
      <w:r w:rsidR="00A8316F">
        <w:rPr>
          <w:rFonts w:ascii="Arial" w:hAnsi="Arial" w:cs="Arial"/>
          <w:color w:val="000000" w:themeColor="text1"/>
          <w:sz w:val="22"/>
          <w:szCs w:val="22"/>
        </w:rPr>
        <w:t xml:space="preserve">tales como, la modalidad de trabajo en casa </w:t>
      </w:r>
      <w:r w:rsidR="002053DB">
        <w:rPr>
          <w:rFonts w:ascii="Arial" w:hAnsi="Arial" w:cs="Arial"/>
          <w:color w:val="000000" w:themeColor="text1"/>
          <w:sz w:val="22"/>
          <w:szCs w:val="22"/>
        </w:rPr>
        <w:t xml:space="preserve">para </w:t>
      </w:r>
      <w:r w:rsidR="00A8316F">
        <w:rPr>
          <w:rFonts w:ascii="Arial" w:hAnsi="Arial" w:cs="Arial"/>
          <w:color w:val="000000" w:themeColor="text1"/>
          <w:sz w:val="22"/>
          <w:szCs w:val="22"/>
        </w:rPr>
        <w:t xml:space="preserve">aproximadamente el </w:t>
      </w:r>
      <w:r w:rsidR="007904A9">
        <w:rPr>
          <w:rFonts w:ascii="Arial" w:hAnsi="Arial" w:cs="Arial"/>
          <w:color w:val="000000" w:themeColor="text1"/>
          <w:sz w:val="22"/>
          <w:szCs w:val="22"/>
        </w:rPr>
        <w:t>80</w:t>
      </w:r>
      <w:r w:rsidR="00A8316F">
        <w:rPr>
          <w:rFonts w:ascii="Arial" w:hAnsi="Arial" w:cs="Arial"/>
          <w:color w:val="000000" w:themeColor="text1"/>
          <w:sz w:val="22"/>
          <w:szCs w:val="22"/>
        </w:rPr>
        <w:t xml:space="preserve">% </w:t>
      </w:r>
      <w:r w:rsidR="002053DB">
        <w:rPr>
          <w:rFonts w:ascii="Arial" w:hAnsi="Arial" w:cs="Arial"/>
          <w:color w:val="000000" w:themeColor="text1"/>
          <w:sz w:val="22"/>
          <w:szCs w:val="22"/>
        </w:rPr>
        <w:t xml:space="preserve">de los </w:t>
      </w:r>
      <w:r w:rsidR="007904A9">
        <w:rPr>
          <w:rFonts w:ascii="Arial" w:hAnsi="Arial" w:cs="Arial"/>
          <w:color w:val="000000" w:themeColor="text1"/>
          <w:sz w:val="22"/>
          <w:szCs w:val="22"/>
        </w:rPr>
        <w:t xml:space="preserve">servidores públicos </w:t>
      </w:r>
      <w:r w:rsidR="002053DB">
        <w:rPr>
          <w:rFonts w:ascii="Arial" w:hAnsi="Arial" w:cs="Arial"/>
          <w:color w:val="000000" w:themeColor="text1"/>
          <w:sz w:val="22"/>
          <w:szCs w:val="22"/>
        </w:rPr>
        <w:t xml:space="preserve">durante el tercer trimestre de 2020. </w:t>
      </w:r>
    </w:p>
    <w:p w14:paraId="6E31402B" w14:textId="77777777" w:rsidR="002053DB" w:rsidRDefault="002053DB" w:rsidP="00CB267F">
      <w:pPr>
        <w:jc w:val="both"/>
        <w:rPr>
          <w:rFonts w:ascii="Arial" w:hAnsi="Arial" w:cs="Arial"/>
          <w:color w:val="000000" w:themeColor="text1"/>
          <w:sz w:val="22"/>
          <w:szCs w:val="22"/>
        </w:rPr>
      </w:pPr>
    </w:p>
    <w:p w14:paraId="690721E8" w14:textId="7C053517" w:rsidR="00B06A97" w:rsidRDefault="00CB267F" w:rsidP="00CB267F">
      <w:pPr>
        <w:jc w:val="both"/>
        <w:rPr>
          <w:rFonts w:ascii="Arial" w:hAnsi="Arial" w:cs="Arial"/>
          <w:color w:val="000000" w:themeColor="text1"/>
          <w:sz w:val="22"/>
          <w:szCs w:val="22"/>
        </w:rPr>
      </w:pPr>
      <w:r w:rsidRPr="00B06A97">
        <w:rPr>
          <w:rFonts w:ascii="Arial" w:hAnsi="Arial" w:cs="Arial"/>
          <w:color w:val="000000" w:themeColor="text1"/>
          <w:sz w:val="22"/>
          <w:szCs w:val="22"/>
        </w:rPr>
        <w:t xml:space="preserve">De igual forma, </w:t>
      </w:r>
      <w:r w:rsidR="00FA0919">
        <w:rPr>
          <w:rFonts w:ascii="Arial" w:hAnsi="Arial" w:cs="Arial"/>
          <w:color w:val="000000" w:themeColor="text1"/>
          <w:sz w:val="22"/>
          <w:szCs w:val="22"/>
        </w:rPr>
        <w:t xml:space="preserve">es importante mencionar </w:t>
      </w:r>
      <w:r w:rsidRPr="00B06A97">
        <w:rPr>
          <w:rFonts w:ascii="Arial" w:hAnsi="Arial" w:cs="Arial"/>
          <w:color w:val="000000" w:themeColor="text1"/>
          <w:sz w:val="22"/>
          <w:szCs w:val="22"/>
        </w:rPr>
        <w:t>otro factor que influy</w:t>
      </w:r>
      <w:r w:rsidR="00FA0919">
        <w:rPr>
          <w:rFonts w:ascii="Arial" w:hAnsi="Arial" w:cs="Arial"/>
          <w:color w:val="000000" w:themeColor="text1"/>
          <w:sz w:val="22"/>
          <w:szCs w:val="22"/>
        </w:rPr>
        <w:t xml:space="preserve">ó en el gasto de garajes, </w:t>
      </w:r>
      <w:r w:rsidR="00C1114B" w:rsidRPr="00B06A97">
        <w:rPr>
          <w:rFonts w:ascii="Arial" w:hAnsi="Arial" w:cs="Arial"/>
          <w:color w:val="000000" w:themeColor="text1"/>
          <w:sz w:val="22"/>
          <w:szCs w:val="22"/>
        </w:rPr>
        <w:t>el</w:t>
      </w:r>
      <w:r w:rsidR="00FA0919">
        <w:rPr>
          <w:rFonts w:ascii="Arial" w:hAnsi="Arial" w:cs="Arial"/>
          <w:color w:val="000000" w:themeColor="text1"/>
          <w:sz w:val="22"/>
          <w:szCs w:val="22"/>
        </w:rPr>
        <w:t xml:space="preserve"> cual está </w:t>
      </w:r>
      <w:r w:rsidRPr="00B06A97">
        <w:rPr>
          <w:rFonts w:ascii="Arial" w:hAnsi="Arial" w:cs="Arial"/>
          <w:color w:val="000000" w:themeColor="text1"/>
          <w:sz w:val="22"/>
          <w:szCs w:val="22"/>
        </w:rPr>
        <w:t>relacionad</w:t>
      </w:r>
      <w:r w:rsidR="00C1114B" w:rsidRPr="00B06A97">
        <w:rPr>
          <w:rFonts w:ascii="Arial" w:hAnsi="Arial" w:cs="Arial"/>
          <w:color w:val="000000" w:themeColor="text1"/>
          <w:sz w:val="22"/>
          <w:szCs w:val="22"/>
        </w:rPr>
        <w:t>o</w:t>
      </w:r>
      <w:r w:rsidRPr="00B06A97">
        <w:rPr>
          <w:rFonts w:ascii="Arial" w:hAnsi="Arial" w:cs="Arial"/>
          <w:color w:val="000000" w:themeColor="text1"/>
          <w:sz w:val="22"/>
          <w:szCs w:val="22"/>
        </w:rPr>
        <w:t xml:space="preserve"> con las condiciones de salud de los funcionarios que desempeñan el cargo de conductor</w:t>
      </w:r>
      <w:r w:rsidR="00DC25E1" w:rsidRPr="00B06A97">
        <w:rPr>
          <w:rFonts w:ascii="Arial" w:hAnsi="Arial" w:cs="Arial"/>
          <w:color w:val="000000" w:themeColor="text1"/>
          <w:sz w:val="22"/>
          <w:szCs w:val="22"/>
        </w:rPr>
        <w:t xml:space="preserve">, dado que, </w:t>
      </w:r>
      <w:r w:rsidRPr="00B06A97">
        <w:rPr>
          <w:rFonts w:ascii="Arial" w:hAnsi="Arial" w:cs="Arial"/>
          <w:color w:val="000000" w:themeColor="text1"/>
          <w:sz w:val="22"/>
          <w:szCs w:val="22"/>
        </w:rPr>
        <w:t xml:space="preserve">se </w:t>
      </w:r>
      <w:r w:rsidR="00DC25E1" w:rsidRPr="00B06A97">
        <w:rPr>
          <w:rFonts w:ascii="Arial" w:hAnsi="Arial" w:cs="Arial"/>
          <w:color w:val="000000" w:themeColor="text1"/>
          <w:sz w:val="22"/>
          <w:szCs w:val="22"/>
        </w:rPr>
        <w:t>tomaron las precauciones del caso</w:t>
      </w:r>
      <w:r w:rsidRPr="00B06A97">
        <w:rPr>
          <w:rFonts w:ascii="Arial" w:hAnsi="Arial" w:cs="Arial"/>
          <w:color w:val="000000" w:themeColor="text1"/>
          <w:sz w:val="22"/>
          <w:szCs w:val="22"/>
        </w:rPr>
        <w:t>, según las medidas impartidas durante la Emergencia Sanitaria [C</w:t>
      </w:r>
      <w:r w:rsidR="00C1114B" w:rsidRPr="00B06A97">
        <w:rPr>
          <w:rFonts w:ascii="Arial" w:hAnsi="Arial" w:cs="Arial"/>
          <w:color w:val="000000" w:themeColor="text1"/>
          <w:sz w:val="22"/>
          <w:szCs w:val="22"/>
        </w:rPr>
        <w:t>OVID</w:t>
      </w:r>
      <w:r w:rsidRPr="00B06A97">
        <w:rPr>
          <w:rFonts w:ascii="Arial" w:hAnsi="Arial" w:cs="Arial"/>
          <w:color w:val="000000" w:themeColor="text1"/>
          <w:sz w:val="22"/>
          <w:szCs w:val="22"/>
        </w:rPr>
        <w:t>-19]</w:t>
      </w:r>
      <w:r w:rsidR="00B06A97">
        <w:rPr>
          <w:rFonts w:ascii="Arial" w:hAnsi="Arial" w:cs="Arial"/>
          <w:color w:val="000000" w:themeColor="text1"/>
          <w:sz w:val="22"/>
          <w:szCs w:val="22"/>
        </w:rPr>
        <w:t>.</w:t>
      </w:r>
      <w:r w:rsidR="00FA0919">
        <w:rPr>
          <w:rFonts w:ascii="Arial" w:hAnsi="Arial" w:cs="Arial"/>
          <w:color w:val="000000" w:themeColor="text1"/>
          <w:sz w:val="22"/>
          <w:szCs w:val="22"/>
        </w:rPr>
        <w:t xml:space="preserve"> Por tal motivo, ciertos vehículos permanecieron en el parqueadero del MHCP.  </w:t>
      </w:r>
    </w:p>
    <w:p w14:paraId="727FC846" w14:textId="77777777" w:rsidR="00A8316F" w:rsidRPr="00B06A97" w:rsidRDefault="00A8316F" w:rsidP="00A8316F">
      <w:pPr>
        <w:jc w:val="both"/>
        <w:rPr>
          <w:rFonts w:ascii="Arial" w:hAnsi="Arial" w:cs="Arial"/>
          <w:sz w:val="22"/>
          <w:szCs w:val="22"/>
        </w:rPr>
      </w:pPr>
    </w:p>
    <w:p w14:paraId="111633ED" w14:textId="54E2C5F9" w:rsidR="002F4EDA" w:rsidRPr="00554E4D" w:rsidRDefault="00FA0919" w:rsidP="00CB267F">
      <w:pPr>
        <w:jc w:val="both"/>
        <w:rPr>
          <w:rFonts w:ascii="Arial" w:hAnsi="Arial" w:cs="Arial"/>
          <w:color w:val="000000" w:themeColor="text1"/>
          <w:sz w:val="22"/>
          <w:szCs w:val="22"/>
        </w:rPr>
      </w:pPr>
      <w:r>
        <w:rPr>
          <w:rFonts w:ascii="Arial" w:hAnsi="Arial" w:cs="Arial"/>
          <w:color w:val="000000" w:themeColor="text1"/>
          <w:sz w:val="22"/>
          <w:szCs w:val="22"/>
        </w:rPr>
        <w:t xml:space="preserve">Frente a lo anterior y con base en </w:t>
      </w:r>
      <w:r w:rsidR="00D90341" w:rsidRPr="00554E4D">
        <w:rPr>
          <w:rFonts w:ascii="Arial" w:hAnsi="Arial" w:cs="Arial"/>
          <w:color w:val="000000" w:themeColor="text1"/>
          <w:sz w:val="22"/>
          <w:szCs w:val="22"/>
        </w:rPr>
        <w:t>los reportes allegados por la Subdirección de Servicios</w:t>
      </w:r>
      <w:r w:rsidR="002F4EDA" w:rsidRPr="00554E4D">
        <w:rPr>
          <w:rFonts w:ascii="Arial" w:hAnsi="Arial" w:cs="Arial"/>
          <w:color w:val="000000" w:themeColor="text1"/>
          <w:sz w:val="22"/>
          <w:szCs w:val="22"/>
        </w:rPr>
        <w:t xml:space="preserve">, esta Oficina </w:t>
      </w:r>
      <w:r>
        <w:rPr>
          <w:rFonts w:ascii="Arial" w:hAnsi="Arial" w:cs="Arial"/>
          <w:color w:val="000000" w:themeColor="text1"/>
          <w:sz w:val="22"/>
          <w:szCs w:val="22"/>
        </w:rPr>
        <w:t xml:space="preserve">confirmó </w:t>
      </w:r>
      <w:r w:rsidR="004529B9" w:rsidRPr="00554E4D">
        <w:rPr>
          <w:rFonts w:ascii="Arial" w:hAnsi="Arial" w:cs="Arial"/>
          <w:color w:val="000000" w:themeColor="text1"/>
          <w:sz w:val="22"/>
          <w:szCs w:val="22"/>
        </w:rPr>
        <w:t xml:space="preserve">que, durante el </w:t>
      </w:r>
      <w:r>
        <w:rPr>
          <w:rFonts w:ascii="Arial" w:hAnsi="Arial" w:cs="Arial"/>
          <w:color w:val="000000" w:themeColor="text1"/>
          <w:sz w:val="22"/>
          <w:szCs w:val="22"/>
        </w:rPr>
        <w:t xml:space="preserve">tercer </w:t>
      </w:r>
      <w:r w:rsidR="004529B9" w:rsidRPr="00554E4D">
        <w:rPr>
          <w:rFonts w:ascii="Arial" w:hAnsi="Arial" w:cs="Arial"/>
          <w:color w:val="000000" w:themeColor="text1"/>
          <w:sz w:val="22"/>
          <w:szCs w:val="22"/>
        </w:rPr>
        <w:t>trimestre</w:t>
      </w:r>
      <w:r w:rsidR="00864B69" w:rsidRPr="00554E4D">
        <w:rPr>
          <w:rFonts w:ascii="Arial" w:hAnsi="Arial" w:cs="Arial"/>
          <w:color w:val="000000" w:themeColor="text1"/>
          <w:sz w:val="22"/>
          <w:szCs w:val="22"/>
        </w:rPr>
        <w:t xml:space="preserve"> de 2020</w:t>
      </w:r>
      <w:r w:rsidR="004529B9" w:rsidRPr="00554E4D">
        <w:rPr>
          <w:rFonts w:ascii="Arial" w:hAnsi="Arial" w:cs="Arial"/>
          <w:color w:val="000000" w:themeColor="text1"/>
          <w:sz w:val="22"/>
          <w:szCs w:val="22"/>
        </w:rPr>
        <w:t xml:space="preserve"> permanecieron en el parqueadero de este Ministerio la siguiente cantidad de vehículos: </w:t>
      </w:r>
      <w:r w:rsidR="007C25FB" w:rsidRPr="00554E4D">
        <w:rPr>
          <w:rFonts w:ascii="Arial" w:hAnsi="Arial" w:cs="Arial"/>
          <w:color w:val="000000" w:themeColor="text1"/>
          <w:sz w:val="22"/>
          <w:szCs w:val="22"/>
        </w:rPr>
        <w:t>julio 10</w:t>
      </w:r>
      <w:r w:rsidR="004529B9" w:rsidRPr="00554E4D">
        <w:rPr>
          <w:rFonts w:ascii="Arial" w:hAnsi="Arial" w:cs="Arial"/>
          <w:color w:val="000000" w:themeColor="text1"/>
          <w:sz w:val="22"/>
          <w:szCs w:val="22"/>
        </w:rPr>
        <w:t xml:space="preserve">, </w:t>
      </w:r>
      <w:r w:rsidR="007C25FB" w:rsidRPr="00554E4D">
        <w:rPr>
          <w:rFonts w:ascii="Arial" w:hAnsi="Arial" w:cs="Arial"/>
          <w:color w:val="000000" w:themeColor="text1"/>
          <w:sz w:val="22"/>
          <w:szCs w:val="22"/>
        </w:rPr>
        <w:t>agosto 9</w:t>
      </w:r>
      <w:r w:rsidR="002F4EDA" w:rsidRPr="00554E4D">
        <w:rPr>
          <w:rFonts w:ascii="Arial" w:hAnsi="Arial" w:cs="Arial"/>
          <w:color w:val="000000" w:themeColor="text1"/>
          <w:sz w:val="22"/>
          <w:szCs w:val="22"/>
        </w:rPr>
        <w:t xml:space="preserve"> y </w:t>
      </w:r>
      <w:r w:rsidR="007C25FB" w:rsidRPr="00554E4D">
        <w:rPr>
          <w:rFonts w:ascii="Arial" w:hAnsi="Arial" w:cs="Arial"/>
          <w:color w:val="000000" w:themeColor="text1"/>
          <w:sz w:val="22"/>
          <w:szCs w:val="22"/>
        </w:rPr>
        <w:t>septiembre</w:t>
      </w:r>
      <w:r w:rsidR="002F4EDA" w:rsidRPr="00554E4D">
        <w:rPr>
          <w:rFonts w:ascii="Arial" w:hAnsi="Arial" w:cs="Arial"/>
          <w:color w:val="000000" w:themeColor="text1"/>
          <w:sz w:val="22"/>
          <w:szCs w:val="22"/>
        </w:rPr>
        <w:t xml:space="preserve"> </w:t>
      </w:r>
      <w:r w:rsidR="00F056C8" w:rsidRPr="00554E4D">
        <w:rPr>
          <w:rFonts w:ascii="Arial" w:hAnsi="Arial" w:cs="Arial"/>
          <w:color w:val="000000" w:themeColor="text1"/>
          <w:sz w:val="22"/>
          <w:szCs w:val="22"/>
        </w:rPr>
        <w:t>7</w:t>
      </w:r>
      <w:r w:rsidR="004529B9" w:rsidRPr="00554E4D">
        <w:rPr>
          <w:rFonts w:ascii="Arial" w:hAnsi="Arial" w:cs="Arial"/>
          <w:color w:val="000000" w:themeColor="text1"/>
          <w:sz w:val="22"/>
          <w:szCs w:val="22"/>
        </w:rPr>
        <w:t xml:space="preserve">. </w:t>
      </w:r>
      <w:r w:rsidR="00864B69" w:rsidRPr="00554E4D">
        <w:rPr>
          <w:rFonts w:ascii="Arial" w:hAnsi="Arial" w:cs="Arial"/>
          <w:color w:val="000000" w:themeColor="text1"/>
          <w:sz w:val="22"/>
          <w:szCs w:val="22"/>
        </w:rPr>
        <w:t xml:space="preserve">Así mismo, </w:t>
      </w:r>
      <w:r w:rsidR="004529B9" w:rsidRPr="00554E4D">
        <w:rPr>
          <w:rFonts w:ascii="Arial" w:hAnsi="Arial" w:cs="Arial"/>
          <w:color w:val="000000" w:themeColor="text1"/>
          <w:sz w:val="22"/>
          <w:szCs w:val="22"/>
        </w:rPr>
        <w:t>se constató que para los vehículos que permanecieron en el parqueadero de esta entidad no se reconoció gasto</w:t>
      </w:r>
      <w:r w:rsidR="0061115D" w:rsidRPr="00554E4D">
        <w:rPr>
          <w:rFonts w:ascii="Arial" w:hAnsi="Arial" w:cs="Arial"/>
          <w:color w:val="000000" w:themeColor="text1"/>
          <w:sz w:val="22"/>
          <w:szCs w:val="22"/>
        </w:rPr>
        <w:t xml:space="preserve"> por servicio </w:t>
      </w:r>
      <w:r w:rsidR="004529B9" w:rsidRPr="00554E4D">
        <w:rPr>
          <w:rFonts w:ascii="Arial" w:hAnsi="Arial" w:cs="Arial"/>
          <w:color w:val="000000" w:themeColor="text1"/>
          <w:sz w:val="22"/>
          <w:szCs w:val="22"/>
        </w:rPr>
        <w:t>de garajes y/o parqueaderos</w:t>
      </w:r>
      <w:r w:rsidR="00864B69" w:rsidRPr="00554E4D">
        <w:rPr>
          <w:rFonts w:ascii="Arial" w:hAnsi="Arial" w:cs="Arial"/>
          <w:color w:val="000000" w:themeColor="text1"/>
          <w:sz w:val="22"/>
          <w:szCs w:val="22"/>
        </w:rPr>
        <w:t xml:space="preserve"> en los respectivos meses. </w:t>
      </w:r>
    </w:p>
    <w:p w14:paraId="433998B6" w14:textId="77777777" w:rsidR="002F4EDA" w:rsidRPr="00CA48AF" w:rsidRDefault="002F4EDA" w:rsidP="009169DF">
      <w:pPr>
        <w:spacing w:line="168" w:lineRule="auto"/>
        <w:jc w:val="both"/>
        <w:rPr>
          <w:rFonts w:ascii="Arial" w:hAnsi="Arial" w:cs="Arial"/>
          <w:color w:val="000000" w:themeColor="text1"/>
          <w:sz w:val="22"/>
          <w:szCs w:val="22"/>
          <w:highlight w:val="yellow"/>
        </w:rPr>
      </w:pPr>
    </w:p>
    <w:p w14:paraId="35034F51" w14:textId="43ABE3F5" w:rsidR="00CB267F" w:rsidRPr="00554E4D" w:rsidRDefault="00EF6604" w:rsidP="00CB267F">
      <w:pPr>
        <w:jc w:val="both"/>
        <w:rPr>
          <w:rFonts w:ascii="Arial" w:hAnsi="Arial" w:cs="Arial"/>
          <w:color w:val="000000" w:themeColor="text1"/>
          <w:sz w:val="22"/>
          <w:szCs w:val="22"/>
        </w:rPr>
      </w:pPr>
      <w:r w:rsidRPr="00554E4D">
        <w:rPr>
          <w:rFonts w:ascii="Arial" w:hAnsi="Arial" w:cs="Arial"/>
          <w:color w:val="000000" w:themeColor="text1"/>
          <w:sz w:val="22"/>
          <w:szCs w:val="22"/>
        </w:rPr>
        <w:t xml:space="preserve">Es importante mencionar que, debido a los factores atípicos derivados del COVID-19, </w:t>
      </w:r>
      <w:r w:rsidR="0036344D" w:rsidRPr="00554E4D">
        <w:rPr>
          <w:rFonts w:ascii="Arial" w:hAnsi="Arial" w:cs="Arial"/>
          <w:color w:val="000000" w:themeColor="text1"/>
          <w:sz w:val="22"/>
          <w:szCs w:val="22"/>
        </w:rPr>
        <w:t xml:space="preserve">se determinó que los mismos </w:t>
      </w:r>
      <w:r w:rsidR="007B1D04" w:rsidRPr="00554E4D">
        <w:rPr>
          <w:rFonts w:ascii="Arial" w:hAnsi="Arial" w:cs="Arial"/>
          <w:color w:val="000000" w:themeColor="text1"/>
          <w:sz w:val="22"/>
          <w:szCs w:val="22"/>
        </w:rPr>
        <w:t>impactaron</w:t>
      </w:r>
      <w:r w:rsidRPr="00554E4D">
        <w:rPr>
          <w:rFonts w:ascii="Arial" w:hAnsi="Arial" w:cs="Arial"/>
          <w:color w:val="000000" w:themeColor="text1"/>
          <w:sz w:val="22"/>
          <w:szCs w:val="22"/>
        </w:rPr>
        <w:t xml:space="preserve"> el gasto </w:t>
      </w:r>
      <w:r w:rsidR="0036344D" w:rsidRPr="00554E4D">
        <w:rPr>
          <w:rFonts w:ascii="Arial" w:hAnsi="Arial" w:cs="Arial"/>
          <w:color w:val="000000" w:themeColor="text1"/>
          <w:sz w:val="22"/>
          <w:szCs w:val="22"/>
        </w:rPr>
        <w:t xml:space="preserve">de </w:t>
      </w:r>
      <w:r w:rsidRPr="00554E4D">
        <w:rPr>
          <w:rFonts w:ascii="Arial" w:hAnsi="Arial" w:cs="Arial"/>
          <w:color w:val="000000" w:themeColor="text1"/>
          <w:sz w:val="22"/>
          <w:szCs w:val="22"/>
        </w:rPr>
        <w:t>servicio de garajes y/o parqueaderos,</w:t>
      </w:r>
      <w:r w:rsidR="0036344D" w:rsidRPr="00554E4D">
        <w:rPr>
          <w:rFonts w:ascii="Arial" w:hAnsi="Arial" w:cs="Arial"/>
          <w:color w:val="000000" w:themeColor="text1"/>
          <w:sz w:val="22"/>
          <w:szCs w:val="22"/>
        </w:rPr>
        <w:t xml:space="preserve"> por tal razón, </w:t>
      </w:r>
      <w:r w:rsidRPr="00554E4D">
        <w:rPr>
          <w:rFonts w:ascii="Arial" w:hAnsi="Arial" w:cs="Arial"/>
          <w:color w:val="000000" w:themeColor="text1"/>
          <w:sz w:val="22"/>
          <w:szCs w:val="22"/>
        </w:rPr>
        <w:t>no se efectuó un análisis de variaciones</w:t>
      </w:r>
      <w:r w:rsidR="00616F3F" w:rsidRPr="00554E4D">
        <w:rPr>
          <w:rFonts w:ascii="Arial" w:hAnsi="Arial" w:cs="Arial"/>
          <w:color w:val="000000" w:themeColor="text1"/>
          <w:sz w:val="22"/>
          <w:szCs w:val="22"/>
        </w:rPr>
        <w:t xml:space="preserve">, no obstante, se estableció que el gasto presentó una </w:t>
      </w:r>
      <w:r w:rsidR="00616F3F" w:rsidRPr="00554E4D">
        <w:rPr>
          <w:rFonts w:ascii="Arial" w:hAnsi="Arial" w:cs="Arial"/>
          <w:b/>
          <w:bCs/>
          <w:color w:val="000000" w:themeColor="text1"/>
          <w:sz w:val="22"/>
          <w:szCs w:val="22"/>
        </w:rPr>
        <w:t xml:space="preserve">reducción </w:t>
      </w:r>
      <w:r w:rsidR="00616F3F" w:rsidRPr="00554E4D">
        <w:rPr>
          <w:rFonts w:ascii="Arial" w:hAnsi="Arial" w:cs="Arial"/>
          <w:color w:val="000000" w:themeColor="text1"/>
          <w:sz w:val="22"/>
          <w:szCs w:val="22"/>
        </w:rPr>
        <w:t xml:space="preserve">del </w:t>
      </w:r>
      <w:r w:rsidR="00970741">
        <w:rPr>
          <w:rFonts w:ascii="Arial" w:hAnsi="Arial" w:cs="Arial"/>
          <w:color w:val="000000" w:themeColor="text1"/>
          <w:sz w:val="22"/>
          <w:szCs w:val="22"/>
        </w:rPr>
        <w:t>29</w:t>
      </w:r>
      <w:r w:rsidR="00616F3F" w:rsidRPr="00554E4D">
        <w:rPr>
          <w:rFonts w:ascii="Arial" w:hAnsi="Arial" w:cs="Arial"/>
          <w:color w:val="000000" w:themeColor="text1"/>
          <w:sz w:val="22"/>
          <w:szCs w:val="22"/>
        </w:rPr>
        <w:t xml:space="preserve">% al comparar </w:t>
      </w:r>
      <w:r w:rsidRPr="00554E4D">
        <w:rPr>
          <w:rFonts w:ascii="Arial" w:hAnsi="Arial" w:cs="Arial"/>
          <w:color w:val="000000" w:themeColor="text1"/>
          <w:sz w:val="22"/>
          <w:szCs w:val="22"/>
        </w:rPr>
        <w:t xml:space="preserve">el </w:t>
      </w:r>
      <w:r w:rsidR="00970741">
        <w:rPr>
          <w:rFonts w:ascii="Arial" w:hAnsi="Arial" w:cs="Arial"/>
          <w:color w:val="000000" w:themeColor="text1"/>
          <w:sz w:val="22"/>
          <w:szCs w:val="22"/>
        </w:rPr>
        <w:t xml:space="preserve">tercer </w:t>
      </w:r>
      <w:r w:rsidR="007B1D04" w:rsidRPr="00554E4D">
        <w:rPr>
          <w:rFonts w:ascii="Arial" w:hAnsi="Arial" w:cs="Arial"/>
          <w:color w:val="000000" w:themeColor="text1"/>
          <w:sz w:val="22"/>
          <w:szCs w:val="22"/>
        </w:rPr>
        <w:t xml:space="preserve">trimestre de 2020 frente </w:t>
      </w:r>
      <w:r w:rsidR="00616F3F" w:rsidRPr="00554E4D">
        <w:rPr>
          <w:rFonts w:ascii="Arial" w:hAnsi="Arial" w:cs="Arial"/>
          <w:color w:val="000000" w:themeColor="text1"/>
          <w:sz w:val="22"/>
          <w:szCs w:val="22"/>
        </w:rPr>
        <w:t>al</w:t>
      </w:r>
      <w:r w:rsidR="007B1D04" w:rsidRPr="00554E4D">
        <w:rPr>
          <w:rFonts w:ascii="Arial" w:hAnsi="Arial" w:cs="Arial"/>
          <w:color w:val="000000" w:themeColor="text1"/>
          <w:sz w:val="22"/>
          <w:szCs w:val="22"/>
        </w:rPr>
        <w:t xml:space="preserve"> </w:t>
      </w:r>
      <w:r w:rsidR="00616F3F" w:rsidRPr="00554E4D">
        <w:rPr>
          <w:rFonts w:ascii="Arial" w:hAnsi="Arial" w:cs="Arial"/>
          <w:color w:val="000000" w:themeColor="text1"/>
          <w:sz w:val="22"/>
          <w:szCs w:val="22"/>
        </w:rPr>
        <w:t xml:space="preserve">mismo periodo de </w:t>
      </w:r>
      <w:r w:rsidR="007B1D04" w:rsidRPr="00554E4D">
        <w:rPr>
          <w:rFonts w:ascii="Arial" w:hAnsi="Arial" w:cs="Arial"/>
          <w:color w:val="000000" w:themeColor="text1"/>
          <w:sz w:val="22"/>
          <w:szCs w:val="22"/>
        </w:rPr>
        <w:t xml:space="preserve">2019. </w:t>
      </w:r>
    </w:p>
    <w:p w14:paraId="6EC70214" w14:textId="77777777" w:rsidR="00EF6604" w:rsidRPr="00554E4D" w:rsidRDefault="00EF6604" w:rsidP="009169DF">
      <w:pPr>
        <w:spacing w:line="168" w:lineRule="auto"/>
        <w:jc w:val="both"/>
        <w:rPr>
          <w:rFonts w:ascii="Arial" w:hAnsi="Arial" w:cs="Arial"/>
          <w:color w:val="000000" w:themeColor="text1"/>
          <w:sz w:val="22"/>
          <w:szCs w:val="22"/>
        </w:rPr>
      </w:pPr>
    </w:p>
    <w:p w14:paraId="4132C931" w14:textId="1399EAE8" w:rsidR="00727C00" w:rsidRPr="00B54571" w:rsidRDefault="008E7A8A" w:rsidP="004B734C">
      <w:pPr>
        <w:jc w:val="both"/>
        <w:rPr>
          <w:rFonts w:ascii="Arial" w:hAnsi="Arial" w:cs="Arial"/>
          <w:color w:val="000000" w:themeColor="text1"/>
          <w:sz w:val="22"/>
          <w:szCs w:val="22"/>
        </w:rPr>
      </w:pPr>
      <w:r w:rsidRPr="00B54571">
        <w:rPr>
          <w:rFonts w:ascii="Arial" w:hAnsi="Arial" w:cs="Arial"/>
          <w:color w:val="000000" w:themeColor="text1"/>
          <w:sz w:val="22"/>
          <w:szCs w:val="22"/>
        </w:rPr>
        <w:t>Finalmente</w:t>
      </w:r>
      <w:r w:rsidR="00A92C0B" w:rsidRPr="00B54571">
        <w:rPr>
          <w:rFonts w:ascii="Arial" w:hAnsi="Arial" w:cs="Arial"/>
          <w:color w:val="000000" w:themeColor="text1"/>
          <w:sz w:val="22"/>
          <w:szCs w:val="22"/>
        </w:rPr>
        <w:t>,</w:t>
      </w:r>
      <w:r w:rsidR="008B2CCF" w:rsidRPr="00B54571">
        <w:rPr>
          <w:rFonts w:ascii="Arial" w:hAnsi="Arial" w:cs="Arial"/>
          <w:color w:val="000000" w:themeColor="text1"/>
          <w:sz w:val="22"/>
          <w:szCs w:val="22"/>
        </w:rPr>
        <w:t xml:space="preserve"> </w:t>
      </w:r>
      <w:r w:rsidRPr="00B54571">
        <w:rPr>
          <w:rFonts w:ascii="Arial" w:hAnsi="Arial" w:cs="Arial"/>
          <w:color w:val="000000" w:themeColor="text1"/>
          <w:sz w:val="22"/>
          <w:szCs w:val="22"/>
        </w:rPr>
        <w:t xml:space="preserve">se concluye </w:t>
      </w:r>
      <w:r w:rsidR="008B2CCF" w:rsidRPr="00B54571">
        <w:rPr>
          <w:rFonts w:ascii="Arial" w:hAnsi="Arial" w:cs="Arial"/>
          <w:color w:val="000000" w:themeColor="text1"/>
          <w:sz w:val="22"/>
          <w:szCs w:val="22"/>
        </w:rPr>
        <w:t xml:space="preserve">que el gasto correspondiente al servicio de garajes y/o parqueaderos durante el </w:t>
      </w:r>
      <w:r w:rsidR="00A75981">
        <w:rPr>
          <w:rFonts w:ascii="Arial" w:hAnsi="Arial" w:cs="Arial"/>
          <w:color w:val="000000" w:themeColor="text1"/>
          <w:sz w:val="22"/>
          <w:szCs w:val="22"/>
        </w:rPr>
        <w:t>tercer t</w:t>
      </w:r>
      <w:r w:rsidR="008B2CCF" w:rsidRPr="00B54571">
        <w:rPr>
          <w:rFonts w:ascii="Arial" w:hAnsi="Arial" w:cs="Arial"/>
          <w:color w:val="000000" w:themeColor="text1"/>
          <w:sz w:val="22"/>
          <w:szCs w:val="22"/>
        </w:rPr>
        <w:t xml:space="preserve">rimestre de 2020 </w:t>
      </w:r>
      <w:r w:rsidR="008B2CCF" w:rsidRPr="00B54571">
        <w:rPr>
          <w:rFonts w:ascii="Arial" w:hAnsi="Arial" w:cs="Arial"/>
          <w:b/>
          <w:bCs/>
          <w:color w:val="000000" w:themeColor="text1"/>
          <w:sz w:val="22"/>
          <w:szCs w:val="22"/>
        </w:rPr>
        <w:t>disminuyó</w:t>
      </w:r>
      <w:r w:rsidR="00353171" w:rsidRPr="00B54571">
        <w:rPr>
          <w:rFonts w:ascii="Arial" w:hAnsi="Arial" w:cs="Arial"/>
          <w:color w:val="000000" w:themeColor="text1"/>
          <w:sz w:val="22"/>
          <w:szCs w:val="22"/>
        </w:rPr>
        <w:t xml:space="preserve">. </w:t>
      </w:r>
      <w:r w:rsidR="0023761F" w:rsidRPr="00B54571">
        <w:rPr>
          <w:rFonts w:ascii="Arial" w:hAnsi="Arial" w:cs="Arial"/>
          <w:color w:val="000000" w:themeColor="text1"/>
          <w:sz w:val="22"/>
          <w:szCs w:val="22"/>
        </w:rPr>
        <w:t xml:space="preserve">Dicho resultado se deduce que fue </w:t>
      </w:r>
      <w:r w:rsidR="00823642" w:rsidRPr="00B54571">
        <w:rPr>
          <w:rFonts w:ascii="Arial" w:hAnsi="Arial" w:cs="Arial"/>
          <w:color w:val="000000" w:themeColor="text1"/>
          <w:sz w:val="22"/>
          <w:szCs w:val="22"/>
        </w:rPr>
        <w:t xml:space="preserve">originado </w:t>
      </w:r>
      <w:r w:rsidR="008B2CCF" w:rsidRPr="00B54571">
        <w:rPr>
          <w:rFonts w:ascii="Arial" w:hAnsi="Arial" w:cs="Arial"/>
          <w:color w:val="000000" w:themeColor="text1"/>
          <w:sz w:val="22"/>
          <w:szCs w:val="22"/>
        </w:rPr>
        <w:t>de</w:t>
      </w:r>
      <w:r w:rsidR="00823642" w:rsidRPr="00B54571">
        <w:rPr>
          <w:rFonts w:ascii="Arial" w:hAnsi="Arial" w:cs="Arial"/>
          <w:color w:val="000000" w:themeColor="text1"/>
          <w:sz w:val="22"/>
          <w:szCs w:val="22"/>
        </w:rPr>
        <w:t xml:space="preserve"> la aplicación de l</w:t>
      </w:r>
      <w:r w:rsidR="008B2CCF" w:rsidRPr="00B54571">
        <w:rPr>
          <w:rFonts w:ascii="Arial" w:hAnsi="Arial" w:cs="Arial"/>
          <w:color w:val="000000" w:themeColor="text1"/>
          <w:sz w:val="22"/>
          <w:szCs w:val="22"/>
        </w:rPr>
        <w:t xml:space="preserve">as </w:t>
      </w:r>
      <w:r w:rsidR="00EF6604" w:rsidRPr="00B54571">
        <w:rPr>
          <w:rFonts w:ascii="Arial" w:hAnsi="Arial" w:cs="Arial"/>
          <w:color w:val="000000" w:themeColor="text1"/>
          <w:sz w:val="22"/>
          <w:szCs w:val="22"/>
        </w:rPr>
        <w:t>medidas adoptadas por este Ministerio,</w:t>
      </w:r>
      <w:r w:rsidR="008B2CCF" w:rsidRPr="00B54571">
        <w:rPr>
          <w:rFonts w:ascii="Arial" w:hAnsi="Arial" w:cs="Arial"/>
          <w:color w:val="000000" w:themeColor="text1"/>
          <w:sz w:val="22"/>
          <w:szCs w:val="22"/>
        </w:rPr>
        <w:t xml:space="preserve"> las </w:t>
      </w:r>
      <w:r w:rsidR="00EF6604" w:rsidRPr="00B54571">
        <w:rPr>
          <w:rFonts w:ascii="Arial" w:hAnsi="Arial" w:cs="Arial"/>
          <w:color w:val="000000" w:themeColor="text1"/>
          <w:sz w:val="22"/>
          <w:szCs w:val="22"/>
        </w:rPr>
        <w:t>cuales estuvieron en concordancia con las disposiciones decretadas por el Gobierno Nacional y Distrital en virtud de la Emergencia Económica, Social y Ecológica [COVID-19]</w:t>
      </w:r>
      <w:r w:rsidR="00823642" w:rsidRPr="00B54571">
        <w:rPr>
          <w:rFonts w:ascii="Arial" w:hAnsi="Arial" w:cs="Arial"/>
          <w:color w:val="000000" w:themeColor="text1"/>
          <w:sz w:val="22"/>
          <w:szCs w:val="22"/>
        </w:rPr>
        <w:t xml:space="preserve">. </w:t>
      </w:r>
    </w:p>
    <w:p w14:paraId="28D0DAAE" w14:textId="12D571E5" w:rsidR="002A3665" w:rsidRPr="006B073B" w:rsidRDefault="002A3665" w:rsidP="004B734C">
      <w:pPr>
        <w:jc w:val="both"/>
        <w:rPr>
          <w:rFonts w:ascii="Arial" w:hAnsi="Arial" w:cs="Arial"/>
          <w:color w:val="000000" w:themeColor="text1"/>
          <w:sz w:val="22"/>
          <w:szCs w:val="22"/>
        </w:rPr>
      </w:pPr>
    </w:p>
    <w:p w14:paraId="217F06BB" w14:textId="77777777" w:rsidR="00A75981" w:rsidRPr="006B073B" w:rsidRDefault="00A75981" w:rsidP="004B734C">
      <w:pPr>
        <w:jc w:val="both"/>
        <w:rPr>
          <w:rFonts w:ascii="Arial" w:hAnsi="Arial" w:cs="Arial"/>
          <w:color w:val="000000" w:themeColor="text1"/>
          <w:sz w:val="22"/>
          <w:szCs w:val="22"/>
        </w:rPr>
      </w:pPr>
    </w:p>
    <w:p w14:paraId="487D2076" w14:textId="7DD65470" w:rsidR="0099195F" w:rsidRPr="0044053B" w:rsidRDefault="0084202A" w:rsidP="00D90499">
      <w:pPr>
        <w:pStyle w:val="Prrafodelista"/>
        <w:numPr>
          <w:ilvl w:val="0"/>
          <w:numId w:val="4"/>
        </w:numPr>
        <w:spacing w:after="200" w:line="276" w:lineRule="auto"/>
        <w:ind w:left="284" w:hanging="284"/>
        <w:rPr>
          <w:rFonts w:ascii="Arial" w:hAnsi="Arial" w:cs="Arial"/>
          <w:b/>
          <w:sz w:val="22"/>
          <w:szCs w:val="22"/>
        </w:rPr>
      </w:pPr>
      <w:r w:rsidRPr="0044053B">
        <w:rPr>
          <w:rFonts w:ascii="Arial" w:hAnsi="Arial" w:cs="Arial"/>
          <w:b/>
          <w:sz w:val="22"/>
          <w:szCs w:val="22"/>
        </w:rPr>
        <w:t xml:space="preserve">AHORRO EN </w:t>
      </w:r>
      <w:r w:rsidR="0099195F" w:rsidRPr="0044053B">
        <w:rPr>
          <w:rFonts w:ascii="Arial" w:hAnsi="Arial" w:cs="Arial"/>
          <w:b/>
          <w:sz w:val="22"/>
          <w:szCs w:val="22"/>
        </w:rPr>
        <w:t xml:space="preserve">PUBLICIDAD </w:t>
      </w:r>
      <w:r w:rsidRPr="0044053B">
        <w:rPr>
          <w:rFonts w:ascii="Arial" w:hAnsi="Arial" w:cs="Arial"/>
          <w:b/>
          <w:sz w:val="22"/>
          <w:szCs w:val="22"/>
        </w:rPr>
        <w:t xml:space="preserve">ESTATAL </w:t>
      </w:r>
    </w:p>
    <w:p w14:paraId="278CE218" w14:textId="449AA976" w:rsidR="0099195F" w:rsidRPr="0044053B" w:rsidRDefault="007E321E" w:rsidP="008E70E2">
      <w:pPr>
        <w:tabs>
          <w:tab w:val="left" w:pos="426"/>
        </w:tabs>
        <w:jc w:val="both"/>
        <w:rPr>
          <w:rFonts w:ascii="Arial" w:hAnsi="Arial" w:cs="Arial"/>
          <w:color w:val="000000" w:themeColor="text1"/>
          <w:sz w:val="22"/>
          <w:szCs w:val="22"/>
        </w:rPr>
      </w:pPr>
      <w:r w:rsidRPr="0044053B">
        <w:rPr>
          <w:rFonts w:ascii="Arial" w:hAnsi="Arial" w:cs="Arial"/>
          <w:color w:val="000000" w:themeColor="text1"/>
          <w:sz w:val="22"/>
          <w:szCs w:val="22"/>
        </w:rPr>
        <w:t>Según la Directiva 09 de 2018</w:t>
      </w:r>
      <w:r w:rsidR="00AF64DD" w:rsidRPr="0044053B">
        <w:rPr>
          <w:rFonts w:ascii="Arial" w:hAnsi="Arial" w:cs="Arial"/>
          <w:color w:val="000000" w:themeColor="text1"/>
          <w:sz w:val="22"/>
          <w:szCs w:val="22"/>
        </w:rPr>
        <w:t xml:space="preserve"> y el Decreto 1009 de 2020, estableció las </w:t>
      </w:r>
      <w:r w:rsidRPr="0044053B">
        <w:rPr>
          <w:rFonts w:ascii="Arial" w:hAnsi="Arial" w:cs="Arial"/>
          <w:color w:val="000000" w:themeColor="text1"/>
          <w:sz w:val="22"/>
          <w:szCs w:val="22"/>
        </w:rPr>
        <w:t>directrices que se deben contemplar en el marco de la austeridad del gasto</w:t>
      </w:r>
      <w:r w:rsidR="001A37B8" w:rsidRPr="0044053B">
        <w:rPr>
          <w:rFonts w:ascii="Arial" w:hAnsi="Arial" w:cs="Arial"/>
          <w:color w:val="000000" w:themeColor="text1"/>
          <w:sz w:val="22"/>
          <w:szCs w:val="22"/>
        </w:rPr>
        <w:t xml:space="preserve"> frente a la publicidad y publicaciones</w:t>
      </w:r>
      <w:r w:rsidRPr="0044053B">
        <w:rPr>
          <w:rFonts w:ascii="Arial" w:hAnsi="Arial" w:cs="Arial"/>
          <w:color w:val="000000" w:themeColor="text1"/>
          <w:sz w:val="22"/>
          <w:szCs w:val="22"/>
        </w:rPr>
        <w:t xml:space="preserve">. </w:t>
      </w:r>
    </w:p>
    <w:p w14:paraId="62CA6D50" w14:textId="77777777" w:rsidR="007E321E" w:rsidRPr="0044053B" w:rsidRDefault="007E321E" w:rsidP="00AA58AE">
      <w:pPr>
        <w:widowControl w:val="0"/>
        <w:tabs>
          <w:tab w:val="left" w:pos="426"/>
        </w:tabs>
        <w:spacing w:line="168" w:lineRule="auto"/>
        <w:jc w:val="both"/>
        <w:rPr>
          <w:rFonts w:ascii="Arial" w:hAnsi="Arial" w:cs="Arial"/>
          <w:color w:val="000000" w:themeColor="text1"/>
          <w:sz w:val="22"/>
          <w:szCs w:val="22"/>
        </w:rPr>
      </w:pPr>
    </w:p>
    <w:p w14:paraId="0AD0888E" w14:textId="0A37E23F" w:rsidR="0099195F" w:rsidRPr="0044053B" w:rsidRDefault="007E321E" w:rsidP="008E70E2">
      <w:pPr>
        <w:tabs>
          <w:tab w:val="left" w:pos="426"/>
        </w:tabs>
        <w:jc w:val="both"/>
        <w:rPr>
          <w:rFonts w:ascii="Arial" w:hAnsi="Arial" w:cs="Arial"/>
          <w:color w:val="000000" w:themeColor="text1"/>
          <w:sz w:val="22"/>
          <w:szCs w:val="22"/>
        </w:rPr>
      </w:pPr>
      <w:r w:rsidRPr="0044053B">
        <w:rPr>
          <w:rFonts w:ascii="Arial" w:hAnsi="Arial" w:cs="Arial"/>
          <w:color w:val="000000" w:themeColor="text1"/>
          <w:sz w:val="22"/>
          <w:szCs w:val="22"/>
        </w:rPr>
        <w:lastRenderedPageBreak/>
        <w:t>Por lo anterior, se verific</w:t>
      </w:r>
      <w:r w:rsidR="00780508" w:rsidRPr="0044053B">
        <w:rPr>
          <w:rFonts w:ascii="Arial" w:hAnsi="Arial" w:cs="Arial"/>
          <w:color w:val="000000" w:themeColor="text1"/>
          <w:sz w:val="22"/>
          <w:szCs w:val="22"/>
        </w:rPr>
        <w:t xml:space="preserve">ó en el Plan </w:t>
      </w:r>
      <w:r w:rsidR="001F2190" w:rsidRPr="0044053B">
        <w:rPr>
          <w:rFonts w:ascii="Arial" w:hAnsi="Arial" w:cs="Arial"/>
          <w:color w:val="000000" w:themeColor="text1"/>
          <w:sz w:val="22"/>
          <w:szCs w:val="22"/>
        </w:rPr>
        <w:t>Anual de Adquisiciones para</w:t>
      </w:r>
      <w:r w:rsidR="00780508" w:rsidRPr="0044053B">
        <w:rPr>
          <w:rFonts w:ascii="Arial" w:hAnsi="Arial" w:cs="Arial"/>
          <w:color w:val="000000" w:themeColor="text1"/>
          <w:sz w:val="22"/>
          <w:szCs w:val="22"/>
        </w:rPr>
        <w:t xml:space="preserve"> la vigencia 20</w:t>
      </w:r>
      <w:r w:rsidR="00D60C3B" w:rsidRPr="0044053B">
        <w:rPr>
          <w:rFonts w:ascii="Arial" w:hAnsi="Arial" w:cs="Arial"/>
          <w:color w:val="000000" w:themeColor="text1"/>
          <w:sz w:val="22"/>
          <w:szCs w:val="22"/>
        </w:rPr>
        <w:t>20</w:t>
      </w:r>
      <w:r w:rsidR="00780508" w:rsidRPr="0044053B">
        <w:rPr>
          <w:rFonts w:ascii="Arial" w:hAnsi="Arial" w:cs="Arial"/>
          <w:color w:val="000000" w:themeColor="text1"/>
          <w:sz w:val="22"/>
          <w:szCs w:val="22"/>
        </w:rPr>
        <w:t xml:space="preserve"> y </w:t>
      </w:r>
      <w:r w:rsidR="001573AA" w:rsidRPr="0044053B">
        <w:rPr>
          <w:rFonts w:ascii="Arial" w:hAnsi="Arial" w:cs="Arial"/>
          <w:color w:val="000000" w:themeColor="text1"/>
          <w:sz w:val="22"/>
          <w:szCs w:val="22"/>
        </w:rPr>
        <w:t xml:space="preserve">se consultó </w:t>
      </w:r>
      <w:r w:rsidR="00780508" w:rsidRPr="0044053B">
        <w:rPr>
          <w:rFonts w:ascii="Arial" w:hAnsi="Arial" w:cs="Arial"/>
          <w:color w:val="000000" w:themeColor="text1"/>
          <w:sz w:val="22"/>
          <w:szCs w:val="22"/>
        </w:rPr>
        <w:t xml:space="preserve">las obligaciones </w:t>
      </w:r>
      <w:r w:rsidR="001573AA" w:rsidRPr="0044053B">
        <w:rPr>
          <w:rFonts w:ascii="Arial" w:hAnsi="Arial" w:cs="Arial"/>
          <w:color w:val="000000" w:themeColor="text1"/>
          <w:sz w:val="22"/>
          <w:szCs w:val="22"/>
        </w:rPr>
        <w:t>registradas en el</w:t>
      </w:r>
      <w:r w:rsidR="00780508" w:rsidRPr="0044053B">
        <w:rPr>
          <w:rFonts w:ascii="Arial" w:hAnsi="Arial" w:cs="Arial"/>
          <w:color w:val="000000" w:themeColor="text1"/>
          <w:sz w:val="22"/>
          <w:szCs w:val="22"/>
        </w:rPr>
        <w:t xml:space="preserve"> SIIF Nación para el </w:t>
      </w:r>
      <w:r w:rsidR="00133F53">
        <w:rPr>
          <w:rFonts w:ascii="Arial" w:hAnsi="Arial" w:cs="Arial"/>
          <w:color w:val="000000" w:themeColor="text1"/>
          <w:sz w:val="22"/>
          <w:szCs w:val="22"/>
        </w:rPr>
        <w:t xml:space="preserve">tercer </w:t>
      </w:r>
      <w:r w:rsidR="00780508" w:rsidRPr="0044053B">
        <w:rPr>
          <w:rFonts w:ascii="Arial" w:hAnsi="Arial" w:cs="Arial"/>
          <w:color w:val="000000" w:themeColor="text1"/>
          <w:sz w:val="22"/>
          <w:szCs w:val="22"/>
        </w:rPr>
        <w:t xml:space="preserve">trimestre </w:t>
      </w:r>
      <w:r w:rsidR="00AF64DD" w:rsidRPr="0044053B">
        <w:rPr>
          <w:rFonts w:ascii="Arial" w:hAnsi="Arial" w:cs="Arial"/>
          <w:color w:val="000000" w:themeColor="text1"/>
          <w:sz w:val="22"/>
          <w:szCs w:val="22"/>
        </w:rPr>
        <w:t>de 2020.</w:t>
      </w:r>
      <w:r w:rsidR="001573AA" w:rsidRPr="0044053B">
        <w:rPr>
          <w:rFonts w:ascii="Arial" w:hAnsi="Arial" w:cs="Arial"/>
          <w:color w:val="000000" w:themeColor="text1"/>
          <w:sz w:val="22"/>
          <w:szCs w:val="22"/>
        </w:rPr>
        <w:t xml:space="preserve"> Como resultado se</w:t>
      </w:r>
      <w:r w:rsidR="00F11030" w:rsidRPr="0044053B">
        <w:rPr>
          <w:rFonts w:ascii="Arial" w:hAnsi="Arial" w:cs="Arial"/>
          <w:color w:val="000000" w:themeColor="text1"/>
          <w:sz w:val="22"/>
          <w:szCs w:val="22"/>
        </w:rPr>
        <w:t xml:space="preserve"> </w:t>
      </w:r>
      <w:r w:rsidR="0099195F" w:rsidRPr="0044053B">
        <w:rPr>
          <w:rFonts w:ascii="Arial" w:hAnsi="Arial" w:cs="Arial"/>
          <w:color w:val="000000" w:themeColor="text1"/>
          <w:sz w:val="22"/>
          <w:szCs w:val="22"/>
        </w:rPr>
        <w:t xml:space="preserve">evidenció que no se </w:t>
      </w:r>
      <w:r w:rsidR="00F11030" w:rsidRPr="0044053B">
        <w:rPr>
          <w:rFonts w:ascii="Arial" w:hAnsi="Arial" w:cs="Arial"/>
          <w:color w:val="000000" w:themeColor="text1"/>
          <w:sz w:val="22"/>
          <w:szCs w:val="22"/>
        </w:rPr>
        <w:t xml:space="preserve">efectuaron contrataciones </w:t>
      </w:r>
      <w:r w:rsidR="001573AA" w:rsidRPr="0044053B">
        <w:rPr>
          <w:rFonts w:ascii="Arial" w:hAnsi="Arial" w:cs="Arial"/>
          <w:color w:val="000000" w:themeColor="text1"/>
          <w:sz w:val="22"/>
          <w:szCs w:val="22"/>
        </w:rPr>
        <w:t xml:space="preserve">por los conceptos de edición de </w:t>
      </w:r>
      <w:r w:rsidR="0099195F" w:rsidRPr="0044053B">
        <w:rPr>
          <w:rFonts w:ascii="Arial" w:hAnsi="Arial" w:cs="Arial"/>
          <w:color w:val="000000" w:themeColor="text1"/>
          <w:sz w:val="22"/>
          <w:szCs w:val="22"/>
        </w:rPr>
        <w:t>libros, revistas, escritos y trabajos tipográficos.</w:t>
      </w:r>
    </w:p>
    <w:p w14:paraId="7D13780A" w14:textId="77777777" w:rsidR="0099195F" w:rsidRPr="0044053B" w:rsidRDefault="0099195F" w:rsidP="00F61D5F">
      <w:pPr>
        <w:tabs>
          <w:tab w:val="left" w:pos="426"/>
        </w:tabs>
        <w:spacing w:line="168" w:lineRule="auto"/>
        <w:jc w:val="both"/>
        <w:rPr>
          <w:rFonts w:ascii="Arial" w:hAnsi="Arial" w:cs="Arial"/>
          <w:color w:val="000000" w:themeColor="text1"/>
          <w:sz w:val="18"/>
          <w:szCs w:val="22"/>
        </w:rPr>
      </w:pPr>
    </w:p>
    <w:p w14:paraId="6EF10A45" w14:textId="2ABB32CA" w:rsidR="00F11030" w:rsidRPr="0044053B" w:rsidRDefault="00FA6775" w:rsidP="00FF1131">
      <w:pPr>
        <w:jc w:val="both"/>
        <w:rPr>
          <w:rFonts w:ascii="Arial" w:hAnsi="Arial" w:cs="Arial"/>
          <w:color w:val="000000" w:themeColor="text1"/>
          <w:sz w:val="22"/>
          <w:szCs w:val="22"/>
        </w:rPr>
      </w:pPr>
      <w:r w:rsidRPr="0044053B">
        <w:rPr>
          <w:rFonts w:ascii="Arial" w:hAnsi="Arial" w:cs="Arial"/>
          <w:color w:val="000000" w:themeColor="text1"/>
          <w:sz w:val="22"/>
          <w:szCs w:val="22"/>
        </w:rPr>
        <w:t xml:space="preserve">Para el caso de otros gastos por </w:t>
      </w:r>
      <w:r w:rsidR="00CB5600" w:rsidRPr="0044053B">
        <w:rPr>
          <w:rFonts w:ascii="Arial" w:hAnsi="Arial" w:cs="Arial"/>
          <w:color w:val="000000" w:themeColor="text1"/>
          <w:sz w:val="22"/>
          <w:szCs w:val="22"/>
        </w:rPr>
        <w:t xml:space="preserve">otros </w:t>
      </w:r>
      <w:r w:rsidRPr="0044053B">
        <w:rPr>
          <w:rFonts w:ascii="Arial" w:hAnsi="Arial" w:cs="Arial"/>
          <w:color w:val="000000" w:themeColor="text1"/>
          <w:sz w:val="22"/>
          <w:szCs w:val="22"/>
        </w:rPr>
        <w:t xml:space="preserve">impresos y publicaciones, </w:t>
      </w:r>
      <w:r w:rsidR="00E068DC">
        <w:rPr>
          <w:rFonts w:ascii="Arial" w:hAnsi="Arial" w:cs="Arial"/>
          <w:color w:val="000000" w:themeColor="text1"/>
          <w:sz w:val="22"/>
          <w:szCs w:val="22"/>
        </w:rPr>
        <w:t xml:space="preserve">al </w:t>
      </w:r>
      <w:r w:rsidR="00094E51" w:rsidRPr="0044053B">
        <w:rPr>
          <w:rFonts w:ascii="Arial" w:hAnsi="Arial" w:cs="Arial"/>
          <w:color w:val="000000" w:themeColor="text1"/>
          <w:sz w:val="22"/>
          <w:szCs w:val="22"/>
        </w:rPr>
        <w:t>3</w:t>
      </w:r>
      <w:r w:rsidR="00AF64DD" w:rsidRPr="0044053B">
        <w:rPr>
          <w:rFonts w:ascii="Arial" w:hAnsi="Arial" w:cs="Arial"/>
          <w:color w:val="000000" w:themeColor="text1"/>
          <w:sz w:val="22"/>
          <w:szCs w:val="22"/>
        </w:rPr>
        <w:t>0</w:t>
      </w:r>
      <w:r w:rsidR="00094E51" w:rsidRPr="0044053B">
        <w:rPr>
          <w:rFonts w:ascii="Arial" w:hAnsi="Arial" w:cs="Arial"/>
          <w:color w:val="000000" w:themeColor="text1"/>
          <w:sz w:val="22"/>
          <w:szCs w:val="22"/>
        </w:rPr>
        <w:t xml:space="preserve"> de </w:t>
      </w:r>
      <w:r w:rsidR="00E068DC">
        <w:rPr>
          <w:rFonts w:ascii="Arial" w:hAnsi="Arial" w:cs="Arial"/>
          <w:color w:val="000000" w:themeColor="text1"/>
          <w:sz w:val="22"/>
          <w:szCs w:val="22"/>
        </w:rPr>
        <w:t xml:space="preserve">septiembre de </w:t>
      </w:r>
      <w:r w:rsidR="00094E51" w:rsidRPr="0044053B">
        <w:rPr>
          <w:rFonts w:ascii="Arial" w:hAnsi="Arial" w:cs="Arial"/>
          <w:color w:val="000000" w:themeColor="text1"/>
          <w:sz w:val="22"/>
          <w:szCs w:val="22"/>
        </w:rPr>
        <w:t>2020</w:t>
      </w:r>
      <w:r w:rsidRPr="0044053B">
        <w:rPr>
          <w:rFonts w:ascii="Arial" w:hAnsi="Arial" w:cs="Arial"/>
          <w:color w:val="000000" w:themeColor="text1"/>
          <w:sz w:val="22"/>
          <w:szCs w:val="22"/>
        </w:rPr>
        <w:t xml:space="preserve">, </w:t>
      </w:r>
      <w:r w:rsidR="00107936" w:rsidRPr="0044053B">
        <w:rPr>
          <w:rFonts w:ascii="Arial" w:hAnsi="Arial" w:cs="Arial"/>
          <w:color w:val="000000" w:themeColor="text1"/>
          <w:sz w:val="22"/>
          <w:szCs w:val="22"/>
        </w:rPr>
        <w:t>se enc</w:t>
      </w:r>
      <w:r w:rsidR="00267E92">
        <w:rPr>
          <w:rFonts w:ascii="Arial" w:hAnsi="Arial" w:cs="Arial"/>
          <w:color w:val="000000" w:themeColor="text1"/>
          <w:sz w:val="22"/>
          <w:szCs w:val="22"/>
        </w:rPr>
        <w:t>ontraban</w:t>
      </w:r>
      <w:r w:rsidR="00107936" w:rsidRPr="0044053B">
        <w:rPr>
          <w:rFonts w:ascii="Arial" w:hAnsi="Arial" w:cs="Arial"/>
          <w:color w:val="000000" w:themeColor="text1"/>
          <w:sz w:val="22"/>
          <w:szCs w:val="22"/>
        </w:rPr>
        <w:t xml:space="preserve"> vigentes las siguientes contra</w:t>
      </w:r>
      <w:r w:rsidR="00173B0C" w:rsidRPr="0044053B">
        <w:rPr>
          <w:rFonts w:ascii="Arial" w:hAnsi="Arial" w:cs="Arial"/>
          <w:color w:val="000000" w:themeColor="text1"/>
          <w:sz w:val="22"/>
          <w:szCs w:val="22"/>
        </w:rPr>
        <w:t>taciones</w:t>
      </w:r>
      <w:r w:rsidR="00107936" w:rsidRPr="0044053B">
        <w:rPr>
          <w:rFonts w:ascii="Arial" w:hAnsi="Arial" w:cs="Arial"/>
          <w:color w:val="000000" w:themeColor="text1"/>
          <w:sz w:val="22"/>
          <w:szCs w:val="22"/>
        </w:rPr>
        <w:t xml:space="preserve">: </w:t>
      </w:r>
    </w:p>
    <w:p w14:paraId="18A6D4D7" w14:textId="77777777" w:rsidR="00211616" w:rsidRPr="0044053B" w:rsidRDefault="00211616" w:rsidP="00FF1131">
      <w:pPr>
        <w:jc w:val="both"/>
        <w:rPr>
          <w:rFonts w:ascii="Arial" w:hAnsi="Arial" w:cs="Arial"/>
          <w:sz w:val="22"/>
          <w:szCs w:val="22"/>
        </w:rPr>
      </w:pPr>
    </w:p>
    <w:tbl>
      <w:tblPr>
        <w:tblStyle w:val="Tabladelista7concolores-nfasis5"/>
        <w:tblW w:w="0" w:type="auto"/>
        <w:tblLook w:val="04A0" w:firstRow="1" w:lastRow="0" w:firstColumn="1" w:lastColumn="0" w:noHBand="0" w:noVBand="1"/>
      </w:tblPr>
      <w:tblGrid>
        <w:gridCol w:w="1015"/>
        <w:gridCol w:w="1655"/>
        <w:gridCol w:w="4144"/>
        <w:gridCol w:w="1397"/>
        <w:gridCol w:w="1428"/>
      </w:tblGrid>
      <w:tr w:rsidR="00E709C5" w:rsidRPr="00E068DC" w14:paraId="14817520" w14:textId="77777777" w:rsidTr="00FF2AE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0" w:type="auto"/>
            <w:tcBorders>
              <w:top w:val="double" w:sz="4" w:space="0" w:color="4F81BD" w:themeColor="accent1"/>
              <w:bottom w:val="single" w:sz="4" w:space="0" w:color="4F81BD" w:themeColor="accent1"/>
            </w:tcBorders>
            <w:vAlign w:val="center"/>
            <w:hideMark/>
          </w:tcPr>
          <w:p w14:paraId="107EE1BC" w14:textId="77777777" w:rsidR="00CB5600" w:rsidRPr="00E068DC" w:rsidRDefault="00CB5600" w:rsidP="00FF2AE0">
            <w:pPr>
              <w:widowControl w:val="0"/>
              <w:spacing w:before="40" w:after="40"/>
              <w:jc w:val="center"/>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Número</w:t>
            </w:r>
          </w:p>
        </w:tc>
        <w:tc>
          <w:tcPr>
            <w:tcW w:w="0" w:type="auto"/>
            <w:tcBorders>
              <w:top w:val="double" w:sz="4" w:space="0" w:color="4F81BD" w:themeColor="accent1"/>
              <w:bottom w:val="single" w:sz="4" w:space="0" w:color="4F81BD" w:themeColor="accent1"/>
            </w:tcBorders>
            <w:vAlign w:val="center"/>
            <w:hideMark/>
          </w:tcPr>
          <w:p w14:paraId="6EA6A310" w14:textId="77777777" w:rsidR="00CB5600" w:rsidRPr="00E068DC" w:rsidRDefault="00CB5600" w:rsidP="00FF2AE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Contratistas</w:t>
            </w:r>
          </w:p>
        </w:tc>
        <w:tc>
          <w:tcPr>
            <w:tcW w:w="0" w:type="auto"/>
            <w:tcBorders>
              <w:top w:val="double" w:sz="4" w:space="0" w:color="4F81BD" w:themeColor="accent1"/>
              <w:bottom w:val="single" w:sz="4" w:space="0" w:color="4F81BD" w:themeColor="accent1"/>
            </w:tcBorders>
            <w:vAlign w:val="center"/>
            <w:hideMark/>
          </w:tcPr>
          <w:p w14:paraId="09CA9EBE" w14:textId="77777777" w:rsidR="00CB5600" w:rsidRPr="00E068DC" w:rsidRDefault="00CB5600" w:rsidP="00FF2AE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Objeto</w:t>
            </w:r>
          </w:p>
        </w:tc>
        <w:tc>
          <w:tcPr>
            <w:tcW w:w="0" w:type="auto"/>
            <w:tcBorders>
              <w:top w:val="double" w:sz="4" w:space="0" w:color="4F81BD" w:themeColor="accent1"/>
              <w:bottom w:val="single" w:sz="4" w:space="0" w:color="4F81BD" w:themeColor="accent1"/>
            </w:tcBorders>
            <w:vAlign w:val="center"/>
            <w:hideMark/>
          </w:tcPr>
          <w:p w14:paraId="3D38914D" w14:textId="77777777" w:rsidR="00CB5600" w:rsidRPr="00E068DC" w:rsidRDefault="00CB5600" w:rsidP="00FF2AE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 xml:space="preserve">Valor </w:t>
            </w:r>
            <w:r w:rsidR="00C7615B" w:rsidRPr="00E068DC">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14:paraId="3E2B0C3E" w14:textId="77777777" w:rsidR="00CB5600" w:rsidRPr="00E068DC" w:rsidRDefault="00CB5600" w:rsidP="00FF2AE0">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Plazo</w:t>
            </w:r>
          </w:p>
        </w:tc>
      </w:tr>
      <w:tr w:rsidR="00E709C5" w:rsidRPr="00E068DC" w14:paraId="12EC8A29" w14:textId="77777777" w:rsidTr="00FF2A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bottom w:val="single" w:sz="4" w:space="0" w:color="4F81BD" w:themeColor="accent1"/>
              <w:right w:val="single" w:sz="4" w:space="0" w:color="4F81BD" w:themeColor="accent1"/>
            </w:tcBorders>
            <w:vAlign w:val="center"/>
            <w:hideMark/>
          </w:tcPr>
          <w:p w14:paraId="457714DB" w14:textId="7B513907" w:rsidR="00CB5600" w:rsidRPr="00E068DC" w:rsidRDefault="00CB5600" w:rsidP="00FF2AE0">
            <w:pPr>
              <w:widowControl w:val="0"/>
              <w:spacing w:before="40" w:after="40"/>
              <w:jc w:val="center"/>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7.0</w:t>
            </w:r>
            <w:r w:rsidR="00465FF9" w:rsidRPr="00E068DC">
              <w:rPr>
                <w:rFonts w:ascii="Arial" w:hAnsi="Arial" w:cs="Arial"/>
                <w:b/>
                <w:color w:val="0F243E" w:themeColor="text2" w:themeShade="80"/>
                <w:sz w:val="20"/>
                <w:szCs w:val="20"/>
              </w:rPr>
              <w:t>01</w:t>
            </w:r>
            <w:r w:rsidR="00AF64DD" w:rsidRPr="00E068DC">
              <w:rPr>
                <w:rFonts w:ascii="Arial" w:hAnsi="Arial" w:cs="Arial"/>
                <w:b/>
                <w:color w:val="0F243E" w:themeColor="text2" w:themeShade="80"/>
                <w:sz w:val="20"/>
                <w:szCs w:val="20"/>
              </w:rPr>
              <w:t>-</w:t>
            </w:r>
            <w:r w:rsidR="00465FF9" w:rsidRPr="00E068DC">
              <w:rPr>
                <w:rFonts w:ascii="Arial" w:hAnsi="Arial" w:cs="Arial"/>
                <w:b/>
                <w:color w:val="0F243E" w:themeColor="text2" w:themeShade="80"/>
                <w:sz w:val="20"/>
                <w:szCs w:val="20"/>
              </w:rPr>
              <w:t>2020</w:t>
            </w:r>
            <w:r w:rsidRPr="00E068DC">
              <w:rPr>
                <w:rFonts w:ascii="Arial" w:hAnsi="Arial" w:cs="Arial"/>
                <w:b/>
                <w:color w:val="0F243E" w:themeColor="text2" w:themeShade="80"/>
                <w:sz w:val="20"/>
                <w:szCs w:val="20"/>
              </w:rPr>
              <w:t xml:space="preserve"> </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467F34C" w14:textId="77777777" w:rsidR="00CB5600" w:rsidRPr="00E068DC" w:rsidRDefault="00CB5600" w:rsidP="00FF2AE0">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Imprenta Nacional de Colombia</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2ED6701" w14:textId="77777777" w:rsidR="00CB5600" w:rsidRPr="00E068DC" w:rsidRDefault="00CB5600" w:rsidP="00FF2AE0">
            <w:pPr>
              <w:widowControl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8955447" w14:textId="2BEA06EE" w:rsidR="00CB5600" w:rsidRPr="00E068DC" w:rsidRDefault="00415082" w:rsidP="00FF2AE0">
            <w:pPr>
              <w:widowControl w:val="0"/>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068DC">
              <w:rPr>
                <w:rFonts w:ascii="Arial Narrow" w:hAnsi="Arial Narrow" w:cs="Calibri"/>
                <w:color w:val="0F243E" w:themeColor="text2" w:themeShade="80"/>
                <w:sz w:val="20"/>
                <w:szCs w:val="20"/>
              </w:rPr>
              <w:t xml:space="preserve">         </w:t>
            </w:r>
            <w:r w:rsidR="00465FF9" w:rsidRPr="00E068DC">
              <w:rPr>
                <w:rFonts w:ascii="Arial" w:hAnsi="Arial" w:cs="Arial"/>
                <w:color w:val="0F243E" w:themeColor="text2" w:themeShade="80"/>
                <w:sz w:val="20"/>
                <w:szCs w:val="20"/>
              </w:rPr>
              <w:t>375.000.000</w:t>
            </w:r>
            <w:r w:rsidRPr="00E068DC">
              <w:rPr>
                <w:rFonts w:ascii="Arial" w:hAnsi="Arial" w:cs="Arial"/>
                <w:color w:val="0F243E" w:themeColor="text2" w:themeShade="80"/>
                <w:sz w:val="20"/>
                <w:szCs w:val="20"/>
              </w:rPr>
              <w:t xml:space="preserve"> </w:t>
            </w:r>
          </w:p>
        </w:tc>
        <w:tc>
          <w:tcPr>
            <w:tcW w:w="0" w:type="auto"/>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63CEE322" w14:textId="0DDB3A73" w:rsidR="00CB5600" w:rsidRPr="00E068DC" w:rsidRDefault="00465FF9" w:rsidP="00FF2AE0">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02/03/2020</w:t>
            </w:r>
            <w:r w:rsidR="00CB5600" w:rsidRPr="00E068DC">
              <w:rPr>
                <w:rFonts w:ascii="Arial" w:hAnsi="Arial" w:cs="Arial"/>
                <w:color w:val="0F243E" w:themeColor="text2" w:themeShade="80"/>
                <w:sz w:val="20"/>
                <w:szCs w:val="20"/>
              </w:rPr>
              <w:t xml:space="preserve"> al </w:t>
            </w:r>
            <w:r w:rsidRPr="00E068DC">
              <w:rPr>
                <w:rFonts w:ascii="Arial" w:hAnsi="Arial" w:cs="Arial"/>
                <w:color w:val="0F243E" w:themeColor="text2" w:themeShade="80"/>
                <w:sz w:val="20"/>
                <w:szCs w:val="20"/>
              </w:rPr>
              <w:t>31/07/2022</w:t>
            </w:r>
          </w:p>
        </w:tc>
      </w:tr>
      <w:tr w:rsidR="00E709C5" w:rsidRPr="00CA48AF" w14:paraId="58806224" w14:textId="77777777" w:rsidTr="00FF2AE0">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bottom w:val="double" w:sz="4" w:space="0" w:color="4F81BD" w:themeColor="accent1"/>
              <w:right w:val="single" w:sz="4" w:space="0" w:color="4F81BD" w:themeColor="accent1"/>
            </w:tcBorders>
            <w:vAlign w:val="center"/>
            <w:hideMark/>
          </w:tcPr>
          <w:p w14:paraId="177D1592" w14:textId="0CD7AEFA" w:rsidR="00CB5600" w:rsidRPr="00E068DC" w:rsidRDefault="00CB5600" w:rsidP="00FF2AE0">
            <w:pPr>
              <w:widowControl w:val="0"/>
              <w:spacing w:before="40" w:after="40"/>
              <w:jc w:val="center"/>
              <w:rPr>
                <w:rFonts w:ascii="Arial" w:hAnsi="Arial" w:cs="Arial"/>
                <w:b/>
                <w:color w:val="0F243E" w:themeColor="text2" w:themeShade="80"/>
                <w:sz w:val="20"/>
                <w:szCs w:val="20"/>
              </w:rPr>
            </w:pPr>
            <w:r w:rsidRPr="00E068DC">
              <w:rPr>
                <w:rFonts w:ascii="Arial" w:hAnsi="Arial" w:cs="Arial"/>
                <w:b/>
                <w:color w:val="0F243E" w:themeColor="text2" w:themeShade="80"/>
                <w:sz w:val="20"/>
                <w:szCs w:val="20"/>
              </w:rPr>
              <w:t>3.2</w:t>
            </w:r>
            <w:r w:rsidR="00E068DC">
              <w:rPr>
                <w:rFonts w:ascii="Arial" w:hAnsi="Arial" w:cs="Arial"/>
                <w:b/>
                <w:color w:val="0F243E" w:themeColor="text2" w:themeShade="80"/>
                <w:sz w:val="20"/>
                <w:szCs w:val="20"/>
              </w:rPr>
              <w:t>52</w:t>
            </w:r>
            <w:r w:rsidRPr="00E068DC">
              <w:rPr>
                <w:rFonts w:ascii="Arial" w:hAnsi="Arial" w:cs="Arial"/>
                <w:b/>
                <w:color w:val="0F243E" w:themeColor="text2" w:themeShade="80"/>
                <w:sz w:val="20"/>
                <w:szCs w:val="20"/>
              </w:rPr>
              <w:t>-20</w:t>
            </w:r>
            <w:r w:rsidR="00E068DC">
              <w:rPr>
                <w:rFonts w:ascii="Arial" w:hAnsi="Arial" w:cs="Arial"/>
                <w:b/>
                <w:color w:val="0F243E" w:themeColor="text2" w:themeShade="80"/>
                <w:sz w:val="20"/>
                <w:szCs w:val="20"/>
              </w:rPr>
              <w:t>20</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34B1513D" w14:textId="77777777" w:rsidR="00CB5600" w:rsidRPr="00E068DC" w:rsidRDefault="00CB5600" w:rsidP="00FF2AE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Big Media Publicidad SAS</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11866AC7" w14:textId="77777777" w:rsidR="00CB5600" w:rsidRPr="00E068DC" w:rsidRDefault="00CB5600" w:rsidP="00FF2AE0">
            <w:pPr>
              <w:widowControl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0" w:type="auto"/>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6CBB110F" w14:textId="284473CE" w:rsidR="00CB5600" w:rsidRPr="00E068DC" w:rsidRDefault="00CB5600" w:rsidP="00FF2AE0">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 xml:space="preserve">     </w:t>
            </w:r>
            <w:r w:rsidR="00E068DC">
              <w:rPr>
                <w:rFonts w:ascii="Arial" w:hAnsi="Arial" w:cs="Arial"/>
                <w:color w:val="0F243E" w:themeColor="text2" w:themeShade="80"/>
                <w:sz w:val="20"/>
                <w:szCs w:val="20"/>
              </w:rPr>
              <w:t>35.000.000</w:t>
            </w:r>
          </w:p>
        </w:tc>
        <w:tc>
          <w:tcPr>
            <w:tcW w:w="0" w:type="auto"/>
            <w:tcBorders>
              <w:top w:val="single" w:sz="4" w:space="0" w:color="4F81BD" w:themeColor="accent1"/>
              <w:left w:val="single" w:sz="4" w:space="0" w:color="4F81BD" w:themeColor="accent1"/>
              <w:bottom w:val="double" w:sz="4" w:space="0" w:color="4F81BD" w:themeColor="accent1"/>
            </w:tcBorders>
            <w:vAlign w:val="center"/>
            <w:hideMark/>
          </w:tcPr>
          <w:p w14:paraId="5F8A5233" w14:textId="2D691895" w:rsidR="00CB5600" w:rsidRPr="00E068DC" w:rsidRDefault="00E068DC" w:rsidP="00FF2AE0">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068DC">
              <w:rPr>
                <w:rFonts w:ascii="Arial" w:hAnsi="Arial" w:cs="Arial"/>
                <w:color w:val="0F243E" w:themeColor="text2" w:themeShade="80"/>
                <w:sz w:val="20"/>
                <w:szCs w:val="20"/>
              </w:rPr>
              <w:t>15/07/2020 al 01/07/2021</w:t>
            </w:r>
          </w:p>
        </w:tc>
      </w:tr>
    </w:tbl>
    <w:p w14:paraId="4C3D3EBA" w14:textId="77777777" w:rsidR="00A272BE" w:rsidRPr="00CA48AF" w:rsidRDefault="00A272BE" w:rsidP="00A336F2">
      <w:pPr>
        <w:jc w:val="both"/>
        <w:rPr>
          <w:rFonts w:ascii="Arial" w:hAnsi="Arial" w:cs="Arial"/>
          <w:sz w:val="22"/>
          <w:szCs w:val="22"/>
          <w:highlight w:val="yellow"/>
        </w:rPr>
      </w:pPr>
    </w:p>
    <w:p w14:paraId="03C48E4C" w14:textId="7351150F" w:rsidR="001C3DCD" w:rsidRDefault="001C3DCD" w:rsidP="00A336F2">
      <w:pPr>
        <w:jc w:val="both"/>
        <w:rPr>
          <w:rFonts w:ascii="Arial" w:hAnsi="Arial" w:cs="Arial"/>
          <w:sz w:val="22"/>
          <w:szCs w:val="22"/>
        </w:rPr>
      </w:pPr>
      <w:r>
        <w:rPr>
          <w:rFonts w:ascii="Arial" w:hAnsi="Arial" w:cs="Arial"/>
          <w:sz w:val="22"/>
          <w:szCs w:val="22"/>
        </w:rPr>
        <w:t>El Ministerio del Interior - Imprenta Nacional de Colombia, mediante Resolución 02 de 15 de enero de 2020</w:t>
      </w:r>
      <w:r w:rsidR="00353B13">
        <w:rPr>
          <w:rFonts w:ascii="Arial" w:hAnsi="Arial" w:cs="Arial"/>
          <w:sz w:val="22"/>
          <w:szCs w:val="22"/>
        </w:rPr>
        <w:t xml:space="preserve"> </w:t>
      </w:r>
      <w:r>
        <w:rPr>
          <w:rFonts w:ascii="Arial" w:hAnsi="Arial" w:cs="Arial"/>
          <w:sz w:val="22"/>
          <w:szCs w:val="22"/>
        </w:rPr>
        <w:t>fijaron las tarifas de publicación de actos administrativos y documentos</w:t>
      </w:r>
      <w:r w:rsidR="00353B13">
        <w:rPr>
          <w:rFonts w:ascii="Arial" w:hAnsi="Arial" w:cs="Arial"/>
          <w:sz w:val="22"/>
          <w:szCs w:val="22"/>
        </w:rPr>
        <w:t xml:space="preserve"> </w:t>
      </w:r>
      <w:r>
        <w:rPr>
          <w:rFonts w:ascii="Arial" w:hAnsi="Arial" w:cs="Arial"/>
          <w:sz w:val="22"/>
          <w:szCs w:val="22"/>
        </w:rPr>
        <w:t xml:space="preserve">que en el marco de la Ley deben </w:t>
      </w:r>
      <w:r w:rsidR="00353B13">
        <w:rPr>
          <w:rFonts w:ascii="Arial" w:hAnsi="Arial" w:cs="Arial"/>
          <w:sz w:val="22"/>
          <w:szCs w:val="22"/>
        </w:rPr>
        <w:t>publicarse</w:t>
      </w:r>
      <w:r>
        <w:rPr>
          <w:rFonts w:ascii="Arial" w:hAnsi="Arial" w:cs="Arial"/>
          <w:sz w:val="22"/>
          <w:szCs w:val="22"/>
        </w:rPr>
        <w:t xml:space="preserve"> en el Diario Oficial. Teniendo en cuenta lo anterior y con base en el reporte de publicaciones efectuadas durante el tercer trimestre de 2020</w:t>
      </w:r>
      <w:r w:rsidR="009C1B60">
        <w:rPr>
          <w:rFonts w:ascii="Arial" w:hAnsi="Arial" w:cs="Arial"/>
          <w:sz w:val="22"/>
          <w:szCs w:val="22"/>
        </w:rPr>
        <w:t xml:space="preserve"> remitido por el Grupo de Gestión de Información</w:t>
      </w:r>
      <w:r>
        <w:rPr>
          <w:rFonts w:ascii="Arial" w:hAnsi="Arial" w:cs="Arial"/>
          <w:sz w:val="22"/>
          <w:szCs w:val="22"/>
        </w:rPr>
        <w:t xml:space="preserve">, la Oficina de Control Interno verificó </w:t>
      </w:r>
      <w:r w:rsidR="009C1B60">
        <w:rPr>
          <w:rFonts w:ascii="Arial" w:hAnsi="Arial" w:cs="Arial"/>
          <w:sz w:val="22"/>
          <w:szCs w:val="22"/>
        </w:rPr>
        <w:t xml:space="preserve">que </w:t>
      </w:r>
      <w:r>
        <w:rPr>
          <w:rFonts w:ascii="Arial" w:hAnsi="Arial" w:cs="Arial"/>
          <w:sz w:val="22"/>
          <w:szCs w:val="22"/>
        </w:rPr>
        <w:t xml:space="preserve">el valor de la publicación </w:t>
      </w:r>
      <w:r w:rsidR="009C1B60">
        <w:rPr>
          <w:rFonts w:ascii="Arial" w:hAnsi="Arial" w:cs="Arial"/>
          <w:sz w:val="22"/>
          <w:szCs w:val="22"/>
        </w:rPr>
        <w:t xml:space="preserve">del acto administrativo estuviera </w:t>
      </w:r>
      <w:r>
        <w:rPr>
          <w:rFonts w:ascii="Arial" w:hAnsi="Arial" w:cs="Arial"/>
          <w:sz w:val="22"/>
          <w:szCs w:val="22"/>
        </w:rPr>
        <w:t>de conformidad con la tarifa establecida en la citada Resolución</w:t>
      </w:r>
      <w:r w:rsidR="009C1B60">
        <w:rPr>
          <w:rFonts w:ascii="Arial" w:hAnsi="Arial" w:cs="Arial"/>
          <w:sz w:val="22"/>
          <w:szCs w:val="22"/>
        </w:rPr>
        <w:t>,</w:t>
      </w:r>
      <w:r>
        <w:rPr>
          <w:rFonts w:ascii="Arial" w:hAnsi="Arial" w:cs="Arial"/>
          <w:sz w:val="22"/>
          <w:szCs w:val="22"/>
        </w:rPr>
        <w:t xml:space="preserve"> según el rango de páginas de cada documento </w:t>
      </w:r>
      <w:r w:rsidR="009C1B60">
        <w:rPr>
          <w:rFonts w:ascii="Arial" w:hAnsi="Arial" w:cs="Arial"/>
          <w:sz w:val="22"/>
          <w:szCs w:val="22"/>
        </w:rPr>
        <w:t>sujeto a publicación.</w:t>
      </w:r>
      <w:r>
        <w:rPr>
          <w:rFonts w:ascii="Arial" w:hAnsi="Arial" w:cs="Arial"/>
          <w:sz w:val="22"/>
          <w:szCs w:val="22"/>
        </w:rPr>
        <w:t xml:space="preserve"> </w:t>
      </w:r>
      <w:r w:rsidR="009C1B60">
        <w:rPr>
          <w:rFonts w:ascii="Arial" w:hAnsi="Arial" w:cs="Arial"/>
          <w:sz w:val="22"/>
          <w:szCs w:val="22"/>
        </w:rPr>
        <w:t xml:space="preserve">De lo anterior, se obtuvo un resultado satisfactorio. </w:t>
      </w:r>
    </w:p>
    <w:p w14:paraId="42384DAB" w14:textId="7EEC2330" w:rsidR="001C3DCD" w:rsidRDefault="001C3DCD" w:rsidP="00A336F2">
      <w:pPr>
        <w:jc w:val="both"/>
        <w:rPr>
          <w:rFonts w:ascii="Arial" w:hAnsi="Arial" w:cs="Arial"/>
          <w:sz w:val="22"/>
          <w:szCs w:val="22"/>
        </w:rPr>
      </w:pPr>
    </w:p>
    <w:p w14:paraId="440ED1F0" w14:textId="2B2CF68D" w:rsidR="00AB5541" w:rsidRDefault="00AB5541" w:rsidP="00A336F2">
      <w:pPr>
        <w:jc w:val="both"/>
        <w:rPr>
          <w:rFonts w:ascii="Arial" w:hAnsi="Arial" w:cs="Arial"/>
          <w:sz w:val="22"/>
          <w:szCs w:val="22"/>
        </w:rPr>
      </w:pPr>
      <w:r w:rsidRPr="00416554">
        <w:rPr>
          <w:rFonts w:ascii="Arial" w:hAnsi="Arial" w:cs="Arial"/>
          <w:sz w:val="22"/>
          <w:szCs w:val="22"/>
        </w:rPr>
        <w:t xml:space="preserve">Es importante precisar que, </w:t>
      </w:r>
      <w:r w:rsidR="00416554" w:rsidRPr="00416554">
        <w:rPr>
          <w:rFonts w:ascii="Arial" w:hAnsi="Arial" w:cs="Arial"/>
          <w:sz w:val="22"/>
          <w:szCs w:val="22"/>
        </w:rPr>
        <w:t>en cuanto a la tarifa de publicación correspondiente al</w:t>
      </w:r>
      <w:r w:rsidRPr="00416554">
        <w:rPr>
          <w:rFonts w:ascii="Arial" w:hAnsi="Arial" w:cs="Arial"/>
          <w:sz w:val="22"/>
          <w:szCs w:val="22"/>
        </w:rPr>
        <w:t xml:space="preserve"> servicio ofrecido por el contratista Big Media Publicidad </w:t>
      </w:r>
      <w:r w:rsidR="00416554" w:rsidRPr="00416554">
        <w:rPr>
          <w:rFonts w:ascii="Arial" w:hAnsi="Arial" w:cs="Arial"/>
          <w:sz w:val="22"/>
          <w:szCs w:val="22"/>
        </w:rPr>
        <w:t>q</w:t>
      </w:r>
      <w:r w:rsidRPr="00416554">
        <w:rPr>
          <w:rFonts w:ascii="Arial" w:hAnsi="Arial" w:cs="Arial"/>
          <w:sz w:val="22"/>
          <w:szCs w:val="22"/>
        </w:rPr>
        <w:t>ueda pactada al momento de la suscripción del contrato</w:t>
      </w:r>
      <w:r w:rsidR="00416554" w:rsidRPr="00416554">
        <w:rPr>
          <w:rFonts w:ascii="Arial" w:hAnsi="Arial" w:cs="Arial"/>
          <w:sz w:val="22"/>
          <w:szCs w:val="22"/>
        </w:rPr>
        <w:t>, toda vez que, se trata de un</w:t>
      </w:r>
      <w:r w:rsidR="0081089C">
        <w:rPr>
          <w:rFonts w:ascii="Arial" w:hAnsi="Arial" w:cs="Arial"/>
          <w:sz w:val="22"/>
          <w:szCs w:val="22"/>
        </w:rPr>
        <w:t xml:space="preserve">a empresa del sector </w:t>
      </w:r>
      <w:r w:rsidR="00416554" w:rsidRPr="00416554">
        <w:rPr>
          <w:rFonts w:ascii="Arial" w:hAnsi="Arial" w:cs="Arial"/>
          <w:sz w:val="22"/>
          <w:szCs w:val="22"/>
        </w:rPr>
        <w:t>privado.</w:t>
      </w:r>
      <w:r w:rsidR="00416554">
        <w:rPr>
          <w:rFonts w:ascii="Arial" w:hAnsi="Arial" w:cs="Arial"/>
          <w:sz w:val="22"/>
          <w:szCs w:val="22"/>
        </w:rPr>
        <w:t xml:space="preserve"> </w:t>
      </w:r>
    </w:p>
    <w:p w14:paraId="084EF4C6" w14:textId="77777777" w:rsidR="00AB5541" w:rsidRDefault="00AB5541" w:rsidP="00A336F2">
      <w:pPr>
        <w:jc w:val="both"/>
        <w:rPr>
          <w:rFonts w:ascii="Arial" w:hAnsi="Arial" w:cs="Arial"/>
          <w:sz w:val="22"/>
          <w:szCs w:val="22"/>
        </w:rPr>
      </w:pPr>
    </w:p>
    <w:p w14:paraId="31F0D25A" w14:textId="7DD8AE40" w:rsidR="00B0463C" w:rsidRDefault="00AB5541" w:rsidP="00A336F2">
      <w:pPr>
        <w:jc w:val="both"/>
        <w:rPr>
          <w:rFonts w:ascii="Arial" w:hAnsi="Arial" w:cs="Arial"/>
          <w:sz w:val="22"/>
          <w:szCs w:val="22"/>
        </w:rPr>
      </w:pPr>
      <w:r>
        <w:rPr>
          <w:rFonts w:ascii="Arial" w:hAnsi="Arial" w:cs="Arial"/>
          <w:sz w:val="22"/>
          <w:szCs w:val="22"/>
        </w:rPr>
        <w:t>Ahora bien, d</w:t>
      </w:r>
      <w:r w:rsidR="0026607A" w:rsidRPr="00E068DC">
        <w:rPr>
          <w:rFonts w:ascii="Arial" w:hAnsi="Arial" w:cs="Arial"/>
          <w:sz w:val="22"/>
          <w:szCs w:val="22"/>
        </w:rPr>
        <w:t xml:space="preserve">e acuerdo con la información </w:t>
      </w:r>
      <w:r w:rsidR="00A336F2" w:rsidRPr="00E068DC">
        <w:rPr>
          <w:rFonts w:ascii="Arial" w:hAnsi="Arial" w:cs="Arial"/>
          <w:sz w:val="22"/>
          <w:szCs w:val="22"/>
        </w:rPr>
        <w:t xml:space="preserve">consultada </w:t>
      </w:r>
      <w:r w:rsidR="00005276" w:rsidRPr="00E068DC">
        <w:rPr>
          <w:rFonts w:ascii="Arial" w:hAnsi="Arial" w:cs="Arial"/>
          <w:sz w:val="22"/>
          <w:szCs w:val="22"/>
        </w:rPr>
        <w:t>en e</w:t>
      </w:r>
      <w:r w:rsidR="0026607A" w:rsidRPr="00E068DC">
        <w:rPr>
          <w:rFonts w:ascii="Arial" w:hAnsi="Arial" w:cs="Arial"/>
          <w:sz w:val="22"/>
          <w:szCs w:val="22"/>
        </w:rPr>
        <w:t>l SIIF</w:t>
      </w:r>
      <w:r w:rsidR="00353B13">
        <w:rPr>
          <w:rFonts w:ascii="Arial" w:hAnsi="Arial" w:cs="Arial"/>
          <w:sz w:val="22"/>
          <w:szCs w:val="22"/>
        </w:rPr>
        <w:t xml:space="preserve"> </w:t>
      </w:r>
      <w:r w:rsidR="00005276" w:rsidRPr="00E068DC">
        <w:rPr>
          <w:rFonts w:ascii="Arial" w:hAnsi="Arial" w:cs="Arial"/>
          <w:sz w:val="22"/>
          <w:szCs w:val="22"/>
        </w:rPr>
        <w:t>referente a las ob</w:t>
      </w:r>
      <w:r w:rsidR="00BB5B94" w:rsidRPr="00E068DC">
        <w:rPr>
          <w:rFonts w:ascii="Arial" w:hAnsi="Arial" w:cs="Arial"/>
          <w:sz w:val="22"/>
          <w:szCs w:val="22"/>
        </w:rPr>
        <w:t>ligaciones registradas por servicio de publicación</w:t>
      </w:r>
      <w:r w:rsidR="007D1DD3" w:rsidRPr="00E068DC">
        <w:rPr>
          <w:rFonts w:ascii="Arial" w:hAnsi="Arial" w:cs="Arial"/>
          <w:sz w:val="22"/>
          <w:szCs w:val="22"/>
        </w:rPr>
        <w:t xml:space="preserve">, </w:t>
      </w:r>
      <w:r w:rsidR="00C977FD" w:rsidRPr="00E068DC">
        <w:rPr>
          <w:rFonts w:ascii="Arial" w:hAnsi="Arial" w:cs="Arial"/>
          <w:sz w:val="22"/>
          <w:szCs w:val="22"/>
        </w:rPr>
        <w:t xml:space="preserve">se </w:t>
      </w:r>
      <w:r w:rsidR="00005276" w:rsidRPr="00E068DC">
        <w:rPr>
          <w:rFonts w:ascii="Arial" w:hAnsi="Arial" w:cs="Arial"/>
          <w:sz w:val="22"/>
          <w:szCs w:val="22"/>
        </w:rPr>
        <w:t>determin</w:t>
      </w:r>
      <w:r w:rsidR="00C977FD" w:rsidRPr="00E068DC">
        <w:rPr>
          <w:rFonts w:ascii="Arial" w:hAnsi="Arial" w:cs="Arial"/>
          <w:sz w:val="22"/>
          <w:szCs w:val="22"/>
        </w:rPr>
        <w:t xml:space="preserve">ó el valor del gasto </w:t>
      </w:r>
      <w:r w:rsidR="00233D31" w:rsidRPr="00E068DC">
        <w:rPr>
          <w:rFonts w:ascii="Arial" w:hAnsi="Arial" w:cs="Arial"/>
          <w:sz w:val="22"/>
          <w:szCs w:val="22"/>
        </w:rPr>
        <w:t xml:space="preserve">para el </w:t>
      </w:r>
      <w:r w:rsidR="00E068DC">
        <w:rPr>
          <w:rFonts w:ascii="Arial" w:hAnsi="Arial" w:cs="Arial"/>
          <w:sz w:val="22"/>
          <w:szCs w:val="22"/>
        </w:rPr>
        <w:t xml:space="preserve">tercer </w:t>
      </w:r>
      <w:r w:rsidR="00233D31" w:rsidRPr="00E068DC">
        <w:rPr>
          <w:rFonts w:ascii="Arial" w:hAnsi="Arial" w:cs="Arial"/>
          <w:sz w:val="22"/>
          <w:szCs w:val="22"/>
        </w:rPr>
        <w:t>trimestre de 20</w:t>
      </w:r>
      <w:r w:rsidR="000C7583" w:rsidRPr="00E068DC">
        <w:rPr>
          <w:rFonts w:ascii="Arial" w:hAnsi="Arial" w:cs="Arial"/>
          <w:sz w:val="22"/>
          <w:szCs w:val="22"/>
        </w:rPr>
        <w:t>20</w:t>
      </w:r>
      <w:r w:rsidR="00233D31" w:rsidRPr="00E068DC">
        <w:rPr>
          <w:rFonts w:ascii="Arial" w:hAnsi="Arial" w:cs="Arial"/>
          <w:sz w:val="22"/>
          <w:szCs w:val="22"/>
        </w:rPr>
        <w:t xml:space="preserve"> </w:t>
      </w:r>
      <w:r w:rsidR="002242B2">
        <w:rPr>
          <w:rFonts w:ascii="Arial" w:hAnsi="Arial" w:cs="Arial"/>
          <w:sz w:val="22"/>
          <w:szCs w:val="22"/>
        </w:rPr>
        <w:t xml:space="preserve">comparado con el mismo periodo de </w:t>
      </w:r>
      <w:r w:rsidR="00233D31" w:rsidRPr="00E068DC">
        <w:rPr>
          <w:rFonts w:ascii="Arial" w:hAnsi="Arial" w:cs="Arial"/>
          <w:sz w:val="22"/>
          <w:szCs w:val="22"/>
        </w:rPr>
        <w:t>201</w:t>
      </w:r>
      <w:r w:rsidR="000C7583" w:rsidRPr="00E068DC">
        <w:rPr>
          <w:rFonts w:ascii="Arial" w:hAnsi="Arial" w:cs="Arial"/>
          <w:sz w:val="22"/>
          <w:szCs w:val="22"/>
        </w:rPr>
        <w:t>9</w:t>
      </w:r>
      <w:r w:rsidR="00C741E3" w:rsidRPr="00E068DC">
        <w:rPr>
          <w:rFonts w:ascii="Arial" w:hAnsi="Arial" w:cs="Arial"/>
          <w:sz w:val="22"/>
          <w:szCs w:val="22"/>
        </w:rPr>
        <w:t xml:space="preserve">, </w:t>
      </w:r>
      <w:r w:rsidR="00C977FD" w:rsidRPr="00E068DC">
        <w:rPr>
          <w:rFonts w:ascii="Arial" w:hAnsi="Arial" w:cs="Arial"/>
          <w:sz w:val="22"/>
          <w:szCs w:val="22"/>
        </w:rPr>
        <w:t>estableci</w:t>
      </w:r>
      <w:r w:rsidR="00574EC6" w:rsidRPr="00E068DC">
        <w:rPr>
          <w:rFonts w:ascii="Arial" w:hAnsi="Arial" w:cs="Arial"/>
          <w:sz w:val="22"/>
          <w:szCs w:val="22"/>
        </w:rPr>
        <w:t>e</w:t>
      </w:r>
      <w:r w:rsidR="00C741E3" w:rsidRPr="00E068DC">
        <w:rPr>
          <w:rFonts w:ascii="Arial" w:hAnsi="Arial" w:cs="Arial"/>
          <w:sz w:val="22"/>
          <w:szCs w:val="22"/>
        </w:rPr>
        <w:t>ndo</w:t>
      </w:r>
      <w:r w:rsidR="00C977FD" w:rsidRPr="00E068DC">
        <w:rPr>
          <w:rFonts w:ascii="Arial" w:hAnsi="Arial" w:cs="Arial"/>
          <w:sz w:val="22"/>
          <w:szCs w:val="22"/>
        </w:rPr>
        <w:t xml:space="preserve"> la</w:t>
      </w:r>
      <w:r w:rsidR="00574EC6" w:rsidRPr="00E068DC">
        <w:rPr>
          <w:rFonts w:ascii="Arial" w:hAnsi="Arial" w:cs="Arial"/>
          <w:sz w:val="22"/>
          <w:szCs w:val="22"/>
        </w:rPr>
        <w:t>s</w:t>
      </w:r>
      <w:r w:rsidR="00C977FD" w:rsidRPr="00E068DC">
        <w:rPr>
          <w:rFonts w:ascii="Arial" w:hAnsi="Arial" w:cs="Arial"/>
          <w:sz w:val="22"/>
          <w:szCs w:val="22"/>
        </w:rPr>
        <w:t xml:space="preserve"> </w:t>
      </w:r>
      <w:r w:rsidR="00BB5B94" w:rsidRPr="00E068DC">
        <w:rPr>
          <w:rFonts w:ascii="Arial" w:hAnsi="Arial" w:cs="Arial"/>
          <w:sz w:val="22"/>
          <w:szCs w:val="22"/>
        </w:rPr>
        <w:t>respectivas variaciones</w:t>
      </w:r>
      <w:r w:rsidR="002242B2">
        <w:rPr>
          <w:rFonts w:ascii="Arial" w:hAnsi="Arial" w:cs="Arial"/>
          <w:sz w:val="22"/>
          <w:szCs w:val="22"/>
        </w:rPr>
        <w:t xml:space="preserve"> </w:t>
      </w:r>
      <w:r w:rsidR="00BB5B94" w:rsidRPr="00E068DC">
        <w:rPr>
          <w:rFonts w:ascii="Arial" w:hAnsi="Arial" w:cs="Arial"/>
          <w:sz w:val="22"/>
          <w:szCs w:val="22"/>
        </w:rPr>
        <w:t xml:space="preserve">así: </w:t>
      </w:r>
    </w:p>
    <w:p w14:paraId="3523503B" w14:textId="77777777" w:rsidR="00602A65" w:rsidRPr="00CA48AF" w:rsidRDefault="00602A65" w:rsidP="00D96663">
      <w:pPr>
        <w:spacing w:line="168" w:lineRule="auto"/>
        <w:jc w:val="both"/>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2317"/>
        <w:gridCol w:w="1653"/>
        <w:gridCol w:w="1695"/>
        <w:gridCol w:w="1026"/>
        <w:gridCol w:w="1951"/>
      </w:tblGrid>
      <w:tr w:rsidR="000B5872" w:rsidRPr="000B5872" w14:paraId="06E80F75" w14:textId="77777777" w:rsidTr="00FF2AE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317" w:type="dxa"/>
            <w:vMerge w:val="restart"/>
            <w:shd w:val="clear" w:color="auto" w:fill="4F81BD" w:themeFill="accent1"/>
            <w:vAlign w:val="center"/>
            <w:hideMark/>
          </w:tcPr>
          <w:p w14:paraId="530C1E5B" w14:textId="77777777" w:rsidR="000B5872" w:rsidRPr="000B5872" w:rsidRDefault="000B5872" w:rsidP="00FF2AE0">
            <w:pPr>
              <w:spacing w:before="40" w:after="40"/>
              <w:jc w:val="center"/>
              <w:rPr>
                <w:rFonts w:ascii="Arial" w:hAnsi="Arial" w:cs="Arial"/>
                <w:color w:val="FFFFFF"/>
                <w:sz w:val="20"/>
                <w:szCs w:val="20"/>
              </w:rPr>
            </w:pPr>
            <w:r w:rsidRPr="000B5872">
              <w:rPr>
                <w:rFonts w:ascii="Arial" w:hAnsi="Arial" w:cs="Arial"/>
                <w:color w:val="FFFFFF"/>
                <w:sz w:val="20"/>
                <w:szCs w:val="20"/>
              </w:rPr>
              <w:t>Periodo</w:t>
            </w:r>
          </w:p>
        </w:tc>
        <w:tc>
          <w:tcPr>
            <w:tcW w:w="3348" w:type="dxa"/>
            <w:gridSpan w:val="2"/>
            <w:shd w:val="clear" w:color="auto" w:fill="4F81BD" w:themeFill="accent1"/>
            <w:vAlign w:val="center"/>
            <w:hideMark/>
          </w:tcPr>
          <w:p w14:paraId="12F5594F"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B5872">
              <w:rPr>
                <w:rFonts w:ascii="Arial" w:hAnsi="Arial" w:cs="Arial"/>
                <w:color w:val="FFFFFF"/>
                <w:sz w:val="20"/>
                <w:szCs w:val="20"/>
              </w:rPr>
              <w:t>Imprenta Nacional de Colombia</w:t>
            </w:r>
          </w:p>
        </w:tc>
        <w:tc>
          <w:tcPr>
            <w:tcW w:w="2977" w:type="dxa"/>
            <w:gridSpan w:val="2"/>
            <w:shd w:val="clear" w:color="auto" w:fill="4F81BD" w:themeFill="accent1"/>
            <w:vAlign w:val="center"/>
            <w:hideMark/>
          </w:tcPr>
          <w:p w14:paraId="696FF3C7"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B5872">
              <w:rPr>
                <w:rFonts w:ascii="Arial" w:hAnsi="Arial" w:cs="Arial"/>
                <w:color w:val="FFFFFF"/>
                <w:sz w:val="20"/>
                <w:szCs w:val="20"/>
              </w:rPr>
              <w:t>Big Media Publicidad SAS</w:t>
            </w:r>
          </w:p>
        </w:tc>
      </w:tr>
      <w:tr w:rsidR="000B5872" w:rsidRPr="000B5872" w14:paraId="735320F3" w14:textId="77777777" w:rsidTr="00FF2AE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317" w:type="dxa"/>
            <w:vMerge/>
            <w:vAlign w:val="center"/>
            <w:hideMark/>
          </w:tcPr>
          <w:p w14:paraId="0FA5C024" w14:textId="77777777" w:rsidR="000B5872" w:rsidRPr="000B5872" w:rsidRDefault="000B5872" w:rsidP="00FF2AE0">
            <w:pPr>
              <w:spacing w:before="40" w:after="40"/>
              <w:rPr>
                <w:rFonts w:ascii="Arial" w:hAnsi="Arial" w:cs="Arial"/>
                <w:color w:val="FFFFFF"/>
                <w:sz w:val="20"/>
                <w:szCs w:val="20"/>
              </w:rPr>
            </w:pPr>
          </w:p>
        </w:tc>
        <w:tc>
          <w:tcPr>
            <w:tcW w:w="1653" w:type="dxa"/>
            <w:shd w:val="clear" w:color="auto" w:fill="DBE5F1" w:themeFill="accent1" w:themeFillTint="33"/>
            <w:vAlign w:val="center"/>
            <w:hideMark/>
          </w:tcPr>
          <w:p w14:paraId="64C8E73D"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0B5872">
              <w:rPr>
                <w:rFonts w:ascii="Arial" w:hAnsi="Arial" w:cs="Arial"/>
                <w:b w:val="0"/>
                <w:bCs w:val="0"/>
                <w:color w:val="0F243E" w:themeColor="text2" w:themeShade="80"/>
                <w:sz w:val="20"/>
                <w:szCs w:val="20"/>
              </w:rPr>
              <w:t>2020</w:t>
            </w:r>
          </w:p>
        </w:tc>
        <w:tc>
          <w:tcPr>
            <w:tcW w:w="1695" w:type="dxa"/>
            <w:shd w:val="clear" w:color="auto" w:fill="DBE5F1" w:themeFill="accent1" w:themeFillTint="33"/>
            <w:vAlign w:val="center"/>
            <w:hideMark/>
          </w:tcPr>
          <w:p w14:paraId="0A5BF7EA"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0B5872">
              <w:rPr>
                <w:rFonts w:ascii="Arial" w:hAnsi="Arial" w:cs="Arial"/>
                <w:b w:val="0"/>
                <w:bCs w:val="0"/>
                <w:color w:val="0F243E" w:themeColor="text2" w:themeShade="80"/>
                <w:sz w:val="20"/>
                <w:szCs w:val="20"/>
              </w:rPr>
              <w:t>2019</w:t>
            </w:r>
          </w:p>
        </w:tc>
        <w:tc>
          <w:tcPr>
            <w:tcW w:w="1026" w:type="dxa"/>
            <w:shd w:val="clear" w:color="auto" w:fill="DBE5F1" w:themeFill="accent1" w:themeFillTint="33"/>
            <w:vAlign w:val="center"/>
            <w:hideMark/>
          </w:tcPr>
          <w:p w14:paraId="05427CF1"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0B5872">
              <w:rPr>
                <w:rFonts w:ascii="Arial" w:hAnsi="Arial" w:cs="Arial"/>
                <w:b w:val="0"/>
                <w:bCs w:val="0"/>
                <w:color w:val="0F243E" w:themeColor="text2" w:themeShade="80"/>
                <w:sz w:val="20"/>
                <w:szCs w:val="20"/>
              </w:rPr>
              <w:t>2020</w:t>
            </w:r>
          </w:p>
        </w:tc>
        <w:tc>
          <w:tcPr>
            <w:tcW w:w="1951" w:type="dxa"/>
            <w:shd w:val="clear" w:color="auto" w:fill="DBE5F1" w:themeFill="accent1" w:themeFillTint="33"/>
            <w:vAlign w:val="center"/>
            <w:hideMark/>
          </w:tcPr>
          <w:p w14:paraId="62BFCE1D" w14:textId="77777777" w:rsidR="000B5872" w:rsidRPr="000B5872" w:rsidRDefault="000B5872" w:rsidP="00FF2AE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20"/>
                <w:szCs w:val="20"/>
              </w:rPr>
            </w:pPr>
            <w:r w:rsidRPr="000B5872">
              <w:rPr>
                <w:rFonts w:ascii="Arial" w:hAnsi="Arial" w:cs="Arial"/>
                <w:b w:val="0"/>
                <w:bCs w:val="0"/>
                <w:color w:val="0F243E" w:themeColor="text2" w:themeShade="80"/>
                <w:sz w:val="20"/>
                <w:szCs w:val="20"/>
              </w:rPr>
              <w:t>2019</w:t>
            </w:r>
          </w:p>
        </w:tc>
      </w:tr>
      <w:tr w:rsidR="000B5872" w:rsidRPr="000B5872" w14:paraId="7F74BB04"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vAlign w:val="center"/>
            <w:hideMark/>
          </w:tcPr>
          <w:p w14:paraId="5723F220" w14:textId="77777777" w:rsidR="000B5872" w:rsidRPr="000B5872" w:rsidRDefault="000B5872" w:rsidP="00FF2AE0">
            <w:pPr>
              <w:spacing w:before="40" w:after="40"/>
              <w:jc w:val="center"/>
              <w:rPr>
                <w:rFonts w:ascii="Arial" w:hAnsi="Arial" w:cs="Arial"/>
                <w:b w:val="0"/>
                <w:bCs w:val="0"/>
                <w:color w:val="0F243E"/>
                <w:sz w:val="20"/>
                <w:szCs w:val="20"/>
              </w:rPr>
            </w:pPr>
            <w:r w:rsidRPr="000B5872">
              <w:rPr>
                <w:rFonts w:ascii="Arial" w:hAnsi="Arial" w:cs="Arial"/>
                <w:b w:val="0"/>
                <w:bCs w:val="0"/>
                <w:color w:val="0F243E"/>
                <w:sz w:val="20"/>
                <w:szCs w:val="20"/>
              </w:rPr>
              <w:t xml:space="preserve">Julio </w:t>
            </w:r>
          </w:p>
        </w:tc>
        <w:tc>
          <w:tcPr>
            <w:tcW w:w="1653" w:type="dxa"/>
            <w:vAlign w:val="center"/>
            <w:hideMark/>
          </w:tcPr>
          <w:p w14:paraId="190CAC8A"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9.165.500</w:t>
            </w:r>
          </w:p>
        </w:tc>
        <w:tc>
          <w:tcPr>
            <w:tcW w:w="1695" w:type="dxa"/>
            <w:vAlign w:val="center"/>
            <w:hideMark/>
          </w:tcPr>
          <w:p w14:paraId="1643E7BA"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5.139.800</w:t>
            </w:r>
          </w:p>
        </w:tc>
        <w:tc>
          <w:tcPr>
            <w:tcW w:w="1026" w:type="dxa"/>
            <w:vAlign w:val="center"/>
            <w:hideMark/>
          </w:tcPr>
          <w:p w14:paraId="461D89E2"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 </w:t>
            </w:r>
          </w:p>
        </w:tc>
        <w:tc>
          <w:tcPr>
            <w:tcW w:w="1951" w:type="dxa"/>
            <w:vAlign w:val="center"/>
            <w:hideMark/>
          </w:tcPr>
          <w:p w14:paraId="763F8F98"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 </w:t>
            </w:r>
          </w:p>
        </w:tc>
      </w:tr>
      <w:tr w:rsidR="000B5872" w:rsidRPr="000B5872" w14:paraId="077A184F"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vAlign w:val="center"/>
            <w:hideMark/>
          </w:tcPr>
          <w:p w14:paraId="3C3791F2" w14:textId="77777777" w:rsidR="000B5872" w:rsidRPr="000B5872" w:rsidRDefault="000B5872" w:rsidP="00FF2AE0">
            <w:pPr>
              <w:spacing w:before="40" w:after="40"/>
              <w:jc w:val="center"/>
              <w:rPr>
                <w:rFonts w:ascii="Arial" w:hAnsi="Arial" w:cs="Arial"/>
                <w:b w:val="0"/>
                <w:bCs w:val="0"/>
                <w:color w:val="0F243E"/>
                <w:sz w:val="20"/>
                <w:szCs w:val="20"/>
              </w:rPr>
            </w:pPr>
            <w:r w:rsidRPr="000B5872">
              <w:rPr>
                <w:rFonts w:ascii="Arial" w:hAnsi="Arial" w:cs="Arial"/>
                <w:b w:val="0"/>
                <w:bCs w:val="0"/>
                <w:color w:val="0F243E"/>
                <w:sz w:val="20"/>
                <w:szCs w:val="20"/>
              </w:rPr>
              <w:t>Agosto</w:t>
            </w:r>
          </w:p>
        </w:tc>
        <w:tc>
          <w:tcPr>
            <w:tcW w:w="1653" w:type="dxa"/>
            <w:vAlign w:val="center"/>
            <w:hideMark/>
          </w:tcPr>
          <w:p w14:paraId="3AE6D6BE"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9.234.100</w:t>
            </w:r>
          </w:p>
        </w:tc>
        <w:tc>
          <w:tcPr>
            <w:tcW w:w="1695" w:type="dxa"/>
            <w:vAlign w:val="center"/>
            <w:hideMark/>
          </w:tcPr>
          <w:p w14:paraId="44C90B18"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4.505.600</w:t>
            </w:r>
          </w:p>
        </w:tc>
        <w:tc>
          <w:tcPr>
            <w:tcW w:w="1026" w:type="dxa"/>
            <w:vAlign w:val="center"/>
            <w:hideMark/>
          </w:tcPr>
          <w:p w14:paraId="6FBB69EA"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163.590</w:t>
            </w:r>
          </w:p>
        </w:tc>
        <w:tc>
          <w:tcPr>
            <w:tcW w:w="1951" w:type="dxa"/>
            <w:vAlign w:val="center"/>
            <w:hideMark/>
          </w:tcPr>
          <w:p w14:paraId="03DB19D1" w14:textId="47B3D98C"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B5872">
              <w:rPr>
                <w:rFonts w:ascii="Arial" w:hAnsi="Arial" w:cs="Arial"/>
                <w:color w:val="000000"/>
                <w:sz w:val="20"/>
                <w:szCs w:val="20"/>
              </w:rPr>
              <w:t xml:space="preserve">1.447.349 </w:t>
            </w:r>
          </w:p>
        </w:tc>
      </w:tr>
      <w:tr w:rsidR="000B5872" w:rsidRPr="000B5872" w14:paraId="76E57F59"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vAlign w:val="center"/>
            <w:hideMark/>
          </w:tcPr>
          <w:p w14:paraId="720336B5" w14:textId="77777777" w:rsidR="000B5872" w:rsidRPr="000B5872" w:rsidRDefault="000B5872" w:rsidP="00FF2AE0">
            <w:pPr>
              <w:spacing w:before="40" w:after="40"/>
              <w:jc w:val="center"/>
              <w:rPr>
                <w:rFonts w:ascii="Arial" w:hAnsi="Arial" w:cs="Arial"/>
                <w:b w:val="0"/>
                <w:bCs w:val="0"/>
                <w:color w:val="0F243E"/>
                <w:sz w:val="20"/>
                <w:szCs w:val="20"/>
              </w:rPr>
            </w:pPr>
            <w:r w:rsidRPr="000B5872">
              <w:rPr>
                <w:rFonts w:ascii="Arial" w:hAnsi="Arial" w:cs="Arial"/>
                <w:b w:val="0"/>
                <w:bCs w:val="0"/>
                <w:color w:val="0F243E"/>
                <w:sz w:val="20"/>
                <w:szCs w:val="20"/>
              </w:rPr>
              <w:t>Septiembre</w:t>
            </w:r>
          </w:p>
        </w:tc>
        <w:tc>
          <w:tcPr>
            <w:tcW w:w="1653" w:type="dxa"/>
            <w:vAlign w:val="center"/>
            <w:hideMark/>
          </w:tcPr>
          <w:p w14:paraId="0056BDD0"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13.912.800</w:t>
            </w:r>
          </w:p>
        </w:tc>
        <w:tc>
          <w:tcPr>
            <w:tcW w:w="1695" w:type="dxa"/>
            <w:vAlign w:val="center"/>
            <w:hideMark/>
          </w:tcPr>
          <w:p w14:paraId="1ABC7203"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17.757.600</w:t>
            </w:r>
          </w:p>
        </w:tc>
        <w:tc>
          <w:tcPr>
            <w:tcW w:w="1026" w:type="dxa"/>
            <w:vAlign w:val="center"/>
            <w:hideMark/>
          </w:tcPr>
          <w:p w14:paraId="4A6E9F54"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163.590</w:t>
            </w:r>
          </w:p>
        </w:tc>
        <w:tc>
          <w:tcPr>
            <w:tcW w:w="1951" w:type="dxa"/>
            <w:vAlign w:val="center"/>
            <w:hideMark/>
          </w:tcPr>
          <w:p w14:paraId="10E33143"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0B5872">
              <w:rPr>
                <w:rFonts w:ascii="Arial" w:hAnsi="Arial" w:cs="Arial"/>
                <w:color w:val="0F243E"/>
                <w:sz w:val="20"/>
                <w:szCs w:val="20"/>
              </w:rPr>
              <w:t> </w:t>
            </w:r>
          </w:p>
        </w:tc>
      </w:tr>
      <w:tr w:rsidR="000B5872" w:rsidRPr="000B5872" w14:paraId="6AD66664"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DBE5F1" w:themeFill="accent1" w:themeFillTint="33"/>
            <w:vAlign w:val="center"/>
            <w:hideMark/>
          </w:tcPr>
          <w:p w14:paraId="5D537962" w14:textId="77777777" w:rsidR="000B5872" w:rsidRPr="000B5872" w:rsidRDefault="000B5872" w:rsidP="00FF2AE0">
            <w:pPr>
              <w:spacing w:before="40" w:after="40"/>
              <w:jc w:val="center"/>
              <w:rPr>
                <w:rFonts w:ascii="Arial" w:hAnsi="Arial" w:cs="Arial"/>
                <w:color w:val="0F243E" w:themeColor="text2" w:themeShade="80"/>
                <w:sz w:val="20"/>
                <w:szCs w:val="20"/>
              </w:rPr>
            </w:pPr>
            <w:r w:rsidRPr="000B5872">
              <w:rPr>
                <w:rFonts w:ascii="Arial" w:hAnsi="Arial" w:cs="Arial"/>
                <w:color w:val="0F243E" w:themeColor="text2" w:themeShade="80"/>
                <w:sz w:val="20"/>
                <w:szCs w:val="20"/>
              </w:rPr>
              <w:t xml:space="preserve">Total </w:t>
            </w:r>
          </w:p>
        </w:tc>
        <w:tc>
          <w:tcPr>
            <w:tcW w:w="1653" w:type="dxa"/>
            <w:shd w:val="clear" w:color="auto" w:fill="DBE5F1" w:themeFill="accent1" w:themeFillTint="33"/>
            <w:vAlign w:val="center"/>
            <w:hideMark/>
          </w:tcPr>
          <w:p w14:paraId="66648EC6" w14:textId="59ADA07B" w:rsidR="000B5872" w:rsidRPr="000B5872" w:rsidRDefault="000B5872" w:rsidP="00FF2AE0">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B5872">
              <w:rPr>
                <w:rFonts w:ascii="Arial" w:hAnsi="Arial" w:cs="Arial"/>
                <w:b/>
                <w:bCs/>
                <w:color w:val="0F243E" w:themeColor="text2" w:themeShade="80"/>
                <w:sz w:val="20"/>
                <w:szCs w:val="20"/>
              </w:rPr>
              <w:t xml:space="preserve">32.314.420 </w:t>
            </w:r>
          </w:p>
        </w:tc>
        <w:tc>
          <w:tcPr>
            <w:tcW w:w="1695" w:type="dxa"/>
            <w:shd w:val="clear" w:color="auto" w:fill="DBE5F1" w:themeFill="accent1" w:themeFillTint="33"/>
            <w:vAlign w:val="center"/>
            <w:hideMark/>
          </w:tcPr>
          <w:p w14:paraId="3AC62A88"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B5872">
              <w:rPr>
                <w:rFonts w:ascii="Arial" w:hAnsi="Arial" w:cs="Arial"/>
                <w:b/>
                <w:bCs/>
                <w:color w:val="0F243E" w:themeColor="text2" w:themeShade="80"/>
                <w:sz w:val="20"/>
                <w:szCs w:val="20"/>
              </w:rPr>
              <w:t>27.403.000</w:t>
            </w:r>
          </w:p>
        </w:tc>
        <w:tc>
          <w:tcPr>
            <w:tcW w:w="1026" w:type="dxa"/>
            <w:shd w:val="clear" w:color="auto" w:fill="DBE5F1" w:themeFill="accent1" w:themeFillTint="33"/>
            <w:vAlign w:val="center"/>
            <w:hideMark/>
          </w:tcPr>
          <w:p w14:paraId="5F5A6CC2"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B5872">
              <w:rPr>
                <w:rFonts w:ascii="Arial" w:hAnsi="Arial" w:cs="Arial"/>
                <w:b/>
                <w:bCs/>
                <w:color w:val="0F243E" w:themeColor="text2" w:themeShade="80"/>
                <w:sz w:val="20"/>
                <w:szCs w:val="20"/>
              </w:rPr>
              <w:t>327.180</w:t>
            </w:r>
          </w:p>
        </w:tc>
        <w:tc>
          <w:tcPr>
            <w:tcW w:w="1951" w:type="dxa"/>
            <w:shd w:val="clear" w:color="auto" w:fill="DBE5F1" w:themeFill="accent1" w:themeFillTint="33"/>
            <w:vAlign w:val="center"/>
            <w:hideMark/>
          </w:tcPr>
          <w:p w14:paraId="2B0B4803" w14:textId="77777777" w:rsidR="000B5872" w:rsidRPr="000B5872" w:rsidRDefault="000B5872" w:rsidP="00FF2AE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0B5872">
              <w:rPr>
                <w:rFonts w:ascii="Arial" w:hAnsi="Arial" w:cs="Arial"/>
                <w:b/>
                <w:bCs/>
                <w:color w:val="0F243E" w:themeColor="text2" w:themeShade="80"/>
                <w:sz w:val="20"/>
                <w:szCs w:val="20"/>
              </w:rPr>
              <w:t>1.447.349</w:t>
            </w:r>
          </w:p>
        </w:tc>
      </w:tr>
      <w:tr w:rsidR="000B5872" w:rsidRPr="000B5872" w14:paraId="000CACEB"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4F81BD" w:themeFill="accent1"/>
            <w:vAlign w:val="center"/>
            <w:hideMark/>
          </w:tcPr>
          <w:p w14:paraId="3E22F939" w14:textId="77777777" w:rsidR="000B5872" w:rsidRPr="000B5872" w:rsidRDefault="000B5872" w:rsidP="00FF2AE0">
            <w:pPr>
              <w:spacing w:before="40" w:after="40"/>
              <w:rPr>
                <w:rFonts w:ascii="Arial" w:hAnsi="Arial" w:cs="Arial"/>
                <w:color w:val="FFFFFF" w:themeColor="background1"/>
                <w:sz w:val="20"/>
                <w:szCs w:val="20"/>
              </w:rPr>
            </w:pPr>
            <w:r w:rsidRPr="000B5872">
              <w:rPr>
                <w:rFonts w:ascii="Arial" w:hAnsi="Arial" w:cs="Arial"/>
                <w:color w:val="FFFFFF" w:themeColor="background1"/>
                <w:sz w:val="20"/>
                <w:szCs w:val="20"/>
              </w:rPr>
              <w:t xml:space="preserve">Variación Absoluta </w:t>
            </w:r>
          </w:p>
        </w:tc>
        <w:tc>
          <w:tcPr>
            <w:tcW w:w="6325" w:type="dxa"/>
            <w:gridSpan w:val="4"/>
            <w:shd w:val="clear" w:color="auto" w:fill="4F81BD" w:themeFill="accent1"/>
            <w:vAlign w:val="center"/>
            <w:hideMark/>
          </w:tcPr>
          <w:p w14:paraId="5EBFD2F3" w14:textId="77777777" w:rsidR="000B5872" w:rsidRPr="000B5872" w:rsidRDefault="000B5872" w:rsidP="00FF2A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5872">
              <w:rPr>
                <w:rFonts w:ascii="Arial" w:hAnsi="Arial" w:cs="Arial"/>
                <w:b/>
                <w:bCs/>
                <w:color w:val="FFFFFF" w:themeColor="background1"/>
                <w:sz w:val="20"/>
                <w:szCs w:val="20"/>
              </w:rPr>
              <w:t>3.791.251</w:t>
            </w:r>
          </w:p>
        </w:tc>
      </w:tr>
      <w:tr w:rsidR="000B5872" w:rsidRPr="000B5872" w14:paraId="7BB2432D" w14:textId="77777777" w:rsidTr="00FF2AE0">
        <w:trPr>
          <w:cantSplit/>
          <w:jc w:val="center"/>
        </w:trPr>
        <w:tc>
          <w:tcPr>
            <w:cnfStyle w:val="001000000000" w:firstRow="0" w:lastRow="0" w:firstColumn="1" w:lastColumn="0" w:oddVBand="0" w:evenVBand="0" w:oddHBand="0" w:evenHBand="0" w:firstRowFirstColumn="0" w:firstRowLastColumn="0" w:lastRowFirstColumn="0" w:lastRowLastColumn="0"/>
            <w:tcW w:w="2317" w:type="dxa"/>
            <w:shd w:val="clear" w:color="auto" w:fill="4F81BD" w:themeFill="accent1"/>
            <w:vAlign w:val="center"/>
            <w:hideMark/>
          </w:tcPr>
          <w:p w14:paraId="0152516C" w14:textId="77777777" w:rsidR="000B5872" w:rsidRPr="000B5872" w:rsidRDefault="000B5872" w:rsidP="00FF2AE0">
            <w:pPr>
              <w:spacing w:before="40" w:after="40"/>
              <w:rPr>
                <w:rFonts w:ascii="Arial" w:hAnsi="Arial" w:cs="Arial"/>
                <w:color w:val="FFFFFF" w:themeColor="background1"/>
                <w:sz w:val="20"/>
                <w:szCs w:val="20"/>
              </w:rPr>
            </w:pPr>
            <w:r w:rsidRPr="000B5872">
              <w:rPr>
                <w:rFonts w:ascii="Arial" w:hAnsi="Arial" w:cs="Arial"/>
                <w:color w:val="FFFFFF" w:themeColor="background1"/>
                <w:sz w:val="20"/>
                <w:szCs w:val="20"/>
              </w:rPr>
              <w:t>Variación Relativa</w:t>
            </w:r>
          </w:p>
        </w:tc>
        <w:tc>
          <w:tcPr>
            <w:tcW w:w="6325" w:type="dxa"/>
            <w:gridSpan w:val="4"/>
            <w:shd w:val="clear" w:color="auto" w:fill="4F81BD" w:themeFill="accent1"/>
            <w:noWrap/>
            <w:vAlign w:val="center"/>
            <w:hideMark/>
          </w:tcPr>
          <w:p w14:paraId="4E0A497E" w14:textId="77777777" w:rsidR="000B5872" w:rsidRPr="000B5872" w:rsidRDefault="000B5872" w:rsidP="00FF2AE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0B5872">
              <w:rPr>
                <w:rFonts w:ascii="Arial" w:hAnsi="Arial" w:cs="Arial"/>
                <w:b/>
                <w:bCs/>
                <w:color w:val="FFFFFF" w:themeColor="background1"/>
                <w:sz w:val="20"/>
                <w:szCs w:val="20"/>
              </w:rPr>
              <w:t>13%</w:t>
            </w:r>
          </w:p>
        </w:tc>
      </w:tr>
    </w:tbl>
    <w:p w14:paraId="6F0D0393" w14:textId="77777777" w:rsidR="00267E92" w:rsidRDefault="00267E92" w:rsidP="00407B9E">
      <w:pPr>
        <w:jc w:val="both"/>
        <w:rPr>
          <w:rFonts w:ascii="Arial" w:hAnsi="Arial" w:cs="Arial"/>
          <w:sz w:val="22"/>
          <w:szCs w:val="22"/>
        </w:rPr>
      </w:pPr>
    </w:p>
    <w:p w14:paraId="4AA4DDBC" w14:textId="6A9847F2" w:rsidR="00A92C0B" w:rsidRPr="003738CB" w:rsidRDefault="0029290E" w:rsidP="00407B9E">
      <w:pPr>
        <w:jc w:val="both"/>
        <w:rPr>
          <w:rFonts w:ascii="Arial" w:hAnsi="Arial" w:cs="Arial"/>
          <w:sz w:val="22"/>
          <w:szCs w:val="22"/>
        </w:rPr>
      </w:pPr>
      <w:r w:rsidRPr="003738CB">
        <w:rPr>
          <w:rFonts w:ascii="Arial" w:hAnsi="Arial" w:cs="Arial"/>
          <w:sz w:val="22"/>
          <w:szCs w:val="22"/>
        </w:rPr>
        <w:t xml:space="preserve">Sobre el particular, se evidenció </w:t>
      </w:r>
      <w:r w:rsidR="00A67AED" w:rsidRPr="003738CB">
        <w:rPr>
          <w:rFonts w:ascii="Arial" w:hAnsi="Arial" w:cs="Arial"/>
          <w:sz w:val="22"/>
          <w:szCs w:val="22"/>
        </w:rPr>
        <w:t xml:space="preserve">que </w:t>
      </w:r>
      <w:r w:rsidRPr="003738CB">
        <w:rPr>
          <w:rFonts w:ascii="Arial" w:hAnsi="Arial" w:cs="Arial"/>
          <w:sz w:val="22"/>
          <w:szCs w:val="22"/>
        </w:rPr>
        <w:t xml:space="preserve">el valor facturado por los servicios de publicación de actos administrativos expedidos por este Ministerio </w:t>
      </w:r>
      <w:r w:rsidR="00A67AED" w:rsidRPr="003738CB">
        <w:rPr>
          <w:rFonts w:ascii="Arial" w:hAnsi="Arial" w:cs="Arial"/>
          <w:sz w:val="22"/>
          <w:szCs w:val="22"/>
        </w:rPr>
        <w:t xml:space="preserve">durante el </w:t>
      </w:r>
      <w:r w:rsidR="003738CB">
        <w:rPr>
          <w:rFonts w:ascii="Arial" w:hAnsi="Arial" w:cs="Arial"/>
          <w:sz w:val="22"/>
          <w:szCs w:val="22"/>
        </w:rPr>
        <w:t xml:space="preserve">tercer </w:t>
      </w:r>
      <w:r w:rsidR="00A67AED" w:rsidRPr="003738CB">
        <w:rPr>
          <w:rFonts w:ascii="Arial" w:hAnsi="Arial" w:cs="Arial"/>
          <w:sz w:val="22"/>
          <w:szCs w:val="22"/>
        </w:rPr>
        <w:t xml:space="preserve">trimestre de 2020 comparado con el mismo periodo de 2019 presentó </w:t>
      </w:r>
      <w:r w:rsidRPr="003738CB">
        <w:rPr>
          <w:rFonts w:ascii="Arial" w:hAnsi="Arial" w:cs="Arial"/>
          <w:sz w:val="22"/>
          <w:szCs w:val="22"/>
        </w:rPr>
        <w:t xml:space="preserve">un </w:t>
      </w:r>
      <w:r w:rsidRPr="003738CB">
        <w:rPr>
          <w:rFonts w:ascii="Arial" w:hAnsi="Arial" w:cs="Arial"/>
          <w:b/>
          <w:bCs/>
          <w:sz w:val="22"/>
          <w:szCs w:val="22"/>
        </w:rPr>
        <w:t>incremento</w:t>
      </w:r>
      <w:r w:rsidRPr="003738CB">
        <w:rPr>
          <w:rFonts w:ascii="Arial" w:hAnsi="Arial" w:cs="Arial"/>
          <w:sz w:val="22"/>
          <w:szCs w:val="22"/>
        </w:rPr>
        <w:t xml:space="preserve"> de $ </w:t>
      </w:r>
      <w:r w:rsidR="003738CB">
        <w:rPr>
          <w:rFonts w:ascii="Arial" w:hAnsi="Arial" w:cs="Arial"/>
          <w:sz w:val="22"/>
          <w:szCs w:val="22"/>
        </w:rPr>
        <w:t>3.791.251</w:t>
      </w:r>
      <w:r w:rsidRPr="003738CB">
        <w:rPr>
          <w:rFonts w:ascii="Arial" w:hAnsi="Arial" w:cs="Arial"/>
          <w:sz w:val="22"/>
          <w:szCs w:val="22"/>
        </w:rPr>
        <w:t xml:space="preserve"> representando un 1</w:t>
      </w:r>
      <w:r w:rsidR="003738CB">
        <w:rPr>
          <w:rFonts w:ascii="Arial" w:hAnsi="Arial" w:cs="Arial"/>
          <w:sz w:val="22"/>
          <w:szCs w:val="22"/>
        </w:rPr>
        <w:t>3</w:t>
      </w:r>
      <w:r w:rsidR="00A67AED" w:rsidRPr="003738CB">
        <w:rPr>
          <w:rFonts w:ascii="Arial" w:hAnsi="Arial" w:cs="Arial"/>
          <w:sz w:val="22"/>
          <w:szCs w:val="22"/>
        </w:rPr>
        <w:t>%.</w:t>
      </w:r>
      <w:r w:rsidRPr="003738CB">
        <w:rPr>
          <w:rFonts w:ascii="Arial" w:hAnsi="Arial" w:cs="Arial"/>
          <w:sz w:val="22"/>
          <w:szCs w:val="22"/>
        </w:rPr>
        <w:t xml:space="preserve"> </w:t>
      </w:r>
    </w:p>
    <w:p w14:paraId="48C4DD5D" w14:textId="7B72B369" w:rsidR="00A92C0B" w:rsidRPr="003738CB" w:rsidRDefault="00A92C0B" w:rsidP="00567202">
      <w:pPr>
        <w:spacing w:line="168" w:lineRule="auto"/>
        <w:jc w:val="both"/>
        <w:rPr>
          <w:rFonts w:ascii="Arial" w:hAnsi="Arial" w:cs="Arial"/>
          <w:sz w:val="22"/>
          <w:szCs w:val="22"/>
        </w:rPr>
      </w:pPr>
    </w:p>
    <w:p w14:paraId="0DFCFEFE" w14:textId="5111295D" w:rsidR="00B0769E" w:rsidRPr="0051001D" w:rsidRDefault="00A92C0B" w:rsidP="00407B9E">
      <w:pPr>
        <w:jc w:val="both"/>
        <w:rPr>
          <w:rFonts w:ascii="Arial" w:hAnsi="Arial" w:cs="Arial"/>
          <w:sz w:val="22"/>
          <w:szCs w:val="22"/>
        </w:rPr>
      </w:pPr>
      <w:r w:rsidRPr="0051001D">
        <w:rPr>
          <w:rFonts w:ascii="Arial" w:hAnsi="Arial" w:cs="Arial"/>
          <w:sz w:val="22"/>
          <w:szCs w:val="22"/>
        </w:rPr>
        <w:lastRenderedPageBreak/>
        <w:t>Con respecto, a la cantidad de actos administrativos que fueron objeto de publicación en el Diario Oficial</w:t>
      </w:r>
      <w:r w:rsidR="008B6D4B">
        <w:rPr>
          <w:rFonts w:ascii="Arial" w:hAnsi="Arial" w:cs="Arial"/>
          <w:sz w:val="22"/>
          <w:szCs w:val="22"/>
        </w:rPr>
        <w:t xml:space="preserve"> por la Imprenta Nacional de Colombia, el</w:t>
      </w:r>
      <w:r w:rsidRPr="0051001D">
        <w:rPr>
          <w:rFonts w:ascii="Arial" w:hAnsi="Arial" w:cs="Arial"/>
          <w:sz w:val="22"/>
          <w:szCs w:val="22"/>
        </w:rPr>
        <w:t xml:space="preserve"> Grupo de Gestión de Información informó que para el </w:t>
      </w:r>
      <w:r w:rsidR="002242B2" w:rsidRPr="0051001D">
        <w:rPr>
          <w:rFonts w:ascii="Arial" w:hAnsi="Arial" w:cs="Arial"/>
          <w:sz w:val="22"/>
          <w:szCs w:val="22"/>
        </w:rPr>
        <w:t>tercer trimestre</w:t>
      </w:r>
      <w:r w:rsidRPr="0051001D">
        <w:rPr>
          <w:rFonts w:ascii="Arial" w:hAnsi="Arial" w:cs="Arial"/>
          <w:sz w:val="22"/>
          <w:szCs w:val="22"/>
        </w:rPr>
        <w:t xml:space="preserve"> de 2020 fueron </w:t>
      </w:r>
      <w:r w:rsidR="002242B2" w:rsidRPr="0051001D">
        <w:rPr>
          <w:rFonts w:ascii="Arial" w:hAnsi="Arial" w:cs="Arial"/>
          <w:sz w:val="22"/>
          <w:szCs w:val="22"/>
        </w:rPr>
        <w:t>94</w:t>
      </w:r>
      <w:r w:rsidRPr="0051001D">
        <w:rPr>
          <w:rFonts w:ascii="Arial" w:hAnsi="Arial" w:cs="Arial"/>
          <w:sz w:val="22"/>
          <w:szCs w:val="22"/>
        </w:rPr>
        <w:t xml:space="preserve"> y para el </w:t>
      </w:r>
      <w:r w:rsidR="002242B2" w:rsidRPr="0051001D">
        <w:rPr>
          <w:rFonts w:ascii="Arial" w:hAnsi="Arial" w:cs="Arial"/>
          <w:sz w:val="22"/>
          <w:szCs w:val="22"/>
        </w:rPr>
        <w:t xml:space="preserve">tercer </w:t>
      </w:r>
      <w:r w:rsidRPr="0051001D">
        <w:rPr>
          <w:rFonts w:ascii="Arial" w:hAnsi="Arial" w:cs="Arial"/>
          <w:sz w:val="22"/>
          <w:szCs w:val="22"/>
        </w:rPr>
        <w:t xml:space="preserve">trimestre de 2019 </w:t>
      </w:r>
      <w:r w:rsidR="002242B2" w:rsidRPr="0051001D">
        <w:rPr>
          <w:rFonts w:ascii="Arial" w:hAnsi="Arial" w:cs="Arial"/>
          <w:sz w:val="22"/>
          <w:szCs w:val="22"/>
        </w:rPr>
        <w:t>se publicaron 91</w:t>
      </w:r>
      <w:r w:rsidRPr="0051001D">
        <w:rPr>
          <w:rFonts w:ascii="Arial" w:hAnsi="Arial" w:cs="Arial"/>
          <w:sz w:val="22"/>
          <w:szCs w:val="22"/>
        </w:rPr>
        <w:t xml:space="preserve">. </w:t>
      </w:r>
      <w:r w:rsidR="002242B2" w:rsidRPr="0051001D">
        <w:rPr>
          <w:rFonts w:ascii="Arial" w:hAnsi="Arial" w:cs="Arial"/>
          <w:sz w:val="22"/>
          <w:szCs w:val="22"/>
        </w:rPr>
        <w:t xml:space="preserve">Así mismo, reportó la </w:t>
      </w:r>
      <w:r w:rsidR="0051001D" w:rsidRPr="0051001D">
        <w:rPr>
          <w:rFonts w:ascii="Arial" w:hAnsi="Arial" w:cs="Arial"/>
          <w:sz w:val="22"/>
          <w:szCs w:val="22"/>
        </w:rPr>
        <w:t xml:space="preserve">respectiva </w:t>
      </w:r>
      <w:r w:rsidR="002242B2" w:rsidRPr="0051001D">
        <w:rPr>
          <w:rFonts w:ascii="Arial" w:hAnsi="Arial" w:cs="Arial"/>
          <w:sz w:val="22"/>
          <w:szCs w:val="22"/>
        </w:rPr>
        <w:t xml:space="preserve">cantidad de páginas de los </w:t>
      </w:r>
      <w:r w:rsidR="00B0769E" w:rsidRPr="0051001D">
        <w:rPr>
          <w:rFonts w:ascii="Arial" w:hAnsi="Arial" w:cs="Arial"/>
          <w:sz w:val="22"/>
          <w:szCs w:val="22"/>
        </w:rPr>
        <w:t xml:space="preserve">actos administrativos publicados en los </w:t>
      </w:r>
      <w:r w:rsidR="002242B2" w:rsidRPr="0051001D">
        <w:rPr>
          <w:rFonts w:ascii="Arial" w:hAnsi="Arial" w:cs="Arial"/>
          <w:sz w:val="22"/>
          <w:szCs w:val="22"/>
        </w:rPr>
        <w:t xml:space="preserve">periodos objeto de revisión, con dicha información se </w:t>
      </w:r>
      <w:r w:rsidR="00B0769E" w:rsidRPr="0051001D">
        <w:rPr>
          <w:rFonts w:ascii="Arial" w:hAnsi="Arial" w:cs="Arial"/>
          <w:sz w:val="22"/>
          <w:szCs w:val="22"/>
        </w:rPr>
        <w:t>determin</w:t>
      </w:r>
      <w:r w:rsidR="0051001D" w:rsidRPr="0051001D">
        <w:rPr>
          <w:rFonts w:ascii="Arial" w:hAnsi="Arial" w:cs="Arial"/>
          <w:sz w:val="22"/>
          <w:szCs w:val="22"/>
        </w:rPr>
        <w:t xml:space="preserve">ó que </w:t>
      </w:r>
      <w:r w:rsidR="00267E92">
        <w:rPr>
          <w:rFonts w:ascii="Arial" w:hAnsi="Arial" w:cs="Arial"/>
          <w:sz w:val="22"/>
          <w:szCs w:val="22"/>
        </w:rPr>
        <w:t xml:space="preserve">en </w:t>
      </w:r>
      <w:r w:rsidR="0051001D" w:rsidRPr="0051001D">
        <w:rPr>
          <w:rFonts w:ascii="Arial" w:hAnsi="Arial" w:cs="Arial"/>
          <w:sz w:val="22"/>
          <w:szCs w:val="22"/>
        </w:rPr>
        <w:t xml:space="preserve">la cantidad de documentos publicados </w:t>
      </w:r>
      <w:r w:rsidR="008B6D4B">
        <w:rPr>
          <w:rFonts w:ascii="Arial" w:hAnsi="Arial" w:cs="Arial"/>
          <w:sz w:val="22"/>
          <w:szCs w:val="22"/>
        </w:rPr>
        <w:t xml:space="preserve">se presentó un </w:t>
      </w:r>
      <w:r w:rsidR="008B6D4B" w:rsidRPr="00353B13">
        <w:rPr>
          <w:rFonts w:ascii="Arial" w:hAnsi="Arial" w:cs="Arial"/>
          <w:b/>
          <w:bCs/>
          <w:sz w:val="22"/>
          <w:szCs w:val="22"/>
        </w:rPr>
        <w:t>incremento</w:t>
      </w:r>
      <w:r w:rsidR="008B6D4B">
        <w:rPr>
          <w:rFonts w:ascii="Arial" w:hAnsi="Arial" w:cs="Arial"/>
          <w:sz w:val="22"/>
          <w:szCs w:val="22"/>
        </w:rPr>
        <w:t xml:space="preserve"> del</w:t>
      </w:r>
      <w:r w:rsidR="0051001D" w:rsidRPr="0051001D">
        <w:rPr>
          <w:rFonts w:ascii="Arial" w:hAnsi="Arial" w:cs="Arial"/>
          <w:sz w:val="22"/>
          <w:szCs w:val="22"/>
        </w:rPr>
        <w:t xml:space="preserve"> 3%. </w:t>
      </w:r>
      <w:r w:rsidR="00915208">
        <w:rPr>
          <w:rFonts w:ascii="Arial" w:hAnsi="Arial" w:cs="Arial"/>
          <w:sz w:val="22"/>
          <w:szCs w:val="22"/>
        </w:rPr>
        <w:t xml:space="preserve">En relación a </w:t>
      </w:r>
      <w:r w:rsidR="0051001D" w:rsidRPr="0051001D">
        <w:rPr>
          <w:rFonts w:ascii="Arial" w:hAnsi="Arial" w:cs="Arial"/>
          <w:sz w:val="22"/>
          <w:szCs w:val="22"/>
        </w:rPr>
        <w:t xml:space="preserve">la cantidad de páginas de cada documento, el </w:t>
      </w:r>
      <w:r w:rsidR="0051001D" w:rsidRPr="00353B13">
        <w:rPr>
          <w:rFonts w:ascii="Arial" w:hAnsi="Arial" w:cs="Arial"/>
          <w:b/>
          <w:bCs/>
          <w:sz w:val="22"/>
          <w:szCs w:val="22"/>
        </w:rPr>
        <w:t>aumento</w:t>
      </w:r>
      <w:r w:rsidR="0051001D" w:rsidRPr="0051001D">
        <w:rPr>
          <w:rFonts w:ascii="Arial" w:hAnsi="Arial" w:cs="Arial"/>
          <w:sz w:val="22"/>
          <w:szCs w:val="22"/>
        </w:rPr>
        <w:t xml:space="preserve"> fue del 33%. </w:t>
      </w:r>
    </w:p>
    <w:p w14:paraId="4A5700B0" w14:textId="77777777" w:rsidR="00B0769E" w:rsidRPr="0051001D" w:rsidRDefault="00B0769E" w:rsidP="00407B9E">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4390"/>
        <w:gridCol w:w="1559"/>
        <w:gridCol w:w="1430"/>
        <w:gridCol w:w="1843"/>
      </w:tblGrid>
      <w:tr w:rsidR="0051001D" w:rsidRPr="0051001D" w14:paraId="047A46F8" w14:textId="77777777" w:rsidTr="007850A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4390" w:type="dxa"/>
            <w:tcBorders>
              <w:top w:val="double" w:sz="4" w:space="0" w:color="4F81BD" w:themeColor="accent1"/>
              <w:bottom w:val="double" w:sz="4" w:space="0" w:color="4F81BD" w:themeColor="accent1"/>
            </w:tcBorders>
            <w:shd w:val="clear" w:color="auto" w:fill="4F81BD" w:themeFill="accent1"/>
            <w:noWrap/>
            <w:vAlign w:val="center"/>
            <w:hideMark/>
          </w:tcPr>
          <w:p w14:paraId="42DDD9FF" w14:textId="0BAA03C7" w:rsidR="00193D5C" w:rsidRPr="00193D5C" w:rsidRDefault="00193D5C" w:rsidP="007850A7">
            <w:pPr>
              <w:spacing w:before="40" w:after="40"/>
              <w:jc w:val="center"/>
              <w:rPr>
                <w:rFonts w:ascii="Arial" w:hAnsi="Arial" w:cs="Arial"/>
                <w:color w:val="FFFFFF" w:themeColor="background1"/>
                <w:sz w:val="20"/>
                <w:szCs w:val="20"/>
              </w:rPr>
            </w:pPr>
            <w:r w:rsidRPr="00193D5C">
              <w:rPr>
                <w:rFonts w:ascii="Arial" w:hAnsi="Arial" w:cs="Arial"/>
                <w:color w:val="FFFFFF" w:themeColor="background1"/>
                <w:sz w:val="20"/>
                <w:szCs w:val="20"/>
              </w:rPr>
              <w:t>Concepto</w:t>
            </w:r>
          </w:p>
        </w:tc>
        <w:tc>
          <w:tcPr>
            <w:tcW w:w="1559" w:type="dxa"/>
            <w:tcBorders>
              <w:top w:val="double" w:sz="4" w:space="0" w:color="4F81BD" w:themeColor="accent1"/>
              <w:bottom w:val="double" w:sz="4" w:space="0" w:color="4F81BD" w:themeColor="accent1"/>
            </w:tcBorders>
            <w:shd w:val="clear" w:color="auto" w:fill="4F81BD" w:themeFill="accent1"/>
            <w:noWrap/>
            <w:vAlign w:val="center"/>
            <w:hideMark/>
          </w:tcPr>
          <w:p w14:paraId="5400DF8E" w14:textId="77777777" w:rsidR="00193D5C" w:rsidRPr="00193D5C" w:rsidRDefault="00193D5C" w:rsidP="007850A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93D5C">
              <w:rPr>
                <w:rFonts w:ascii="Arial" w:hAnsi="Arial" w:cs="Arial"/>
                <w:color w:val="FFFFFF" w:themeColor="background1"/>
                <w:sz w:val="20"/>
                <w:szCs w:val="20"/>
              </w:rPr>
              <w:t>III Trimestre 2020</w:t>
            </w:r>
          </w:p>
        </w:tc>
        <w:tc>
          <w:tcPr>
            <w:tcW w:w="1430" w:type="dxa"/>
            <w:tcBorders>
              <w:top w:val="double" w:sz="4" w:space="0" w:color="4F81BD" w:themeColor="accent1"/>
              <w:bottom w:val="double" w:sz="4" w:space="0" w:color="4F81BD" w:themeColor="accent1"/>
            </w:tcBorders>
            <w:shd w:val="clear" w:color="auto" w:fill="4F81BD" w:themeFill="accent1"/>
            <w:noWrap/>
            <w:vAlign w:val="center"/>
            <w:hideMark/>
          </w:tcPr>
          <w:p w14:paraId="408D3536" w14:textId="34334010" w:rsidR="00193D5C" w:rsidRPr="00193D5C" w:rsidRDefault="00193D5C" w:rsidP="007850A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93D5C">
              <w:rPr>
                <w:rFonts w:ascii="Arial" w:hAnsi="Arial" w:cs="Arial"/>
                <w:color w:val="FFFFFF" w:themeColor="background1"/>
                <w:sz w:val="20"/>
                <w:szCs w:val="20"/>
              </w:rPr>
              <w:t>III Trimestre 20</w:t>
            </w:r>
            <w:r w:rsidR="00884CFE">
              <w:rPr>
                <w:rFonts w:ascii="Arial" w:hAnsi="Arial" w:cs="Arial"/>
                <w:color w:val="FFFFFF" w:themeColor="background1"/>
                <w:sz w:val="20"/>
                <w:szCs w:val="20"/>
              </w:rPr>
              <w:t>19</w:t>
            </w:r>
          </w:p>
        </w:tc>
        <w:tc>
          <w:tcPr>
            <w:tcW w:w="1843" w:type="dxa"/>
            <w:tcBorders>
              <w:top w:val="double" w:sz="4" w:space="0" w:color="4F81BD" w:themeColor="accent1"/>
              <w:bottom w:val="double" w:sz="4" w:space="0" w:color="4F81BD" w:themeColor="accent1"/>
            </w:tcBorders>
            <w:shd w:val="clear" w:color="auto" w:fill="4F81BD" w:themeFill="accent1"/>
            <w:noWrap/>
            <w:vAlign w:val="center"/>
            <w:hideMark/>
          </w:tcPr>
          <w:p w14:paraId="043F1E4E" w14:textId="77777777" w:rsidR="00193D5C" w:rsidRPr="00193D5C" w:rsidRDefault="00193D5C" w:rsidP="007850A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193D5C">
              <w:rPr>
                <w:rFonts w:ascii="Arial" w:hAnsi="Arial" w:cs="Arial"/>
                <w:color w:val="FFFFFF" w:themeColor="background1"/>
                <w:sz w:val="20"/>
                <w:szCs w:val="20"/>
              </w:rPr>
              <w:t>Variación Relativa</w:t>
            </w:r>
          </w:p>
        </w:tc>
      </w:tr>
      <w:tr w:rsidR="0051001D" w:rsidRPr="0051001D" w14:paraId="0CF91C20" w14:textId="77777777" w:rsidTr="007850A7">
        <w:trPr>
          <w:cantSplit/>
          <w:trHeight w:val="613"/>
          <w:jc w:val="center"/>
        </w:trPr>
        <w:tc>
          <w:tcPr>
            <w:cnfStyle w:val="001000000000" w:firstRow="0" w:lastRow="0" w:firstColumn="1" w:lastColumn="0" w:oddVBand="0" w:evenVBand="0" w:oddHBand="0" w:evenHBand="0" w:firstRowFirstColumn="0" w:firstRowLastColumn="0" w:lastRowFirstColumn="0" w:lastRowLastColumn="0"/>
            <w:tcW w:w="4390" w:type="dxa"/>
            <w:tcBorders>
              <w:top w:val="double" w:sz="4" w:space="0" w:color="4F81BD" w:themeColor="accent1"/>
            </w:tcBorders>
            <w:noWrap/>
            <w:vAlign w:val="center"/>
            <w:hideMark/>
          </w:tcPr>
          <w:p w14:paraId="62014726" w14:textId="7EA90F36" w:rsidR="00193D5C" w:rsidRPr="00193D5C" w:rsidRDefault="00193D5C" w:rsidP="007850A7">
            <w:pPr>
              <w:spacing w:before="40" w:after="40"/>
              <w:rPr>
                <w:rFonts w:ascii="Arial" w:hAnsi="Arial" w:cs="Arial"/>
                <w:b w:val="0"/>
                <w:bCs w:val="0"/>
                <w:color w:val="000000"/>
                <w:sz w:val="20"/>
                <w:szCs w:val="20"/>
              </w:rPr>
            </w:pPr>
            <w:r w:rsidRPr="00193D5C">
              <w:rPr>
                <w:rFonts w:ascii="Arial" w:hAnsi="Arial" w:cs="Arial"/>
                <w:b w:val="0"/>
                <w:bCs w:val="0"/>
                <w:color w:val="000000"/>
                <w:sz w:val="20"/>
                <w:szCs w:val="20"/>
              </w:rPr>
              <w:t xml:space="preserve">Cantidad de Actos </w:t>
            </w:r>
            <w:r w:rsidR="0051001D" w:rsidRPr="0051001D">
              <w:rPr>
                <w:rFonts w:ascii="Arial" w:hAnsi="Arial" w:cs="Arial"/>
                <w:b w:val="0"/>
                <w:bCs w:val="0"/>
                <w:color w:val="000000"/>
                <w:sz w:val="20"/>
                <w:szCs w:val="20"/>
              </w:rPr>
              <w:t>Administrativos Publicados</w:t>
            </w:r>
          </w:p>
        </w:tc>
        <w:tc>
          <w:tcPr>
            <w:tcW w:w="1559" w:type="dxa"/>
            <w:tcBorders>
              <w:top w:val="double" w:sz="4" w:space="0" w:color="4F81BD" w:themeColor="accent1"/>
            </w:tcBorders>
            <w:noWrap/>
            <w:vAlign w:val="center"/>
            <w:hideMark/>
          </w:tcPr>
          <w:p w14:paraId="66135957"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93D5C">
              <w:rPr>
                <w:rFonts w:ascii="Arial" w:hAnsi="Arial" w:cs="Arial"/>
                <w:color w:val="000000"/>
                <w:sz w:val="20"/>
                <w:szCs w:val="20"/>
              </w:rPr>
              <w:t>94</w:t>
            </w:r>
          </w:p>
        </w:tc>
        <w:tc>
          <w:tcPr>
            <w:tcW w:w="1430" w:type="dxa"/>
            <w:tcBorders>
              <w:top w:val="double" w:sz="4" w:space="0" w:color="4F81BD" w:themeColor="accent1"/>
            </w:tcBorders>
            <w:noWrap/>
            <w:vAlign w:val="center"/>
            <w:hideMark/>
          </w:tcPr>
          <w:p w14:paraId="0F5744F6"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93D5C">
              <w:rPr>
                <w:rFonts w:ascii="Arial" w:hAnsi="Arial" w:cs="Arial"/>
                <w:color w:val="000000"/>
                <w:sz w:val="20"/>
                <w:szCs w:val="20"/>
              </w:rPr>
              <w:t>91</w:t>
            </w:r>
          </w:p>
        </w:tc>
        <w:tc>
          <w:tcPr>
            <w:tcW w:w="1843" w:type="dxa"/>
            <w:tcBorders>
              <w:top w:val="double" w:sz="4" w:space="0" w:color="4F81BD" w:themeColor="accent1"/>
            </w:tcBorders>
            <w:noWrap/>
            <w:vAlign w:val="center"/>
            <w:hideMark/>
          </w:tcPr>
          <w:p w14:paraId="21FD497E"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93D5C">
              <w:rPr>
                <w:rFonts w:ascii="Arial" w:hAnsi="Arial" w:cs="Arial"/>
                <w:b/>
                <w:bCs/>
                <w:color w:val="000000"/>
                <w:sz w:val="20"/>
                <w:szCs w:val="20"/>
              </w:rPr>
              <w:t>3%</w:t>
            </w:r>
          </w:p>
        </w:tc>
      </w:tr>
      <w:tr w:rsidR="0051001D" w:rsidRPr="00193D5C" w14:paraId="78BCCAEA" w14:textId="77777777" w:rsidTr="007850A7">
        <w:trPr>
          <w:cantSplit/>
          <w:trHeight w:val="557"/>
          <w:jc w:val="center"/>
        </w:trPr>
        <w:tc>
          <w:tcPr>
            <w:cnfStyle w:val="001000000000" w:firstRow="0" w:lastRow="0" w:firstColumn="1" w:lastColumn="0" w:oddVBand="0" w:evenVBand="0" w:oddHBand="0" w:evenHBand="0" w:firstRowFirstColumn="0" w:firstRowLastColumn="0" w:lastRowFirstColumn="0" w:lastRowLastColumn="0"/>
            <w:tcW w:w="4390" w:type="dxa"/>
            <w:noWrap/>
            <w:vAlign w:val="center"/>
            <w:hideMark/>
          </w:tcPr>
          <w:p w14:paraId="4BB8B7B0" w14:textId="1C1A2093" w:rsidR="00193D5C" w:rsidRPr="00193D5C" w:rsidRDefault="0051001D" w:rsidP="007850A7">
            <w:pPr>
              <w:spacing w:before="40" w:after="40"/>
              <w:rPr>
                <w:rFonts w:ascii="Arial" w:hAnsi="Arial" w:cs="Arial"/>
                <w:b w:val="0"/>
                <w:bCs w:val="0"/>
                <w:color w:val="000000"/>
                <w:sz w:val="20"/>
                <w:szCs w:val="20"/>
              </w:rPr>
            </w:pPr>
            <w:r w:rsidRPr="0051001D">
              <w:rPr>
                <w:rFonts w:ascii="Arial" w:hAnsi="Arial" w:cs="Arial"/>
                <w:b w:val="0"/>
                <w:bCs w:val="0"/>
                <w:color w:val="000000"/>
                <w:sz w:val="20"/>
                <w:szCs w:val="20"/>
              </w:rPr>
              <w:t>Cantidad Páginas</w:t>
            </w:r>
            <w:r w:rsidR="00193D5C" w:rsidRPr="00193D5C">
              <w:rPr>
                <w:rFonts w:ascii="Arial" w:hAnsi="Arial" w:cs="Arial"/>
                <w:b w:val="0"/>
                <w:bCs w:val="0"/>
                <w:color w:val="000000"/>
                <w:sz w:val="20"/>
                <w:szCs w:val="20"/>
              </w:rPr>
              <w:t xml:space="preserve"> </w:t>
            </w:r>
            <w:r w:rsidRPr="0051001D">
              <w:rPr>
                <w:rFonts w:ascii="Arial" w:hAnsi="Arial" w:cs="Arial"/>
                <w:b w:val="0"/>
                <w:bCs w:val="0"/>
                <w:color w:val="000000"/>
                <w:sz w:val="20"/>
                <w:szCs w:val="20"/>
              </w:rPr>
              <w:t>Publicadas</w:t>
            </w:r>
            <w:r w:rsidR="00193D5C" w:rsidRPr="00193D5C">
              <w:rPr>
                <w:rFonts w:ascii="Arial" w:hAnsi="Arial" w:cs="Arial"/>
                <w:b w:val="0"/>
                <w:bCs w:val="0"/>
                <w:color w:val="000000"/>
                <w:sz w:val="20"/>
                <w:szCs w:val="20"/>
              </w:rPr>
              <w:t xml:space="preserve"> </w:t>
            </w:r>
          </w:p>
        </w:tc>
        <w:tc>
          <w:tcPr>
            <w:tcW w:w="1559" w:type="dxa"/>
            <w:noWrap/>
            <w:vAlign w:val="center"/>
            <w:hideMark/>
          </w:tcPr>
          <w:p w14:paraId="086BC065"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93D5C">
              <w:rPr>
                <w:rFonts w:ascii="Arial" w:hAnsi="Arial" w:cs="Arial"/>
                <w:color w:val="000000"/>
                <w:sz w:val="20"/>
                <w:szCs w:val="20"/>
              </w:rPr>
              <w:t>390</w:t>
            </w:r>
          </w:p>
        </w:tc>
        <w:tc>
          <w:tcPr>
            <w:tcW w:w="1430" w:type="dxa"/>
            <w:noWrap/>
            <w:vAlign w:val="center"/>
            <w:hideMark/>
          </w:tcPr>
          <w:p w14:paraId="28C093EC"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93D5C">
              <w:rPr>
                <w:rFonts w:ascii="Arial" w:hAnsi="Arial" w:cs="Arial"/>
                <w:color w:val="000000"/>
                <w:sz w:val="20"/>
                <w:szCs w:val="20"/>
              </w:rPr>
              <w:t>293</w:t>
            </w:r>
          </w:p>
        </w:tc>
        <w:tc>
          <w:tcPr>
            <w:tcW w:w="1843" w:type="dxa"/>
            <w:noWrap/>
            <w:vAlign w:val="center"/>
            <w:hideMark/>
          </w:tcPr>
          <w:p w14:paraId="7EF7852B" w14:textId="77777777" w:rsidR="00193D5C" w:rsidRPr="00193D5C" w:rsidRDefault="00193D5C" w:rsidP="007850A7">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93D5C">
              <w:rPr>
                <w:rFonts w:ascii="Arial" w:hAnsi="Arial" w:cs="Arial"/>
                <w:b/>
                <w:bCs/>
                <w:color w:val="000000"/>
                <w:sz w:val="20"/>
                <w:szCs w:val="20"/>
              </w:rPr>
              <w:t>33%</w:t>
            </w:r>
          </w:p>
        </w:tc>
      </w:tr>
    </w:tbl>
    <w:p w14:paraId="674015A8" w14:textId="208BC146" w:rsidR="00B0769E" w:rsidRDefault="00B0769E" w:rsidP="007850A7">
      <w:pPr>
        <w:spacing w:line="168" w:lineRule="auto"/>
        <w:jc w:val="both"/>
        <w:rPr>
          <w:rFonts w:ascii="Arial" w:hAnsi="Arial" w:cs="Arial"/>
          <w:sz w:val="22"/>
          <w:szCs w:val="22"/>
          <w:highlight w:val="yellow"/>
        </w:rPr>
      </w:pPr>
    </w:p>
    <w:p w14:paraId="39A4649D" w14:textId="511A3AD6" w:rsidR="00DD6DC3" w:rsidRPr="00CC300F" w:rsidRDefault="00482695" w:rsidP="00482695">
      <w:pPr>
        <w:jc w:val="both"/>
        <w:rPr>
          <w:rFonts w:ascii="Arial" w:hAnsi="Arial" w:cs="Arial"/>
          <w:sz w:val="22"/>
          <w:szCs w:val="22"/>
        </w:rPr>
      </w:pPr>
      <w:r w:rsidRPr="00CC300F">
        <w:rPr>
          <w:rFonts w:ascii="Arial" w:hAnsi="Arial" w:cs="Arial"/>
          <w:sz w:val="22"/>
          <w:szCs w:val="22"/>
        </w:rPr>
        <w:t xml:space="preserve">Al respecto, el Coordinador del Grupo de Gestión de Información </w:t>
      </w:r>
      <w:r w:rsidR="00267E92">
        <w:rPr>
          <w:rFonts w:ascii="Arial" w:hAnsi="Arial" w:cs="Arial"/>
          <w:sz w:val="22"/>
          <w:szCs w:val="22"/>
        </w:rPr>
        <w:t xml:space="preserve">indicó </w:t>
      </w:r>
      <w:r w:rsidR="00DD6DC3">
        <w:rPr>
          <w:rFonts w:ascii="Arial" w:hAnsi="Arial" w:cs="Arial"/>
          <w:sz w:val="22"/>
          <w:szCs w:val="22"/>
        </w:rPr>
        <w:t xml:space="preserve">que </w:t>
      </w:r>
      <w:r w:rsidR="00DD6DC3" w:rsidRPr="00DD6DC3">
        <w:rPr>
          <w:rFonts w:ascii="Arial" w:hAnsi="Arial" w:cs="Arial"/>
          <w:sz w:val="22"/>
          <w:szCs w:val="22"/>
        </w:rPr>
        <w:t xml:space="preserve">la cantidad de actos administrativos, así como su número de páginas, </w:t>
      </w:r>
      <w:r w:rsidR="00267E92">
        <w:rPr>
          <w:rFonts w:ascii="Arial" w:hAnsi="Arial" w:cs="Arial"/>
          <w:sz w:val="22"/>
          <w:szCs w:val="22"/>
        </w:rPr>
        <w:t xml:space="preserve">es </w:t>
      </w:r>
      <w:r w:rsidR="00DD6DC3" w:rsidRPr="00DD6DC3">
        <w:rPr>
          <w:rFonts w:ascii="Arial" w:hAnsi="Arial" w:cs="Arial"/>
          <w:sz w:val="22"/>
          <w:szCs w:val="22"/>
        </w:rPr>
        <w:t xml:space="preserve">de acuerdo </w:t>
      </w:r>
      <w:r w:rsidR="00267E92">
        <w:rPr>
          <w:rFonts w:ascii="Arial" w:hAnsi="Arial" w:cs="Arial"/>
          <w:sz w:val="22"/>
          <w:szCs w:val="22"/>
        </w:rPr>
        <w:t xml:space="preserve">con </w:t>
      </w:r>
      <w:r w:rsidR="00DD6DC3" w:rsidRPr="00DD6DC3">
        <w:rPr>
          <w:rFonts w:ascii="Arial" w:hAnsi="Arial" w:cs="Arial"/>
          <w:sz w:val="22"/>
          <w:szCs w:val="22"/>
        </w:rPr>
        <w:t xml:space="preserve">las necesidades </w:t>
      </w:r>
      <w:r w:rsidR="00267E92">
        <w:rPr>
          <w:rFonts w:ascii="Arial" w:hAnsi="Arial" w:cs="Arial"/>
          <w:sz w:val="22"/>
          <w:szCs w:val="22"/>
        </w:rPr>
        <w:t xml:space="preserve">del servicio </w:t>
      </w:r>
      <w:r w:rsidR="00DD6DC3" w:rsidRPr="00DD6DC3">
        <w:rPr>
          <w:rFonts w:ascii="Arial" w:hAnsi="Arial" w:cs="Arial"/>
          <w:sz w:val="22"/>
          <w:szCs w:val="22"/>
        </w:rPr>
        <w:t xml:space="preserve">en el desarrollo de </w:t>
      </w:r>
      <w:r w:rsidR="00DD6DC3">
        <w:rPr>
          <w:rFonts w:ascii="Arial" w:hAnsi="Arial" w:cs="Arial"/>
          <w:sz w:val="22"/>
          <w:szCs w:val="22"/>
        </w:rPr>
        <w:t xml:space="preserve">las </w:t>
      </w:r>
      <w:r w:rsidR="00DD6DC3" w:rsidRPr="00DD6DC3">
        <w:rPr>
          <w:rFonts w:ascii="Arial" w:hAnsi="Arial" w:cs="Arial"/>
          <w:sz w:val="22"/>
          <w:szCs w:val="22"/>
        </w:rPr>
        <w:t>funciones de cada dependencia de</w:t>
      </w:r>
      <w:r w:rsidR="00DD6DC3">
        <w:rPr>
          <w:rFonts w:ascii="Arial" w:hAnsi="Arial" w:cs="Arial"/>
          <w:sz w:val="22"/>
          <w:szCs w:val="22"/>
        </w:rPr>
        <w:t xml:space="preserve"> este </w:t>
      </w:r>
      <w:r w:rsidR="00DD6DC3" w:rsidRPr="00DD6DC3">
        <w:rPr>
          <w:rFonts w:ascii="Arial" w:hAnsi="Arial" w:cs="Arial"/>
          <w:sz w:val="22"/>
          <w:szCs w:val="22"/>
        </w:rPr>
        <w:t xml:space="preserve">Ministerio, con el fin de cumplir con la </w:t>
      </w:r>
      <w:r w:rsidR="00DD6DC3">
        <w:rPr>
          <w:rFonts w:ascii="Arial" w:hAnsi="Arial" w:cs="Arial"/>
          <w:sz w:val="22"/>
          <w:szCs w:val="22"/>
        </w:rPr>
        <w:t>m</w:t>
      </w:r>
      <w:r w:rsidR="00DD6DC3" w:rsidRPr="00DD6DC3">
        <w:rPr>
          <w:rFonts w:ascii="Arial" w:hAnsi="Arial" w:cs="Arial"/>
          <w:sz w:val="22"/>
          <w:szCs w:val="22"/>
        </w:rPr>
        <w:t>isionalidad de la Entidad, razón por la cual</w:t>
      </w:r>
      <w:r w:rsidR="00DD6DC3">
        <w:rPr>
          <w:rFonts w:ascii="Arial" w:hAnsi="Arial" w:cs="Arial"/>
          <w:sz w:val="22"/>
          <w:szCs w:val="22"/>
        </w:rPr>
        <w:t>,</w:t>
      </w:r>
      <w:r w:rsidR="00DD6DC3" w:rsidRPr="00DD6DC3">
        <w:rPr>
          <w:rFonts w:ascii="Arial" w:hAnsi="Arial" w:cs="Arial"/>
          <w:sz w:val="22"/>
          <w:szCs w:val="22"/>
        </w:rPr>
        <w:t xml:space="preserve"> no se puede </w:t>
      </w:r>
      <w:r w:rsidR="00DD6DC3">
        <w:rPr>
          <w:rFonts w:ascii="Arial" w:hAnsi="Arial" w:cs="Arial"/>
          <w:sz w:val="22"/>
          <w:szCs w:val="22"/>
        </w:rPr>
        <w:t xml:space="preserve">fijar la </w:t>
      </w:r>
      <w:r w:rsidR="00DD6DC3" w:rsidRPr="00DD6DC3">
        <w:rPr>
          <w:rFonts w:ascii="Arial" w:hAnsi="Arial" w:cs="Arial"/>
          <w:sz w:val="22"/>
          <w:szCs w:val="22"/>
        </w:rPr>
        <w:t>cantidad de actos administrativos</w:t>
      </w:r>
      <w:r w:rsidR="00267E92">
        <w:rPr>
          <w:rFonts w:ascii="Arial" w:hAnsi="Arial" w:cs="Arial"/>
          <w:sz w:val="22"/>
          <w:szCs w:val="22"/>
        </w:rPr>
        <w:t xml:space="preserve"> </w:t>
      </w:r>
      <w:r w:rsidR="004F0C76">
        <w:rPr>
          <w:rFonts w:ascii="Arial" w:hAnsi="Arial" w:cs="Arial"/>
          <w:sz w:val="22"/>
          <w:szCs w:val="22"/>
        </w:rPr>
        <w:t xml:space="preserve">ni </w:t>
      </w:r>
      <w:r w:rsidR="00DD6DC3" w:rsidRPr="00DD6DC3">
        <w:rPr>
          <w:rFonts w:ascii="Arial" w:hAnsi="Arial" w:cs="Arial"/>
          <w:sz w:val="22"/>
          <w:szCs w:val="22"/>
        </w:rPr>
        <w:t>su</w:t>
      </w:r>
      <w:r w:rsidR="00267E92">
        <w:rPr>
          <w:rFonts w:ascii="Arial" w:hAnsi="Arial" w:cs="Arial"/>
          <w:sz w:val="22"/>
          <w:szCs w:val="22"/>
        </w:rPr>
        <w:t xml:space="preserve"> respectivo</w:t>
      </w:r>
      <w:r w:rsidR="00DD6DC3" w:rsidRPr="00DD6DC3">
        <w:rPr>
          <w:rFonts w:ascii="Arial" w:hAnsi="Arial" w:cs="Arial"/>
          <w:sz w:val="22"/>
          <w:szCs w:val="22"/>
        </w:rPr>
        <w:t xml:space="preserve"> </w:t>
      </w:r>
      <w:r w:rsidR="006E658B" w:rsidRPr="00DD6DC3">
        <w:rPr>
          <w:rFonts w:ascii="Arial" w:hAnsi="Arial" w:cs="Arial"/>
          <w:sz w:val="22"/>
          <w:szCs w:val="22"/>
        </w:rPr>
        <w:t>v</w:t>
      </w:r>
      <w:r w:rsidR="006E658B">
        <w:rPr>
          <w:rFonts w:ascii="Arial" w:hAnsi="Arial" w:cs="Arial"/>
          <w:sz w:val="22"/>
          <w:szCs w:val="22"/>
        </w:rPr>
        <w:t>o</w:t>
      </w:r>
      <w:r w:rsidR="006E658B" w:rsidRPr="00DD6DC3">
        <w:rPr>
          <w:rFonts w:ascii="Arial" w:hAnsi="Arial" w:cs="Arial"/>
          <w:sz w:val="22"/>
          <w:szCs w:val="22"/>
        </w:rPr>
        <w:t>lumen</w:t>
      </w:r>
      <w:r w:rsidR="00DD6DC3" w:rsidRPr="00DD6DC3">
        <w:rPr>
          <w:rFonts w:ascii="Arial" w:hAnsi="Arial" w:cs="Arial"/>
          <w:sz w:val="22"/>
          <w:szCs w:val="22"/>
        </w:rPr>
        <w:t>, ya que de est</w:t>
      </w:r>
      <w:r w:rsidR="00DD6DC3">
        <w:rPr>
          <w:rFonts w:ascii="Arial" w:hAnsi="Arial" w:cs="Arial"/>
          <w:sz w:val="22"/>
          <w:szCs w:val="22"/>
        </w:rPr>
        <w:t xml:space="preserve">as variables </w:t>
      </w:r>
      <w:r w:rsidR="00DD6DC3" w:rsidRPr="00DD6DC3">
        <w:rPr>
          <w:rFonts w:ascii="Arial" w:hAnsi="Arial" w:cs="Arial"/>
          <w:sz w:val="22"/>
          <w:szCs w:val="22"/>
        </w:rPr>
        <w:t xml:space="preserve">dependen </w:t>
      </w:r>
      <w:r w:rsidR="00DD6DC3">
        <w:rPr>
          <w:rFonts w:ascii="Arial" w:hAnsi="Arial" w:cs="Arial"/>
          <w:sz w:val="22"/>
          <w:szCs w:val="22"/>
        </w:rPr>
        <w:t xml:space="preserve">de </w:t>
      </w:r>
      <w:r w:rsidR="00DD6DC3" w:rsidRPr="00DD6DC3">
        <w:rPr>
          <w:rFonts w:ascii="Arial" w:hAnsi="Arial" w:cs="Arial"/>
          <w:sz w:val="22"/>
          <w:szCs w:val="22"/>
        </w:rPr>
        <w:t xml:space="preserve">las operaciones </w:t>
      </w:r>
      <w:r w:rsidR="00DD6DC3">
        <w:rPr>
          <w:rFonts w:ascii="Arial" w:hAnsi="Arial" w:cs="Arial"/>
          <w:sz w:val="22"/>
          <w:szCs w:val="22"/>
        </w:rPr>
        <w:t xml:space="preserve">desarrolladas por cada área en el periodo correspondiente. </w:t>
      </w:r>
    </w:p>
    <w:p w14:paraId="10B4EAFB" w14:textId="77777777" w:rsidR="00482695" w:rsidRDefault="00482695" w:rsidP="00567202">
      <w:pPr>
        <w:spacing w:line="168" w:lineRule="auto"/>
        <w:jc w:val="both"/>
        <w:rPr>
          <w:rFonts w:ascii="Arial" w:hAnsi="Arial" w:cs="Arial"/>
          <w:sz w:val="22"/>
          <w:szCs w:val="22"/>
        </w:rPr>
      </w:pPr>
    </w:p>
    <w:p w14:paraId="2331BD9E" w14:textId="53C3524E" w:rsidR="0051001D" w:rsidRDefault="003A6BC7" w:rsidP="00407B9E">
      <w:pPr>
        <w:jc w:val="both"/>
        <w:rPr>
          <w:rFonts w:ascii="Arial" w:hAnsi="Arial" w:cs="Arial"/>
          <w:sz w:val="22"/>
          <w:szCs w:val="22"/>
        </w:rPr>
      </w:pPr>
      <w:r w:rsidRPr="003A6BC7">
        <w:rPr>
          <w:rFonts w:ascii="Arial" w:hAnsi="Arial" w:cs="Arial"/>
          <w:sz w:val="22"/>
          <w:szCs w:val="22"/>
        </w:rPr>
        <w:t xml:space="preserve">Para el caso de las publicaciones efectuadas por el contratista Big Media Publicidad, durante el tercer trimestre de 2020 se efectuó la publicación de </w:t>
      </w:r>
      <w:r>
        <w:rPr>
          <w:rFonts w:ascii="Arial" w:hAnsi="Arial" w:cs="Arial"/>
          <w:sz w:val="22"/>
          <w:szCs w:val="22"/>
        </w:rPr>
        <w:t>2</w:t>
      </w:r>
      <w:r w:rsidRPr="003A6BC7">
        <w:rPr>
          <w:rFonts w:ascii="Arial" w:hAnsi="Arial" w:cs="Arial"/>
          <w:sz w:val="22"/>
          <w:szCs w:val="22"/>
        </w:rPr>
        <w:t xml:space="preserve"> avisos, para el mismo periodo de 2019 se publicó</w:t>
      </w:r>
      <w:r>
        <w:rPr>
          <w:rFonts w:ascii="Arial" w:hAnsi="Arial" w:cs="Arial"/>
          <w:sz w:val="22"/>
          <w:szCs w:val="22"/>
        </w:rPr>
        <w:t xml:space="preserve"> </w:t>
      </w:r>
      <w:r w:rsidRPr="003A6BC7">
        <w:rPr>
          <w:rFonts w:ascii="Arial" w:hAnsi="Arial" w:cs="Arial"/>
          <w:sz w:val="22"/>
          <w:szCs w:val="22"/>
        </w:rPr>
        <w:t>1 aviso, sin embargo, es relevante</w:t>
      </w:r>
      <w:r>
        <w:rPr>
          <w:rFonts w:ascii="Arial" w:hAnsi="Arial" w:cs="Arial"/>
          <w:sz w:val="22"/>
          <w:szCs w:val="22"/>
        </w:rPr>
        <w:t xml:space="preserve"> tener en cuenta que el </w:t>
      </w:r>
      <w:r w:rsidR="003B687D">
        <w:rPr>
          <w:rFonts w:ascii="Arial" w:hAnsi="Arial" w:cs="Arial"/>
          <w:sz w:val="22"/>
          <w:szCs w:val="22"/>
        </w:rPr>
        <w:t xml:space="preserve">valor correspondiente a las publicaciones es </w:t>
      </w:r>
      <w:r>
        <w:rPr>
          <w:rFonts w:ascii="Arial" w:hAnsi="Arial" w:cs="Arial"/>
          <w:sz w:val="22"/>
          <w:szCs w:val="22"/>
        </w:rPr>
        <w:t xml:space="preserve">de acuerdo con el tamaño </w:t>
      </w:r>
      <w:r w:rsidR="003B687D">
        <w:rPr>
          <w:rFonts w:ascii="Arial" w:hAnsi="Arial" w:cs="Arial"/>
          <w:sz w:val="22"/>
          <w:szCs w:val="22"/>
        </w:rPr>
        <w:t xml:space="preserve">del contenido del </w:t>
      </w:r>
      <w:r>
        <w:rPr>
          <w:rFonts w:ascii="Arial" w:hAnsi="Arial" w:cs="Arial"/>
          <w:sz w:val="22"/>
          <w:szCs w:val="22"/>
        </w:rPr>
        <w:t>aviso</w:t>
      </w:r>
      <w:r w:rsidR="00353B13">
        <w:rPr>
          <w:rFonts w:ascii="Arial" w:hAnsi="Arial" w:cs="Arial"/>
          <w:sz w:val="22"/>
          <w:szCs w:val="22"/>
        </w:rPr>
        <w:t>. A continuación, se expone las variaciones obtenidas</w:t>
      </w:r>
      <w:r w:rsidR="00482695">
        <w:rPr>
          <w:rFonts w:ascii="Arial" w:hAnsi="Arial" w:cs="Arial"/>
          <w:sz w:val="22"/>
          <w:szCs w:val="22"/>
        </w:rPr>
        <w:t xml:space="preserve">:   </w:t>
      </w:r>
    </w:p>
    <w:p w14:paraId="4273FEC3" w14:textId="77014771" w:rsidR="003A6BC7" w:rsidRDefault="003A6BC7" w:rsidP="00407B9E">
      <w:pPr>
        <w:jc w:val="both"/>
        <w:rPr>
          <w:rFonts w:ascii="Arial" w:hAnsi="Arial" w:cs="Arial"/>
          <w:sz w:val="22"/>
          <w:szCs w:val="22"/>
        </w:rPr>
      </w:pPr>
    </w:p>
    <w:tbl>
      <w:tblPr>
        <w:tblStyle w:val="Tabladecuadrcula1clara-nfasis1"/>
        <w:tblW w:w="0" w:type="auto"/>
        <w:jc w:val="center"/>
        <w:tblLook w:val="04A0" w:firstRow="1" w:lastRow="0" w:firstColumn="1" w:lastColumn="0" w:noHBand="0" w:noVBand="1"/>
      </w:tblPr>
      <w:tblGrid>
        <w:gridCol w:w="2535"/>
        <w:gridCol w:w="1718"/>
        <w:gridCol w:w="2410"/>
      </w:tblGrid>
      <w:tr w:rsidR="00482695" w:rsidRPr="003A6BC7" w14:paraId="6733DA9F" w14:textId="77777777" w:rsidTr="007850A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535" w:type="dxa"/>
            <w:shd w:val="clear" w:color="auto" w:fill="4F81BD" w:themeFill="accent1"/>
            <w:noWrap/>
            <w:vAlign w:val="center"/>
            <w:hideMark/>
          </w:tcPr>
          <w:p w14:paraId="323A943A" w14:textId="1EE7A883" w:rsidR="003A6BC7" w:rsidRPr="003A6BC7" w:rsidRDefault="003A6BC7" w:rsidP="00567202">
            <w:pPr>
              <w:spacing w:before="60" w:after="60"/>
              <w:rPr>
                <w:rFonts w:ascii="Arial" w:hAnsi="Arial" w:cs="Arial"/>
                <w:color w:val="FFFFFF" w:themeColor="background1"/>
                <w:sz w:val="22"/>
                <w:szCs w:val="22"/>
              </w:rPr>
            </w:pPr>
            <w:r w:rsidRPr="003A6BC7">
              <w:rPr>
                <w:rFonts w:ascii="Arial" w:hAnsi="Arial" w:cs="Arial"/>
                <w:color w:val="FFFFFF" w:themeColor="background1"/>
                <w:sz w:val="22"/>
                <w:szCs w:val="22"/>
              </w:rPr>
              <w:t xml:space="preserve">Avisos </w:t>
            </w:r>
            <w:r w:rsidRPr="003B687D">
              <w:rPr>
                <w:rFonts w:ascii="Arial" w:hAnsi="Arial" w:cs="Arial"/>
                <w:color w:val="FFFFFF" w:themeColor="background1"/>
                <w:sz w:val="22"/>
                <w:szCs w:val="22"/>
              </w:rPr>
              <w:t xml:space="preserve">Publicados </w:t>
            </w:r>
          </w:p>
        </w:tc>
        <w:tc>
          <w:tcPr>
            <w:tcW w:w="1718" w:type="dxa"/>
            <w:shd w:val="clear" w:color="auto" w:fill="4F81BD" w:themeFill="accent1"/>
            <w:noWrap/>
            <w:vAlign w:val="center"/>
            <w:hideMark/>
          </w:tcPr>
          <w:p w14:paraId="0C5546D2" w14:textId="77777777" w:rsidR="003A6BC7" w:rsidRPr="003A6BC7" w:rsidRDefault="003A6BC7" w:rsidP="0056720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A6BC7">
              <w:rPr>
                <w:rFonts w:ascii="Arial" w:hAnsi="Arial" w:cs="Arial"/>
                <w:color w:val="FFFFFF" w:themeColor="background1"/>
                <w:sz w:val="22"/>
                <w:szCs w:val="22"/>
              </w:rPr>
              <w:t xml:space="preserve">Cantidad </w:t>
            </w:r>
          </w:p>
        </w:tc>
        <w:tc>
          <w:tcPr>
            <w:tcW w:w="2410" w:type="dxa"/>
            <w:shd w:val="clear" w:color="auto" w:fill="4F81BD" w:themeFill="accent1"/>
            <w:noWrap/>
            <w:vAlign w:val="center"/>
            <w:hideMark/>
          </w:tcPr>
          <w:p w14:paraId="3E8AA049" w14:textId="1C2A2A1F" w:rsidR="003A6BC7" w:rsidRPr="003A6BC7" w:rsidRDefault="003A6BC7" w:rsidP="0056720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r w:rsidRPr="003A6BC7">
              <w:rPr>
                <w:rFonts w:ascii="Arial" w:hAnsi="Arial" w:cs="Arial"/>
                <w:color w:val="FFFFFF" w:themeColor="background1"/>
                <w:sz w:val="22"/>
                <w:szCs w:val="22"/>
              </w:rPr>
              <w:t xml:space="preserve">Valor </w:t>
            </w:r>
            <w:r w:rsidR="003B687D">
              <w:rPr>
                <w:rFonts w:ascii="Arial" w:hAnsi="Arial" w:cs="Arial"/>
                <w:color w:val="FFFFFF" w:themeColor="background1"/>
                <w:sz w:val="22"/>
                <w:szCs w:val="22"/>
              </w:rPr>
              <w:t>($)</w:t>
            </w:r>
          </w:p>
        </w:tc>
      </w:tr>
      <w:tr w:rsidR="003A6BC7" w:rsidRPr="003A6BC7" w14:paraId="6E90FC51" w14:textId="77777777" w:rsidTr="007850A7">
        <w:trPr>
          <w:cantSplit/>
          <w:trHeight w:val="373"/>
          <w:jc w:val="center"/>
        </w:trPr>
        <w:tc>
          <w:tcPr>
            <w:cnfStyle w:val="001000000000" w:firstRow="0" w:lastRow="0" w:firstColumn="1" w:lastColumn="0" w:oddVBand="0" w:evenVBand="0" w:oddHBand="0" w:evenHBand="0" w:firstRowFirstColumn="0" w:firstRowLastColumn="0" w:lastRowFirstColumn="0" w:lastRowLastColumn="0"/>
            <w:tcW w:w="2535" w:type="dxa"/>
            <w:noWrap/>
            <w:vAlign w:val="center"/>
            <w:hideMark/>
          </w:tcPr>
          <w:p w14:paraId="4B56F840" w14:textId="77777777" w:rsidR="003A6BC7" w:rsidRPr="003A6BC7" w:rsidRDefault="003A6BC7" w:rsidP="00567202">
            <w:pPr>
              <w:spacing w:before="60" w:after="60"/>
              <w:rPr>
                <w:rFonts w:ascii="Arial" w:hAnsi="Arial" w:cs="Arial"/>
                <w:b w:val="0"/>
                <w:bCs w:val="0"/>
                <w:color w:val="0F243E" w:themeColor="text2" w:themeShade="80"/>
                <w:sz w:val="22"/>
                <w:szCs w:val="22"/>
              </w:rPr>
            </w:pPr>
            <w:r w:rsidRPr="003A6BC7">
              <w:rPr>
                <w:rFonts w:ascii="Arial" w:hAnsi="Arial" w:cs="Arial"/>
                <w:b w:val="0"/>
                <w:bCs w:val="0"/>
                <w:color w:val="0F243E" w:themeColor="text2" w:themeShade="80"/>
                <w:sz w:val="22"/>
                <w:szCs w:val="22"/>
              </w:rPr>
              <w:t>III Trimestre de 2020</w:t>
            </w:r>
          </w:p>
        </w:tc>
        <w:tc>
          <w:tcPr>
            <w:tcW w:w="1718" w:type="dxa"/>
            <w:noWrap/>
            <w:vAlign w:val="center"/>
            <w:hideMark/>
          </w:tcPr>
          <w:p w14:paraId="627E9E11" w14:textId="77777777" w:rsidR="003A6BC7" w:rsidRPr="003A6BC7" w:rsidRDefault="003A6BC7"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3A6BC7">
              <w:rPr>
                <w:rFonts w:ascii="Arial" w:hAnsi="Arial" w:cs="Arial"/>
                <w:color w:val="0F243E" w:themeColor="text2" w:themeShade="80"/>
                <w:sz w:val="22"/>
                <w:szCs w:val="22"/>
              </w:rPr>
              <w:t>2</w:t>
            </w:r>
          </w:p>
        </w:tc>
        <w:tc>
          <w:tcPr>
            <w:tcW w:w="2410" w:type="dxa"/>
            <w:noWrap/>
            <w:vAlign w:val="center"/>
            <w:hideMark/>
          </w:tcPr>
          <w:p w14:paraId="2E82E4D1" w14:textId="3BBCB084" w:rsidR="003A6BC7" w:rsidRPr="003A6BC7" w:rsidRDefault="003A6BC7"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3A6BC7">
              <w:rPr>
                <w:rFonts w:ascii="Arial" w:hAnsi="Arial" w:cs="Arial"/>
                <w:color w:val="0F243E" w:themeColor="text2" w:themeShade="80"/>
                <w:sz w:val="22"/>
                <w:szCs w:val="22"/>
              </w:rPr>
              <w:t xml:space="preserve">         327.182 </w:t>
            </w:r>
          </w:p>
        </w:tc>
      </w:tr>
      <w:tr w:rsidR="003A6BC7" w:rsidRPr="003A6BC7" w14:paraId="453646BD" w14:textId="77777777" w:rsidTr="007850A7">
        <w:trPr>
          <w:cantSplit/>
          <w:trHeight w:val="130"/>
          <w:jc w:val="center"/>
        </w:trPr>
        <w:tc>
          <w:tcPr>
            <w:cnfStyle w:val="001000000000" w:firstRow="0" w:lastRow="0" w:firstColumn="1" w:lastColumn="0" w:oddVBand="0" w:evenVBand="0" w:oddHBand="0" w:evenHBand="0" w:firstRowFirstColumn="0" w:firstRowLastColumn="0" w:lastRowFirstColumn="0" w:lastRowLastColumn="0"/>
            <w:tcW w:w="2535" w:type="dxa"/>
            <w:noWrap/>
            <w:vAlign w:val="center"/>
            <w:hideMark/>
          </w:tcPr>
          <w:p w14:paraId="4B2C99D3" w14:textId="77777777" w:rsidR="003A6BC7" w:rsidRPr="003A6BC7" w:rsidRDefault="003A6BC7" w:rsidP="00567202">
            <w:pPr>
              <w:spacing w:before="60" w:after="60"/>
              <w:rPr>
                <w:rFonts w:ascii="Arial" w:hAnsi="Arial" w:cs="Arial"/>
                <w:b w:val="0"/>
                <w:bCs w:val="0"/>
                <w:color w:val="0F243E" w:themeColor="text2" w:themeShade="80"/>
                <w:sz w:val="22"/>
                <w:szCs w:val="22"/>
              </w:rPr>
            </w:pPr>
            <w:r w:rsidRPr="003A6BC7">
              <w:rPr>
                <w:rFonts w:ascii="Arial" w:hAnsi="Arial" w:cs="Arial"/>
                <w:b w:val="0"/>
                <w:bCs w:val="0"/>
                <w:color w:val="0F243E" w:themeColor="text2" w:themeShade="80"/>
                <w:sz w:val="22"/>
                <w:szCs w:val="22"/>
              </w:rPr>
              <w:t>III Trimestre de 2019</w:t>
            </w:r>
          </w:p>
        </w:tc>
        <w:tc>
          <w:tcPr>
            <w:tcW w:w="1718" w:type="dxa"/>
            <w:noWrap/>
            <w:vAlign w:val="center"/>
            <w:hideMark/>
          </w:tcPr>
          <w:p w14:paraId="09160ACC" w14:textId="77777777" w:rsidR="003A6BC7" w:rsidRPr="003A6BC7" w:rsidRDefault="003A6BC7"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3A6BC7">
              <w:rPr>
                <w:rFonts w:ascii="Arial" w:hAnsi="Arial" w:cs="Arial"/>
                <w:color w:val="0F243E" w:themeColor="text2" w:themeShade="80"/>
                <w:sz w:val="22"/>
                <w:szCs w:val="22"/>
              </w:rPr>
              <w:t>1</w:t>
            </w:r>
          </w:p>
        </w:tc>
        <w:tc>
          <w:tcPr>
            <w:tcW w:w="2410" w:type="dxa"/>
            <w:noWrap/>
            <w:vAlign w:val="center"/>
            <w:hideMark/>
          </w:tcPr>
          <w:p w14:paraId="2DA8F11A" w14:textId="1E8877E7" w:rsidR="003A6BC7" w:rsidRPr="003A6BC7" w:rsidRDefault="003A6BC7"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2"/>
                <w:szCs w:val="22"/>
              </w:rPr>
            </w:pPr>
            <w:r w:rsidRPr="003A6BC7">
              <w:rPr>
                <w:rFonts w:ascii="Arial" w:hAnsi="Arial" w:cs="Arial"/>
                <w:color w:val="0F243E" w:themeColor="text2" w:themeShade="80"/>
                <w:sz w:val="22"/>
                <w:szCs w:val="22"/>
              </w:rPr>
              <w:t xml:space="preserve">                  1.447.362 </w:t>
            </w:r>
          </w:p>
        </w:tc>
      </w:tr>
      <w:tr w:rsidR="003A6BC7" w:rsidRPr="003A6BC7" w14:paraId="157BB3FE" w14:textId="77777777" w:rsidTr="007850A7">
        <w:trPr>
          <w:cantSplit/>
          <w:jc w:val="center"/>
        </w:trPr>
        <w:tc>
          <w:tcPr>
            <w:cnfStyle w:val="001000000000" w:firstRow="0" w:lastRow="0" w:firstColumn="1" w:lastColumn="0" w:oddVBand="0" w:evenVBand="0" w:oddHBand="0" w:evenHBand="0" w:firstRowFirstColumn="0" w:firstRowLastColumn="0" w:lastRowFirstColumn="0" w:lastRowLastColumn="0"/>
            <w:tcW w:w="2535" w:type="dxa"/>
            <w:shd w:val="clear" w:color="auto" w:fill="4F81BD" w:themeFill="accent1"/>
            <w:noWrap/>
            <w:vAlign w:val="center"/>
            <w:hideMark/>
          </w:tcPr>
          <w:p w14:paraId="4E44A7C3" w14:textId="77777777" w:rsidR="003A6BC7" w:rsidRPr="003A6BC7" w:rsidRDefault="003A6BC7" w:rsidP="00567202">
            <w:pPr>
              <w:spacing w:before="60" w:after="60"/>
              <w:rPr>
                <w:rFonts w:ascii="Arial" w:hAnsi="Arial" w:cs="Arial"/>
                <w:color w:val="FFFFFF" w:themeColor="background1"/>
                <w:sz w:val="22"/>
                <w:szCs w:val="22"/>
              </w:rPr>
            </w:pPr>
            <w:r w:rsidRPr="003A6BC7">
              <w:rPr>
                <w:rFonts w:ascii="Arial" w:hAnsi="Arial" w:cs="Arial"/>
                <w:color w:val="FFFFFF" w:themeColor="background1"/>
                <w:sz w:val="22"/>
                <w:szCs w:val="22"/>
              </w:rPr>
              <w:t>Variación Relativa</w:t>
            </w:r>
          </w:p>
        </w:tc>
        <w:tc>
          <w:tcPr>
            <w:tcW w:w="1718" w:type="dxa"/>
            <w:shd w:val="clear" w:color="auto" w:fill="4F81BD" w:themeFill="accent1"/>
            <w:noWrap/>
            <w:vAlign w:val="center"/>
            <w:hideMark/>
          </w:tcPr>
          <w:p w14:paraId="3AE4BB48" w14:textId="77777777" w:rsidR="003A6BC7" w:rsidRPr="003A6BC7" w:rsidRDefault="003A6BC7"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3A6BC7">
              <w:rPr>
                <w:rFonts w:ascii="Arial" w:hAnsi="Arial" w:cs="Arial"/>
                <w:b/>
                <w:bCs/>
                <w:color w:val="FFFFFF" w:themeColor="background1"/>
                <w:sz w:val="22"/>
                <w:szCs w:val="22"/>
              </w:rPr>
              <w:t>100%</w:t>
            </w:r>
          </w:p>
        </w:tc>
        <w:tc>
          <w:tcPr>
            <w:tcW w:w="2410" w:type="dxa"/>
            <w:shd w:val="clear" w:color="auto" w:fill="4F81BD" w:themeFill="accent1"/>
            <w:noWrap/>
            <w:vAlign w:val="center"/>
            <w:hideMark/>
          </w:tcPr>
          <w:p w14:paraId="73F19205" w14:textId="66201FD7" w:rsidR="003A6BC7" w:rsidRPr="003A6BC7" w:rsidRDefault="003B687D" w:rsidP="00567202">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3B687D">
              <w:rPr>
                <w:rFonts w:ascii="Arial" w:hAnsi="Arial" w:cs="Arial"/>
                <w:b/>
                <w:bCs/>
                <w:color w:val="FFFFFF" w:themeColor="background1"/>
                <w:sz w:val="22"/>
                <w:szCs w:val="22"/>
              </w:rPr>
              <w:t>(</w:t>
            </w:r>
            <w:r w:rsidR="003A6BC7" w:rsidRPr="003A6BC7">
              <w:rPr>
                <w:rFonts w:ascii="Arial" w:hAnsi="Arial" w:cs="Arial"/>
                <w:b/>
                <w:bCs/>
                <w:color w:val="FFFFFF" w:themeColor="background1"/>
                <w:sz w:val="22"/>
                <w:szCs w:val="22"/>
              </w:rPr>
              <w:t>77%</w:t>
            </w:r>
            <w:r w:rsidRPr="003B687D">
              <w:rPr>
                <w:rFonts w:ascii="Arial" w:hAnsi="Arial" w:cs="Arial"/>
                <w:b/>
                <w:bCs/>
                <w:color w:val="FFFFFF" w:themeColor="background1"/>
                <w:sz w:val="22"/>
                <w:szCs w:val="22"/>
              </w:rPr>
              <w:t>)</w:t>
            </w:r>
          </w:p>
        </w:tc>
      </w:tr>
    </w:tbl>
    <w:p w14:paraId="42E8EFB2" w14:textId="7DDA45E9" w:rsidR="00B0769E" w:rsidRDefault="00B0769E" w:rsidP="007850A7">
      <w:pPr>
        <w:spacing w:line="168" w:lineRule="auto"/>
        <w:jc w:val="both"/>
        <w:rPr>
          <w:rFonts w:ascii="Arial" w:hAnsi="Arial" w:cs="Arial"/>
          <w:sz w:val="22"/>
          <w:szCs w:val="22"/>
        </w:rPr>
      </w:pPr>
    </w:p>
    <w:p w14:paraId="4F975CE9" w14:textId="19124FB6" w:rsidR="00884CFE" w:rsidRPr="00FA0645" w:rsidRDefault="007850A7" w:rsidP="00407B9E">
      <w:pPr>
        <w:jc w:val="both"/>
        <w:rPr>
          <w:rFonts w:ascii="Arial" w:hAnsi="Arial" w:cs="Arial"/>
          <w:sz w:val="22"/>
          <w:szCs w:val="22"/>
        </w:rPr>
      </w:pPr>
      <w:r>
        <w:rPr>
          <w:rFonts w:ascii="Arial" w:hAnsi="Arial" w:cs="Arial"/>
          <w:sz w:val="22"/>
          <w:szCs w:val="22"/>
        </w:rPr>
        <w:t>Finalmente,</w:t>
      </w:r>
      <w:r w:rsidR="004F0C76">
        <w:rPr>
          <w:rFonts w:ascii="Arial" w:hAnsi="Arial" w:cs="Arial"/>
          <w:sz w:val="22"/>
          <w:szCs w:val="22"/>
        </w:rPr>
        <w:t xml:space="preserve"> y e</w:t>
      </w:r>
      <w:r w:rsidR="00884CFE" w:rsidRPr="00FA0645">
        <w:rPr>
          <w:rFonts w:ascii="Arial" w:hAnsi="Arial" w:cs="Arial"/>
          <w:sz w:val="22"/>
          <w:szCs w:val="22"/>
        </w:rPr>
        <w:t>n consideración de las variaciones determinadas, se concluye que el incremento del 13% presentado en el valor de las publicaciones</w:t>
      </w:r>
      <w:r w:rsidR="00353B13">
        <w:rPr>
          <w:rFonts w:ascii="Arial" w:hAnsi="Arial" w:cs="Arial"/>
          <w:sz w:val="22"/>
          <w:szCs w:val="22"/>
        </w:rPr>
        <w:t xml:space="preserve"> en la Imprenta Nacional de Colombia y Big Media </w:t>
      </w:r>
      <w:r w:rsidR="006A250B">
        <w:rPr>
          <w:rFonts w:ascii="Arial" w:hAnsi="Arial" w:cs="Arial"/>
          <w:sz w:val="22"/>
          <w:szCs w:val="22"/>
        </w:rPr>
        <w:t>Publicidad</w:t>
      </w:r>
      <w:r w:rsidR="00353B13">
        <w:rPr>
          <w:rFonts w:ascii="Arial" w:hAnsi="Arial" w:cs="Arial"/>
          <w:sz w:val="22"/>
          <w:szCs w:val="22"/>
        </w:rPr>
        <w:t>,</w:t>
      </w:r>
      <w:r w:rsidR="00884CFE" w:rsidRPr="00FA0645">
        <w:rPr>
          <w:rFonts w:ascii="Arial" w:hAnsi="Arial" w:cs="Arial"/>
          <w:sz w:val="22"/>
          <w:szCs w:val="22"/>
        </w:rPr>
        <w:t xml:space="preserve"> en parte </w:t>
      </w:r>
      <w:r w:rsidR="00AD5376">
        <w:rPr>
          <w:rFonts w:ascii="Arial" w:hAnsi="Arial" w:cs="Arial"/>
          <w:sz w:val="22"/>
          <w:szCs w:val="22"/>
        </w:rPr>
        <w:t xml:space="preserve">se </w:t>
      </w:r>
      <w:r w:rsidR="00884CFE" w:rsidRPr="00FA0645">
        <w:rPr>
          <w:rFonts w:ascii="Arial" w:hAnsi="Arial" w:cs="Arial"/>
          <w:sz w:val="22"/>
          <w:szCs w:val="22"/>
        </w:rPr>
        <w:t xml:space="preserve">originaron por el aumento de los actos administrativos y el respectivo número de páginas de los documentos </w:t>
      </w:r>
      <w:r w:rsidR="00FA0645">
        <w:rPr>
          <w:rFonts w:ascii="Arial" w:hAnsi="Arial" w:cs="Arial"/>
          <w:sz w:val="22"/>
          <w:szCs w:val="22"/>
        </w:rPr>
        <w:t xml:space="preserve">que por mandato legal fue necesario efectuar la publicación en el Diario Oficial. </w:t>
      </w:r>
    </w:p>
    <w:p w14:paraId="73D3BEFE" w14:textId="2E4B9891" w:rsidR="002529EA" w:rsidRDefault="002529EA" w:rsidP="00567202">
      <w:pPr>
        <w:spacing w:line="168" w:lineRule="auto"/>
        <w:jc w:val="both"/>
        <w:rPr>
          <w:rFonts w:ascii="Arial" w:hAnsi="Arial" w:cs="Arial"/>
          <w:sz w:val="22"/>
          <w:szCs w:val="22"/>
        </w:rPr>
      </w:pPr>
    </w:p>
    <w:p w14:paraId="2528CD7E" w14:textId="77777777" w:rsidR="007850A7" w:rsidRPr="0074604A" w:rsidRDefault="007850A7" w:rsidP="00567202">
      <w:pPr>
        <w:spacing w:line="168" w:lineRule="auto"/>
        <w:jc w:val="both"/>
        <w:rPr>
          <w:rFonts w:ascii="Arial" w:hAnsi="Arial" w:cs="Arial"/>
          <w:sz w:val="22"/>
          <w:szCs w:val="22"/>
        </w:rPr>
      </w:pPr>
    </w:p>
    <w:p w14:paraId="51AF6DD6" w14:textId="1FE70731" w:rsidR="00FF425E" w:rsidRPr="0074604A" w:rsidRDefault="00FF425E" w:rsidP="00567202">
      <w:pPr>
        <w:pStyle w:val="Prrafodelista"/>
        <w:numPr>
          <w:ilvl w:val="0"/>
          <w:numId w:val="4"/>
        </w:numPr>
        <w:ind w:left="284" w:hanging="284"/>
        <w:contextualSpacing w:val="0"/>
        <w:rPr>
          <w:rFonts w:ascii="Arial" w:hAnsi="Arial" w:cs="Arial"/>
          <w:b/>
          <w:sz w:val="22"/>
          <w:szCs w:val="22"/>
        </w:rPr>
      </w:pPr>
      <w:r w:rsidRPr="0074604A">
        <w:rPr>
          <w:rFonts w:ascii="Arial" w:hAnsi="Arial" w:cs="Arial"/>
          <w:b/>
          <w:sz w:val="22"/>
          <w:szCs w:val="22"/>
        </w:rPr>
        <w:t xml:space="preserve">PAPELERÍA Y TELEFONÍA </w:t>
      </w:r>
    </w:p>
    <w:p w14:paraId="12CD425B" w14:textId="77777777" w:rsidR="00646A4E" w:rsidRPr="0074604A" w:rsidRDefault="00646A4E" w:rsidP="00567202">
      <w:pPr>
        <w:rPr>
          <w:rFonts w:ascii="Arial" w:hAnsi="Arial" w:cs="Arial"/>
          <w:sz w:val="22"/>
          <w:szCs w:val="22"/>
        </w:rPr>
      </w:pPr>
    </w:p>
    <w:p w14:paraId="1E91D98B" w14:textId="4FB6003A" w:rsidR="00FF425E" w:rsidRPr="0074604A" w:rsidRDefault="00FF425E" w:rsidP="00567202">
      <w:pPr>
        <w:jc w:val="both"/>
        <w:rPr>
          <w:rFonts w:ascii="Arial" w:hAnsi="Arial" w:cs="Arial"/>
          <w:sz w:val="22"/>
          <w:szCs w:val="22"/>
        </w:rPr>
      </w:pPr>
      <w:r w:rsidRPr="0074604A">
        <w:rPr>
          <w:rFonts w:ascii="Arial" w:hAnsi="Arial" w:cs="Arial"/>
          <w:sz w:val="22"/>
          <w:szCs w:val="22"/>
        </w:rPr>
        <w:t>La Directiva Presidencial 09 de 2018</w:t>
      </w:r>
      <w:r w:rsidR="00140CD2" w:rsidRPr="0074604A">
        <w:rPr>
          <w:rFonts w:ascii="Arial" w:hAnsi="Arial" w:cs="Arial"/>
          <w:sz w:val="22"/>
          <w:szCs w:val="22"/>
        </w:rPr>
        <w:t xml:space="preserve"> y el Decreto 1009 de 2020</w:t>
      </w:r>
      <w:r w:rsidRPr="0074604A">
        <w:rPr>
          <w:rFonts w:ascii="Arial" w:hAnsi="Arial" w:cs="Arial"/>
          <w:sz w:val="22"/>
          <w:szCs w:val="22"/>
        </w:rPr>
        <w:t xml:space="preserve"> estableci</w:t>
      </w:r>
      <w:r w:rsidR="00140CD2" w:rsidRPr="0074604A">
        <w:rPr>
          <w:rFonts w:ascii="Arial" w:hAnsi="Arial" w:cs="Arial"/>
          <w:sz w:val="22"/>
          <w:szCs w:val="22"/>
        </w:rPr>
        <w:t>eron</w:t>
      </w:r>
      <w:r w:rsidRPr="0074604A">
        <w:rPr>
          <w:rFonts w:ascii="Arial" w:hAnsi="Arial" w:cs="Arial"/>
          <w:sz w:val="22"/>
          <w:szCs w:val="22"/>
        </w:rPr>
        <w:t xml:space="preserve"> los siguientes lineamientos de austeridad </w:t>
      </w:r>
      <w:r w:rsidR="000F2A04" w:rsidRPr="0074604A">
        <w:rPr>
          <w:rFonts w:ascii="Arial" w:hAnsi="Arial" w:cs="Arial"/>
          <w:sz w:val="22"/>
          <w:szCs w:val="22"/>
        </w:rPr>
        <w:t xml:space="preserve">relacionados con los gastos de papelería y telefonía, así:  </w:t>
      </w:r>
    </w:p>
    <w:p w14:paraId="5C537AA4" w14:textId="77777777" w:rsidR="000F2A04" w:rsidRPr="0074604A" w:rsidRDefault="000F2A04" w:rsidP="00567202">
      <w:pPr>
        <w:jc w:val="both"/>
        <w:rPr>
          <w:rFonts w:ascii="Arial" w:hAnsi="Arial" w:cs="Arial"/>
          <w:sz w:val="22"/>
          <w:szCs w:val="22"/>
        </w:rPr>
      </w:pPr>
    </w:p>
    <w:p w14:paraId="0994DAEB" w14:textId="77777777" w:rsidR="000F2A04" w:rsidRPr="0074604A" w:rsidRDefault="000F2A04" w:rsidP="00567202">
      <w:pPr>
        <w:pStyle w:val="Prrafodelista"/>
        <w:numPr>
          <w:ilvl w:val="0"/>
          <w:numId w:val="5"/>
        </w:numPr>
        <w:ind w:left="284" w:hanging="281"/>
        <w:contextualSpacing w:val="0"/>
        <w:rPr>
          <w:rFonts w:ascii="Arial" w:hAnsi="Arial" w:cs="Arial"/>
          <w:color w:val="000000"/>
          <w:sz w:val="22"/>
          <w:szCs w:val="22"/>
        </w:rPr>
      </w:pPr>
      <w:r w:rsidRPr="0074604A">
        <w:rPr>
          <w:rFonts w:ascii="Arial" w:hAnsi="Arial" w:cs="Arial"/>
          <w:color w:val="000000"/>
          <w:sz w:val="22"/>
          <w:szCs w:val="22"/>
        </w:rPr>
        <w:t>Utilizar medios digitales, de manera preferente, y evitar impresiones. En caso de realizar impresiones, racionalizar el uso de papel y de tinta.</w:t>
      </w:r>
    </w:p>
    <w:p w14:paraId="2E9F2E15" w14:textId="77777777" w:rsidR="000F2A04" w:rsidRPr="0074604A" w:rsidRDefault="000F2A04" w:rsidP="00567202">
      <w:pPr>
        <w:pStyle w:val="Prrafodelista"/>
        <w:numPr>
          <w:ilvl w:val="0"/>
          <w:numId w:val="5"/>
        </w:numPr>
        <w:ind w:left="284" w:hanging="284"/>
        <w:contextualSpacing w:val="0"/>
        <w:rPr>
          <w:rFonts w:ascii="Arial" w:hAnsi="Arial" w:cs="Arial"/>
          <w:color w:val="000000"/>
          <w:sz w:val="22"/>
          <w:szCs w:val="22"/>
        </w:rPr>
      </w:pPr>
      <w:r w:rsidRPr="0074604A">
        <w:rPr>
          <w:rFonts w:ascii="Arial" w:hAnsi="Arial" w:cs="Arial"/>
          <w:color w:val="000000"/>
          <w:sz w:val="22"/>
          <w:szCs w:val="22"/>
        </w:rPr>
        <w:t>Racionalizar llamadas telefónicas internacionales, nacionales y a celulares y privilegiar sistemas basados en protocolo de internet.</w:t>
      </w:r>
    </w:p>
    <w:p w14:paraId="2BB7A4C3" w14:textId="0ED8D0FC" w:rsidR="000F2A04" w:rsidRPr="0074604A" w:rsidRDefault="000F2A04" w:rsidP="00567202">
      <w:pPr>
        <w:pStyle w:val="Prrafodelista"/>
        <w:numPr>
          <w:ilvl w:val="0"/>
          <w:numId w:val="5"/>
        </w:numPr>
        <w:ind w:left="284" w:hanging="284"/>
        <w:contextualSpacing w:val="0"/>
        <w:rPr>
          <w:rFonts w:ascii="Arial" w:hAnsi="Arial" w:cs="Arial"/>
          <w:sz w:val="22"/>
          <w:szCs w:val="22"/>
        </w:rPr>
      </w:pPr>
      <w:r w:rsidRPr="0074604A">
        <w:rPr>
          <w:rFonts w:ascii="Arial" w:hAnsi="Arial" w:cs="Arial"/>
          <w:color w:val="000000"/>
          <w:sz w:val="22"/>
          <w:szCs w:val="22"/>
        </w:rPr>
        <w:t>Reducir el consumo, reutilizar y reciclar implementos de oficina</w:t>
      </w:r>
      <w:r w:rsidR="00DE1A5D" w:rsidRPr="0074604A">
        <w:rPr>
          <w:rFonts w:ascii="Arial" w:hAnsi="Arial" w:cs="Arial"/>
          <w:color w:val="000000"/>
          <w:sz w:val="22"/>
          <w:szCs w:val="22"/>
        </w:rPr>
        <w:t>.</w:t>
      </w:r>
    </w:p>
    <w:p w14:paraId="08F7A9BB" w14:textId="24607AF6" w:rsidR="009C4E81" w:rsidRPr="0074604A" w:rsidRDefault="009C4E81" w:rsidP="00567202">
      <w:pPr>
        <w:jc w:val="both"/>
        <w:rPr>
          <w:rFonts w:ascii="Arial" w:hAnsi="Arial" w:cs="Arial"/>
          <w:sz w:val="22"/>
          <w:szCs w:val="22"/>
        </w:rPr>
      </w:pPr>
      <w:r w:rsidRPr="0074604A">
        <w:rPr>
          <w:rFonts w:ascii="Arial" w:hAnsi="Arial" w:cs="Arial"/>
          <w:sz w:val="22"/>
          <w:szCs w:val="22"/>
        </w:rPr>
        <w:lastRenderedPageBreak/>
        <w:t xml:space="preserve">Teniendo en cuenta lo antes mencionado, se presenta el análisis realizado </w:t>
      </w:r>
      <w:r w:rsidR="00730F44" w:rsidRPr="0074604A">
        <w:rPr>
          <w:rFonts w:ascii="Arial" w:hAnsi="Arial" w:cs="Arial"/>
          <w:sz w:val="22"/>
          <w:szCs w:val="22"/>
        </w:rPr>
        <w:t>para los conceptos concernientes a</w:t>
      </w:r>
      <w:r w:rsidR="003C5F98" w:rsidRPr="0074604A">
        <w:rPr>
          <w:rFonts w:ascii="Arial" w:hAnsi="Arial" w:cs="Arial"/>
          <w:sz w:val="22"/>
          <w:szCs w:val="22"/>
        </w:rPr>
        <w:t xml:space="preserve"> </w:t>
      </w:r>
      <w:r w:rsidR="007D1BCB" w:rsidRPr="0074604A">
        <w:rPr>
          <w:rFonts w:ascii="Arial" w:hAnsi="Arial" w:cs="Arial"/>
          <w:sz w:val="22"/>
          <w:szCs w:val="22"/>
        </w:rPr>
        <w:t xml:space="preserve">consumo de </w:t>
      </w:r>
      <w:r w:rsidR="00E426BD" w:rsidRPr="0074604A">
        <w:rPr>
          <w:rFonts w:ascii="Arial" w:hAnsi="Arial" w:cs="Arial"/>
          <w:sz w:val="22"/>
          <w:szCs w:val="22"/>
        </w:rPr>
        <w:t>papel y</w:t>
      </w:r>
      <w:r w:rsidR="003C5F98" w:rsidRPr="0074604A">
        <w:rPr>
          <w:rFonts w:ascii="Arial" w:hAnsi="Arial" w:cs="Arial"/>
          <w:sz w:val="22"/>
          <w:szCs w:val="22"/>
        </w:rPr>
        <w:t xml:space="preserve"> telefonía, bajo el marco de </w:t>
      </w:r>
      <w:r w:rsidR="00730F44" w:rsidRPr="0074604A">
        <w:rPr>
          <w:rFonts w:ascii="Arial" w:hAnsi="Arial" w:cs="Arial"/>
          <w:sz w:val="22"/>
          <w:szCs w:val="22"/>
        </w:rPr>
        <w:t xml:space="preserve">medidas de austeridad fijadas por el Gobierno Nacional. </w:t>
      </w:r>
    </w:p>
    <w:p w14:paraId="008A843A" w14:textId="77777777" w:rsidR="00567202" w:rsidRPr="00CA48AF" w:rsidRDefault="00567202" w:rsidP="00567202">
      <w:pPr>
        <w:rPr>
          <w:rFonts w:ascii="Arial" w:hAnsi="Arial" w:cs="Arial"/>
          <w:b/>
          <w:sz w:val="22"/>
          <w:szCs w:val="22"/>
          <w:highlight w:val="yellow"/>
        </w:rPr>
      </w:pPr>
    </w:p>
    <w:p w14:paraId="1F0F2E99" w14:textId="77777777" w:rsidR="007D1BCB" w:rsidRPr="00CA48AF" w:rsidRDefault="007D1BCB" w:rsidP="00567202">
      <w:pPr>
        <w:pStyle w:val="Default"/>
        <w:jc w:val="both"/>
        <w:rPr>
          <w:b/>
          <w:sz w:val="22"/>
          <w:szCs w:val="22"/>
          <w:highlight w:val="yellow"/>
        </w:rPr>
      </w:pPr>
    </w:p>
    <w:p w14:paraId="32EEBF0D" w14:textId="3097A5BD" w:rsidR="00527C13" w:rsidRPr="004E2BCF" w:rsidRDefault="00F02B89" w:rsidP="00E313EB">
      <w:pPr>
        <w:pStyle w:val="Prrafodelista"/>
        <w:numPr>
          <w:ilvl w:val="1"/>
          <w:numId w:val="12"/>
        </w:numPr>
        <w:tabs>
          <w:tab w:val="left" w:pos="426"/>
        </w:tabs>
        <w:ind w:hanging="2422"/>
        <w:contextualSpacing w:val="0"/>
        <w:rPr>
          <w:rFonts w:ascii="Arial" w:hAnsi="Arial" w:cs="Arial"/>
          <w:b/>
          <w:sz w:val="22"/>
          <w:szCs w:val="22"/>
        </w:rPr>
      </w:pPr>
      <w:r w:rsidRPr="004E2BCF">
        <w:rPr>
          <w:rFonts w:ascii="Arial" w:hAnsi="Arial" w:cs="Arial"/>
          <w:b/>
          <w:sz w:val="22"/>
          <w:szCs w:val="22"/>
        </w:rPr>
        <w:t>CONSUMO DE PAPEL</w:t>
      </w:r>
    </w:p>
    <w:p w14:paraId="0C24290C" w14:textId="77777777" w:rsidR="00B83072" w:rsidRPr="00CA48AF" w:rsidRDefault="00B83072" w:rsidP="00567202">
      <w:pPr>
        <w:pStyle w:val="Prrafodelista"/>
        <w:ind w:left="426"/>
        <w:contextualSpacing w:val="0"/>
        <w:jc w:val="left"/>
        <w:rPr>
          <w:rFonts w:ascii="Arial" w:hAnsi="Arial" w:cs="Arial"/>
          <w:b/>
          <w:sz w:val="22"/>
          <w:szCs w:val="22"/>
          <w:highlight w:val="yellow"/>
        </w:rPr>
      </w:pPr>
    </w:p>
    <w:p w14:paraId="6247643C" w14:textId="17097C10" w:rsidR="000D6841" w:rsidRPr="004E2BCF" w:rsidRDefault="005E78C1" w:rsidP="00567202">
      <w:pPr>
        <w:widowControl w:val="0"/>
        <w:jc w:val="both"/>
        <w:rPr>
          <w:rFonts w:ascii="Arial" w:hAnsi="Arial" w:cs="Arial"/>
          <w:sz w:val="22"/>
          <w:szCs w:val="22"/>
        </w:rPr>
      </w:pPr>
      <w:r w:rsidRPr="004E2BCF">
        <w:rPr>
          <w:rFonts w:ascii="Arial" w:hAnsi="Arial" w:cs="Arial"/>
          <w:sz w:val="22"/>
          <w:szCs w:val="22"/>
        </w:rPr>
        <w:t>A 3</w:t>
      </w:r>
      <w:r w:rsidR="007F6318" w:rsidRPr="004E2BCF">
        <w:rPr>
          <w:rFonts w:ascii="Arial" w:hAnsi="Arial" w:cs="Arial"/>
          <w:sz w:val="22"/>
          <w:szCs w:val="22"/>
        </w:rPr>
        <w:t>0</w:t>
      </w:r>
      <w:r w:rsidRPr="004E2BCF">
        <w:rPr>
          <w:rFonts w:ascii="Arial" w:hAnsi="Arial" w:cs="Arial"/>
          <w:sz w:val="22"/>
          <w:szCs w:val="22"/>
        </w:rPr>
        <w:t xml:space="preserve"> de</w:t>
      </w:r>
      <w:r w:rsidR="004E2BCF" w:rsidRPr="004E2BCF">
        <w:rPr>
          <w:rFonts w:ascii="Arial" w:hAnsi="Arial" w:cs="Arial"/>
          <w:sz w:val="22"/>
          <w:szCs w:val="22"/>
        </w:rPr>
        <w:t xml:space="preserve"> septiembre de</w:t>
      </w:r>
      <w:r w:rsidRPr="004E2BCF">
        <w:rPr>
          <w:rFonts w:ascii="Arial" w:hAnsi="Arial" w:cs="Arial"/>
          <w:sz w:val="22"/>
          <w:szCs w:val="22"/>
        </w:rPr>
        <w:t xml:space="preserve"> 20</w:t>
      </w:r>
      <w:r w:rsidR="00F96E9A" w:rsidRPr="004E2BCF">
        <w:rPr>
          <w:rFonts w:ascii="Arial" w:hAnsi="Arial" w:cs="Arial"/>
          <w:sz w:val="22"/>
          <w:szCs w:val="22"/>
        </w:rPr>
        <w:t>20</w:t>
      </w:r>
      <w:r w:rsidRPr="004E2BCF">
        <w:rPr>
          <w:rFonts w:ascii="Arial" w:hAnsi="Arial" w:cs="Arial"/>
          <w:sz w:val="22"/>
          <w:szCs w:val="22"/>
        </w:rPr>
        <w:t>, s</w:t>
      </w:r>
      <w:r w:rsidR="00934EC6" w:rsidRPr="004E2BCF">
        <w:rPr>
          <w:rFonts w:ascii="Arial" w:hAnsi="Arial" w:cs="Arial"/>
          <w:sz w:val="22"/>
          <w:szCs w:val="22"/>
        </w:rPr>
        <w:t xml:space="preserve">e encontraba </w:t>
      </w:r>
      <w:r w:rsidR="00D24DC0" w:rsidRPr="004E2BCF">
        <w:rPr>
          <w:rFonts w:ascii="Arial" w:hAnsi="Arial" w:cs="Arial"/>
          <w:sz w:val="22"/>
          <w:szCs w:val="22"/>
        </w:rPr>
        <w:t>vigente el contrato 3.</w:t>
      </w:r>
      <w:r w:rsidR="00C9513F" w:rsidRPr="004E2BCF">
        <w:rPr>
          <w:rFonts w:ascii="Arial" w:hAnsi="Arial" w:cs="Arial"/>
          <w:sz w:val="22"/>
          <w:szCs w:val="22"/>
        </w:rPr>
        <w:t>312</w:t>
      </w:r>
      <w:r w:rsidR="00D24DC0" w:rsidRPr="004E2BCF">
        <w:rPr>
          <w:rFonts w:ascii="Arial" w:hAnsi="Arial" w:cs="Arial"/>
          <w:sz w:val="22"/>
          <w:szCs w:val="22"/>
        </w:rPr>
        <w:t xml:space="preserve"> – 201</w:t>
      </w:r>
      <w:r w:rsidR="00C9513F" w:rsidRPr="004E2BCF">
        <w:rPr>
          <w:rFonts w:ascii="Arial" w:hAnsi="Arial" w:cs="Arial"/>
          <w:sz w:val="22"/>
          <w:szCs w:val="22"/>
        </w:rPr>
        <w:t>9</w:t>
      </w:r>
      <w:r w:rsidRPr="004E2BCF">
        <w:rPr>
          <w:rFonts w:ascii="Arial" w:hAnsi="Arial" w:cs="Arial"/>
          <w:sz w:val="22"/>
          <w:szCs w:val="22"/>
        </w:rPr>
        <w:t xml:space="preserve"> [fecha de terminación </w:t>
      </w:r>
      <w:r w:rsidR="00C9513F" w:rsidRPr="004E2BCF">
        <w:rPr>
          <w:rFonts w:ascii="Arial" w:hAnsi="Arial" w:cs="Arial"/>
          <w:sz w:val="22"/>
          <w:szCs w:val="22"/>
        </w:rPr>
        <w:t>hasta el 31/07/2022</w:t>
      </w:r>
      <w:r w:rsidRPr="004E2BCF">
        <w:rPr>
          <w:rFonts w:ascii="Arial" w:hAnsi="Arial" w:cs="Arial"/>
          <w:sz w:val="22"/>
          <w:szCs w:val="22"/>
        </w:rPr>
        <w:t xml:space="preserve">] </w:t>
      </w:r>
      <w:r w:rsidR="00D24DC0" w:rsidRPr="004E2BCF">
        <w:rPr>
          <w:rFonts w:ascii="Arial" w:hAnsi="Arial" w:cs="Arial"/>
          <w:sz w:val="22"/>
          <w:szCs w:val="22"/>
        </w:rPr>
        <w:t>suscrito con</w:t>
      </w:r>
      <w:r w:rsidR="00F110C7" w:rsidRPr="004E2BCF">
        <w:rPr>
          <w:rFonts w:ascii="Arial" w:hAnsi="Arial" w:cs="Arial"/>
          <w:sz w:val="22"/>
          <w:szCs w:val="22"/>
        </w:rPr>
        <w:t xml:space="preserve"> U</w:t>
      </w:r>
      <w:r w:rsidR="001209AC" w:rsidRPr="004E2BCF">
        <w:rPr>
          <w:rFonts w:ascii="Arial" w:hAnsi="Arial" w:cs="Arial"/>
          <w:sz w:val="22"/>
          <w:szCs w:val="22"/>
        </w:rPr>
        <w:t xml:space="preserve">nión Temporal </w:t>
      </w:r>
      <w:r w:rsidR="00C9513F" w:rsidRPr="004E2BCF">
        <w:rPr>
          <w:rFonts w:ascii="Arial" w:hAnsi="Arial" w:cs="Arial"/>
          <w:color w:val="000000"/>
          <w:sz w:val="22"/>
          <w:szCs w:val="22"/>
        </w:rPr>
        <w:t>COMBPCAM</w:t>
      </w:r>
      <w:r w:rsidR="00C9513F" w:rsidRPr="004E2BCF">
        <w:rPr>
          <w:rFonts w:ascii="Arial" w:hAnsi="Arial" w:cs="Arial"/>
          <w:sz w:val="22"/>
          <w:szCs w:val="22"/>
        </w:rPr>
        <w:t xml:space="preserve"> </w:t>
      </w:r>
      <w:r w:rsidR="001209AC" w:rsidRPr="004E2BCF">
        <w:rPr>
          <w:rFonts w:ascii="Arial" w:hAnsi="Arial" w:cs="Arial"/>
          <w:sz w:val="22"/>
          <w:szCs w:val="22"/>
        </w:rPr>
        <w:t>con el objetivo de</w:t>
      </w:r>
      <w:r w:rsidR="002B19F9" w:rsidRPr="004E2BCF">
        <w:rPr>
          <w:rFonts w:ascii="Arial" w:hAnsi="Arial" w:cs="Arial"/>
          <w:sz w:val="22"/>
          <w:szCs w:val="22"/>
        </w:rPr>
        <w:t xml:space="preserve"> «</w:t>
      </w:r>
      <w:r w:rsidR="00676829" w:rsidRPr="004E2BCF">
        <w:rPr>
          <w:rFonts w:ascii="Arial" w:hAnsi="Arial" w:cs="Arial"/>
          <w:i/>
          <w:sz w:val="22"/>
          <w:szCs w:val="22"/>
        </w:rPr>
        <w:t>Prestar el servicio tercerizado de operación, gestión y modernización de los servicios tecnológicos del Ministerio de Hacienda y Crédito Público</w:t>
      </w:r>
      <m:oMath>
        <m:r>
          <w:rPr>
            <w:rFonts w:ascii="Cambria Math" w:hAnsi="Cambria Math" w:cs="Arial"/>
            <w:sz w:val="22"/>
            <w:szCs w:val="22"/>
          </w:rPr>
          <m:t>»</m:t>
        </m:r>
      </m:oMath>
      <w:r w:rsidR="001209AC" w:rsidRPr="004E2BCF">
        <w:rPr>
          <w:rFonts w:ascii="Arial" w:hAnsi="Arial" w:cs="Arial"/>
          <w:sz w:val="22"/>
          <w:szCs w:val="22"/>
        </w:rPr>
        <w:t>,</w:t>
      </w:r>
      <w:r w:rsidR="00676829" w:rsidRPr="004E2BCF">
        <w:rPr>
          <w:rFonts w:ascii="Arial" w:hAnsi="Arial" w:cs="Arial"/>
          <w:sz w:val="22"/>
          <w:szCs w:val="22"/>
        </w:rPr>
        <w:t xml:space="preserve"> </w:t>
      </w:r>
      <w:r w:rsidR="001209AC" w:rsidRPr="004E2BCF">
        <w:rPr>
          <w:rFonts w:ascii="Arial" w:hAnsi="Arial" w:cs="Arial"/>
          <w:sz w:val="22"/>
          <w:szCs w:val="22"/>
        </w:rPr>
        <w:t>el cual incluye los servicios digitales compuestos por las multifuncionales que permiten imprimir a color, blanco y negro, copiar,</w:t>
      </w:r>
      <w:r w:rsidR="002861A5" w:rsidRPr="004E2BCF">
        <w:rPr>
          <w:rFonts w:ascii="Arial" w:hAnsi="Arial" w:cs="Arial"/>
          <w:sz w:val="22"/>
          <w:szCs w:val="22"/>
        </w:rPr>
        <w:t xml:space="preserve"> y fax;</w:t>
      </w:r>
      <w:r w:rsidR="001209AC" w:rsidRPr="004E2BCF">
        <w:rPr>
          <w:rFonts w:ascii="Arial" w:hAnsi="Arial" w:cs="Arial"/>
          <w:sz w:val="22"/>
          <w:szCs w:val="22"/>
        </w:rPr>
        <w:t xml:space="preserve"> y </w:t>
      </w:r>
      <w:r w:rsidR="007F0CA9" w:rsidRPr="004E2BCF">
        <w:rPr>
          <w:rFonts w:ascii="Arial" w:hAnsi="Arial" w:cs="Arial"/>
          <w:sz w:val="22"/>
          <w:szCs w:val="22"/>
        </w:rPr>
        <w:t>un centro de fotocopiado masivo.</w:t>
      </w:r>
    </w:p>
    <w:p w14:paraId="562D3FCD" w14:textId="3E3C3D5D" w:rsidR="00372629" w:rsidRPr="00CA48AF" w:rsidRDefault="00372629" w:rsidP="00567202">
      <w:pPr>
        <w:widowControl w:val="0"/>
        <w:spacing w:line="168" w:lineRule="auto"/>
        <w:jc w:val="both"/>
        <w:rPr>
          <w:rFonts w:ascii="Arial" w:hAnsi="Arial" w:cs="Arial"/>
          <w:sz w:val="22"/>
          <w:szCs w:val="22"/>
          <w:highlight w:val="yellow"/>
        </w:rPr>
      </w:pPr>
    </w:p>
    <w:p w14:paraId="280AE07E" w14:textId="719A9585" w:rsidR="007F6318" w:rsidRPr="004E2BCF" w:rsidRDefault="003B56EC" w:rsidP="00567202">
      <w:pPr>
        <w:widowControl w:val="0"/>
        <w:jc w:val="both"/>
        <w:rPr>
          <w:rFonts w:ascii="Arial" w:hAnsi="Arial" w:cs="Arial"/>
          <w:sz w:val="22"/>
          <w:szCs w:val="22"/>
        </w:rPr>
      </w:pPr>
      <w:r w:rsidRPr="004E2BCF">
        <w:rPr>
          <w:rFonts w:ascii="Arial" w:hAnsi="Arial" w:cs="Arial"/>
          <w:sz w:val="22"/>
          <w:szCs w:val="22"/>
        </w:rPr>
        <w:t>E</w:t>
      </w:r>
      <w:r w:rsidR="007F6318" w:rsidRPr="004E2BCF">
        <w:rPr>
          <w:rFonts w:ascii="Arial" w:hAnsi="Arial" w:cs="Arial"/>
          <w:sz w:val="22"/>
          <w:szCs w:val="22"/>
        </w:rPr>
        <w:t xml:space="preserve">s relevante mencionar </w:t>
      </w:r>
      <w:r w:rsidRPr="004E2BCF">
        <w:rPr>
          <w:rFonts w:ascii="Arial" w:hAnsi="Arial" w:cs="Arial"/>
          <w:sz w:val="22"/>
          <w:szCs w:val="22"/>
        </w:rPr>
        <w:t xml:space="preserve">que, </w:t>
      </w:r>
      <w:r w:rsidR="007F6318" w:rsidRPr="004E2BCF">
        <w:rPr>
          <w:rFonts w:ascii="Arial" w:hAnsi="Arial" w:cs="Arial"/>
          <w:sz w:val="22"/>
          <w:szCs w:val="22"/>
        </w:rPr>
        <w:t xml:space="preserve">con ocasión a la Emergencia Económica, Social y Ecológica derivada del COVID-19, este Ministerio </w:t>
      </w:r>
      <w:r w:rsidRPr="004E2BCF">
        <w:rPr>
          <w:rFonts w:ascii="Arial" w:hAnsi="Arial" w:cs="Arial"/>
          <w:sz w:val="22"/>
          <w:szCs w:val="22"/>
        </w:rPr>
        <w:t xml:space="preserve">implementó la modalidad de trabajo en casa a partir del 20 de marzo de 2020 y se mantuvo durante el </w:t>
      </w:r>
      <w:r w:rsidR="004E2BCF" w:rsidRPr="004E2BCF">
        <w:rPr>
          <w:rFonts w:ascii="Arial" w:hAnsi="Arial" w:cs="Arial"/>
          <w:sz w:val="22"/>
          <w:szCs w:val="22"/>
        </w:rPr>
        <w:t>tercer t</w:t>
      </w:r>
      <w:r w:rsidRPr="004E2BCF">
        <w:rPr>
          <w:rFonts w:ascii="Arial" w:hAnsi="Arial" w:cs="Arial"/>
          <w:sz w:val="22"/>
          <w:szCs w:val="22"/>
        </w:rPr>
        <w:t xml:space="preserve">rimestre de 2020. De acuerdo con lo informado por la Subdirección de Servicios aproximadamente el 80% de los servidores públicos del Ministerio de Hacienda y Crédito Público estuvieron bajo dicha modalidad. </w:t>
      </w:r>
    </w:p>
    <w:p w14:paraId="0C07A3A7" w14:textId="6C91D611" w:rsidR="003B56EC" w:rsidRPr="00CA48AF" w:rsidRDefault="003B56EC" w:rsidP="00567202">
      <w:pPr>
        <w:widowControl w:val="0"/>
        <w:spacing w:line="168" w:lineRule="auto"/>
        <w:jc w:val="both"/>
        <w:rPr>
          <w:rFonts w:ascii="Arial" w:hAnsi="Arial" w:cs="Arial"/>
          <w:sz w:val="22"/>
          <w:szCs w:val="22"/>
          <w:highlight w:val="yellow"/>
        </w:rPr>
      </w:pPr>
    </w:p>
    <w:p w14:paraId="22245670" w14:textId="539255D2" w:rsidR="003B56EC" w:rsidRPr="004E2BCF" w:rsidRDefault="000D6841" w:rsidP="00567202">
      <w:pPr>
        <w:widowControl w:val="0"/>
        <w:jc w:val="both"/>
        <w:rPr>
          <w:rFonts w:ascii="Arial" w:hAnsi="Arial" w:cs="Arial"/>
          <w:sz w:val="22"/>
          <w:szCs w:val="22"/>
        </w:rPr>
      </w:pPr>
      <w:r w:rsidRPr="004E2BCF">
        <w:rPr>
          <w:rFonts w:ascii="Arial" w:hAnsi="Arial" w:cs="Arial"/>
          <w:sz w:val="22"/>
          <w:szCs w:val="22"/>
        </w:rPr>
        <w:t>Con</w:t>
      </w:r>
      <w:r w:rsidR="00F96E9A" w:rsidRPr="004E2BCF">
        <w:rPr>
          <w:rFonts w:ascii="Arial" w:hAnsi="Arial" w:cs="Arial"/>
          <w:sz w:val="22"/>
          <w:szCs w:val="22"/>
        </w:rPr>
        <w:t xml:space="preserve"> </w:t>
      </w:r>
      <w:r w:rsidRPr="004E2BCF">
        <w:rPr>
          <w:rFonts w:ascii="Arial" w:hAnsi="Arial" w:cs="Arial"/>
          <w:sz w:val="22"/>
          <w:szCs w:val="22"/>
        </w:rPr>
        <w:t xml:space="preserve">el propósito de revisar el comportamiento del consumo de </w:t>
      </w:r>
      <w:r w:rsidR="003B56EC" w:rsidRPr="004E2BCF">
        <w:rPr>
          <w:rFonts w:ascii="Arial" w:hAnsi="Arial" w:cs="Arial"/>
          <w:sz w:val="22"/>
          <w:szCs w:val="22"/>
        </w:rPr>
        <w:t xml:space="preserve">papel en el </w:t>
      </w:r>
      <w:r w:rsidR="004E2BCF" w:rsidRPr="004E2BCF">
        <w:rPr>
          <w:rFonts w:ascii="Arial" w:hAnsi="Arial" w:cs="Arial"/>
          <w:sz w:val="22"/>
          <w:szCs w:val="22"/>
        </w:rPr>
        <w:t xml:space="preserve">tercer </w:t>
      </w:r>
      <w:r w:rsidR="00980FB0" w:rsidRPr="004E2BCF">
        <w:rPr>
          <w:rFonts w:ascii="Arial" w:hAnsi="Arial" w:cs="Arial"/>
          <w:sz w:val="22"/>
          <w:szCs w:val="22"/>
        </w:rPr>
        <w:t xml:space="preserve">trimestre </w:t>
      </w:r>
      <w:r w:rsidR="00777389" w:rsidRPr="004E2BCF">
        <w:rPr>
          <w:rFonts w:ascii="Arial" w:hAnsi="Arial" w:cs="Arial"/>
          <w:sz w:val="22"/>
          <w:szCs w:val="22"/>
        </w:rPr>
        <w:t>de 20</w:t>
      </w:r>
      <w:r w:rsidR="00C47E18" w:rsidRPr="004E2BCF">
        <w:rPr>
          <w:rFonts w:ascii="Arial" w:hAnsi="Arial" w:cs="Arial"/>
          <w:sz w:val="22"/>
          <w:szCs w:val="22"/>
        </w:rPr>
        <w:t>20</w:t>
      </w:r>
      <w:r w:rsidR="00777389" w:rsidRPr="004E2BCF">
        <w:rPr>
          <w:rFonts w:ascii="Arial" w:hAnsi="Arial" w:cs="Arial"/>
          <w:sz w:val="22"/>
          <w:szCs w:val="22"/>
        </w:rPr>
        <w:t xml:space="preserve"> </w:t>
      </w:r>
      <w:r w:rsidR="003B56EC" w:rsidRPr="004E2BCF">
        <w:rPr>
          <w:rFonts w:ascii="Arial" w:hAnsi="Arial" w:cs="Arial"/>
          <w:sz w:val="22"/>
          <w:szCs w:val="22"/>
        </w:rPr>
        <w:t xml:space="preserve">se consultó la información en el aplicativo de </w:t>
      </w:r>
      <w:r w:rsidR="003B56EC" w:rsidRPr="004E2BCF">
        <w:rPr>
          <w:rFonts w:ascii="Arial" w:hAnsi="Arial" w:cs="Arial"/>
          <w:i/>
          <w:iCs/>
          <w:sz w:val="22"/>
          <w:szCs w:val="22"/>
        </w:rPr>
        <w:t>Estadísticas de Consumo de Papel – MHCP</w:t>
      </w:r>
      <w:r w:rsidR="003B56EC" w:rsidRPr="004E2BCF">
        <w:rPr>
          <w:rFonts w:ascii="Arial" w:hAnsi="Arial" w:cs="Arial"/>
          <w:sz w:val="22"/>
          <w:szCs w:val="22"/>
        </w:rPr>
        <w:t xml:space="preserve"> diseñado por la Dirección de Tecnología para tal fin, el cual se encuentra publicado en la intranet de este Ministerio. </w:t>
      </w:r>
    </w:p>
    <w:p w14:paraId="593F9515" w14:textId="77472243" w:rsidR="00C52E5E" w:rsidRPr="00CA48AF" w:rsidRDefault="00C52E5E" w:rsidP="00567202">
      <w:pPr>
        <w:widowControl w:val="0"/>
        <w:spacing w:line="168" w:lineRule="auto"/>
        <w:jc w:val="both"/>
        <w:rPr>
          <w:rFonts w:ascii="Arial" w:hAnsi="Arial" w:cs="Arial"/>
          <w:sz w:val="22"/>
          <w:szCs w:val="22"/>
          <w:highlight w:val="yellow"/>
        </w:rPr>
      </w:pPr>
    </w:p>
    <w:p w14:paraId="7263C4E0" w14:textId="0100A22E" w:rsidR="004E2BCF" w:rsidRDefault="00C52E5E" w:rsidP="00567202">
      <w:pPr>
        <w:widowControl w:val="0"/>
        <w:jc w:val="both"/>
        <w:rPr>
          <w:rFonts w:ascii="Arial" w:hAnsi="Arial" w:cs="Arial"/>
          <w:sz w:val="22"/>
          <w:szCs w:val="22"/>
        </w:rPr>
      </w:pPr>
      <w:r w:rsidRPr="004E2BCF">
        <w:rPr>
          <w:rFonts w:ascii="Arial" w:hAnsi="Arial" w:cs="Arial"/>
          <w:sz w:val="22"/>
          <w:szCs w:val="22"/>
        </w:rPr>
        <w:t xml:space="preserve">Sobre el particular, se observó una notable tendencia decreciente en el mes de abril de 2020, mes en el cual se utilizaron 927 hojas en comparación con el mes de marzo de 2020 </w:t>
      </w:r>
      <w:r w:rsidR="009D1041">
        <w:rPr>
          <w:rFonts w:ascii="Arial" w:hAnsi="Arial" w:cs="Arial"/>
          <w:sz w:val="22"/>
          <w:szCs w:val="22"/>
        </w:rPr>
        <w:t xml:space="preserve">en donde el consumo fue de </w:t>
      </w:r>
      <w:r w:rsidRPr="004E2BCF">
        <w:rPr>
          <w:rFonts w:ascii="Arial" w:hAnsi="Arial" w:cs="Arial"/>
          <w:sz w:val="22"/>
          <w:szCs w:val="22"/>
        </w:rPr>
        <w:t>141.918</w:t>
      </w:r>
      <w:r w:rsidR="009D1041">
        <w:rPr>
          <w:rFonts w:ascii="Arial" w:hAnsi="Arial" w:cs="Arial"/>
          <w:sz w:val="22"/>
          <w:szCs w:val="22"/>
        </w:rPr>
        <w:t xml:space="preserve"> hojas</w:t>
      </w:r>
      <w:r w:rsidRPr="004E2BCF">
        <w:rPr>
          <w:rFonts w:ascii="Arial" w:hAnsi="Arial" w:cs="Arial"/>
          <w:sz w:val="22"/>
          <w:szCs w:val="22"/>
        </w:rPr>
        <w:t>, significando un ahorro</w:t>
      </w:r>
      <w:r w:rsidRPr="004E2BCF">
        <w:rPr>
          <w:rFonts w:ascii="Arial" w:hAnsi="Arial" w:cs="Arial"/>
          <w:b/>
          <w:bCs/>
          <w:sz w:val="22"/>
          <w:szCs w:val="22"/>
        </w:rPr>
        <w:t xml:space="preserve"> </w:t>
      </w:r>
      <w:r w:rsidRPr="004E2BCF">
        <w:rPr>
          <w:rFonts w:ascii="Arial" w:hAnsi="Arial" w:cs="Arial"/>
          <w:sz w:val="22"/>
          <w:szCs w:val="22"/>
        </w:rPr>
        <w:t xml:space="preserve">del 99%. </w:t>
      </w:r>
      <w:r w:rsidR="00F34705" w:rsidRPr="004E2BCF">
        <w:rPr>
          <w:rFonts w:ascii="Arial" w:hAnsi="Arial" w:cs="Arial"/>
          <w:sz w:val="22"/>
          <w:szCs w:val="22"/>
        </w:rPr>
        <w:t>Para los meses de mayo y junio de 2020, si bien</w:t>
      </w:r>
      <w:r w:rsidR="002776C4" w:rsidRPr="004E2BCF">
        <w:rPr>
          <w:rFonts w:ascii="Arial" w:hAnsi="Arial" w:cs="Arial"/>
          <w:sz w:val="22"/>
          <w:szCs w:val="22"/>
        </w:rPr>
        <w:t xml:space="preserve"> se</w:t>
      </w:r>
      <w:r w:rsidR="00F34705" w:rsidRPr="004E2BCF">
        <w:rPr>
          <w:rFonts w:ascii="Arial" w:hAnsi="Arial" w:cs="Arial"/>
          <w:sz w:val="22"/>
          <w:szCs w:val="22"/>
        </w:rPr>
        <w:t xml:space="preserve"> present</w:t>
      </w:r>
      <w:r w:rsidR="002776C4" w:rsidRPr="004E2BCF">
        <w:rPr>
          <w:rFonts w:ascii="Arial" w:hAnsi="Arial" w:cs="Arial"/>
          <w:sz w:val="22"/>
          <w:szCs w:val="22"/>
        </w:rPr>
        <w:t>aron</w:t>
      </w:r>
      <w:r w:rsidR="00F34705" w:rsidRPr="004E2BCF">
        <w:rPr>
          <w:rFonts w:ascii="Arial" w:hAnsi="Arial" w:cs="Arial"/>
          <w:sz w:val="22"/>
          <w:szCs w:val="22"/>
        </w:rPr>
        <w:t xml:space="preserve"> incrementos en relación al mes de abril de 2020, se</w:t>
      </w:r>
      <w:r w:rsidR="002776C4" w:rsidRPr="004E2BCF">
        <w:rPr>
          <w:rFonts w:ascii="Arial" w:hAnsi="Arial" w:cs="Arial"/>
          <w:sz w:val="22"/>
          <w:szCs w:val="22"/>
        </w:rPr>
        <w:t xml:space="preserve"> </w:t>
      </w:r>
      <w:r w:rsidR="005C2409">
        <w:rPr>
          <w:rFonts w:ascii="Arial" w:hAnsi="Arial" w:cs="Arial"/>
          <w:sz w:val="22"/>
          <w:szCs w:val="22"/>
        </w:rPr>
        <w:t>contin</w:t>
      </w:r>
      <w:r w:rsidR="009D1041">
        <w:rPr>
          <w:rFonts w:ascii="Arial" w:hAnsi="Arial" w:cs="Arial"/>
          <w:sz w:val="22"/>
          <w:szCs w:val="22"/>
        </w:rPr>
        <w:t>uó</w:t>
      </w:r>
      <w:r w:rsidR="005C2409">
        <w:rPr>
          <w:rFonts w:ascii="Arial" w:hAnsi="Arial" w:cs="Arial"/>
          <w:sz w:val="22"/>
          <w:szCs w:val="22"/>
        </w:rPr>
        <w:t xml:space="preserve"> con una tendencia decreciente en comparación al primer trimestre de 2020</w:t>
      </w:r>
      <w:r w:rsidR="004E2BCF">
        <w:rPr>
          <w:rFonts w:ascii="Arial" w:hAnsi="Arial" w:cs="Arial"/>
          <w:sz w:val="22"/>
          <w:szCs w:val="22"/>
        </w:rPr>
        <w:t>. Referente a los periodos de</w:t>
      </w:r>
      <w:r w:rsidR="009D1041">
        <w:rPr>
          <w:rFonts w:ascii="Arial" w:hAnsi="Arial" w:cs="Arial"/>
          <w:sz w:val="22"/>
          <w:szCs w:val="22"/>
        </w:rPr>
        <w:t xml:space="preserve">l </w:t>
      </w:r>
      <w:r w:rsidR="004E2BCF">
        <w:rPr>
          <w:rFonts w:ascii="Arial" w:hAnsi="Arial" w:cs="Arial"/>
          <w:sz w:val="22"/>
          <w:szCs w:val="22"/>
        </w:rPr>
        <w:t>tercer trimestre</w:t>
      </w:r>
      <w:r w:rsidR="00454B5E">
        <w:rPr>
          <w:rFonts w:ascii="Arial" w:hAnsi="Arial" w:cs="Arial"/>
          <w:sz w:val="22"/>
          <w:szCs w:val="22"/>
        </w:rPr>
        <w:t xml:space="preserve"> de 2020</w:t>
      </w:r>
      <w:r w:rsidR="004E2BCF">
        <w:rPr>
          <w:rFonts w:ascii="Arial" w:hAnsi="Arial" w:cs="Arial"/>
          <w:sz w:val="22"/>
          <w:szCs w:val="22"/>
        </w:rPr>
        <w:t xml:space="preserve">, se evidenció </w:t>
      </w:r>
      <w:r w:rsidR="009D1041">
        <w:rPr>
          <w:rFonts w:ascii="Arial" w:hAnsi="Arial" w:cs="Arial"/>
          <w:sz w:val="22"/>
          <w:szCs w:val="22"/>
        </w:rPr>
        <w:t xml:space="preserve">incrementos en el consumo para </w:t>
      </w:r>
      <w:r w:rsidR="00454B5E">
        <w:rPr>
          <w:rFonts w:ascii="Arial" w:hAnsi="Arial" w:cs="Arial"/>
          <w:sz w:val="22"/>
          <w:szCs w:val="22"/>
        </w:rPr>
        <w:t>los mes</w:t>
      </w:r>
      <w:r w:rsidR="0087424D">
        <w:rPr>
          <w:rFonts w:ascii="Arial" w:hAnsi="Arial" w:cs="Arial"/>
          <w:sz w:val="22"/>
          <w:szCs w:val="22"/>
        </w:rPr>
        <w:t>es</w:t>
      </w:r>
      <w:r w:rsidR="00454B5E">
        <w:rPr>
          <w:rFonts w:ascii="Arial" w:hAnsi="Arial" w:cs="Arial"/>
          <w:sz w:val="22"/>
          <w:szCs w:val="22"/>
        </w:rPr>
        <w:t xml:space="preserve"> de julio y septiembre</w:t>
      </w:r>
      <w:r w:rsidR="009D1041">
        <w:rPr>
          <w:rFonts w:ascii="Arial" w:hAnsi="Arial" w:cs="Arial"/>
          <w:sz w:val="22"/>
          <w:szCs w:val="22"/>
        </w:rPr>
        <w:t xml:space="preserve">, considerándose atípicos, teniendo en cuenta el </w:t>
      </w:r>
      <w:r w:rsidR="004E2BCF">
        <w:rPr>
          <w:rFonts w:ascii="Arial" w:hAnsi="Arial" w:cs="Arial"/>
          <w:sz w:val="22"/>
          <w:szCs w:val="22"/>
        </w:rPr>
        <w:t xml:space="preserve">comportamiento del </w:t>
      </w:r>
      <w:r w:rsidR="009D1041">
        <w:rPr>
          <w:rFonts w:ascii="Arial" w:hAnsi="Arial" w:cs="Arial"/>
          <w:sz w:val="22"/>
          <w:szCs w:val="22"/>
        </w:rPr>
        <w:t xml:space="preserve">consumo que se venía </w:t>
      </w:r>
      <w:r w:rsidR="00D35533">
        <w:rPr>
          <w:rFonts w:ascii="Arial" w:hAnsi="Arial" w:cs="Arial"/>
          <w:sz w:val="22"/>
          <w:szCs w:val="22"/>
        </w:rPr>
        <w:t xml:space="preserve">observando </w:t>
      </w:r>
      <w:r w:rsidR="009D1041">
        <w:rPr>
          <w:rFonts w:ascii="Arial" w:hAnsi="Arial" w:cs="Arial"/>
          <w:sz w:val="22"/>
          <w:szCs w:val="22"/>
        </w:rPr>
        <w:t>a partir de</w:t>
      </w:r>
      <w:r w:rsidR="000A2E3B">
        <w:rPr>
          <w:rFonts w:ascii="Arial" w:hAnsi="Arial" w:cs="Arial"/>
          <w:sz w:val="22"/>
          <w:szCs w:val="22"/>
        </w:rPr>
        <w:t xml:space="preserve"> </w:t>
      </w:r>
      <w:r w:rsidR="009D1041">
        <w:rPr>
          <w:rFonts w:ascii="Arial" w:hAnsi="Arial" w:cs="Arial"/>
          <w:sz w:val="22"/>
          <w:szCs w:val="22"/>
        </w:rPr>
        <w:t xml:space="preserve">abril de 2020. </w:t>
      </w:r>
    </w:p>
    <w:p w14:paraId="345EF62D" w14:textId="77777777" w:rsidR="00567202" w:rsidRDefault="00567202" w:rsidP="00567202">
      <w:pPr>
        <w:widowControl w:val="0"/>
        <w:jc w:val="both"/>
        <w:rPr>
          <w:rFonts w:ascii="Arial" w:hAnsi="Arial" w:cs="Arial"/>
          <w:sz w:val="22"/>
          <w:szCs w:val="22"/>
        </w:rPr>
      </w:pPr>
    </w:p>
    <w:p w14:paraId="56129CAD" w14:textId="71239288" w:rsidR="0087424D" w:rsidRDefault="0087424D" w:rsidP="003B56EC">
      <w:pPr>
        <w:widowControl w:val="0"/>
        <w:jc w:val="both"/>
        <w:rPr>
          <w:rFonts w:ascii="Arial" w:hAnsi="Arial" w:cs="Arial"/>
          <w:sz w:val="22"/>
          <w:szCs w:val="22"/>
        </w:rPr>
      </w:pPr>
      <w:r>
        <w:rPr>
          <w:noProof/>
          <w:lang w:val="en-US" w:eastAsia="en-US"/>
        </w:rPr>
        <w:drawing>
          <wp:inline distT="0" distB="0" distL="0" distR="0" wp14:anchorId="7CB95786" wp14:editId="69222B02">
            <wp:extent cx="6120765" cy="2276475"/>
            <wp:effectExtent l="0" t="0" r="0" b="0"/>
            <wp:docPr id="6" name="Gráfico 6">
              <a:extLst xmlns:a="http://schemas.openxmlformats.org/drawingml/2006/main">
                <a:ext uri="{FF2B5EF4-FFF2-40B4-BE49-F238E27FC236}">
                  <a16:creationId xmlns:a16="http://schemas.microsoft.com/office/drawing/2014/main" id="{BF36F8A5-C178-4918-976B-CB53AFAFF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FFABD7" w14:textId="77777777" w:rsidR="00B17DDC" w:rsidRDefault="00B17DDC" w:rsidP="00E10A08">
      <w:pPr>
        <w:widowControl w:val="0"/>
        <w:jc w:val="both"/>
        <w:rPr>
          <w:rFonts w:ascii="Arial" w:hAnsi="Arial" w:cs="Arial"/>
          <w:color w:val="000000"/>
          <w:sz w:val="22"/>
          <w:szCs w:val="22"/>
        </w:rPr>
      </w:pPr>
    </w:p>
    <w:p w14:paraId="0589D221" w14:textId="514A1B21" w:rsidR="00E10A08" w:rsidRPr="008351DA" w:rsidRDefault="00E10A08" w:rsidP="00E10A08">
      <w:pPr>
        <w:widowControl w:val="0"/>
        <w:jc w:val="both"/>
        <w:rPr>
          <w:rFonts w:ascii="Arial" w:hAnsi="Arial" w:cs="Arial"/>
          <w:sz w:val="22"/>
          <w:szCs w:val="22"/>
        </w:rPr>
      </w:pPr>
      <w:r w:rsidRPr="008351DA">
        <w:rPr>
          <w:rFonts w:ascii="Arial" w:hAnsi="Arial" w:cs="Arial"/>
          <w:color w:val="000000"/>
          <w:sz w:val="22"/>
          <w:szCs w:val="22"/>
        </w:rPr>
        <w:t xml:space="preserve">En lo que respecta a </w:t>
      </w:r>
      <w:r w:rsidR="00DE1A5D" w:rsidRPr="008351DA">
        <w:rPr>
          <w:rFonts w:ascii="Arial" w:hAnsi="Arial" w:cs="Arial"/>
          <w:color w:val="000000"/>
          <w:sz w:val="22"/>
          <w:szCs w:val="22"/>
        </w:rPr>
        <w:t xml:space="preserve">la cantidad de </w:t>
      </w:r>
      <w:r w:rsidRPr="008351DA">
        <w:rPr>
          <w:rFonts w:ascii="Arial" w:hAnsi="Arial" w:cs="Arial"/>
          <w:color w:val="000000"/>
          <w:sz w:val="22"/>
          <w:szCs w:val="22"/>
        </w:rPr>
        <w:t xml:space="preserve">papel </w:t>
      </w:r>
      <w:r w:rsidR="00DE1A5D" w:rsidRPr="008351DA">
        <w:rPr>
          <w:rFonts w:ascii="Arial" w:hAnsi="Arial" w:cs="Arial"/>
          <w:color w:val="000000"/>
          <w:sz w:val="22"/>
          <w:szCs w:val="22"/>
        </w:rPr>
        <w:t xml:space="preserve">utilizado </w:t>
      </w:r>
      <w:r w:rsidRPr="008351DA">
        <w:rPr>
          <w:rFonts w:ascii="Arial" w:hAnsi="Arial" w:cs="Arial"/>
          <w:color w:val="000000"/>
          <w:sz w:val="22"/>
          <w:szCs w:val="22"/>
        </w:rPr>
        <w:t xml:space="preserve">durante el </w:t>
      </w:r>
      <w:r w:rsidR="008351DA">
        <w:rPr>
          <w:rFonts w:ascii="Arial" w:hAnsi="Arial" w:cs="Arial"/>
          <w:color w:val="000000"/>
          <w:sz w:val="22"/>
          <w:szCs w:val="22"/>
        </w:rPr>
        <w:t xml:space="preserve">tercer </w:t>
      </w:r>
      <w:r w:rsidRPr="008351DA">
        <w:rPr>
          <w:rFonts w:ascii="Arial" w:hAnsi="Arial" w:cs="Arial"/>
          <w:color w:val="000000"/>
          <w:sz w:val="22"/>
          <w:szCs w:val="22"/>
        </w:rPr>
        <w:t>trimestre de 2020</w:t>
      </w:r>
      <w:r w:rsidR="008351DA">
        <w:rPr>
          <w:rFonts w:ascii="Arial" w:hAnsi="Arial" w:cs="Arial"/>
          <w:color w:val="000000"/>
          <w:sz w:val="22"/>
          <w:szCs w:val="22"/>
        </w:rPr>
        <w:t xml:space="preserve"> el total de hojas de papel usadas ascendió a 15.430, </w:t>
      </w:r>
      <w:r w:rsidR="00D44FC8">
        <w:rPr>
          <w:rFonts w:ascii="Arial" w:hAnsi="Arial" w:cs="Arial"/>
          <w:color w:val="000000"/>
          <w:sz w:val="22"/>
          <w:szCs w:val="22"/>
        </w:rPr>
        <w:t>cuyo</w:t>
      </w:r>
      <w:r w:rsidR="00D44FC8" w:rsidRPr="008351DA">
        <w:rPr>
          <w:rFonts w:ascii="Arial" w:hAnsi="Arial" w:cs="Arial"/>
          <w:color w:val="000000"/>
          <w:sz w:val="22"/>
          <w:szCs w:val="22"/>
        </w:rPr>
        <w:t>s consumos</w:t>
      </w:r>
      <w:r w:rsidR="008F1CFF" w:rsidRPr="008351DA">
        <w:rPr>
          <w:rFonts w:ascii="Arial" w:hAnsi="Arial" w:cs="Arial"/>
          <w:color w:val="000000"/>
          <w:sz w:val="22"/>
          <w:szCs w:val="22"/>
        </w:rPr>
        <w:t xml:space="preserve"> </w:t>
      </w:r>
      <w:r w:rsidR="008351DA">
        <w:rPr>
          <w:rFonts w:ascii="Arial" w:hAnsi="Arial" w:cs="Arial"/>
          <w:color w:val="000000"/>
          <w:sz w:val="22"/>
          <w:szCs w:val="22"/>
        </w:rPr>
        <w:t xml:space="preserve">fueron </w:t>
      </w:r>
      <w:r w:rsidR="00DE1A5D" w:rsidRPr="008351DA">
        <w:rPr>
          <w:rFonts w:ascii="Arial" w:hAnsi="Arial" w:cs="Arial"/>
          <w:color w:val="000000"/>
          <w:sz w:val="22"/>
          <w:szCs w:val="22"/>
        </w:rPr>
        <w:t xml:space="preserve">efectuados </w:t>
      </w:r>
      <w:r w:rsidRPr="008351DA">
        <w:rPr>
          <w:rFonts w:ascii="Arial" w:hAnsi="Arial" w:cs="Arial"/>
          <w:color w:val="000000"/>
          <w:sz w:val="22"/>
          <w:szCs w:val="22"/>
        </w:rPr>
        <w:t xml:space="preserve">por </w:t>
      </w:r>
      <w:r w:rsidR="00D44FC8">
        <w:rPr>
          <w:rFonts w:ascii="Arial" w:hAnsi="Arial" w:cs="Arial"/>
          <w:color w:val="000000"/>
          <w:sz w:val="22"/>
          <w:szCs w:val="22"/>
        </w:rPr>
        <w:t xml:space="preserve">21 </w:t>
      </w:r>
      <w:r w:rsidRPr="008351DA">
        <w:rPr>
          <w:rFonts w:ascii="Arial" w:hAnsi="Arial" w:cs="Arial"/>
          <w:color w:val="000000"/>
          <w:sz w:val="22"/>
          <w:szCs w:val="22"/>
        </w:rPr>
        <w:t xml:space="preserve">dependencias de este Ministerio, </w:t>
      </w:r>
      <w:r w:rsidR="008F1CFF" w:rsidRPr="008351DA">
        <w:rPr>
          <w:rFonts w:ascii="Arial" w:hAnsi="Arial" w:cs="Arial"/>
          <w:color w:val="000000"/>
          <w:sz w:val="22"/>
          <w:szCs w:val="22"/>
        </w:rPr>
        <w:t xml:space="preserve">a continuación, se relacionan </w:t>
      </w:r>
      <w:r w:rsidR="00DE1A5D" w:rsidRPr="008351DA">
        <w:rPr>
          <w:rFonts w:ascii="Arial" w:hAnsi="Arial" w:cs="Arial"/>
          <w:color w:val="000000"/>
          <w:sz w:val="22"/>
          <w:szCs w:val="22"/>
        </w:rPr>
        <w:t>las 10</w:t>
      </w:r>
      <w:r w:rsidR="008F1CFF" w:rsidRPr="008351DA">
        <w:rPr>
          <w:rFonts w:ascii="Arial" w:hAnsi="Arial" w:cs="Arial"/>
          <w:color w:val="000000"/>
          <w:sz w:val="22"/>
          <w:szCs w:val="22"/>
        </w:rPr>
        <w:t xml:space="preserve"> </w:t>
      </w:r>
      <w:r w:rsidR="00DE1A5D" w:rsidRPr="008351DA">
        <w:rPr>
          <w:rFonts w:ascii="Arial" w:hAnsi="Arial" w:cs="Arial"/>
          <w:color w:val="000000"/>
          <w:sz w:val="22"/>
          <w:szCs w:val="22"/>
        </w:rPr>
        <w:t xml:space="preserve">áreas </w:t>
      </w:r>
      <w:r w:rsidR="008F1CFF" w:rsidRPr="008351DA">
        <w:rPr>
          <w:rFonts w:ascii="Arial" w:hAnsi="Arial" w:cs="Arial"/>
          <w:color w:val="000000"/>
          <w:sz w:val="22"/>
          <w:szCs w:val="22"/>
        </w:rPr>
        <w:t xml:space="preserve">con mayor consumo, así: </w:t>
      </w:r>
    </w:p>
    <w:p w14:paraId="5FF43A7A" w14:textId="089AF8EA" w:rsidR="00A1377A" w:rsidRPr="00CA48AF" w:rsidRDefault="00D44FC8" w:rsidP="00BD7AD1">
      <w:pPr>
        <w:widowControl w:val="0"/>
        <w:jc w:val="both"/>
        <w:rPr>
          <w:rFonts w:ascii="Arial" w:hAnsi="Arial" w:cs="Arial"/>
          <w:sz w:val="22"/>
          <w:szCs w:val="22"/>
          <w:highlight w:val="yellow"/>
        </w:rPr>
      </w:pPr>
      <w:r w:rsidRPr="00D44FC8">
        <w:rPr>
          <w:rFonts w:ascii="Calibri" w:hAnsi="Calibri" w:cs="Calibri"/>
          <w:noProof/>
          <w:color w:val="000000"/>
          <w:sz w:val="22"/>
          <w:szCs w:val="22"/>
          <w:lang w:val="en-US" w:eastAsia="en-US"/>
        </w:rPr>
        <w:lastRenderedPageBreak/>
        <w:drawing>
          <wp:anchor distT="0" distB="0" distL="114300" distR="114300" simplePos="0" relativeHeight="252377088" behindDoc="0" locked="0" layoutInCell="1" allowOverlap="1" wp14:anchorId="4482C37C" wp14:editId="55D4811B">
            <wp:simplePos x="0" y="0"/>
            <wp:positionH relativeFrom="column">
              <wp:posOffset>1833245</wp:posOffset>
            </wp:positionH>
            <wp:positionV relativeFrom="paragraph">
              <wp:posOffset>136525</wp:posOffset>
            </wp:positionV>
            <wp:extent cx="4362450" cy="3086100"/>
            <wp:effectExtent l="0" t="0" r="0" b="0"/>
            <wp:wrapNone/>
            <wp:docPr id="22" name="Gráfico 22">
              <a:extLst xmlns:a="http://schemas.openxmlformats.org/drawingml/2006/main">
                <a:ext uri="{FF2B5EF4-FFF2-40B4-BE49-F238E27FC236}">
                  <a16:creationId xmlns:a16="http://schemas.microsoft.com/office/drawing/2014/main" id="{29781A30-4505-4BCB-B5B8-07971A2B0717}"/>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bl>
      <w:tblPr>
        <w:tblStyle w:val="Tabladecuadrcula1clara-nfasis1"/>
        <w:tblW w:w="2830" w:type="dxa"/>
        <w:tblLayout w:type="fixed"/>
        <w:tblLook w:val="04A0" w:firstRow="1" w:lastRow="0" w:firstColumn="1" w:lastColumn="0" w:noHBand="0" w:noVBand="1"/>
      </w:tblPr>
      <w:tblGrid>
        <w:gridCol w:w="1555"/>
        <w:gridCol w:w="1275"/>
      </w:tblGrid>
      <w:tr w:rsidR="00D44FC8" w:rsidRPr="00D44FC8" w14:paraId="581E7F2B" w14:textId="77777777" w:rsidTr="00567202">
        <w:trPr>
          <w:cnfStyle w:val="100000000000" w:firstRow="1" w:lastRow="0" w:firstColumn="0" w:lastColumn="0" w:oddVBand="0" w:evenVBand="0" w:oddHBand="0" w:evenHBand="0" w:firstRowFirstColumn="0" w:firstRowLastColumn="0" w:lastRowFirstColumn="0" w:lastRowLastColumn="0"/>
          <w:cantSplit/>
          <w:trHeight w:val="951"/>
        </w:trPr>
        <w:tc>
          <w:tcPr>
            <w:cnfStyle w:val="001000000000" w:firstRow="0" w:lastRow="0" w:firstColumn="1" w:lastColumn="0" w:oddVBand="0" w:evenVBand="0" w:oddHBand="0" w:evenHBand="0" w:firstRowFirstColumn="0" w:firstRowLastColumn="0" w:lastRowFirstColumn="0" w:lastRowLastColumn="0"/>
            <w:tcW w:w="1555" w:type="dxa"/>
            <w:shd w:val="clear" w:color="auto" w:fill="DBE5F1" w:themeFill="accent1" w:themeFillTint="33"/>
            <w:noWrap/>
            <w:vAlign w:val="center"/>
            <w:hideMark/>
          </w:tcPr>
          <w:p w14:paraId="67924150" w14:textId="77777777" w:rsidR="00D44FC8" w:rsidRPr="006B7CD0" w:rsidRDefault="00D44FC8" w:rsidP="00567202">
            <w:pPr>
              <w:spacing w:before="40" w:after="40"/>
              <w:jc w:val="center"/>
              <w:rPr>
                <w:rFonts w:ascii="Arial" w:hAnsi="Arial" w:cs="Arial"/>
                <w:color w:val="0F243E" w:themeColor="text2" w:themeShade="80"/>
                <w:sz w:val="20"/>
                <w:szCs w:val="20"/>
              </w:rPr>
            </w:pPr>
            <w:r w:rsidRPr="006B7CD0">
              <w:rPr>
                <w:rFonts w:ascii="Arial" w:hAnsi="Arial" w:cs="Arial"/>
                <w:color w:val="0F243E" w:themeColor="text2" w:themeShade="80"/>
                <w:sz w:val="20"/>
                <w:szCs w:val="20"/>
              </w:rPr>
              <w:t xml:space="preserve">Dependencia </w:t>
            </w:r>
          </w:p>
        </w:tc>
        <w:tc>
          <w:tcPr>
            <w:tcW w:w="1275" w:type="dxa"/>
            <w:shd w:val="clear" w:color="auto" w:fill="DBE5F1" w:themeFill="accent1" w:themeFillTint="33"/>
            <w:noWrap/>
            <w:vAlign w:val="center"/>
            <w:hideMark/>
          </w:tcPr>
          <w:p w14:paraId="70E08F06" w14:textId="24EC9D4F" w:rsidR="00D44FC8" w:rsidRPr="006B7CD0" w:rsidRDefault="00D44FC8" w:rsidP="0056720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6B7CD0">
              <w:rPr>
                <w:rFonts w:ascii="Arial" w:hAnsi="Arial" w:cs="Arial"/>
                <w:color w:val="0F243E" w:themeColor="text2" w:themeShade="80"/>
                <w:sz w:val="20"/>
                <w:szCs w:val="20"/>
              </w:rPr>
              <w:t>Total Hojas Usadas</w:t>
            </w:r>
          </w:p>
        </w:tc>
      </w:tr>
      <w:tr w:rsidR="00D44FC8" w:rsidRPr="00D44FC8" w14:paraId="0FEC5FA8" w14:textId="77777777" w:rsidTr="00567202">
        <w:trPr>
          <w:cantSplit/>
          <w:trHeight w:val="405"/>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25016BD7"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DA</w:t>
            </w:r>
          </w:p>
        </w:tc>
        <w:tc>
          <w:tcPr>
            <w:tcW w:w="1275" w:type="dxa"/>
            <w:noWrap/>
            <w:vAlign w:val="center"/>
            <w:hideMark/>
          </w:tcPr>
          <w:p w14:paraId="4292DB11" w14:textId="409807F0"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4.859</w:t>
            </w:r>
          </w:p>
        </w:tc>
      </w:tr>
      <w:tr w:rsidR="00D44FC8" w:rsidRPr="00D44FC8" w14:paraId="5EA6EB9F" w14:textId="77777777" w:rsidTr="00567202">
        <w:trPr>
          <w:cantSplit/>
          <w:trHeight w:val="430"/>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7A1E7004"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DM</w:t>
            </w:r>
          </w:p>
        </w:tc>
        <w:tc>
          <w:tcPr>
            <w:tcW w:w="1275" w:type="dxa"/>
            <w:noWrap/>
            <w:vAlign w:val="center"/>
            <w:hideMark/>
          </w:tcPr>
          <w:p w14:paraId="7CBC4E4C" w14:textId="6907A253"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4.222</w:t>
            </w:r>
          </w:p>
        </w:tc>
      </w:tr>
      <w:tr w:rsidR="00D44FC8" w:rsidRPr="00D44FC8" w14:paraId="76580DD0" w14:textId="77777777" w:rsidTr="00434C19">
        <w:trPr>
          <w:cantSplit/>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44AA23E7"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SACP</w:t>
            </w:r>
          </w:p>
        </w:tc>
        <w:tc>
          <w:tcPr>
            <w:tcW w:w="1275" w:type="dxa"/>
            <w:noWrap/>
            <w:vAlign w:val="center"/>
            <w:hideMark/>
          </w:tcPr>
          <w:p w14:paraId="4E303965" w14:textId="2E519C1B"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3.378</w:t>
            </w:r>
          </w:p>
        </w:tc>
      </w:tr>
      <w:tr w:rsidR="00D44FC8" w:rsidRPr="00D44FC8" w14:paraId="4A75CF54" w14:textId="77777777" w:rsidTr="00567202">
        <w:trPr>
          <w:cantSplit/>
          <w:trHeight w:val="417"/>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2B16EC7C"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DVG</w:t>
            </w:r>
          </w:p>
        </w:tc>
        <w:tc>
          <w:tcPr>
            <w:tcW w:w="1275" w:type="dxa"/>
            <w:noWrap/>
            <w:vAlign w:val="center"/>
            <w:hideMark/>
          </w:tcPr>
          <w:p w14:paraId="297B17B5" w14:textId="74B73CC6"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578</w:t>
            </w:r>
          </w:p>
        </w:tc>
      </w:tr>
      <w:tr w:rsidR="00D44FC8" w:rsidRPr="00D44FC8" w14:paraId="5ECFD60C" w14:textId="77777777" w:rsidTr="00434C19">
        <w:trPr>
          <w:cantSplit/>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249FA528"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SG</w:t>
            </w:r>
          </w:p>
        </w:tc>
        <w:tc>
          <w:tcPr>
            <w:tcW w:w="1275" w:type="dxa"/>
            <w:noWrap/>
            <w:vAlign w:val="center"/>
            <w:hideMark/>
          </w:tcPr>
          <w:p w14:paraId="1B8FA8A1" w14:textId="7F331770"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561</w:t>
            </w:r>
          </w:p>
        </w:tc>
      </w:tr>
      <w:tr w:rsidR="00D44FC8" w:rsidRPr="00D44FC8" w14:paraId="7E71DF0A" w14:textId="77777777" w:rsidTr="00434C19">
        <w:trPr>
          <w:cantSplit/>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66538670"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DT</w:t>
            </w:r>
          </w:p>
        </w:tc>
        <w:tc>
          <w:tcPr>
            <w:tcW w:w="1275" w:type="dxa"/>
            <w:noWrap/>
            <w:vAlign w:val="center"/>
            <w:hideMark/>
          </w:tcPr>
          <w:p w14:paraId="2D596F19" w14:textId="1D89F907"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455</w:t>
            </w:r>
          </w:p>
        </w:tc>
      </w:tr>
      <w:tr w:rsidR="00D44FC8" w:rsidRPr="00D44FC8" w14:paraId="49FC2A37" w14:textId="77777777" w:rsidTr="00434C19">
        <w:trPr>
          <w:cantSplit/>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718687ED"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DGRESS</w:t>
            </w:r>
          </w:p>
        </w:tc>
        <w:tc>
          <w:tcPr>
            <w:tcW w:w="1275" w:type="dxa"/>
            <w:noWrap/>
            <w:vAlign w:val="center"/>
            <w:hideMark/>
          </w:tcPr>
          <w:p w14:paraId="511994B2" w14:textId="50FD583C"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402</w:t>
            </w:r>
          </w:p>
        </w:tc>
      </w:tr>
      <w:tr w:rsidR="00D44FC8" w:rsidRPr="00D44FC8" w14:paraId="229C8BD3" w14:textId="77777777" w:rsidTr="00567202">
        <w:trPr>
          <w:cantSplit/>
          <w:trHeight w:val="380"/>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69EC6D4C"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SJ</w:t>
            </w:r>
          </w:p>
        </w:tc>
        <w:tc>
          <w:tcPr>
            <w:tcW w:w="1275" w:type="dxa"/>
            <w:noWrap/>
            <w:vAlign w:val="center"/>
            <w:hideMark/>
          </w:tcPr>
          <w:p w14:paraId="2E29FD56" w14:textId="79EBC5DB"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319</w:t>
            </w:r>
          </w:p>
        </w:tc>
      </w:tr>
      <w:tr w:rsidR="00D44FC8" w:rsidRPr="00D44FC8" w14:paraId="57B6444A" w14:textId="77777777" w:rsidTr="00434C19">
        <w:trPr>
          <w:cantSplit/>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6AACDD90"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DGCPTN</w:t>
            </w:r>
          </w:p>
        </w:tc>
        <w:tc>
          <w:tcPr>
            <w:tcW w:w="1275" w:type="dxa"/>
            <w:noWrap/>
            <w:vAlign w:val="center"/>
            <w:hideMark/>
          </w:tcPr>
          <w:p w14:paraId="04BCDB32" w14:textId="0D60C4CB"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307</w:t>
            </w:r>
          </w:p>
        </w:tc>
      </w:tr>
      <w:tr w:rsidR="00D44FC8" w:rsidRPr="00D44FC8" w14:paraId="6263B4D0" w14:textId="77777777" w:rsidTr="00567202">
        <w:trPr>
          <w:cantSplit/>
          <w:trHeight w:val="405"/>
        </w:trPr>
        <w:tc>
          <w:tcPr>
            <w:cnfStyle w:val="001000000000" w:firstRow="0" w:lastRow="0" w:firstColumn="1" w:lastColumn="0" w:oddVBand="0" w:evenVBand="0" w:oddHBand="0" w:evenHBand="0" w:firstRowFirstColumn="0" w:firstRowLastColumn="0" w:lastRowFirstColumn="0" w:lastRowLastColumn="0"/>
            <w:tcW w:w="1555" w:type="dxa"/>
            <w:noWrap/>
            <w:vAlign w:val="center"/>
            <w:hideMark/>
          </w:tcPr>
          <w:p w14:paraId="0666A793" w14:textId="77777777" w:rsidR="00D44FC8" w:rsidRPr="00D44FC8" w:rsidRDefault="00D44FC8" w:rsidP="00567202">
            <w:pPr>
              <w:spacing w:before="40" w:after="40"/>
              <w:rPr>
                <w:rFonts w:ascii="Arial" w:hAnsi="Arial" w:cs="Arial"/>
                <w:color w:val="0F243E" w:themeColor="text2" w:themeShade="80"/>
                <w:sz w:val="20"/>
                <w:szCs w:val="20"/>
              </w:rPr>
            </w:pPr>
            <w:r w:rsidRPr="00D44FC8">
              <w:rPr>
                <w:rFonts w:ascii="Arial" w:hAnsi="Arial" w:cs="Arial"/>
                <w:color w:val="0F243E" w:themeColor="text2" w:themeShade="80"/>
                <w:sz w:val="20"/>
                <w:szCs w:val="20"/>
              </w:rPr>
              <w:t>DGPPN</w:t>
            </w:r>
          </w:p>
        </w:tc>
        <w:tc>
          <w:tcPr>
            <w:tcW w:w="1275" w:type="dxa"/>
            <w:noWrap/>
            <w:vAlign w:val="center"/>
            <w:hideMark/>
          </w:tcPr>
          <w:p w14:paraId="2B3759F7" w14:textId="10AB04FE" w:rsidR="00D44FC8" w:rsidRPr="00D44FC8" w:rsidRDefault="00D44FC8" w:rsidP="0056720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44FC8">
              <w:rPr>
                <w:rFonts w:ascii="Arial" w:hAnsi="Arial" w:cs="Arial"/>
                <w:color w:val="0F243E" w:themeColor="text2" w:themeShade="80"/>
                <w:sz w:val="20"/>
                <w:szCs w:val="20"/>
              </w:rPr>
              <w:t>146</w:t>
            </w:r>
          </w:p>
        </w:tc>
      </w:tr>
    </w:tbl>
    <w:p w14:paraId="73B5D425" w14:textId="5E9274D6" w:rsidR="00E34A73" w:rsidRPr="00434C19" w:rsidRDefault="00E34A73" w:rsidP="00E34A73">
      <w:pPr>
        <w:widowControl w:val="0"/>
        <w:jc w:val="both"/>
        <w:rPr>
          <w:rFonts w:ascii="Arial" w:hAnsi="Arial" w:cs="Arial"/>
          <w:sz w:val="22"/>
          <w:szCs w:val="22"/>
        </w:rPr>
      </w:pPr>
      <w:r w:rsidRPr="00434C19">
        <w:rPr>
          <w:rStyle w:val="Refdenotaalpie"/>
          <w:rFonts w:ascii="Arial" w:hAnsi="Arial" w:cs="Arial"/>
          <w:sz w:val="22"/>
          <w:szCs w:val="22"/>
        </w:rPr>
        <w:footnoteReference w:id="8"/>
      </w:r>
    </w:p>
    <w:p w14:paraId="065D7A2D" w14:textId="15303600" w:rsidR="003D01EB" w:rsidRDefault="00E34A73" w:rsidP="00BD7AD1">
      <w:pPr>
        <w:widowControl w:val="0"/>
        <w:jc w:val="both"/>
        <w:rPr>
          <w:rFonts w:ascii="Arial" w:hAnsi="Arial" w:cs="Arial"/>
          <w:sz w:val="22"/>
          <w:szCs w:val="22"/>
        </w:rPr>
      </w:pPr>
      <w:r w:rsidRPr="00434C19">
        <w:rPr>
          <w:rFonts w:ascii="Arial" w:hAnsi="Arial" w:cs="Arial"/>
          <w:sz w:val="22"/>
          <w:szCs w:val="22"/>
        </w:rPr>
        <w:t xml:space="preserve">Frente a lo anterior, </w:t>
      </w:r>
      <w:r w:rsidR="003D01EB">
        <w:rPr>
          <w:rFonts w:ascii="Arial" w:hAnsi="Arial" w:cs="Arial"/>
          <w:sz w:val="22"/>
          <w:szCs w:val="22"/>
        </w:rPr>
        <w:t xml:space="preserve">la Oficina de Control Interno efectuó una prueba </w:t>
      </w:r>
      <w:r w:rsidR="00603D89">
        <w:rPr>
          <w:rFonts w:ascii="Arial" w:hAnsi="Arial" w:cs="Arial"/>
          <w:sz w:val="22"/>
          <w:szCs w:val="22"/>
        </w:rPr>
        <w:t>con el fin de</w:t>
      </w:r>
      <w:r w:rsidR="00075F3F">
        <w:rPr>
          <w:rFonts w:ascii="Arial" w:hAnsi="Arial" w:cs="Arial"/>
          <w:sz w:val="22"/>
          <w:szCs w:val="22"/>
        </w:rPr>
        <w:t xml:space="preserve"> validar los consumos realizados por el personal vinculado con este Ministerio durante el tercer trimestre de 2020, </w:t>
      </w:r>
      <w:r w:rsidR="0082281B">
        <w:rPr>
          <w:rFonts w:ascii="Arial" w:hAnsi="Arial" w:cs="Arial"/>
          <w:sz w:val="22"/>
          <w:szCs w:val="22"/>
        </w:rPr>
        <w:t xml:space="preserve">seleccionando </w:t>
      </w:r>
      <w:r w:rsidR="003D01EB">
        <w:rPr>
          <w:rFonts w:ascii="Arial" w:hAnsi="Arial" w:cs="Arial"/>
          <w:sz w:val="22"/>
          <w:szCs w:val="22"/>
        </w:rPr>
        <w:t xml:space="preserve">como muestra </w:t>
      </w:r>
      <w:r w:rsidR="00075F3F">
        <w:rPr>
          <w:rFonts w:ascii="Arial" w:hAnsi="Arial" w:cs="Arial"/>
          <w:sz w:val="22"/>
          <w:szCs w:val="22"/>
        </w:rPr>
        <w:t>aquellos consumos superiores a 100 hojas</w:t>
      </w:r>
      <w:r w:rsidR="00BF56AC">
        <w:rPr>
          <w:rFonts w:ascii="Arial" w:hAnsi="Arial" w:cs="Arial"/>
          <w:sz w:val="22"/>
          <w:szCs w:val="22"/>
        </w:rPr>
        <w:t>,</w:t>
      </w:r>
      <w:r w:rsidR="00075F3F">
        <w:rPr>
          <w:rFonts w:ascii="Arial" w:hAnsi="Arial" w:cs="Arial"/>
          <w:sz w:val="22"/>
          <w:szCs w:val="22"/>
        </w:rPr>
        <w:t xml:space="preserve"> representa</w:t>
      </w:r>
      <w:r w:rsidR="00603D89">
        <w:rPr>
          <w:rFonts w:ascii="Arial" w:hAnsi="Arial" w:cs="Arial"/>
          <w:sz w:val="22"/>
          <w:szCs w:val="22"/>
        </w:rPr>
        <w:t>ndo el</w:t>
      </w:r>
      <w:r w:rsidR="00075F3F">
        <w:rPr>
          <w:rFonts w:ascii="Arial" w:hAnsi="Arial" w:cs="Arial"/>
          <w:sz w:val="22"/>
          <w:szCs w:val="22"/>
        </w:rPr>
        <w:t xml:space="preserve"> </w:t>
      </w:r>
      <w:r w:rsidR="003D01EB">
        <w:rPr>
          <w:rFonts w:ascii="Arial" w:hAnsi="Arial" w:cs="Arial"/>
          <w:sz w:val="22"/>
          <w:szCs w:val="22"/>
        </w:rPr>
        <w:t>91% del total de n</w:t>
      </w:r>
      <w:r w:rsidR="00075F3F">
        <w:rPr>
          <w:rFonts w:ascii="Arial" w:hAnsi="Arial" w:cs="Arial"/>
          <w:sz w:val="22"/>
          <w:szCs w:val="22"/>
        </w:rPr>
        <w:t>ú</w:t>
      </w:r>
      <w:r w:rsidR="003D01EB">
        <w:rPr>
          <w:rFonts w:ascii="Arial" w:hAnsi="Arial" w:cs="Arial"/>
          <w:sz w:val="22"/>
          <w:szCs w:val="22"/>
        </w:rPr>
        <w:t xml:space="preserve">mero de hojas utilizadas durante </w:t>
      </w:r>
      <w:r w:rsidR="00BF56AC">
        <w:rPr>
          <w:rFonts w:ascii="Arial" w:hAnsi="Arial" w:cs="Arial"/>
          <w:sz w:val="22"/>
          <w:szCs w:val="22"/>
        </w:rPr>
        <w:t xml:space="preserve">tercer trimestre de 2020. </w:t>
      </w:r>
    </w:p>
    <w:p w14:paraId="5B6DF35A" w14:textId="17605F35" w:rsidR="003D01EB" w:rsidRDefault="003D01EB" w:rsidP="00567202">
      <w:pPr>
        <w:widowControl w:val="0"/>
        <w:spacing w:line="168" w:lineRule="auto"/>
        <w:jc w:val="both"/>
        <w:rPr>
          <w:rFonts w:ascii="Arial" w:hAnsi="Arial" w:cs="Arial"/>
          <w:sz w:val="22"/>
          <w:szCs w:val="22"/>
        </w:rPr>
      </w:pPr>
    </w:p>
    <w:p w14:paraId="67313810" w14:textId="4250E258" w:rsidR="0047018D" w:rsidRDefault="00164AEC" w:rsidP="00BD7AD1">
      <w:pPr>
        <w:widowControl w:val="0"/>
        <w:jc w:val="both"/>
        <w:rPr>
          <w:rFonts w:ascii="Arial" w:hAnsi="Arial" w:cs="Arial"/>
          <w:sz w:val="22"/>
          <w:szCs w:val="22"/>
        </w:rPr>
      </w:pPr>
      <w:r>
        <w:rPr>
          <w:rFonts w:ascii="Arial" w:hAnsi="Arial" w:cs="Arial"/>
          <w:sz w:val="22"/>
          <w:szCs w:val="22"/>
        </w:rPr>
        <w:t>Así mismo, c</w:t>
      </w:r>
      <w:r w:rsidR="0047018D">
        <w:rPr>
          <w:rFonts w:ascii="Arial" w:hAnsi="Arial" w:cs="Arial"/>
          <w:sz w:val="22"/>
          <w:szCs w:val="22"/>
        </w:rPr>
        <w:t xml:space="preserve">on base </w:t>
      </w:r>
      <w:r w:rsidR="00940D6A">
        <w:rPr>
          <w:rFonts w:ascii="Arial" w:hAnsi="Arial" w:cs="Arial"/>
          <w:sz w:val="22"/>
          <w:szCs w:val="22"/>
        </w:rPr>
        <w:t>en los reportes</w:t>
      </w:r>
      <w:r w:rsidR="00940D6A" w:rsidRPr="00940D6A">
        <w:rPr>
          <w:rFonts w:ascii="Arial" w:hAnsi="Arial" w:cs="Arial"/>
          <w:sz w:val="22"/>
          <w:szCs w:val="22"/>
        </w:rPr>
        <w:t xml:space="preserve"> </w:t>
      </w:r>
      <w:r w:rsidR="00940D6A" w:rsidRPr="00434C19">
        <w:rPr>
          <w:rFonts w:ascii="Arial" w:hAnsi="Arial" w:cs="Arial"/>
          <w:sz w:val="22"/>
          <w:szCs w:val="22"/>
        </w:rPr>
        <w:t xml:space="preserve">de entradas y salidas a las instalaciones de este Ministerio por parte de los funcionarios, contratistas, pasantes y demás personal vinculado con esta Entidad, </w:t>
      </w:r>
      <w:r w:rsidR="00940D6A">
        <w:rPr>
          <w:rFonts w:ascii="Arial" w:hAnsi="Arial" w:cs="Arial"/>
          <w:sz w:val="22"/>
          <w:szCs w:val="22"/>
        </w:rPr>
        <w:t xml:space="preserve">se efectuó </w:t>
      </w:r>
      <w:r>
        <w:rPr>
          <w:rFonts w:ascii="Arial" w:hAnsi="Arial" w:cs="Arial"/>
          <w:sz w:val="22"/>
          <w:szCs w:val="22"/>
        </w:rPr>
        <w:t xml:space="preserve">una verificación a </w:t>
      </w:r>
      <w:r w:rsidR="00940D6A" w:rsidRPr="00434C19">
        <w:rPr>
          <w:rFonts w:ascii="Arial" w:hAnsi="Arial" w:cs="Arial"/>
          <w:sz w:val="22"/>
          <w:szCs w:val="22"/>
        </w:rPr>
        <w:t xml:space="preserve">los consumos de papel registrados durante los meses de </w:t>
      </w:r>
      <w:r>
        <w:rPr>
          <w:rFonts w:ascii="Arial" w:hAnsi="Arial" w:cs="Arial"/>
          <w:sz w:val="22"/>
          <w:szCs w:val="22"/>
        </w:rPr>
        <w:t xml:space="preserve">julio, agosto y septiembre </w:t>
      </w:r>
      <w:r w:rsidR="00940D6A" w:rsidRPr="00434C19">
        <w:rPr>
          <w:rFonts w:ascii="Arial" w:hAnsi="Arial" w:cs="Arial"/>
          <w:sz w:val="22"/>
          <w:szCs w:val="22"/>
        </w:rPr>
        <w:t>de 2020</w:t>
      </w:r>
      <w:r>
        <w:rPr>
          <w:rFonts w:ascii="Arial" w:hAnsi="Arial" w:cs="Arial"/>
          <w:sz w:val="22"/>
          <w:szCs w:val="22"/>
        </w:rPr>
        <w:t xml:space="preserve"> para cada un</w:t>
      </w:r>
      <w:r w:rsidR="00771E5D">
        <w:rPr>
          <w:rFonts w:ascii="Arial" w:hAnsi="Arial" w:cs="Arial"/>
          <w:sz w:val="22"/>
          <w:szCs w:val="22"/>
        </w:rPr>
        <w:t>a</w:t>
      </w:r>
      <w:r>
        <w:rPr>
          <w:rFonts w:ascii="Arial" w:hAnsi="Arial" w:cs="Arial"/>
          <w:sz w:val="22"/>
          <w:szCs w:val="22"/>
        </w:rPr>
        <w:t xml:space="preserve"> de las personas seleccionadas en la muestra</w:t>
      </w:r>
      <w:r w:rsidR="00771E5D">
        <w:rPr>
          <w:rFonts w:ascii="Arial" w:hAnsi="Arial" w:cs="Arial"/>
          <w:sz w:val="22"/>
          <w:szCs w:val="22"/>
        </w:rPr>
        <w:t xml:space="preserve"> [24].</w:t>
      </w:r>
      <w:r w:rsidR="00725657">
        <w:rPr>
          <w:rFonts w:ascii="Arial" w:hAnsi="Arial" w:cs="Arial"/>
          <w:sz w:val="22"/>
          <w:szCs w:val="22"/>
        </w:rPr>
        <w:t xml:space="preserve"> </w:t>
      </w:r>
    </w:p>
    <w:p w14:paraId="6FCEF27D" w14:textId="60879B64" w:rsidR="003D01EB" w:rsidRDefault="003D01EB" w:rsidP="00567202">
      <w:pPr>
        <w:widowControl w:val="0"/>
        <w:spacing w:line="168" w:lineRule="auto"/>
        <w:jc w:val="both"/>
        <w:rPr>
          <w:rFonts w:ascii="Arial" w:hAnsi="Arial" w:cs="Arial"/>
          <w:sz w:val="22"/>
          <w:szCs w:val="22"/>
        </w:rPr>
      </w:pPr>
    </w:p>
    <w:p w14:paraId="79CB8020" w14:textId="34082A1A" w:rsidR="00DF3A2E" w:rsidRPr="00CA48AF" w:rsidRDefault="00B842B4" w:rsidP="00E72DE6">
      <w:pPr>
        <w:widowControl w:val="0"/>
        <w:jc w:val="both"/>
        <w:rPr>
          <w:rFonts w:ascii="Arial" w:hAnsi="Arial" w:cs="Arial"/>
          <w:color w:val="000000"/>
          <w:sz w:val="22"/>
          <w:szCs w:val="22"/>
          <w:highlight w:val="yellow"/>
        </w:rPr>
      </w:pPr>
      <w:r w:rsidRPr="00725657">
        <w:rPr>
          <w:rFonts w:ascii="Arial" w:hAnsi="Arial" w:cs="Arial"/>
          <w:color w:val="000000"/>
          <w:sz w:val="22"/>
          <w:szCs w:val="22"/>
        </w:rPr>
        <w:t xml:space="preserve">Como resultado de la prueba aplicada, se </w:t>
      </w:r>
      <w:r w:rsidR="00642110" w:rsidRPr="00725657">
        <w:rPr>
          <w:rFonts w:ascii="Arial" w:hAnsi="Arial" w:cs="Arial"/>
          <w:color w:val="000000"/>
          <w:sz w:val="22"/>
          <w:szCs w:val="22"/>
        </w:rPr>
        <w:t>observ</w:t>
      </w:r>
      <w:r w:rsidR="00830B93">
        <w:rPr>
          <w:rFonts w:ascii="Arial" w:hAnsi="Arial" w:cs="Arial"/>
          <w:color w:val="000000"/>
          <w:sz w:val="22"/>
          <w:szCs w:val="22"/>
        </w:rPr>
        <w:t xml:space="preserve">aron </w:t>
      </w:r>
      <w:r w:rsidR="00642110" w:rsidRPr="00725657">
        <w:rPr>
          <w:rFonts w:ascii="Arial" w:hAnsi="Arial" w:cs="Arial"/>
          <w:color w:val="000000"/>
          <w:sz w:val="22"/>
          <w:szCs w:val="22"/>
        </w:rPr>
        <w:t>consumos</w:t>
      </w:r>
      <w:r w:rsidR="00DF3A2E" w:rsidRPr="00725657">
        <w:rPr>
          <w:rFonts w:ascii="Arial" w:hAnsi="Arial" w:cs="Arial"/>
          <w:color w:val="000000"/>
          <w:sz w:val="22"/>
          <w:szCs w:val="22"/>
        </w:rPr>
        <w:t xml:space="preserve"> de papel</w:t>
      </w:r>
      <w:r w:rsidR="00642110" w:rsidRPr="00725657">
        <w:rPr>
          <w:rFonts w:ascii="Arial" w:hAnsi="Arial" w:cs="Arial"/>
          <w:color w:val="000000"/>
          <w:sz w:val="22"/>
          <w:szCs w:val="22"/>
        </w:rPr>
        <w:t xml:space="preserve"> a cargo de </w:t>
      </w:r>
      <w:r w:rsidR="00830B93">
        <w:rPr>
          <w:rFonts w:ascii="Arial" w:hAnsi="Arial" w:cs="Arial"/>
          <w:color w:val="000000"/>
          <w:sz w:val="22"/>
          <w:szCs w:val="22"/>
        </w:rPr>
        <w:t>3 personas seleccionadas</w:t>
      </w:r>
      <w:r w:rsidR="00725657">
        <w:rPr>
          <w:rFonts w:ascii="Arial" w:hAnsi="Arial" w:cs="Arial"/>
          <w:color w:val="000000"/>
          <w:sz w:val="22"/>
          <w:szCs w:val="22"/>
        </w:rPr>
        <w:t xml:space="preserve"> en la muestra, </w:t>
      </w:r>
      <w:r w:rsidR="00830B93">
        <w:rPr>
          <w:rFonts w:ascii="Arial" w:hAnsi="Arial" w:cs="Arial"/>
          <w:color w:val="000000"/>
          <w:sz w:val="22"/>
          <w:szCs w:val="22"/>
        </w:rPr>
        <w:t>para las c</w:t>
      </w:r>
      <w:r w:rsidRPr="00725657">
        <w:rPr>
          <w:rFonts w:ascii="Arial" w:hAnsi="Arial" w:cs="Arial"/>
          <w:color w:val="000000"/>
          <w:sz w:val="22"/>
          <w:szCs w:val="22"/>
        </w:rPr>
        <w:t>uales n</w:t>
      </w:r>
      <w:r w:rsidR="00642110" w:rsidRPr="00725657">
        <w:rPr>
          <w:rFonts w:ascii="Arial" w:hAnsi="Arial" w:cs="Arial"/>
          <w:color w:val="000000"/>
          <w:sz w:val="22"/>
          <w:szCs w:val="22"/>
        </w:rPr>
        <w:t xml:space="preserve">o se evidenció el respectivo registro de entrada a las </w:t>
      </w:r>
      <w:r w:rsidR="00D56DB2" w:rsidRPr="00725657">
        <w:rPr>
          <w:rFonts w:ascii="Arial" w:hAnsi="Arial" w:cs="Arial"/>
          <w:color w:val="000000"/>
          <w:sz w:val="22"/>
          <w:szCs w:val="22"/>
        </w:rPr>
        <w:t>instalaciones</w:t>
      </w:r>
      <w:r w:rsidR="00642110" w:rsidRPr="00725657">
        <w:rPr>
          <w:rFonts w:ascii="Arial" w:hAnsi="Arial" w:cs="Arial"/>
          <w:color w:val="000000"/>
          <w:sz w:val="22"/>
          <w:szCs w:val="22"/>
        </w:rPr>
        <w:t xml:space="preserve"> de esta Entidad </w:t>
      </w:r>
      <w:r w:rsidR="00DF3A2E" w:rsidRPr="00725657">
        <w:rPr>
          <w:rFonts w:ascii="Arial" w:hAnsi="Arial" w:cs="Arial"/>
          <w:color w:val="000000"/>
          <w:sz w:val="22"/>
          <w:szCs w:val="22"/>
        </w:rPr>
        <w:t xml:space="preserve">durante los periodos </w:t>
      </w:r>
      <w:r w:rsidR="00830B93">
        <w:rPr>
          <w:rFonts w:ascii="Arial" w:hAnsi="Arial" w:cs="Arial"/>
          <w:color w:val="000000"/>
          <w:sz w:val="22"/>
          <w:szCs w:val="22"/>
        </w:rPr>
        <w:t xml:space="preserve">objeto de revisión. </w:t>
      </w:r>
      <w:r w:rsidR="00DF3A2E" w:rsidRPr="00725657">
        <w:rPr>
          <w:rFonts w:ascii="Arial" w:hAnsi="Arial" w:cs="Arial"/>
          <w:color w:val="000000"/>
          <w:sz w:val="22"/>
          <w:szCs w:val="22"/>
        </w:rPr>
        <w:t xml:space="preserve"> </w:t>
      </w:r>
    </w:p>
    <w:p w14:paraId="680F0612" w14:textId="77777777" w:rsidR="00DF3A2E" w:rsidRPr="00830B93" w:rsidRDefault="00DF3A2E" w:rsidP="00567202">
      <w:pPr>
        <w:widowControl w:val="0"/>
        <w:spacing w:line="168" w:lineRule="auto"/>
        <w:jc w:val="both"/>
        <w:rPr>
          <w:rFonts w:ascii="Arial" w:hAnsi="Arial" w:cs="Arial"/>
          <w:color w:val="000000"/>
          <w:sz w:val="22"/>
          <w:szCs w:val="22"/>
        </w:rPr>
      </w:pPr>
    </w:p>
    <w:p w14:paraId="31415D57" w14:textId="2AED3A70" w:rsidR="0054576B" w:rsidRDefault="0054576B" w:rsidP="00E72DE6">
      <w:pPr>
        <w:widowControl w:val="0"/>
        <w:jc w:val="both"/>
        <w:rPr>
          <w:rFonts w:ascii="Arial" w:hAnsi="Arial" w:cs="Arial"/>
          <w:color w:val="000000" w:themeColor="text1"/>
          <w:sz w:val="22"/>
          <w:szCs w:val="22"/>
          <w:shd w:val="clear" w:color="auto" w:fill="FFFFFF"/>
        </w:rPr>
      </w:pPr>
      <w:r w:rsidRPr="00A233ED">
        <w:rPr>
          <w:rFonts w:ascii="Arial" w:hAnsi="Arial" w:cs="Arial"/>
          <w:color w:val="000000" w:themeColor="text1"/>
          <w:sz w:val="22"/>
          <w:szCs w:val="22"/>
        </w:rPr>
        <w:t xml:space="preserve">Sobre el particular, el Grupo de Infraestructura </w:t>
      </w:r>
      <w:r w:rsidR="000E2C13" w:rsidRPr="00A233ED">
        <w:rPr>
          <w:rFonts w:ascii="Arial" w:hAnsi="Arial" w:cs="Arial"/>
          <w:color w:val="000000" w:themeColor="text1"/>
          <w:sz w:val="22"/>
          <w:szCs w:val="22"/>
        </w:rPr>
        <w:t xml:space="preserve">informó </w:t>
      </w:r>
      <w:r w:rsidR="000F63B3" w:rsidRPr="00A233ED">
        <w:rPr>
          <w:rFonts w:ascii="Arial" w:hAnsi="Arial" w:cs="Arial"/>
          <w:color w:val="000000" w:themeColor="text1"/>
          <w:sz w:val="22"/>
          <w:szCs w:val="22"/>
        </w:rPr>
        <w:t xml:space="preserve">que, </w:t>
      </w:r>
      <w:r w:rsidR="000F63B3" w:rsidRPr="00A233ED">
        <w:rPr>
          <w:rFonts w:ascii="Arial" w:hAnsi="Arial" w:cs="Arial"/>
          <w:color w:val="000000" w:themeColor="text1"/>
          <w:sz w:val="22"/>
          <w:szCs w:val="22"/>
          <w:shd w:val="clear" w:color="auto" w:fill="FFFFFF"/>
        </w:rPr>
        <w:t>el nuevo sistema aún está en periodo de pruebas, lo que puede generar pérdida de datos, los cuales son normales durante esta etapa de estabilización.</w:t>
      </w:r>
      <w:r w:rsidR="00A233ED" w:rsidRPr="00A233ED">
        <w:rPr>
          <w:rFonts w:ascii="Arial" w:hAnsi="Arial" w:cs="Arial"/>
          <w:color w:val="000000" w:themeColor="text1"/>
          <w:sz w:val="22"/>
          <w:szCs w:val="22"/>
          <w:shd w:val="clear" w:color="auto" w:fill="FFFFFF"/>
        </w:rPr>
        <w:t xml:space="preserve"> De igual forma, mencionó que la Dirección de Tecnología se encuentra realizando el respectivo seguimiento a las fallas presentadas. </w:t>
      </w:r>
    </w:p>
    <w:p w14:paraId="69E79C19" w14:textId="77777777" w:rsidR="00567202" w:rsidRPr="00A233ED" w:rsidRDefault="00567202" w:rsidP="00124A43">
      <w:pPr>
        <w:widowControl w:val="0"/>
        <w:spacing w:line="168" w:lineRule="auto"/>
        <w:jc w:val="both"/>
        <w:rPr>
          <w:rFonts w:ascii="Arial" w:hAnsi="Arial" w:cs="Arial"/>
          <w:color w:val="000000" w:themeColor="text1"/>
          <w:sz w:val="22"/>
          <w:szCs w:val="22"/>
        </w:rPr>
      </w:pPr>
    </w:p>
    <w:p w14:paraId="3A9010AD" w14:textId="21DC0202" w:rsidR="00771E5D" w:rsidRDefault="00771E5D" w:rsidP="00771E5D">
      <w:pPr>
        <w:widowControl w:val="0"/>
        <w:jc w:val="both"/>
        <w:rPr>
          <w:rFonts w:ascii="Arial" w:hAnsi="Arial" w:cs="Arial"/>
          <w:color w:val="000000"/>
          <w:sz w:val="22"/>
          <w:szCs w:val="22"/>
        </w:rPr>
      </w:pPr>
      <w:r w:rsidRPr="00830B93">
        <w:rPr>
          <w:rFonts w:ascii="Arial" w:hAnsi="Arial" w:cs="Arial"/>
          <w:color w:val="000000"/>
          <w:sz w:val="22"/>
          <w:szCs w:val="22"/>
        </w:rPr>
        <w:t xml:space="preserve">La situación evidenciada se deduce que fue ocasionada por la implementación y actualización del sistema de control de entradas y salida de esta Entidad y a la programación de las nuevas tarjetas de acceso para los funcionarios y personal vinculado con este Ministerio, lo cual pudo ocasionar errores de lectura </w:t>
      </w:r>
      <w:r>
        <w:rPr>
          <w:rFonts w:ascii="Arial" w:hAnsi="Arial" w:cs="Arial"/>
          <w:color w:val="000000"/>
          <w:sz w:val="22"/>
          <w:szCs w:val="22"/>
        </w:rPr>
        <w:t xml:space="preserve">impidiendo </w:t>
      </w:r>
      <w:r w:rsidRPr="00830B93">
        <w:rPr>
          <w:rFonts w:ascii="Arial" w:hAnsi="Arial" w:cs="Arial"/>
          <w:color w:val="000000"/>
          <w:sz w:val="22"/>
          <w:szCs w:val="22"/>
        </w:rPr>
        <w:t xml:space="preserve">el respectivo </w:t>
      </w:r>
      <w:r>
        <w:rPr>
          <w:rFonts w:ascii="Arial" w:hAnsi="Arial" w:cs="Arial"/>
          <w:color w:val="000000"/>
          <w:sz w:val="22"/>
          <w:szCs w:val="22"/>
        </w:rPr>
        <w:t xml:space="preserve">registro de </w:t>
      </w:r>
      <w:r w:rsidRPr="00830B93">
        <w:rPr>
          <w:rFonts w:ascii="Arial" w:hAnsi="Arial" w:cs="Arial"/>
          <w:color w:val="000000"/>
          <w:sz w:val="22"/>
          <w:szCs w:val="22"/>
        </w:rPr>
        <w:t xml:space="preserve">ingreso y salida de las instalaciones. </w:t>
      </w:r>
    </w:p>
    <w:p w14:paraId="2D5C2B48" w14:textId="77777777" w:rsidR="00124A43" w:rsidRDefault="00124A43" w:rsidP="00124A43">
      <w:pPr>
        <w:widowControl w:val="0"/>
        <w:spacing w:line="168" w:lineRule="auto"/>
        <w:jc w:val="both"/>
        <w:rPr>
          <w:rFonts w:ascii="Arial" w:hAnsi="Arial" w:cs="Arial"/>
          <w:color w:val="000000"/>
          <w:sz w:val="22"/>
          <w:szCs w:val="22"/>
        </w:rPr>
      </w:pPr>
    </w:p>
    <w:p w14:paraId="223984AE" w14:textId="71EFA3A4" w:rsidR="000440D0" w:rsidRPr="00320B21" w:rsidRDefault="00320B21" w:rsidP="00725657">
      <w:pPr>
        <w:widowControl w:val="0"/>
        <w:jc w:val="both"/>
        <w:rPr>
          <w:rFonts w:ascii="Arial" w:hAnsi="Arial" w:cs="Arial"/>
          <w:color w:val="000000"/>
          <w:sz w:val="22"/>
          <w:szCs w:val="22"/>
          <w:shd w:val="clear" w:color="auto" w:fill="FFFFFF"/>
        </w:rPr>
      </w:pPr>
      <w:r w:rsidRPr="00320B21">
        <w:rPr>
          <w:rFonts w:ascii="Arial" w:hAnsi="Arial" w:cs="Arial"/>
          <w:color w:val="000000"/>
          <w:sz w:val="22"/>
          <w:szCs w:val="22"/>
        </w:rPr>
        <w:t xml:space="preserve">De otra parte, </w:t>
      </w:r>
      <w:r w:rsidR="000440D0" w:rsidRPr="00320B21">
        <w:rPr>
          <w:rFonts w:ascii="Arial" w:hAnsi="Arial" w:cs="Arial"/>
          <w:color w:val="000000"/>
          <w:sz w:val="22"/>
          <w:szCs w:val="22"/>
        </w:rPr>
        <w:t xml:space="preserve">se observó que </w:t>
      </w:r>
      <w:r w:rsidR="000440D0" w:rsidRPr="00320B21">
        <w:rPr>
          <w:rFonts w:ascii="Arial" w:hAnsi="Arial" w:cs="Arial"/>
          <w:color w:val="000000"/>
          <w:sz w:val="22"/>
          <w:szCs w:val="22"/>
          <w:shd w:val="clear" w:color="auto" w:fill="FFFFFF"/>
        </w:rPr>
        <w:t>el 14% [2.091 hojas] del consumo</w:t>
      </w:r>
      <w:r w:rsidR="00504293">
        <w:rPr>
          <w:rFonts w:ascii="Arial" w:hAnsi="Arial" w:cs="Arial"/>
          <w:color w:val="000000"/>
          <w:sz w:val="22"/>
          <w:szCs w:val="22"/>
          <w:shd w:val="clear" w:color="auto" w:fill="FFFFFF"/>
        </w:rPr>
        <w:t xml:space="preserve"> </w:t>
      </w:r>
      <w:r w:rsidR="000440D0" w:rsidRPr="00320B21">
        <w:rPr>
          <w:rFonts w:ascii="Arial" w:hAnsi="Arial" w:cs="Arial"/>
          <w:color w:val="000000"/>
          <w:sz w:val="22"/>
          <w:szCs w:val="22"/>
          <w:shd w:val="clear" w:color="auto" w:fill="FFFFFF"/>
        </w:rPr>
        <w:t>de papel del tercer trimestre de 2020 estuvo a cargo de un</w:t>
      </w:r>
      <w:r w:rsidR="00BF378F">
        <w:rPr>
          <w:rFonts w:ascii="Arial" w:hAnsi="Arial" w:cs="Arial"/>
          <w:color w:val="000000"/>
          <w:sz w:val="22"/>
          <w:szCs w:val="22"/>
          <w:shd w:val="clear" w:color="auto" w:fill="FFFFFF"/>
        </w:rPr>
        <w:t>a</w:t>
      </w:r>
      <w:r w:rsidR="000440D0" w:rsidRPr="00320B21">
        <w:rPr>
          <w:rFonts w:ascii="Arial" w:hAnsi="Arial" w:cs="Arial"/>
          <w:color w:val="000000"/>
          <w:sz w:val="22"/>
          <w:szCs w:val="22"/>
          <w:shd w:val="clear" w:color="auto" w:fill="FFFFFF"/>
        </w:rPr>
        <w:t xml:space="preserve"> persona </w:t>
      </w:r>
      <w:r w:rsidR="00BF378F">
        <w:rPr>
          <w:rFonts w:ascii="Arial" w:hAnsi="Arial" w:cs="Arial"/>
          <w:color w:val="000000"/>
          <w:sz w:val="22"/>
          <w:szCs w:val="22"/>
          <w:shd w:val="clear" w:color="auto" w:fill="FFFFFF"/>
        </w:rPr>
        <w:t xml:space="preserve">que presta los servicios de </w:t>
      </w:r>
      <w:r w:rsidR="000440D0" w:rsidRPr="00320B21">
        <w:rPr>
          <w:rFonts w:ascii="Arial" w:hAnsi="Arial" w:cs="Arial"/>
          <w:color w:val="000000"/>
          <w:sz w:val="22"/>
          <w:szCs w:val="22"/>
          <w:shd w:val="clear" w:color="auto" w:fill="FFFFFF"/>
        </w:rPr>
        <w:t>vigilancia</w:t>
      </w:r>
      <w:r w:rsidR="00BF378F">
        <w:rPr>
          <w:rFonts w:ascii="Arial" w:hAnsi="Arial" w:cs="Arial"/>
          <w:color w:val="000000"/>
          <w:sz w:val="22"/>
          <w:szCs w:val="22"/>
          <w:shd w:val="clear" w:color="auto" w:fill="FFFFFF"/>
        </w:rPr>
        <w:t xml:space="preserve"> amparado bajo el contrato suscrito por el Ministerio de Hacienda y Crédito Público </w:t>
      </w:r>
      <w:r w:rsidR="00BF378F" w:rsidRPr="00320B21">
        <w:rPr>
          <w:rFonts w:ascii="Arial" w:hAnsi="Arial" w:cs="Arial"/>
          <w:color w:val="000000"/>
          <w:sz w:val="22"/>
          <w:szCs w:val="22"/>
          <w:shd w:val="clear" w:color="auto" w:fill="FFFFFF"/>
        </w:rPr>
        <w:t>con</w:t>
      </w:r>
      <w:r w:rsidR="00BF378F">
        <w:rPr>
          <w:rFonts w:ascii="Arial" w:hAnsi="Arial" w:cs="Arial"/>
          <w:color w:val="000000"/>
          <w:sz w:val="22"/>
          <w:szCs w:val="22"/>
          <w:shd w:val="clear" w:color="auto" w:fill="FFFFFF"/>
        </w:rPr>
        <w:t xml:space="preserve"> </w:t>
      </w:r>
      <w:r w:rsidR="000440D0" w:rsidRPr="00320B21">
        <w:rPr>
          <w:rFonts w:ascii="Arial" w:hAnsi="Arial" w:cs="Arial"/>
          <w:color w:val="000000"/>
          <w:sz w:val="22"/>
          <w:szCs w:val="22"/>
          <w:shd w:val="clear" w:color="auto" w:fill="FFFFFF"/>
        </w:rPr>
        <w:t xml:space="preserve">la empresa Contratista Temporal SJ 20. </w:t>
      </w:r>
    </w:p>
    <w:p w14:paraId="72F119B4" w14:textId="4898B520" w:rsidR="00D63DBC" w:rsidRPr="00752044" w:rsidRDefault="00320B21" w:rsidP="00725657">
      <w:pPr>
        <w:widowControl w:val="0"/>
        <w:jc w:val="both"/>
        <w:rPr>
          <w:rFonts w:ascii="Arial" w:hAnsi="Arial" w:cs="Arial"/>
          <w:color w:val="000000"/>
          <w:sz w:val="22"/>
          <w:szCs w:val="22"/>
        </w:rPr>
      </w:pPr>
      <w:r w:rsidRPr="00752044">
        <w:rPr>
          <w:rFonts w:ascii="Arial" w:hAnsi="Arial" w:cs="Arial"/>
          <w:color w:val="000000"/>
          <w:sz w:val="22"/>
          <w:szCs w:val="22"/>
        </w:rPr>
        <w:lastRenderedPageBreak/>
        <w:t>Al respecto, la Subdirección de Servicios indició</w:t>
      </w:r>
      <w:r w:rsidR="00D63DBC" w:rsidRPr="00752044">
        <w:rPr>
          <w:rFonts w:ascii="Arial" w:hAnsi="Arial" w:cs="Arial"/>
          <w:color w:val="000000"/>
          <w:sz w:val="22"/>
          <w:szCs w:val="22"/>
        </w:rPr>
        <w:t xml:space="preserve"> a partir de junio de 2020, </w:t>
      </w:r>
      <w:r w:rsidR="00124A43" w:rsidRPr="00752044">
        <w:rPr>
          <w:rFonts w:ascii="Arial" w:hAnsi="Arial" w:cs="Arial"/>
          <w:color w:val="000000"/>
          <w:sz w:val="22"/>
          <w:szCs w:val="22"/>
        </w:rPr>
        <w:t xml:space="preserve">al igual que el personal de vigilancia, </w:t>
      </w:r>
      <w:r w:rsidR="00D63DBC" w:rsidRPr="00752044">
        <w:rPr>
          <w:rFonts w:ascii="Arial" w:hAnsi="Arial" w:cs="Arial"/>
          <w:color w:val="000000"/>
          <w:sz w:val="22"/>
          <w:szCs w:val="22"/>
        </w:rPr>
        <w:t xml:space="preserve">el personal del contrato 7.015-2019 </w:t>
      </w:r>
      <w:r w:rsidR="00124A43" w:rsidRPr="00752044">
        <w:rPr>
          <w:rFonts w:ascii="Arial" w:hAnsi="Arial" w:cs="Arial"/>
          <w:color w:val="000000"/>
          <w:sz w:val="22"/>
          <w:szCs w:val="22"/>
        </w:rPr>
        <w:t xml:space="preserve">suscrito </w:t>
      </w:r>
      <w:r w:rsidR="00D63DBC" w:rsidRPr="00752044">
        <w:rPr>
          <w:rFonts w:ascii="Arial" w:hAnsi="Arial" w:cs="Arial"/>
          <w:color w:val="000000"/>
          <w:sz w:val="22"/>
          <w:szCs w:val="22"/>
        </w:rPr>
        <w:t xml:space="preserve">con Servicios Postales Nacionales comenzó a operar en las instalaciones del Ministerio, por lo que requieren realizar impresiones para las hojas de control de los expedientes, </w:t>
      </w:r>
      <w:r w:rsidR="00763FD6" w:rsidRPr="00752044">
        <w:rPr>
          <w:rFonts w:ascii="Arial" w:hAnsi="Arial" w:cs="Arial"/>
          <w:color w:val="000000"/>
          <w:sz w:val="22"/>
          <w:szCs w:val="22"/>
        </w:rPr>
        <w:t xml:space="preserve">así </w:t>
      </w:r>
      <w:r w:rsidR="00D63DBC" w:rsidRPr="00752044">
        <w:rPr>
          <w:rFonts w:ascii="Arial" w:hAnsi="Arial" w:cs="Arial"/>
          <w:color w:val="000000"/>
          <w:sz w:val="22"/>
          <w:szCs w:val="22"/>
        </w:rPr>
        <w:t>como</w:t>
      </w:r>
      <w:r w:rsidR="00763FD6" w:rsidRPr="00752044">
        <w:rPr>
          <w:rFonts w:ascii="Arial" w:hAnsi="Arial" w:cs="Arial"/>
          <w:color w:val="000000"/>
          <w:sz w:val="22"/>
          <w:szCs w:val="22"/>
        </w:rPr>
        <w:t>,</w:t>
      </w:r>
      <w:r w:rsidR="00D63DBC" w:rsidRPr="00752044">
        <w:rPr>
          <w:rFonts w:ascii="Arial" w:hAnsi="Arial" w:cs="Arial"/>
          <w:color w:val="000000"/>
          <w:sz w:val="22"/>
          <w:szCs w:val="22"/>
        </w:rPr>
        <w:t xml:space="preserve"> los formatos de préstamos de los mismos</w:t>
      </w:r>
      <w:r w:rsidR="00763FD6" w:rsidRPr="00752044">
        <w:rPr>
          <w:rFonts w:ascii="Arial" w:hAnsi="Arial" w:cs="Arial"/>
          <w:color w:val="000000"/>
          <w:sz w:val="22"/>
          <w:szCs w:val="22"/>
        </w:rPr>
        <w:t xml:space="preserve">. A su vez, el </w:t>
      </w:r>
      <w:r w:rsidR="00D63DBC" w:rsidRPr="00752044">
        <w:rPr>
          <w:rFonts w:ascii="Arial" w:hAnsi="Arial" w:cs="Arial"/>
          <w:color w:val="000000"/>
          <w:sz w:val="22"/>
          <w:szCs w:val="22"/>
        </w:rPr>
        <w:t>personal de radicación de comunicaciones debe realizar la impresión de las planillas de control de entrega de documentos y recorridos de los motorizados.</w:t>
      </w:r>
      <w:r w:rsidR="00763FD6" w:rsidRPr="00752044">
        <w:rPr>
          <w:rFonts w:ascii="Arial" w:hAnsi="Arial" w:cs="Arial"/>
          <w:color w:val="000000"/>
          <w:sz w:val="22"/>
          <w:szCs w:val="22"/>
        </w:rPr>
        <w:t xml:space="preserve"> De igual forma, </w:t>
      </w:r>
      <w:r w:rsidR="00D63DBC" w:rsidRPr="00752044">
        <w:rPr>
          <w:rFonts w:ascii="Arial" w:hAnsi="Arial" w:cs="Arial"/>
          <w:color w:val="000000"/>
          <w:sz w:val="22"/>
          <w:szCs w:val="22"/>
        </w:rPr>
        <w:t>es de anotar que las comunicaciones que emana las diferentes dependencias</w:t>
      </w:r>
      <w:r w:rsidR="00763FD6" w:rsidRPr="00752044">
        <w:rPr>
          <w:rFonts w:ascii="Arial" w:hAnsi="Arial" w:cs="Arial"/>
          <w:color w:val="000000"/>
          <w:sz w:val="22"/>
          <w:szCs w:val="22"/>
        </w:rPr>
        <w:t xml:space="preserve"> que </w:t>
      </w:r>
      <w:r w:rsidR="00D63DBC" w:rsidRPr="00752044">
        <w:rPr>
          <w:rFonts w:ascii="Arial" w:hAnsi="Arial" w:cs="Arial"/>
          <w:color w:val="000000"/>
          <w:sz w:val="22"/>
          <w:szCs w:val="22"/>
        </w:rPr>
        <w:t>deben ser entregadas físicamente a su destinatario</w:t>
      </w:r>
      <w:r w:rsidR="00763FD6" w:rsidRPr="00752044">
        <w:rPr>
          <w:rFonts w:ascii="Arial" w:hAnsi="Arial" w:cs="Arial"/>
          <w:color w:val="000000"/>
          <w:sz w:val="22"/>
          <w:szCs w:val="22"/>
        </w:rPr>
        <w:t>,</w:t>
      </w:r>
      <w:r w:rsidR="00D63DBC" w:rsidRPr="00752044">
        <w:rPr>
          <w:rFonts w:ascii="Arial" w:hAnsi="Arial" w:cs="Arial"/>
          <w:color w:val="000000"/>
          <w:sz w:val="22"/>
          <w:szCs w:val="22"/>
        </w:rPr>
        <w:t xml:space="preserve"> son enviadas por correo electrónico donde se procede a imprimir para luego enviar por mensajería.</w:t>
      </w:r>
    </w:p>
    <w:p w14:paraId="1F68D123" w14:textId="0B46E5AD" w:rsidR="00D63DBC" w:rsidRDefault="00D63DBC" w:rsidP="00725657">
      <w:pPr>
        <w:widowControl w:val="0"/>
        <w:jc w:val="both"/>
        <w:rPr>
          <w:rFonts w:ascii="Arial" w:hAnsi="Arial" w:cs="Arial"/>
          <w:color w:val="000000"/>
          <w:sz w:val="22"/>
          <w:szCs w:val="22"/>
          <w:shd w:val="clear" w:color="auto" w:fill="FFFFFF"/>
        </w:rPr>
      </w:pPr>
    </w:p>
    <w:p w14:paraId="42A42D0E" w14:textId="6FB68A9F" w:rsidR="00BF378F" w:rsidRDefault="00D63DBC" w:rsidP="00725657">
      <w:pPr>
        <w:widowControl w:val="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Si bien, el personal que presta servicios para este Ministerio</w:t>
      </w:r>
      <w:r w:rsidR="001D0EEC">
        <w:rPr>
          <w:rFonts w:ascii="Arial" w:hAnsi="Arial" w:cs="Arial"/>
          <w:color w:val="000000"/>
          <w:sz w:val="22"/>
          <w:szCs w:val="22"/>
          <w:shd w:val="clear" w:color="auto" w:fill="FFFFFF"/>
        </w:rPr>
        <w:t xml:space="preserve"> </w:t>
      </w:r>
      <w:r w:rsidR="00C325A4">
        <w:rPr>
          <w:rFonts w:ascii="Arial" w:hAnsi="Arial" w:cs="Arial"/>
          <w:color w:val="000000"/>
          <w:sz w:val="22"/>
          <w:szCs w:val="22"/>
          <w:shd w:val="clear" w:color="auto" w:fill="FFFFFF"/>
        </w:rPr>
        <w:t xml:space="preserve">en </w:t>
      </w:r>
      <w:r w:rsidR="001D0EEC">
        <w:rPr>
          <w:rFonts w:ascii="Arial" w:hAnsi="Arial" w:cs="Arial"/>
          <w:color w:val="000000"/>
          <w:sz w:val="22"/>
          <w:szCs w:val="22"/>
          <w:shd w:val="clear" w:color="auto" w:fill="FFFFFF"/>
        </w:rPr>
        <w:t>área</w:t>
      </w:r>
      <w:r w:rsidR="00C325A4">
        <w:rPr>
          <w:rFonts w:ascii="Arial" w:hAnsi="Arial" w:cs="Arial"/>
          <w:color w:val="000000"/>
          <w:sz w:val="22"/>
          <w:szCs w:val="22"/>
          <w:shd w:val="clear" w:color="auto" w:fill="FFFFFF"/>
        </w:rPr>
        <w:t>s tales como v</w:t>
      </w:r>
      <w:r>
        <w:rPr>
          <w:rFonts w:ascii="Arial" w:hAnsi="Arial" w:cs="Arial"/>
          <w:color w:val="000000"/>
          <w:sz w:val="22"/>
          <w:szCs w:val="22"/>
          <w:shd w:val="clear" w:color="auto" w:fill="FFFFFF"/>
        </w:rPr>
        <w:t>igilancia y correspondencia</w:t>
      </w:r>
      <w:r w:rsidR="00380D6A">
        <w:rPr>
          <w:rFonts w:ascii="Arial" w:hAnsi="Arial" w:cs="Arial"/>
          <w:color w:val="000000"/>
          <w:sz w:val="22"/>
          <w:szCs w:val="22"/>
          <w:shd w:val="clear" w:color="auto" w:fill="FFFFFF"/>
        </w:rPr>
        <w:t xml:space="preserve"> en el marco de los contratos que tiene suscrito este Ministerio para el cumplimiento de las funciones asignadas, </w:t>
      </w:r>
      <w:r>
        <w:rPr>
          <w:rFonts w:ascii="Arial" w:hAnsi="Arial" w:cs="Arial"/>
          <w:color w:val="000000"/>
          <w:sz w:val="22"/>
          <w:szCs w:val="22"/>
          <w:shd w:val="clear" w:color="auto" w:fill="FFFFFF"/>
        </w:rPr>
        <w:t>tienen habilitado la opción de utilizar los servicios digitales como impresión y fotocopiado para el desarrollo propi</w:t>
      </w:r>
      <w:r w:rsidR="00C325A4">
        <w:rPr>
          <w:rFonts w:ascii="Arial" w:hAnsi="Arial" w:cs="Arial"/>
          <w:color w:val="000000"/>
          <w:sz w:val="22"/>
          <w:szCs w:val="22"/>
          <w:shd w:val="clear" w:color="auto" w:fill="FFFFFF"/>
        </w:rPr>
        <w:t>o</w:t>
      </w:r>
      <w:r>
        <w:rPr>
          <w:rFonts w:ascii="Arial" w:hAnsi="Arial" w:cs="Arial"/>
          <w:color w:val="000000"/>
          <w:sz w:val="22"/>
          <w:szCs w:val="22"/>
          <w:shd w:val="clear" w:color="auto" w:fill="FFFFFF"/>
        </w:rPr>
        <w:t xml:space="preserve"> de </w:t>
      </w:r>
      <w:r w:rsidR="00F401B9">
        <w:rPr>
          <w:rFonts w:ascii="Arial" w:hAnsi="Arial" w:cs="Arial"/>
          <w:color w:val="000000"/>
          <w:sz w:val="22"/>
          <w:szCs w:val="22"/>
          <w:shd w:val="clear" w:color="auto" w:fill="FFFFFF"/>
        </w:rPr>
        <w:t>las obligaciones establecidas en</w:t>
      </w:r>
      <w:r w:rsidR="00380D6A">
        <w:rPr>
          <w:rFonts w:ascii="Arial" w:hAnsi="Arial" w:cs="Arial"/>
          <w:color w:val="000000"/>
          <w:sz w:val="22"/>
          <w:szCs w:val="22"/>
          <w:shd w:val="clear" w:color="auto" w:fill="FFFFFF"/>
        </w:rPr>
        <w:t xml:space="preserve"> dichos </w:t>
      </w:r>
      <w:r w:rsidR="00F401B9">
        <w:rPr>
          <w:rFonts w:ascii="Arial" w:hAnsi="Arial" w:cs="Arial"/>
          <w:color w:val="000000"/>
          <w:sz w:val="22"/>
          <w:szCs w:val="22"/>
          <w:shd w:val="clear" w:color="auto" w:fill="FFFFFF"/>
        </w:rPr>
        <w:t>contratos</w:t>
      </w:r>
      <w:r>
        <w:rPr>
          <w:rFonts w:ascii="Arial" w:hAnsi="Arial" w:cs="Arial"/>
          <w:color w:val="000000"/>
          <w:sz w:val="22"/>
          <w:szCs w:val="22"/>
          <w:shd w:val="clear" w:color="auto" w:fill="FFFFFF"/>
        </w:rPr>
        <w:t>,</w:t>
      </w:r>
      <w:r w:rsidR="001D0EEC">
        <w:rPr>
          <w:rFonts w:ascii="Arial" w:hAnsi="Arial" w:cs="Arial"/>
          <w:color w:val="000000"/>
          <w:sz w:val="22"/>
          <w:szCs w:val="22"/>
          <w:shd w:val="clear" w:color="auto" w:fill="FFFFFF"/>
        </w:rPr>
        <w:t xml:space="preserve"> </w:t>
      </w:r>
      <w:r w:rsidR="00BF378F">
        <w:rPr>
          <w:rFonts w:ascii="Arial" w:hAnsi="Arial" w:cs="Arial"/>
          <w:color w:val="000000"/>
          <w:sz w:val="22"/>
          <w:szCs w:val="22"/>
          <w:shd w:val="clear" w:color="auto" w:fill="FFFFFF"/>
        </w:rPr>
        <w:t xml:space="preserve">lo anterior puede llegar a generar incrementos </w:t>
      </w:r>
      <w:r w:rsidR="00013DA8">
        <w:rPr>
          <w:rFonts w:ascii="Arial" w:hAnsi="Arial" w:cs="Arial"/>
          <w:color w:val="000000"/>
          <w:sz w:val="22"/>
          <w:szCs w:val="22"/>
          <w:shd w:val="clear" w:color="auto" w:fill="FFFFFF"/>
        </w:rPr>
        <w:t>en e</w:t>
      </w:r>
      <w:r w:rsidR="00BF378F">
        <w:rPr>
          <w:rFonts w:ascii="Arial" w:hAnsi="Arial" w:cs="Arial"/>
          <w:color w:val="000000"/>
          <w:sz w:val="22"/>
          <w:szCs w:val="22"/>
          <w:shd w:val="clear" w:color="auto" w:fill="FFFFFF"/>
        </w:rPr>
        <w:t xml:space="preserve">l consumo de papel que implican un mayor gasto para esta Entidad. </w:t>
      </w:r>
    </w:p>
    <w:p w14:paraId="41296619" w14:textId="77777777" w:rsidR="00BF378F" w:rsidRDefault="00BF378F" w:rsidP="00725657">
      <w:pPr>
        <w:widowControl w:val="0"/>
        <w:jc w:val="both"/>
        <w:rPr>
          <w:rFonts w:ascii="Arial" w:hAnsi="Arial" w:cs="Arial"/>
          <w:color w:val="000000"/>
          <w:sz w:val="22"/>
          <w:szCs w:val="22"/>
          <w:shd w:val="clear" w:color="auto" w:fill="FFFFFF"/>
        </w:rPr>
      </w:pPr>
    </w:p>
    <w:p w14:paraId="63BF5C8F" w14:textId="32FBC703" w:rsidR="00320B21" w:rsidRDefault="001D0EEC" w:rsidP="00725657">
      <w:pPr>
        <w:widowControl w:val="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Por tal razón, se </w:t>
      </w:r>
      <w:r w:rsidRPr="001D0EEC">
        <w:rPr>
          <w:rFonts w:ascii="Arial" w:hAnsi="Arial" w:cs="Arial"/>
          <w:b/>
          <w:bCs/>
          <w:color w:val="000000"/>
          <w:sz w:val="22"/>
          <w:szCs w:val="22"/>
          <w:shd w:val="clear" w:color="auto" w:fill="FFFFFF"/>
        </w:rPr>
        <w:t>recomienda</w:t>
      </w:r>
      <w:r>
        <w:rPr>
          <w:rFonts w:ascii="Arial" w:hAnsi="Arial" w:cs="Arial"/>
          <w:color w:val="000000"/>
          <w:sz w:val="22"/>
          <w:szCs w:val="22"/>
          <w:shd w:val="clear" w:color="auto" w:fill="FFFFFF"/>
        </w:rPr>
        <w:t xml:space="preserve"> a la </w:t>
      </w:r>
      <w:r w:rsidR="00232317">
        <w:rPr>
          <w:rFonts w:ascii="Arial" w:hAnsi="Arial" w:cs="Arial"/>
          <w:color w:val="000000"/>
          <w:sz w:val="22"/>
          <w:szCs w:val="22"/>
          <w:shd w:val="clear" w:color="auto" w:fill="FFFFFF"/>
        </w:rPr>
        <w:t xml:space="preserve">Dirección de Tecnología y </w:t>
      </w:r>
      <w:r w:rsidR="00B10A1E">
        <w:rPr>
          <w:rFonts w:ascii="Arial" w:hAnsi="Arial" w:cs="Arial"/>
          <w:color w:val="000000"/>
          <w:sz w:val="22"/>
          <w:szCs w:val="22"/>
          <w:shd w:val="clear" w:color="auto" w:fill="FFFFFF"/>
        </w:rPr>
        <w:t xml:space="preserve">a </w:t>
      </w:r>
      <w:r w:rsidR="00232317">
        <w:rPr>
          <w:rFonts w:ascii="Arial" w:hAnsi="Arial" w:cs="Arial"/>
          <w:color w:val="000000"/>
          <w:sz w:val="22"/>
          <w:szCs w:val="22"/>
          <w:shd w:val="clear" w:color="auto" w:fill="FFFFFF"/>
        </w:rPr>
        <w:t xml:space="preserve">la </w:t>
      </w:r>
      <w:r>
        <w:rPr>
          <w:rFonts w:ascii="Arial" w:hAnsi="Arial" w:cs="Arial"/>
          <w:color w:val="000000"/>
          <w:sz w:val="22"/>
          <w:szCs w:val="22"/>
          <w:shd w:val="clear" w:color="auto" w:fill="FFFFFF"/>
        </w:rPr>
        <w:t xml:space="preserve">Subdirección de Servicios </w:t>
      </w:r>
      <w:r w:rsidR="00FC0148">
        <w:rPr>
          <w:rFonts w:ascii="Arial" w:hAnsi="Arial" w:cs="Arial"/>
          <w:color w:val="000000"/>
          <w:sz w:val="22"/>
          <w:szCs w:val="22"/>
          <w:shd w:val="clear" w:color="auto" w:fill="FFFFFF"/>
        </w:rPr>
        <w:t xml:space="preserve">continuar con la aplicación de los </w:t>
      </w:r>
      <w:r w:rsidR="00013DA8">
        <w:rPr>
          <w:rFonts w:ascii="Arial" w:hAnsi="Arial" w:cs="Arial"/>
          <w:color w:val="000000"/>
          <w:sz w:val="22"/>
          <w:szCs w:val="22"/>
          <w:shd w:val="clear" w:color="auto" w:fill="FFFFFF"/>
        </w:rPr>
        <w:t>control</w:t>
      </w:r>
      <w:r w:rsidR="00FC0148">
        <w:rPr>
          <w:rFonts w:ascii="Arial" w:hAnsi="Arial" w:cs="Arial"/>
          <w:color w:val="000000"/>
          <w:sz w:val="22"/>
          <w:szCs w:val="22"/>
          <w:shd w:val="clear" w:color="auto" w:fill="FFFFFF"/>
        </w:rPr>
        <w:t>es</w:t>
      </w:r>
      <w:r w:rsidR="00013DA8">
        <w:rPr>
          <w:rFonts w:ascii="Arial" w:hAnsi="Arial" w:cs="Arial"/>
          <w:color w:val="000000"/>
          <w:sz w:val="22"/>
          <w:szCs w:val="22"/>
          <w:shd w:val="clear" w:color="auto" w:fill="FFFFFF"/>
        </w:rPr>
        <w:t xml:space="preserve"> que permita</w:t>
      </w:r>
      <w:r w:rsidR="00124A43">
        <w:rPr>
          <w:rFonts w:ascii="Arial" w:hAnsi="Arial" w:cs="Arial"/>
          <w:color w:val="000000"/>
          <w:sz w:val="22"/>
          <w:szCs w:val="22"/>
          <w:shd w:val="clear" w:color="auto" w:fill="FFFFFF"/>
        </w:rPr>
        <w:t>n</w:t>
      </w:r>
      <w:r w:rsidR="00013DA8">
        <w:rPr>
          <w:rFonts w:ascii="Arial" w:hAnsi="Arial" w:cs="Arial"/>
          <w:color w:val="000000"/>
          <w:sz w:val="22"/>
          <w:szCs w:val="22"/>
          <w:shd w:val="clear" w:color="auto" w:fill="FFFFFF"/>
        </w:rPr>
        <w:t xml:space="preserve"> dar continuidad a las políticas de uso eficiente de los recursos asignados a esta Entidad bajo el marco de la austeridad del gasto, así mismo, </w:t>
      </w:r>
      <w:r w:rsidR="00925340">
        <w:rPr>
          <w:rFonts w:ascii="Arial" w:hAnsi="Arial" w:cs="Arial"/>
          <w:color w:val="000000"/>
          <w:sz w:val="22"/>
          <w:szCs w:val="22"/>
          <w:shd w:val="clear" w:color="auto" w:fill="FFFFFF"/>
        </w:rPr>
        <w:t xml:space="preserve">fortalecer </w:t>
      </w:r>
      <w:r w:rsidR="00F401B9">
        <w:rPr>
          <w:rFonts w:ascii="Arial" w:hAnsi="Arial" w:cs="Arial"/>
          <w:color w:val="000000"/>
          <w:sz w:val="22"/>
          <w:szCs w:val="22"/>
          <w:shd w:val="clear" w:color="auto" w:fill="FFFFFF"/>
        </w:rPr>
        <w:t>l</w:t>
      </w:r>
      <w:r>
        <w:rPr>
          <w:rFonts w:ascii="Arial" w:hAnsi="Arial" w:cs="Arial"/>
          <w:color w:val="000000"/>
          <w:sz w:val="22"/>
          <w:szCs w:val="22"/>
          <w:shd w:val="clear" w:color="auto" w:fill="FFFFFF"/>
        </w:rPr>
        <w:t>as campañas de sensibilización del ahorro de papel, en especial, que</w:t>
      </w:r>
      <w:r w:rsidR="004A4043">
        <w:rPr>
          <w:rFonts w:ascii="Arial" w:hAnsi="Arial" w:cs="Arial"/>
          <w:color w:val="000000"/>
          <w:sz w:val="22"/>
          <w:szCs w:val="22"/>
          <w:shd w:val="clear" w:color="auto" w:fill="FFFFFF"/>
        </w:rPr>
        <w:t xml:space="preserve"> dichas campañas </w:t>
      </w:r>
      <w:r w:rsidR="00076C0E">
        <w:rPr>
          <w:rFonts w:ascii="Arial" w:hAnsi="Arial" w:cs="Arial"/>
          <w:color w:val="000000"/>
          <w:sz w:val="22"/>
          <w:szCs w:val="22"/>
          <w:shd w:val="clear" w:color="auto" w:fill="FFFFFF"/>
        </w:rPr>
        <w:t xml:space="preserve">involucren </w:t>
      </w:r>
      <w:r>
        <w:rPr>
          <w:rFonts w:ascii="Arial" w:hAnsi="Arial" w:cs="Arial"/>
          <w:color w:val="000000"/>
          <w:sz w:val="22"/>
          <w:szCs w:val="22"/>
          <w:shd w:val="clear" w:color="auto" w:fill="FFFFFF"/>
        </w:rPr>
        <w:t>a</w:t>
      </w:r>
      <w:r w:rsidR="004A4043">
        <w:rPr>
          <w:rFonts w:ascii="Arial" w:hAnsi="Arial" w:cs="Arial"/>
          <w:color w:val="000000"/>
          <w:sz w:val="22"/>
          <w:szCs w:val="22"/>
          <w:shd w:val="clear" w:color="auto" w:fill="FFFFFF"/>
        </w:rPr>
        <w:t xml:space="preserve">l personal </w:t>
      </w:r>
      <w:r w:rsidR="00366FF1">
        <w:rPr>
          <w:rFonts w:ascii="Arial" w:hAnsi="Arial" w:cs="Arial"/>
          <w:color w:val="000000"/>
          <w:sz w:val="22"/>
          <w:szCs w:val="22"/>
          <w:shd w:val="clear" w:color="auto" w:fill="FFFFFF"/>
        </w:rPr>
        <w:t xml:space="preserve">que </w:t>
      </w:r>
      <w:r w:rsidR="00BF378F">
        <w:rPr>
          <w:rFonts w:ascii="Arial" w:hAnsi="Arial" w:cs="Arial"/>
          <w:color w:val="000000"/>
          <w:sz w:val="22"/>
          <w:szCs w:val="22"/>
          <w:shd w:val="clear" w:color="auto" w:fill="FFFFFF"/>
        </w:rPr>
        <w:t xml:space="preserve">desarrolla labores </w:t>
      </w:r>
      <w:r>
        <w:rPr>
          <w:rFonts w:ascii="Arial" w:hAnsi="Arial" w:cs="Arial"/>
          <w:color w:val="000000"/>
          <w:sz w:val="22"/>
          <w:szCs w:val="22"/>
          <w:shd w:val="clear" w:color="auto" w:fill="FFFFFF"/>
        </w:rPr>
        <w:t>para esta entidad</w:t>
      </w:r>
      <w:r w:rsidR="004A4043">
        <w:rPr>
          <w:rFonts w:ascii="Arial" w:hAnsi="Arial" w:cs="Arial"/>
          <w:color w:val="000000"/>
          <w:sz w:val="22"/>
          <w:szCs w:val="22"/>
          <w:shd w:val="clear" w:color="auto" w:fill="FFFFFF"/>
        </w:rPr>
        <w:t xml:space="preserve"> derivado de los contratos</w:t>
      </w:r>
      <w:r w:rsidR="00366FF1">
        <w:rPr>
          <w:rFonts w:ascii="Arial" w:hAnsi="Arial" w:cs="Arial"/>
          <w:color w:val="000000"/>
          <w:sz w:val="22"/>
          <w:szCs w:val="22"/>
          <w:shd w:val="clear" w:color="auto" w:fill="FFFFFF"/>
        </w:rPr>
        <w:t xml:space="preserve"> suscrito</w:t>
      </w:r>
      <w:r w:rsidR="00925340">
        <w:rPr>
          <w:rFonts w:ascii="Arial" w:hAnsi="Arial" w:cs="Arial"/>
          <w:color w:val="000000"/>
          <w:sz w:val="22"/>
          <w:szCs w:val="22"/>
          <w:shd w:val="clear" w:color="auto" w:fill="FFFFFF"/>
        </w:rPr>
        <w:t>s para servicios tales como vigilancia y gestión de correspondencia</w:t>
      </w:r>
      <w:r w:rsidR="00076C0E">
        <w:rPr>
          <w:rFonts w:ascii="Arial" w:hAnsi="Arial" w:cs="Arial"/>
          <w:color w:val="000000"/>
          <w:sz w:val="22"/>
          <w:szCs w:val="22"/>
          <w:shd w:val="clear" w:color="auto" w:fill="FFFFFF"/>
        </w:rPr>
        <w:t>, entre otros.</w:t>
      </w:r>
    </w:p>
    <w:p w14:paraId="3565864A" w14:textId="77777777" w:rsidR="00D63DBC" w:rsidRPr="00D63DBC" w:rsidRDefault="00D63DBC" w:rsidP="00725657">
      <w:pPr>
        <w:widowControl w:val="0"/>
        <w:jc w:val="both"/>
        <w:rPr>
          <w:rFonts w:ascii="Arial" w:hAnsi="Arial" w:cs="Arial"/>
          <w:color w:val="000000"/>
          <w:sz w:val="22"/>
          <w:szCs w:val="22"/>
          <w:shd w:val="clear" w:color="auto" w:fill="FFFFFF"/>
        </w:rPr>
      </w:pPr>
    </w:p>
    <w:p w14:paraId="51573191" w14:textId="0A04B0CC" w:rsidR="00A06D61" w:rsidRDefault="00A06D61" w:rsidP="00E72DE6">
      <w:pPr>
        <w:widowControl w:val="0"/>
        <w:jc w:val="both"/>
        <w:rPr>
          <w:rFonts w:ascii="Arial" w:hAnsi="Arial" w:cs="Arial"/>
          <w:color w:val="000000"/>
          <w:sz w:val="22"/>
          <w:szCs w:val="22"/>
        </w:rPr>
      </w:pPr>
      <w:r w:rsidRPr="0082281B">
        <w:rPr>
          <w:rFonts w:ascii="Arial" w:hAnsi="Arial" w:cs="Arial"/>
          <w:color w:val="000000"/>
          <w:sz w:val="22"/>
          <w:szCs w:val="22"/>
        </w:rPr>
        <w:t xml:space="preserve">Ahora bien, al comparar el consumo de papel durante el </w:t>
      </w:r>
      <w:r w:rsidR="00B23C70">
        <w:rPr>
          <w:rFonts w:ascii="Arial" w:hAnsi="Arial" w:cs="Arial"/>
          <w:color w:val="000000"/>
          <w:sz w:val="22"/>
          <w:szCs w:val="22"/>
        </w:rPr>
        <w:t xml:space="preserve">tercer </w:t>
      </w:r>
      <w:r w:rsidRPr="0082281B">
        <w:rPr>
          <w:rFonts w:ascii="Arial" w:hAnsi="Arial" w:cs="Arial"/>
          <w:color w:val="000000"/>
          <w:sz w:val="22"/>
          <w:szCs w:val="22"/>
        </w:rPr>
        <w:t xml:space="preserve">trimestre de 2020 frente al mismo periodo de 2019, se obtuvo como resultado una </w:t>
      </w:r>
      <w:r w:rsidRPr="0082281B">
        <w:rPr>
          <w:rFonts w:ascii="Arial" w:hAnsi="Arial" w:cs="Arial"/>
          <w:b/>
          <w:bCs/>
          <w:color w:val="000000"/>
          <w:sz w:val="22"/>
          <w:szCs w:val="22"/>
        </w:rPr>
        <w:t>reducción</w:t>
      </w:r>
      <w:r w:rsidRPr="0082281B">
        <w:rPr>
          <w:rFonts w:ascii="Arial" w:hAnsi="Arial" w:cs="Arial"/>
          <w:color w:val="000000"/>
          <w:sz w:val="22"/>
          <w:szCs w:val="22"/>
        </w:rPr>
        <w:t xml:space="preserve"> en el consumo de papel correspondiente a </w:t>
      </w:r>
      <w:r w:rsidR="00921D8F">
        <w:rPr>
          <w:rFonts w:ascii="Arial" w:hAnsi="Arial" w:cs="Arial"/>
          <w:color w:val="000000"/>
          <w:sz w:val="22"/>
          <w:szCs w:val="22"/>
        </w:rPr>
        <w:t>704.283</w:t>
      </w:r>
      <w:r w:rsidRPr="0082281B">
        <w:rPr>
          <w:rFonts w:ascii="Arial" w:hAnsi="Arial" w:cs="Arial"/>
          <w:color w:val="000000"/>
          <w:sz w:val="22"/>
          <w:szCs w:val="22"/>
        </w:rPr>
        <w:t xml:space="preserve"> hojas representando un 9</w:t>
      </w:r>
      <w:r w:rsidR="00921D8F">
        <w:rPr>
          <w:rFonts w:ascii="Arial" w:hAnsi="Arial" w:cs="Arial"/>
          <w:color w:val="000000"/>
          <w:sz w:val="22"/>
          <w:szCs w:val="22"/>
        </w:rPr>
        <w:t>8</w:t>
      </w:r>
      <w:r w:rsidRPr="0082281B">
        <w:rPr>
          <w:rFonts w:ascii="Arial" w:hAnsi="Arial" w:cs="Arial"/>
          <w:color w:val="000000"/>
          <w:sz w:val="22"/>
          <w:szCs w:val="22"/>
        </w:rPr>
        <w:t xml:space="preserve">%. </w:t>
      </w:r>
    </w:p>
    <w:p w14:paraId="669196C7" w14:textId="77777777" w:rsidR="00567202" w:rsidRDefault="00567202" w:rsidP="00E72DE6">
      <w:pPr>
        <w:widowControl w:val="0"/>
        <w:jc w:val="both"/>
        <w:rPr>
          <w:rFonts w:ascii="Arial" w:hAnsi="Arial" w:cs="Arial"/>
          <w:color w:val="000000"/>
          <w:sz w:val="22"/>
          <w:szCs w:val="22"/>
        </w:rPr>
      </w:pPr>
    </w:p>
    <w:tbl>
      <w:tblPr>
        <w:tblW w:w="9488" w:type="dxa"/>
        <w:tblCellMar>
          <w:left w:w="70" w:type="dxa"/>
          <w:right w:w="70" w:type="dxa"/>
        </w:tblCellMar>
        <w:tblLook w:val="04A0" w:firstRow="1" w:lastRow="0" w:firstColumn="1" w:lastColumn="0" w:noHBand="0" w:noVBand="1"/>
      </w:tblPr>
      <w:tblGrid>
        <w:gridCol w:w="2788"/>
        <w:gridCol w:w="1880"/>
        <w:gridCol w:w="1843"/>
        <w:gridCol w:w="1417"/>
        <w:gridCol w:w="1560"/>
      </w:tblGrid>
      <w:tr w:rsidR="007F5B77" w:rsidRPr="00B23C70" w14:paraId="35E7C954" w14:textId="77777777" w:rsidTr="007F5B77">
        <w:trPr>
          <w:trHeight w:val="315"/>
        </w:trPr>
        <w:tc>
          <w:tcPr>
            <w:tcW w:w="2788" w:type="dxa"/>
            <w:vMerge w:val="restart"/>
            <w:tcBorders>
              <w:top w:val="single" w:sz="8" w:space="0" w:color="B8CCE4"/>
              <w:left w:val="single" w:sz="8" w:space="0" w:color="B8CCE4"/>
              <w:bottom w:val="single" w:sz="8" w:space="0" w:color="B8CCE4"/>
              <w:right w:val="single" w:sz="8" w:space="0" w:color="B8CCE4"/>
            </w:tcBorders>
            <w:shd w:val="clear" w:color="000000" w:fill="4F81BD"/>
            <w:vAlign w:val="center"/>
            <w:hideMark/>
          </w:tcPr>
          <w:p w14:paraId="3D4DC7FD"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Concepto</w:t>
            </w:r>
          </w:p>
        </w:tc>
        <w:tc>
          <w:tcPr>
            <w:tcW w:w="3723"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6BFDFA71"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Consumo total de papel (hojas)</w:t>
            </w:r>
          </w:p>
        </w:tc>
        <w:tc>
          <w:tcPr>
            <w:tcW w:w="2977"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097DB079"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Variaciones</w:t>
            </w:r>
          </w:p>
        </w:tc>
      </w:tr>
      <w:tr w:rsidR="00387165" w:rsidRPr="00B23C70" w14:paraId="46C1881E" w14:textId="77777777" w:rsidTr="007F5B77">
        <w:trPr>
          <w:trHeight w:val="330"/>
        </w:trPr>
        <w:tc>
          <w:tcPr>
            <w:tcW w:w="2788" w:type="dxa"/>
            <w:vMerge/>
            <w:tcBorders>
              <w:top w:val="single" w:sz="8" w:space="0" w:color="B8CCE4"/>
              <w:left w:val="single" w:sz="8" w:space="0" w:color="B8CCE4"/>
              <w:bottom w:val="single" w:sz="8" w:space="0" w:color="B8CCE4"/>
              <w:right w:val="single" w:sz="8" w:space="0" w:color="B8CCE4"/>
            </w:tcBorders>
            <w:vAlign w:val="center"/>
            <w:hideMark/>
          </w:tcPr>
          <w:p w14:paraId="18237E46" w14:textId="77777777" w:rsidR="00B23C70" w:rsidRPr="00B23C70" w:rsidRDefault="00B23C70" w:rsidP="00B23C70">
            <w:pPr>
              <w:rPr>
                <w:rFonts w:ascii="Arial" w:hAnsi="Arial" w:cs="Arial"/>
                <w:b/>
                <w:bCs/>
                <w:color w:val="FFFFFF"/>
                <w:sz w:val="20"/>
                <w:szCs w:val="20"/>
              </w:rPr>
            </w:pPr>
          </w:p>
        </w:tc>
        <w:tc>
          <w:tcPr>
            <w:tcW w:w="1880" w:type="dxa"/>
            <w:tcBorders>
              <w:top w:val="nil"/>
              <w:left w:val="nil"/>
              <w:bottom w:val="single" w:sz="8" w:space="0" w:color="B8CCE4"/>
              <w:right w:val="single" w:sz="8" w:space="0" w:color="B8CCE4"/>
            </w:tcBorders>
            <w:shd w:val="clear" w:color="000000" w:fill="4F81BD"/>
            <w:vAlign w:val="center"/>
            <w:hideMark/>
          </w:tcPr>
          <w:p w14:paraId="24B00658"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III Trimestre 2020</w:t>
            </w:r>
          </w:p>
        </w:tc>
        <w:tc>
          <w:tcPr>
            <w:tcW w:w="1843" w:type="dxa"/>
            <w:tcBorders>
              <w:top w:val="nil"/>
              <w:left w:val="nil"/>
              <w:bottom w:val="single" w:sz="8" w:space="0" w:color="B8CCE4"/>
              <w:right w:val="single" w:sz="8" w:space="0" w:color="B8CCE4"/>
            </w:tcBorders>
            <w:shd w:val="clear" w:color="000000" w:fill="4F81BD"/>
            <w:vAlign w:val="center"/>
            <w:hideMark/>
          </w:tcPr>
          <w:p w14:paraId="0FF01951"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III Trimestre 2019</w:t>
            </w:r>
          </w:p>
        </w:tc>
        <w:tc>
          <w:tcPr>
            <w:tcW w:w="1417" w:type="dxa"/>
            <w:tcBorders>
              <w:top w:val="nil"/>
              <w:left w:val="nil"/>
              <w:bottom w:val="single" w:sz="8" w:space="0" w:color="B8CCE4"/>
              <w:right w:val="single" w:sz="8" w:space="0" w:color="B8CCE4"/>
            </w:tcBorders>
            <w:shd w:val="clear" w:color="000000" w:fill="4F81BD"/>
            <w:vAlign w:val="center"/>
            <w:hideMark/>
          </w:tcPr>
          <w:p w14:paraId="0907E683"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w:t>
            </w:r>
          </w:p>
        </w:tc>
        <w:tc>
          <w:tcPr>
            <w:tcW w:w="1560" w:type="dxa"/>
            <w:tcBorders>
              <w:top w:val="nil"/>
              <w:left w:val="nil"/>
              <w:bottom w:val="single" w:sz="8" w:space="0" w:color="B8CCE4"/>
              <w:right w:val="single" w:sz="8" w:space="0" w:color="B8CCE4"/>
            </w:tcBorders>
            <w:shd w:val="clear" w:color="000000" w:fill="4F81BD"/>
            <w:vAlign w:val="center"/>
            <w:hideMark/>
          </w:tcPr>
          <w:p w14:paraId="0F22D7E8" w14:textId="77777777" w:rsidR="00B23C70" w:rsidRPr="00B23C70" w:rsidRDefault="00B23C70" w:rsidP="00B23C70">
            <w:pPr>
              <w:jc w:val="center"/>
              <w:rPr>
                <w:rFonts w:ascii="Arial" w:hAnsi="Arial" w:cs="Arial"/>
                <w:b/>
                <w:bCs/>
                <w:color w:val="FFFFFF"/>
                <w:sz w:val="20"/>
                <w:szCs w:val="20"/>
              </w:rPr>
            </w:pPr>
            <w:r w:rsidRPr="00B23C70">
              <w:rPr>
                <w:rFonts w:ascii="Arial" w:hAnsi="Arial" w:cs="Arial"/>
                <w:b/>
                <w:bCs/>
                <w:color w:val="FFFFFF"/>
                <w:sz w:val="20"/>
                <w:szCs w:val="20"/>
              </w:rPr>
              <w:t>%</w:t>
            </w:r>
          </w:p>
        </w:tc>
      </w:tr>
      <w:tr w:rsidR="00387165" w:rsidRPr="00B23C70" w14:paraId="49CC3B0B" w14:textId="77777777" w:rsidTr="00567202">
        <w:trPr>
          <w:trHeight w:val="806"/>
        </w:trPr>
        <w:tc>
          <w:tcPr>
            <w:tcW w:w="2788" w:type="dxa"/>
            <w:tcBorders>
              <w:top w:val="nil"/>
              <w:left w:val="single" w:sz="8" w:space="0" w:color="B8CCE4"/>
              <w:bottom w:val="single" w:sz="8" w:space="0" w:color="B8CCE4"/>
              <w:right w:val="single" w:sz="8" w:space="0" w:color="B8CCE4"/>
            </w:tcBorders>
            <w:shd w:val="clear" w:color="auto" w:fill="auto"/>
            <w:vAlign w:val="center"/>
            <w:hideMark/>
          </w:tcPr>
          <w:p w14:paraId="098FC084" w14:textId="77777777" w:rsidR="00B23C70" w:rsidRPr="00B23C70" w:rsidRDefault="00B23C70" w:rsidP="00B23C70">
            <w:pPr>
              <w:jc w:val="center"/>
              <w:rPr>
                <w:rFonts w:ascii="Arial" w:hAnsi="Arial" w:cs="Arial"/>
                <w:b/>
                <w:bCs/>
                <w:color w:val="0F243E"/>
                <w:sz w:val="20"/>
                <w:szCs w:val="20"/>
              </w:rPr>
            </w:pPr>
            <w:r w:rsidRPr="00B23C70">
              <w:rPr>
                <w:rFonts w:ascii="Arial" w:hAnsi="Arial" w:cs="Arial"/>
                <w:b/>
                <w:bCs/>
                <w:color w:val="0F243E"/>
                <w:sz w:val="20"/>
                <w:szCs w:val="20"/>
              </w:rPr>
              <w:t>Servicios Digitales</w:t>
            </w:r>
          </w:p>
        </w:tc>
        <w:tc>
          <w:tcPr>
            <w:tcW w:w="1880" w:type="dxa"/>
            <w:tcBorders>
              <w:top w:val="nil"/>
              <w:left w:val="nil"/>
              <w:bottom w:val="single" w:sz="8" w:space="0" w:color="B8CCE4"/>
              <w:right w:val="single" w:sz="8" w:space="0" w:color="B8CCE4"/>
            </w:tcBorders>
            <w:shd w:val="clear" w:color="auto" w:fill="auto"/>
            <w:vAlign w:val="center"/>
            <w:hideMark/>
          </w:tcPr>
          <w:p w14:paraId="6AD944B8" w14:textId="77777777" w:rsidR="00B23C70" w:rsidRPr="00B23C70" w:rsidRDefault="00B23C70" w:rsidP="00B23C70">
            <w:pPr>
              <w:jc w:val="center"/>
              <w:rPr>
                <w:rFonts w:ascii="Arial" w:hAnsi="Arial" w:cs="Arial"/>
                <w:color w:val="0F243E"/>
                <w:sz w:val="20"/>
                <w:szCs w:val="20"/>
              </w:rPr>
            </w:pPr>
            <w:r w:rsidRPr="00B23C70">
              <w:rPr>
                <w:rFonts w:ascii="Arial" w:hAnsi="Arial" w:cs="Arial"/>
                <w:color w:val="0F243E"/>
                <w:sz w:val="20"/>
                <w:szCs w:val="20"/>
              </w:rPr>
              <w:t>15.430</w:t>
            </w:r>
          </w:p>
        </w:tc>
        <w:tc>
          <w:tcPr>
            <w:tcW w:w="1843" w:type="dxa"/>
            <w:tcBorders>
              <w:top w:val="nil"/>
              <w:left w:val="nil"/>
              <w:bottom w:val="single" w:sz="8" w:space="0" w:color="B8CCE4"/>
              <w:right w:val="single" w:sz="8" w:space="0" w:color="B8CCE4"/>
            </w:tcBorders>
            <w:shd w:val="clear" w:color="auto" w:fill="auto"/>
            <w:vAlign w:val="center"/>
            <w:hideMark/>
          </w:tcPr>
          <w:p w14:paraId="2C2E2C99" w14:textId="77777777" w:rsidR="00B23C70" w:rsidRPr="00B23C70" w:rsidRDefault="00B23C70" w:rsidP="00B23C70">
            <w:pPr>
              <w:jc w:val="center"/>
              <w:rPr>
                <w:rFonts w:ascii="Arial" w:hAnsi="Arial" w:cs="Arial"/>
                <w:color w:val="0F243E"/>
                <w:sz w:val="20"/>
                <w:szCs w:val="20"/>
              </w:rPr>
            </w:pPr>
            <w:r w:rsidRPr="00B23C70">
              <w:rPr>
                <w:rFonts w:ascii="Arial" w:hAnsi="Arial" w:cs="Arial"/>
                <w:color w:val="0F243E"/>
                <w:sz w:val="20"/>
                <w:szCs w:val="20"/>
              </w:rPr>
              <w:t>719.713</w:t>
            </w:r>
          </w:p>
        </w:tc>
        <w:tc>
          <w:tcPr>
            <w:tcW w:w="1417" w:type="dxa"/>
            <w:tcBorders>
              <w:top w:val="nil"/>
              <w:left w:val="nil"/>
              <w:bottom w:val="single" w:sz="8" w:space="0" w:color="B8CCE4"/>
              <w:right w:val="single" w:sz="8" w:space="0" w:color="B8CCE4"/>
            </w:tcBorders>
            <w:shd w:val="clear" w:color="auto" w:fill="auto"/>
            <w:vAlign w:val="center"/>
            <w:hideMark/>
          </w:tcPr>
          <w:p w14:paraId="0271B6D6" w14:textId="05F18FA8" w:rsidR="00B23C70" w:rsidRPr="00B23C70" w:rsidRDefault="00921D8F" w:rsidP="00B23C70">
            <w:pPr>
              <w:jc w:val="center"/>
              <w:rPr>
                <w:rFonts w:ascii="Arial" w:hAnsi="Arial" w:cs="Arial"/>
                <w:color w:val="0F243E"/>
                <w:sz w:val="20"/>
                <w:szCs w:val="20"/>
              </w:rPr>
            </w:pPr>
            <w:r w:rsidRPr="00921D8F">
              <w:rPr>
                <w:rFonts w:ascii="Arial" w:hAnsi="Arial" w:cs="Arial"/>
                <w:color w:val="0F243E"/>
                <w:sz w:val="20"/>
                <w:szCs w:val="20"/>
              </w:rPr>
              <w:t>(</w:t>
            </w:r>
            <w:r w:rsidR="00B23C70" w:rsidRPr="00B23C70">
              <w:rPr>
                <w:rFonts w:ascii="Arial" w:hAnsi="Arial" w:cs="Arial"/>
                <w:color w:val="0F243E"/>
                <w:sz w:val="20"/>
                <w:szCs w:val="20"/>
              </w:rPr>
              <w:t>704.283</w:t>
            </w:r>
            <w:r w:rsidRPr="00921D8F">
              <w:rPr>
                <w:rFonts w:ascii="Arial" w:hAnsi="Arial" w:cs="Arial"/>
                <w:color w:val="0F243E"/>
                <w:sz w:val="20"/>
                <w:szCs w:val="20"/>
              </w:rPr>
              <w:t>)</w:t>
            </w:r>
          </w:p>
        </w:tc>
        <w:tc>
          <w:tcPr>
            <w:tcW w:w="1560" w:type="dxa"/>
            <w:tcBorders>
              <w:top w:val="nil"/>
              <w:left w:val="nil"/>
              <w:bottom w:val="single" w:sz="8" w:space="0" w:color="B8CCE4"/>
              <w:right w:val="single" w:sz="8" w:space="0" w:color="B8CCE4"/>
            </w:tcBorders>
            <w:shd w:val="clear" w:color="auto" w:fill="auto"/>
            <w:vAlign w:val="center"/>
            <w:hideMark/>
          </w:tcPr>
          <w:p w14:paraId="5F7FEDA2" w14:textId="21194303" w:rsidR="00B23C70" w:rsidRPr="00B23C70" w:rsidRDefault="00921D8F" w:rsidP="00B23C70">
            <w:pPr>
              <w:jc w:val="center"/>
              <w:rPr>
                <w:rFonts w:ascii="Arial" w:hAnsi="Arial" w:cs="Arial"/>
                <w:color w:val="0F243E"/>
                <w:sz w:val="20"/>
                <w:szCs w:val="20"/>
              </w:rPr>
            </w:pPr>
            <w:r w:rsidRPr="00921D8F">
              <w:rPr>
                <w:rFonts w:ascii="Arial" w:hAnsi="Arial" w:cs="Arial"/>
                <w:color w:val="0F243E"/>
                <w:sz w:val="20"/>
                <w:szCs w:val="20"/>
              </w:rPr>
              <w:t>(</w:t>
            </w:r>
            <w:r w:rsidR="00B23C70" w:rsidRPr="00B23C70">
              <w:rPr>
                <w:rFonts w:ascii="Arial" w:hAnsi="Arial" w:cs="Arial"/>
                <w:color w:val="0F243E"/>
                <w:sz w:val="20"/>
                <w:szCs w:val="20"/>
              </w:rPr>
              <w:t>98%</w:t>
            </w:r>
            <w:r w:rsidRPr="00921D8F">
              <w:rPr>
                <w:rFonts w:ascii="Arial" w:hAnsi="Arial" w:cs="Arial"/>
                <w:color w:val="0F243E"/>
                <w:sz w:val="20"/>
                <w:szCs w:val="20"/>
              </w:rPr>
              <w:t>)</w:t>
            </w:r>
          </w:p>
        </w:tc>
      </w:tr>
    </w:tbl>
    <w:p w14:paraId="1494B72F" w14:textId="26EE4424" w:rsidR="00B23C70" w:rsidRDefault="00B23C70" w:rsidP="00E72DE6">
      <w:pPr>
        <w:widowControl w:val="0"/>
        <w:jc w:val="both"/>
        <w:rPr>
          <w:rFonts w:ascii="Arial" w:hAnsi="Arial" w:cs="Arial"/>
          <w:color w:val="000000"/>
          <w:sz w:val="22"/>
          <w:szCs w:val="22"/>
        </w:rPr>
      </w:pPr>
    </w:p>
    <w:p w14:paraId="1DB8F218" w14:textId="6B4927EB" w:rsidR="00B23C70" w:rsidRDefault="00387165" w:rsidP="00E72DE6">
      <w:pPr>
        <w:widowControl w:val="0"/>
        <w:jc w:val="both"/>
        <w:rPr>
          <w:rFonts w:ascii="Arial" w:hAnsi="Arial" w:cs="Arial"/>
          <w:color w:val="000000"/>
          <w:sz w:val="22"/>
          <w:szCs w:val="22"/>
        </w:rPr>
      </w:pPr>
      <w:r>
        <w:rPr>
          <w:noProof/>
          <w:lang w:val="en-US" w:eastAsia="en-US"/>
        </w:rPr>
        <w:drawing>
          <wp:inline distT="0" distB="0" distL="0" distR="0" wp14:anchorId="708D5D8D" wp14:editId="5C737C6B">
            <wp:extent cx="6105525" cy="2576513"/>
            <wp:effectExtent l="0" t="0" r="0" b="0"/>
            <wp:docPr id="28" name="Gráfico 28">
              <a:extLst xmlns:a="http://schemas.openxmlformats.org/drawingml/2006/main">
                <a:ext uri="{FF2B5EF4-FFF2-40B4-BE49-F238E27FC236}">
                  <a16:creationId xmlns:a16="http://schemas.microsoft.com/office/drawing/2014/main" id="{04348CBE-6078-4613-A49A-E6BDF9C91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41715D" w14:textId="77777777" w:rsidR="00124A43" w:rsidRDefault="00124A43" w:rsidP="00E72DE6">
      <w:pPr>
        <w:widowControl w:val="0"/>
        <w:jc w:val="both"/>
        <w:rPr>
          <w:rFonts w:ascii="Arial" w:hAnsi="Arial" w:cs="Arial"/>
          <w:color w:val="000000"/>
          <w:sz w:val="22"/>
          <w:szCs w:val="22"/>
          <w:shd w:val="clear" w:color="auto" w:fill="FFFFFF"/>
        </w:rPr>
      </w:pPr>
    </w:p>
    <w:p w14:paraId="0248FBDD" w14:textId="1EBD6783" w:rsidR="000440D0" w:rsidRDefault="00320E41" w:rsidP="00E72DE6">
      <w:pPr>
        <w:widowControl w:val="0"/>
        <w:jc w:val="both"/>
        <w:rPr>
          <w:rFonts w:ascii="Arial" w:hAnsi="Arial" w:cs="Arial"/>
          <w:color w:val="000000"/>
          <w:sz w:val="22"/>
          <w:szCs w:val="22"/>
        </w:rPr>
      </w:pPr>
      <w:r>
        <w:rPr>
          <w:rFonts w:ascii="Arial" w:hAnsi="Arial" w:cs="Arial"/>
          <w:color w:val="000000"/>
          <w:sz w:val="22"/>
          <w:szCs w:val="22"/>
          <w:shd w:val="clear" w:color="auto" w:fill="FFFFFF"/>
        </w:rPr>
        <w:lastRenderedPageBreak/>
        <w:t xml:space="preserve">Si bien, </w:t>
      </w:r>
      <w:r w:rsidR="000440D0" w:rsidRPr="00320E41">
        <w:rPr>
          <w:rFonts w:ascii="Arial" w:hAnsi="Arial" w:cs="Arial"/>
          <w:color w:val="000000"/>
          <w:sz w:val="22"/>
          <w:szCs w:val="22"/>
          <w:shd w:val="clear" w:color="auto" w:fill="FFFFFF"/>
        </w:rPr>
        <w:t xml:space="preserve">durante el tercer trimestre de 2020 </w:t>
      </w:r>
      <w:r>
        <w:rPr>
          <w:rFonts w:ascii="Arial" w:hAnsi="Arial" w:cs="Arial"/>
          <w:color w:val="000000"/>
          <w:sz w:val="22"/>
          <w:szCs w:val="22"/>
          <w:shd w:val="clear" w:color="auto" w:fill="FFFFFF"/>
        </w:rPr>
        <w:t>comparado con el mismo periodo de 2019 se presentó una reducción significativa</w:t>
      </w:r>
      <w:r w:rsidR="00A311FF">
        <w:rPr>
          <w:rFonts w:ascii="Arial" w:hAnsi="Arial" w:cs="Arial"/>
          <w:color w:val="000000"/>
          <w:sz w:val="22"/>
          <w:szCs w:val="22"/>
          <w:shd w:val="clear" w:color="auto" w:fill="FFFFFF"/>
        </w:rPr>
        <w:t xml:space="preserve"> en el consumo de papel,</w:t>
      </w:r>
      <w:r>
        <w:rPr>
          <w:rFonts w:ascii="Arial" w:hAnsi="Arial" w:cs="Arial"/>
          <w:color w:val="000000"/>
          <w:sz w:val="22"/>
          <w:szCs w:val="22"/>
          <w:shd w:val="clear" w:color="auto" w:fill="FFFFFF"/>
        </w:rPr>
        <w:t xml:space="preserve"> </w:t>
      </w:r>
      <w:r w:rsidR="000440D0" w:rsidRPr="00320E41">
        <w:rPr>
          <w:rFonts w:ascii="Arial" w:hAnsi="Arial" w:cs="Arial"/>
          <w:color w:val="000000"/>
          <w:sz w:val="22"/>
          <w:szCs w:val="22"/>
          <w:shd w:val="clear" w:color="auto" w:fill="FFFFFF"/>
        </w:rPr>
        <w:t xml:space="preserve">para el mes de Julio [6.193 hojas] y septiembre [7.154] se </w:t>
      </w:r>
      <w:r w:rsidR="00A311FF">
        <w:rPr>
          <w:rFonts w:ascii="Arial" w:hAnsi="Arial" w:cs="Arial"/>
          <w:color w:val="000000"/>
          <w:sz w:val="22"/>
          <w:szCs w:val="22"/>
          <w:shd w:val="clear" w:color="auto" w:fill="FFFFFF"/>
        </w:rPr>
        <w:t xml:space="preserve">observó </w:t>
      </w:r>
      <w:r w:rsidR="000440D0" w:rsidRPr="00320E41">
        <w:rPr>
          <w:rFonts w:ascii="Arial" w:hAnsi="Arial" w:cs="Arial"/>
          <w:color w:val="000000"/>
          <w:sz w:val="22"/>
          <w:szCs w:val="22"/>
          <w:shd w:val="clear" w:color="auto" w:fill="FFFFFF"/>
        </w:rPr>
        <w:t>un mayor consumo teniendo en cuenta la tendencia de que se venía presentando desde abril de 2020</w:t>
      </w:r>
      <w:r w:rsidR="00522A10" w:rsidRPr="00320E41">
        <w:rPr>
          <w:rFonts w:ascii="Arial" w:hAnsi="Arial" w:cs="Arial"/>
          <w:color w:val="000000"/>
          <w:sz w:val="22"/>
          <w:szCs w:val="22"/>
          <w:shd w:val="clear" w:color="auto" w:fill="FFFFFF"/>
        </w:rPr>
        <w:t>.</w:t>
      </w:r>
    </w:p>
    <w:p w14:paraId="59CEE64A" w14:textId="093F4CAE" w:rsidR="000440D0" w:rsidRDefault="000440D0" w:rsidP="00E72DE6">
      <w:pPr>
        <w:widowControl w:val="0"/>
        <w:jc w:val="both"/>
        <w:rPr>
          <w:rFonts w:ascii="Arial" w:hAnsi="Arial" w:cs="Arial"/>
          <w:color w:val="000000"/>
          <w:sz w:val="22"/>
          <w:szCs w:val="22"/>
        </w:rPr>
      </w:pPr>
    </w:p>
    <w:p w14:paraId="583485CE" w14:textId="62E7F5B8" w:rsidR="00A11BAD" w:rsidRDefault="00320E41" w:rsidP="00E72DE6">
      <w:pPr>
        <w:widowControl w:val="0"/>
        <w:jc w:val="both"/>
        <w:rPr>
          <w:rFonts w:ascii="Arial" w:hAnsi="Arial" w:cs="Arial"/>
          <w:color w:val="000000"/>
          <w:sz w:val="22"/>
          <w:szCs w:val="22"/>
        </w:rPr>
      </w:pPr>
      <w:r w:rsidRPr="00005CFC">
        <w:rPr>
          <w:rFonts w:ascii="Arial" w:hAnsi="Arial" w:cs="Arial"/>
          <w:color w:val="000000"/>
          <w:sz w:val="22"/>
          <w:szCs w:val="22"/>
        </w:rPr>
        <w:t xml:space="preserve">Sobre el particular, </w:t>
      </w:r>
      <w:r w:rsidR="00E81047" w:rsidRPr="00005CFC">
        <w:rPr>
          <w:rFonts w:ascii="Arial" w:hAnsi="Arial" w:cs="Arial"/>
          <w:color w:val="000000"/>
          <w:sz w:val="22"/>
          <w:szCs w:val="22"/>
        </w:rPr>
        <w:t xml:space="preserve">se constató que </w:t>
      </w:r>
      <w:r w:rsidR="006E760A" w:rsidRPr="00005CFC">
        <w:rPr>
          <w:rFonts w:ascii="Arial" w:hAnsi="Arial" w:cs="Arial"/>
          <w:color w:val="000000"/>
          <w:sz w:val="22"/>
          <w:szCs w:val="22"/>
        </w:rPr>
        <w:t xml:space="preserve">el </w:t>
      </w:r>
      <w:r w:rsidR="006567FB" w:rsidRPr="00005CFC">
        <w:rPr>
          <w:rFonts w:ascii="Arial" w:hAnsi="Arial" w:cs="Arial"/>
          <w:color w:val="000000"/>
          <w:sz w:val="22"/>
          <w:szCs w:val="22"/>
        </w:rPr>
        <w:t xml:space="preserve">mayor </w:t>
      </w:r>
      <w:r w:rsidR="006E760A" w:rsidRPr="00005CFC">
        <w:rPr>
          <w:rFonts w:ascii="Arial" w:hAnsi="Arial" w:cs="Arial"/>
          <w:color w:val="000000"/>
          <w:sz w:val="22"/>
          <w:szCs w:val="22"/>
        </w:rPr>
        <w:t>consumo</w:t>
      </w:r>
      <w:r w:rsidR="006567FB" w:rsidRPr="00005CFC">
        <w:rPr>
          <w:rFonts w:ascii="Arial" w:hAnsi="Arial" w:cs="Arial"/>
          <w:color w:val="000000"/>
          <w:sz w:val="22"/>
          <w:szCs w:val="22"/>
        </w:rPr>
        <w:t xml:space="preserve"> de papel</w:t>
      </w:r>
      <w:r w:rsidR="006E760A" w:rsidRPr="00005CFC">
        <w:rPr>
          <w:rFonts w:ascii="Arial" w:hAnsi="Arial" w:cs="Arial"/>
          <w:color w:val="000000"/>
          <w:sz w:val="22"/>
          <w:szCs w:val="22"/>
        </w:rPr>
        <w:t xml:space="preserve"> para </w:t>
      </w:r>
      <w:r w:rsidR="00E81047" w:rsidRPr="00005CFC">
        <w:rPr>
          <w:rFonts w:ascii="Arial" w:hAnsi="Arial" w:cs="Arial"/>
          <w:color w:val="000000"/>
          <w:sz w:val="22"/>
          <w:szCs w:val="22"/>
        </w:rPr>
        <w:t xml:space="preserve">el mes de julio de 2020 </w:t>
      </w:r>
      <w:r w:rsidR="006567FB" w:rsidRPr="00005CFC">
        <w:rPr>
          <w:rFonts w:ascii="Arial" w:hAnsi="Arial" w:cs="Arial"/>
          <w:color w:val="000000"/>
          <w:sz w:val="22"/>
          <w:szCs w:val="22"/>
        </w:rPr>
        <w:t xml:space="preserve">estuvo a cargo de </w:t>
      </w:r>
      <w:r w:rsidR="00E81047" w:rsidRPr="00005CFC">
        <w:rPr>
          <w:rFonts w:ascii="Arial" w:hAnsi="Arial" w:cs="Arial"/>
          <w:color w:val="000000"/>
          <w:sz w:val="22"/>
          <w:szCs w:val="22"/>
        </w:rPr>
        <w:t xml:space="preserve">la Subdirección de Análisis y Consolidación Presupuestal </w:t>
      </w:r>
      <w:r w:rsidR="006567FB" w:rsidRPr="00005CFC">
        <w:rPr>
          <w:rFonts w:ascii="Arial" w:hAnsi="Arial" w:cs="Arial"/>
          <w:color w:val="000000"/>
          <w:sz w:val="22"/>
          <w:szCs w:val="22"/>
        </w:rPr>
        <w:t>representando</w:t>
      </w:r>
      <w:r w:rsidR="006E760A" w:rsidRPr="00005CFC">
        <w:rPr>
          <w:rFonts w:ascii="Arial" w:hAnsi="Arial" w:cs="Arial"/>
          <w:color w:val="000000"/>
          <w:sz w:val="22"/>
          <w:szCs w:val="22"/>
        </w:rPr>
        <w:t xml:space="preserve"> el 55% y para septiembre de 2020 el mayor consumo </w:t>
      </w:r>
      <w:r w:rsidR="003007D2" w:rsidRPr="00005CFC">
        <w:rPr>
          <w:rFonts w:ascii="Arial" w:hAnsi="Arial" w:cs="Arial"/>
          <w:color w:val="000000"/>
          <w:sz w:val="22"/>
          <w:szCs w:val="22"/>
        </w:rPr>
        <w:t>se presentó en el</w:t>
      </w:r>
      <w:r w:rsidR="006E760A" w:rsidRPr="00005CFC">
        <w:rPr>
          <w:rFonts w:ascii="Arial" w:hAnsi="Arial" w:cs="Arial"/>
          <w:color w:val="000000"/>
          <w:sz w:val="22"/>
          <w:szCs w:val="22"/>
        </w:rPr>
        <w:t xml:space="preserve"> Despacho del Ministro</w:t>
      </w:r>
      <w:r w:rsidR="003007D2" w:rsidRPr="00005CFC">
        <w:rPr>
          <w:rFonts w:ascii="Arial" w:hAnsi="Arial" w:cs="Arial"/>
          <w:color w:val="000000"/>
          <w:sz w:val="22"/>
          <w:szCs w:val="22"/>
        </w:rPr>
        <w:t xml:space="preserve"> </w:t>
      </w:r>
      <w:r w:rsidR="00124A43">
        <w:rPr>
          <w:rFonts w:ascii="Arial" w:hAnsi="Arial" w:cs="Arial"/>
          <w:color w:val="000000"/>
          <w:sz w:val="22"/>
          <w:szCs w:val="22"/>
        </w:rPr>
        <w:t>equivalente a</w:t>
      </w:r>
      <w:r w:rsidR="003007D2" w:rsidRPr="00005CFC">
        <w:rPr>
          <w:rFonts w:ascii="Arial" w:hAnsi="Arial" w:cs="Arial"/>
          <w:color w:val="000000"/>
          <w:sz w:val="22"/>
          <w:szCs w:val="22"/>
        </w:rPr>
        <w:t xml:space="preserve"> un 45%.</w:t>
      </w:r>
    </w:p>
    <w:p w14:paraId="3A9AB9F3" w14:textId="77777777" w:rsidR="00A11BAD" w:rsidRDefault="00A11BAD" w:rsidP="00E72DE6">
      <w:pPr>
        <w:widowControl w:val="0"/>
        <w:jc w:val="both"/>
        <w:rPr>
          <w:rFonts w:ascii="Arial" w:hAnsi="Arial" w:cs="Arial"/>
          <w:color w:val="000000"/>
          <w:sz w:val="22"/>
          <w:szCs w:val="22"/>
        </w:rPr>
      </w:pPr>
    </w:p>
    <w:p w14:paraId="5C6D72A5" w14:textId="6B118194" w:rsidR="00320E41" w:rsidRDefault="00A11BAD" w:rsidP="00E72DE6">
      <w:pPr>
        <w:widowControl w:val="0"/>
        <w:jc w:val="both"/>
        <w:rPr>
          <w:rFonts w:ascii="Arial" w:hAnsi="Arial" w:cs="Arial"/>
          <w:sz w:val="22"/>
          <w:szCs w:val="22"/>
        </w:rPr>
      </w:pPr>
      <w:r>
        <w:rPr>
          <w:rFonts w:ascii="Arial" w:hAnsi="Arial" w:cs="Arial"/>
          <w:color w:val="000000"/>
          <w:sz w:val="22"/>
          <w:szCs w:val="22"/>
        </w:rPr>
        <w:t xml:space="preserve">En este punto, es relevante mencionar </w:t>
      </w:r>
      <w:r w:rsidR="003007D2" w:rsidRPr="00005CFC">
        <w:rPr>
          <w:rFonts w:ascii="Arial" w:hAnsi="Arial" w:cs="Arial"/>
          <w:color w:val="000000"/>
          <w:sz w:val="22"/>
          <w:szCs w:val="22"/>
        </w:rPr>
        <w:t xml:space="preserve">que </w:t>
      </w:r>
      <w:r>
        <w:rPr>
          <w:rFonts w:ascii="Arial" w:hAnsi="Arial" w:cs="Arial"/>
          <w:color w:val="000000"/>
          <w:sz w:val="22"/>
          <w:szCs w:val="22"/>
        </w:rPr>
        <w:t xml:space="preserve">las áreas antes mencionadas </w:t>
      </w:r>
      <w:r w:rsidR="003007D2" w:rsidRPr="00005CFC">
        <w:rPr>
          <w:rFonts w:ascii="Arial" w:hAnsi="Arial" w:cs="Arial"/>
          <w:color w:val="000000"/>
          <w:sz w:val="22"/>
          <w:szCs w:val="22"/>
        </w:rPr>
        <w:t xml:space="preserve">tienen a su cargo las gestiones relacionadas con los trámites de presentación del </w:t>
      </w:r>
      <w:r w:rsidR="005F30A9" w:rsidRPr="00A11BAD">
        <w:rPr>
          <w:rFonts w:ascii="Arial" w:hAnsi="Arial" w:cs="Arial"/>
          <w:sz w:val="22"/>
          <w:szCs w:val="22"/>
        </w:rPr>
        <w:t>presupuesto anual de rentas y gastos</w:t>
      </w:r>
      <w:r w:rsidR="005F30A9">
        <w:t xml:space="preserve"> </w:t>
      </w:r>
      <w:r w:rsidR="003007D2" w:rsidRPr="00005CFC">
        <w:rPr>
          <w:rFonts w:ascii="Arial" w:hAnsi="Arial" w:cs="Arial"/>
          <w:color w:val="000000"/>
          <w:sz w:val="22"/>
          <w:szCs w:val="22"/>
        </w:rPr>
        <w:t>ante el Congreso de la República</w:t>
      </w:r>
      <w:r w:rsidR="00005CFC">
        <w:rPr>
          <w:rFonts w:ascii="Arial" w:hAnsi="Arial" w:cs="Arial"/>
          <w:color w:val="000000"/>
          <w:sz w:val="22"/>
          <w:szCs w:val="22"/>
        </w:rPr>
        <w:t xml:space="preserve"> y que según el </w:t>
      </w:r>
      <w:r w:rsidR="003007D2" w:rsidRPr="00005CFC">
        <w:rPr>
          <w:rFonts w:ascii="Arial" w:hAnsi="Arial" w:cs="Arial"/>
          <w:color w:val="000000"/>
          <w:sz w:val="22"/>
          <w:szCs w:val="22"/>
        </w:rPr>
        <w:t xml:space="preserve">calendario legislativo </w:t>
      </w:r>
      <w:r w:rsidR="00005CFC" w:rsidRPr="00005CFC">
        <w:rPr>
          <w:rFonts w:ascii="Arial" w:hAnsi="Arial" w:cs="Arial"/>
          <w:color w:val="000000"/>
          <w:sz w:val="22"/>
          <w:szCs w:val="22"/>
        </w:rPr>
        <w:t xml:space="preserve">se debe presentar </w:t>
      </w:r>
      <w:r w:rsidR="00005CFC" w:rsidRPr="00005CFC">
        <w:rPr>
          <w:rFonts w:ascii="Arial" w:hAnsi="Arial" w:cs="Arial"/>
          <w:sz w:val="22"/>
          <w:szCs w:val="22"/>
        </w:rPr>
        <w:t xml:space="preserve">el anteproyecto del presupuesto en forma definitiva a partir del 20 de julio al Congreso de la República y </w:t>
      </w:r>
      <w:r w:rsidR="00153D82">
        <w:rPr>
          <w:rFonts w:ascii="Arial" w:hAnsi="Arial" w:cs="Arial"/>
          <w:sz w:val="22"/>
          <w:szCs w:val="22"/>
        </w:rPr>
        <w:t xml:space="preserve">la aprobación del proyecto de presupuesto </w:t>
      </w:r>
      <w:r w:rsidR="00153D82" w:rsidRPr="00005CFC">
        <w:rPr>
          <w:rFonts w:ascii="Arial" w:hAnsi="Arial" w:cs="Arial"/>
          <w:sz w:val="22"/>
          <w:szCs w:val="22"/>
        </w:rPr>
        <w:t xml:space="preserve">se </w:t>
      </w:r>
      <w:r w:rsidR="00153D82">
        <w:rPr>
          <w:rFonts w:ascii="Arial" w:hAnsi="Arial" w:cs="Arial"/>
          <w:sz w:val="22"/>
          <w:szCs w:val="22"/>
        </w:rPr>
        <w:t xml:space="preserve">dará </w:t>
      </w:r>
      <w:r w:rsidR="00153D82" w:rsidRPr="00005CFC">
        <w:rPr>
          <w:rFonts w:ascii="Arial" w:hAnsi="Arial" w:cs="Arial"/>
          <w:sz w:val="22"/>
          <w:szCs w:val="22"/>
        </w:rPr>
        <w:t>antes del 25 de septiembre</w:t>
      </w:r>
      <w:r w:rsidR="00153D82">
        <w:rPr>
          <w:rFonts w:ascii="Arial" w:hAnsi="Arial" w:cs="Arial"/>
          <w:sz w:val="22"/>
          <w:szCs w:val="22"/>
        </w:rPr>
        <w:t xml:space="preserve"> de cada vigencia por parte de </w:t>
      </w:r>
      <w:r w:rsidR="00005CFC" w:rsidRPr="00005CFC">
        <w:rPr>
          <w:rFonts w:ascii="Arial" w:hAnsi="Arial" w:cs="Arial"/>
          <w:sz w:val="22"/>
          <w:szCs w:val="22"/>
        </w:rPr>
        <w:t>las comisiones del Senado y Cámara de Representantes</w:t>
      </w:r>
      <w:r w:rsidR="00153D82">
        <w:rPr>
          <w:rFonts w:ascii="Arial" w:hAnsi="Arial" w:cs="Arial"/>
          <w:sz w:val="22"/>
          <w:szCs w:val="22"/>
        </w:rPr>
        <w:t xml:space="preserve">, las cuales </w:t>
      </w:r>
      <w:r w:rsidR="00005CFC" w:rsidRPr="00005CFC">
        <w:rPr>
          <w:rFonts w:ascii="Arial" w:hAnsi="Arial" w:cs="Arial"/>
          <w:sz w:val="22"/>
          <w:szCs w:val="22"/>
        </w:rPr>
        <w:t>decidirán sobre el monto</w:t>
      </w:r>
      <w:r w:rsidR="00AB03DF">
        <w:rPr>
          <w:rFonts w:ascii="Arial" w:hAnsi="Arial" w:cs="Arial"/>
          <w:sz w:val="22"/>
          <w:szCs w:val="22"/>
        </w:rPr>
        <w:t xml:space="preserve"> </w:t>
      </w:r>
      <w:r w:rsidR="00005CFC" w:rsidRPr="00005CFC">
        <w:rPr>
          <w:rFonts w:ascii="Arial" w:hAnsi="Arial" w:cs="Arial"/>
          <w:sz w:val="22"/>
          <w:szCs w:val="22"/>
        </w:rPr>
        <w:t>definitivo del</w:t>
      </w:r>
      <w:r w:rsidR="00153D82">
        <w:rPr>
          <w:rFonts w:ascii="Arial" w:hAnsi="Arial" w:cs="Arial"/>
          <w:sz w:val="22"/>
          <w:szCs w:val="22"/>
        </w:rPr>
        <w:t xml:space="preserve"> presupuesto.</w:t>
      </w:r>
      <w:r w:rsidR="00557C72">
        <w:rPr>
          <w:rFonts w:ascii="Arial" w:hAnsi="Arial" w:cs="Arial"/>
          <w:sz w:val="22"/>
          <w:szCs w:val="22"/>
        </w:rPr>
        <w:t xml:space="preserve"> </w:t>
      </w:r>
      <w:r w:rsidR="00153D82">
        <w:rPr>
          <w:rFonts w:ascii="Arial" w:hAnsi="Arial" w:cs="Arial"/>
          <w:sz w:val="22"/>
          <w:szCs w:val="22"/>
        </w:rPr>
        <w:t>Posteriormente, las plenarias</w:t>
      </w:r>
      <w:r w:rsidR="00AB03DF">
        <w:rPr>
          <w:rFonts w:ascii="Arial" w:hAnsi="Arial" w:cs="Arial"/>
          <w:sz w:val="22"/>
          <w:szCs w:val="22"/>
        </w:rPr>
        <w:t xml:space="preserve"> del Congreso</w:t>
      </w:r>
      <w:r w:rsidR="00153D82">
        <w:rPr>
          <w:rFonts w:ascii="Arial" w:hAnsi="Arial" w:cs="Arial"/>
          <w:sz w:val="22"/>
          <w:szCs w:val="22"/>
        </w:rPr>
        <w:t xml:space="preserve"> iniciarán la discusión del presupuesto en el mes de octubre </w:t>
      </w:r>
      <w:r w:rsidR="00005CFC" w:rsidRPr="00005CFC">
        <w:rPr>
          <w:rFonts w:ascii="Arial" w:hAnsi="Arial" w:cs="Arial"/>
          <w:sz w:val="22"/>
          <w:szCs w:val="22"/>
        </w:rPr>
        <w:t>(artículo 51 y 56</w:t>
      </w:r>
      <w:r w:rsidR="00005CFC">
        <w:rPr>
          <w:rFonts w:ascii="Arial" w:hAnsi="Arial" w:cs="Arial"/>
          <w:sz w:val="22"/>
          <w:szCs w:val="22"/>
        </w:rPr>
        <w:t xml:space="preserve"> del </w:t>
      </w:r>
      <w:r w:rsidR="00005CFC" w:rsidRPr="00005CFC">
        <w:rPr>
          <w:rFonts w:ascii="Arial" w:hAnsi="Arial" w:cs="Arial"/>
          <w:sz w:val="22"/>
          <w:szCs w:val="22"/>
        </w:rPr>
        <w:t>Decreto 111 de 1996)</w:t>
      </w:r>
      <w:r w:rsidR="00153D82">
        <w:rPr>
          <w:rFonts w:ascii="Arial" w:hAnsi="Arial" w:cs="Arial"/>
          <w:sz w:val="22"/>
          <w:szCs w:val="22"/>
        </w:rPr>
        <w:t xml:space="preserve">. </w:t>
      </w:r>
    </w:p>
    <w:p w14:paraId="09046BD3" w14:textId="77777777" w:rsidR="00005CFC" w:rsidRPr="00005CFC" w:rsidRDefault="00005CFC" w:rsidP="00E72DE6">
      <w:pPr>
        <w:widowControl w:val="0"/>
        <w:jc w:val="both"/>
        <w:rPr>
          <w:rFonts w:ascii="Arial" w:hAnsi="Arial" w:cs="Arial"/>
          <w:color w:val="000000"/>
          <w:sz w:val="22"/>
          <w:szCs w:val="22"/>
        </w:rPr>
      </w:pPr>
    </w:p>
    <w:p w14:paraId="7B7913C5" w14:textId="2FF952FD" w:rsidR="00320E41" w:rsidRPr="00AB03DF" w:rsidRDefault="005F30A9" w:rsidP="00E72DE6">
      <w:pPr>
        <w:widowControl w:val="0"/>
        <w:jc w:val="both"/>
        <w:rPr>
          <w:rFonts w:ascii="Arial" w:hAnsi="Arial" w:cs="Arial"/>
          <w:color w:val="000000"/>
          <w:sz w:val="22"/>
          <w:szCs w:val="22"/>
        </w:rPr>
      </w:pPr>
      <w:r w:rsidRPr="00AB03DF">
        <w:rPr>
          <w:rFonts w:ascii="Arial" w:hAnsi="Arial" w:cs="Arial"/>
          <w:color w:val="000000"/>
          <w:sz w:val="22"/>
          <w:szCs w:val="22"/>
        </w:rPr>
        <w:t>Teniendo en cuenta lo antes expuesto, se deduce que el incremento de los consumos</w:t>
      </w:r>
      <w:r w:rsidR="00AB03DF">
        <w:rPr>
          <w:rFonts w:ascii="Arial" w:hAnsi="Arial" w:cs="Arial"/>
          <w:color w:val="000000"/>
          <w:sz w:val="22"/>
          <w:szCs w:val="22"/>
        </w:rPr>
        <w:t xml:space="preserve"> de papel </w:t>
      </w:r>
      <w:r w:rsidRPr="00AB03DF">
        <w:rPr>
          <w:rFonts w:ascii="Arial" w:hAnsi="Arial" w:cs="Arial"/>
          <w:color w:val="000000"/>
          <w:sz w:val="22"/>
          <w:szCs w:val="22"/>
        </w:rPr>
        <w:t>en</w:t>
      </w:r>
      <w:r w:rsidR="00E06D22">
        <w:rPr>
          <w:rFonts w:ascii="Arial" w:hAnsi="Arial" w:cs="Arial"/>
          <w:color w:val="000000"/>
          <w:sz w:val="22"/>
          <w:szCs w:val="22"/>
        </w:rPr>
        <w:t xml:space="preserve"> los</w:t>
      </w:r>
      <w:r w:rsidRPr="00AB03DF">
        <w:rPr>
          <w:rFonts w:ascii="Arial" w:hAnsi="Arial" w:cs="Arial"/>
          <w:color w:val="000000"/>
          <w:sz w:val="22"/>
          <w:szCs w:val="22"/>
        </w:rPr>
        <w:t xml:space="preserve"> mes</w:t>
      </w:r>
      <w:r w:rsidR="00E06D22">
        <w:rPr>
          <w:rFonts w:ascii="Arial" w:hAnsi="Arial" w:cs="Arial"/>
          <w:color w:val="000000"/>
          <w:sz w:val="22"/>
          <w:szCs w:val="22"/>
        </w:rPr>
        <w:t>es</w:t>
      </w:r>
      <w:r w:rsidRPr="00AB03DF">
        <w:rPr>
          <w:rFonts w:ascii="Arial" w:hAnsi="Arial" w:cs="Arial"/>
          <w:color w:val="000000"/>
          <w:sz w:val="22"/>
          <w:szCs w:val="22"/>
        </w:rPr>
        <w:t xml:space="preserve"> de julio y septiembre de 2020, en parte fueron originados por las gestiones administrativas</w:t>
      </w:r>
      <w:r w:rsidR="00587C22">
        <w:rPr>
          <w:rFonts w:ascii="Arial" w:hAnsi="Arial" w:cs="Arial"/>
          <w:color w:val="000000"/>
          <w:sz w:val="22"/>
          <w:szCs w:val="22"/>
        </w:rPr>
        <w:t xml:space="preserve"> y misionales</w:t>
      </w:r>
      <w:r w:rsidR="00AB03DF">
        <w:rPr>
          <w:rFonts w:ascii="Arial" w:hAnsi="Arial" w:cs="Arial"/>
          <w:color w:val="000000"/>
          <w:sz w:val="22"/>
          <w:szCs w:val="22"/>
        </w:rPr>
        <w:t xml:space="preserve"> desarrolladas por las</w:t>
      </w:r>
      <w:r w:rsidR="00587C22">
        <w:rPr>
          <w:rFonts w:ascii="Arial" w:hAnsi="Arial" w:cs="Arial"/>
          <w:color w:val="000000"/>
          <w:sz w:val="22"/>
          <w:szCs w:val="22"/>
        </w:rPr>
        <w:t xml:space="preserve"> diferentes</w:t>
      </w:r>
      <w:r w:rsidR="00AB03DF">
        <w:rPr>
          <w:rFonts w:ascii="Arial" w:hAnsi="Arial" w:cs="Arial"/>
          <w:color w:val="000000"/>
          <w:sz w:val="22"/>
          <w:szCs w:val="22"/>
        </w:rPr>
        <w:t xml:space="preserve"> áreas al interior de este Ministerio, con ocasión a </w:t>
      </w:r>
      <w:r w:rsidRPr="00AB03DF">
        <w:rPr>
          <w:rFonts w:ascii="Arial" w:hAnsi="Arial" w:cs="Arial"/>
          <w:color w:val="000000"/>
          <w:sz w:val="22"/>
          <w:szCs w:val="22"/>
        </w:rPr>
        <w:t xml:space="preserve">la presentación del </w:t>
      </w:r>
      <w:r w:rsidR="000367D1">
        <w:rPr>
          <w:rFonts w:ascii="Arial" w:hAnsi="Arial" w:cs="Arial"/>
          <w:color w:val="000000"/>
          <w:sz w:val="22"/>
          <w:szCs w:val="22"/>
        </w:rPr>
        <w:t xml:space="preserve">anteproyecto y </w:t>
      </w:r>
      <w:r w:rsidRPr="00AB03DF">
        <w:rPr>
          <w:rFonts w:ascii="Arial" w:hAnsi="Arial" w:cs="Arial"/>
          <w:color w:val="000000"/>
          <w:sz w:val="22"/>
          <w:szCs w:val="22"/>
        </w:rPr>
        <w:t xml:space="preserve">proyecto de presupuesto </w:t>
      </w:r>
      <w:r w:rsidRPr="00AB03DF">
        <w:rPr>
          <w:rFonts w:ascii="Arial" w:hAnsi="Arial" w:cs="Arial"/>
          <w:sz w:val="22"/>
          <w:szCs w:val="22"/>
        </w:rPr>
        <w:t xml:space="preserve">anual de rentas y gastos para la vigencia </w:t>
      </w:r>
      <w:r w:rsidRPr="00AB03DF">
        <w:rPr>
          <w:rFonts w:ascii="Arial" w:hAnsi="Arial" w:cs="Arial"/>
          <w:color w:val="000000"/>
          <w:sz w:val="22"/>
          <w:szCs w:val="22"/>
        </w:rPr>
        <w:t xml:space="preserve">2021 ante el Congreso de la República. </w:t>
      </w:r>
    </w:p>
    <w:p w14:paraId="080C3F0A" w14:textId="77777777" w:rsidR="005F30A9" w:rsidRDefault="005F30A9" w:rsidP="00E72DE6">
      <w:pPr>
        <w:widowControl w:val="0"/>
        <w:jc w:val="both"/>
        <w:rPr>
          <w:rFonts w:ascii="Arial" w:hAnsi="Arial" w:cs="Arial"/>
          <w:color w:val="000000"/>
          <w:sz w:val="22"/>
          <w:szCs w:val="22"/>
        </w:rPr>
      </w:pPr>
    </w:p>
    <w:p w14:paraId="714D8B21" w14:textId="1AC6785C" w:rsidR="00A06D61" w:rsidRPr="00CB60D4" w:rsidRDefault="00A06D61" w:rsidP="00E72DE6">
      <w:pPr>
        <w:widowControl w:val="0"/>
        <w:jc w:val="both"/>
        <w:rPr>
          <w:rFonts w:ascii="Arial" w:hAnsi="Arial" w:cs="Arial"/>
          <w:color w:val="000000"/>
          <w:sz w:val="22"/>
          <w:szCs w:val="22"/>
        </w:rPr>
      </w:pPr>
      <w:r w:rsidRPr="00CB60D4">
        <w:rPr>
          <w:rFonts w:ascii="Arial" w:hAnsi="Arial" w:cs="Arial"/>
          <w:color w:val="000000"/>
          <w:sz w:val="22"/>
          <w:szCs w:val="22"/>
        </w:rPr>
        <w:t xml:space="preserve">Referente al costo del consumo de servicios digitales durante el </w:t>
      </w:r>
      <w:r w:rsidR="00CB60D4">
        <w:rPr>
          <w:rFonts w:ascii="Arial" w:hAnsi="Arial" w:cs="Arial"/>
          <w:color w:val="000000"/>
          <w:sz w:val="22"/>
          <w:szCs w:val="22"/>
        </w:rPr>
        <w:t xml:space="preserve">tercer </w:t>
      </w:r>
      <w:r w:rsidR="00CB60D4" w:rsidRPr="00CB60D4">
        <w:rPr>
          <w:rFonts w:ascii="Arial" w:hAnsi="Arial" w:cs="Arial"/>
          <w:color w:val="000000"/>
          <w:sz w:val="22"/>
          <w:szCs w:val="22"/>
        </w:rPr>
        <w:t>trimestre</w:t>
      </w:r>
      <w:r w:rsidRPr="00CB60D4">
        <w:rPr>
          <w:rFonts w:ascii="Arial" w:hAnsi="Arial" w:cs="Arial"/>
          <w:color w:val="000000"/>
          <w:sz w:val="22"/>
          <w:szCs w:val="22"/>
        </w:rPr>
        <w:t xml:space="preserve"> de 2020 comparado con mismo periodo de 2019, presentó una variación negativa correspondiente a una </w:t>
      </w:r>
      <w:r w:rsidRPr="00CB60D4">
        <w:rPr>
          <w:rFonts w:ascii="Arial" w:hAnsi="Arial" w:cs="Arial"/>
          <w:b/>
          <w:bCs/>
          <w:color w:val="000000"/>
          <w:sz w:val="22"/>
          <w:szCs w:val="22"/>
        </w:rPr>
        <w:t xml:space="preserve">disminución </w:t>
      </w:r>
      <w:r w:rsidRPr="00CB60D4">
        <w:rPr>
          <w:rFonts w:ascii="Arial" w:hAnsi="Arial" w:cs="Arial"/>
          <w:color w:val="000000"/>
          <w:sz w:val="22"/>
          <w:szCs w:val="22"/>
        </w:rPr>
        <w:t>de $</w:t>
      </w:r>
      <w:r w:rsidR="005F006E" w:rsidRPr="00CB60D4">
        <w:rPr>
          <w:rFonts w:ascii="Arial" w:hAnsi="Arial" w:cs="Arial"/>
          <w:color w:val="000000"/>
          <w:sz w:val="22"/>
          <w:szCs w:val="22"/>
        </w:rPr>
        <w:t xml:space="preserve"> 10</w:t>
      </w:r>
      <w:r w:rsidR="00510B66">
        <w:rPr>
          <w:rFonts w:ascii="Arial" w:hAnsi="Arial" w:cs="Arial"/>
          <w:color w:val="000000"/>
          <w:sz w:val="22"/>
          <w:szCs w:val="22"/>
        </w:rPr>
        <w:t>2</w:t>
      </w:r>
      <w:r w:rsidR="005F006E" w:rsidRPr="00CB60D4">
        <w:rPr>
          <w:rFonts w:ascii="Arial" w:hAnsi="Arial" w:cs="Arial"/>
          <w:color w:val="000000"/>
          <w:sz w:val="22"/>
          <w:szCs w:val="22"/>
        </w:rPr>
        <w:t>.</w:t>
      </w:r>
      <w:r w:rsidR="00510B66">
        <w:rPr>
          <w:rFonts w:ascii="Arial" w:hAnsi="Arial" w:cs="Arial"/>
          <w:color w:val="000000"/>
          <w:sz w:val="22"/>
          <w:szCs w:val="22"/>
        </w:rPr>
        <w:t>323.042</w:t>
      </w:r>
      <w:r w:rsidRPr="00CB60D4">
        <w:rPr>
          <w:rFonts w:ascii="Arial" w:hAnsi="Arial" w:cs="Arial"/>
          <w:color w:val="000000"/>
          <w:sz w:val="22"/>
          <w:szCs w:val="22"/>
        </w:rPr>
        <w:t xml:space="preserve"> representando el </w:t>
      </w:r>
      <w:r w:rsidR="005F006E" w:rsidRPr="00CB60D4">
        <w:rPr>
          <w:rFonts w:ascii="Arial" w:hAnsi="Arial" w:cs="Arial"/>
          <w:color w:val="000000"/>
          <w:sz w:val="22"/>
          <w:szCs w:val="22"/>
        </w:rPr>
        <w:t>9</w:t>
      </w:r>
      <w:r w:rsidR="00510B66">
        <w:rPr>
          <w:rFonts w:ascii="Arial" w:hAnsi="Arial" w:cs="Arial"/>
          <w:color w:val="000000"/>
          <w:sz w:val="22"/>
          <w:szCs w:val="22"/>
        </w:rPr>
        <w:t>8</w:t>
      </w:r>
      <w:r w:rsidR="005F006E" w:rsidRPr="00CB60D4">
        <w:rPr>
          <w:rFonts w:ascii="Arial" w:hAnsi="Arial" w:cs="Arial"/>
          <w:color w:val="000000"/>
          <w:sz w:val="22"/>
          <w:szCs w:val="22"/>
        </w:rPr>
        <w:t>,</w:t>
      </w:r>
      <w:r w:rsidR="00510B66">
        <w:rPr>
          <w:rFonts w:ascii="Arial" w:hAnsi="Arial" w:cs="Arial"/>
          <w:color w:val="000000"/>
          <w:sz w:val="22"/>
          <w:szCs w:val="22"/>
        </w:rPr>
        <w:t>7</w:t>
      </w:r>
      <w:r w:rsidRPr="00CB60D4">
        <w:rPr>
          <w:rFonts w:ascii="Arial" w:hAnsi="Arial" w:cs="Arial"/>
          <w:color w:val="000000"/>
          <w:sz w:val="22"/>
          <w:szCs w:val="22"/>
        </w:rPr>
        <w:t>%.</w:t>
      </w:r>
    </w:p>
    <w:p w14:paraId="2D073440" w14:textId="5335617F" w:rsidR="00A06D61" w:rsidRDefault="00A06D61" w:rsidP="00E72DE6">
      <w:pPr>
        <w:widowControl w:val="0"/>
        <w:jc w:val="both"/>
        <w:rPr>
          <w:rFonts w:ascii="Arial" w:hAnsi="Arial" w:cs="Arial"/>
          <w:color w:val="000000"/>
          <w:sz w:val="22"/>
          <w:szCs w:val="22"/>
          <w:highlight w:val="yellow"/>
        </w:rPr>
      </w:pPr>
    </w:p>
    <w:p w14:paraId="41EA2DD0" w14:textId="77777777" w:rsidR="00567202" w:rsidRPr="00CA48AF" w:rsidRDefault="00567202" w:rsidP="00E72DE6">
      <w:pPr>
        <w:widowControl w:val="0"/>
        <w:jc w:val="both"/>
        <w:rPr>
          <w:rFonts w:ascii="Arial" w:hAnsi="Arial" w:cs="Arial"/>
          <w:color w:val="000000"/>
          <w:sz w:val="22"/>
          <w:szCs w:val="22"/>
          <w:highlight w:val="yellow"/>
        </w:rPr>
      </w:pPr>
    </w:p>
    <w:tbl>
      <w:tblPr>
        <w:tblStyle w:val="Tabladecuadrcula1clara-nfasis1"/>
        <w:tblW w:w="8180" w:type="dxa"/>
        <w:jc w:val="center"/>
        <w:tblLook w:val="04A0" w:firstRow="1" w:lastRow="0" w:firstColumn="1" w:lastColumn="0" w:noHBand="0" w:noVBand="1"/>
      </w:tblPr>
      <w:tblGrid>
        <w:gridCol w:w="1389"/>
        <w:gridCol w:w="1967"/>
        <w:gridCol w:w="2061"/>
        <w:gridCol w:w="1789"/>
        <w:gridCol w:w="974"/>
      </w:tblGrid>
      <w:tr w:rsidR="008570E5" w:rsidRPr="00CB60D4" w14:paraId="1868472F" w14:textId="77777777" w:rsidTr="00776893">
        <w:trPr>
          <w:cnfStyle w:val="100000000000" w:firstRow="1" w:lastRow="0" w:firstColumn="0" w:lastColumn="0" w:oddVBand="0" w:evenVBand="0" w:oddHBand="0" w:evenHBand="0" w:firstRowFirstColumn="0" w:firstRowLastColumn="0" w:lastRowFirstColumn="0" w:lastRowLastColumn="0"/>
          <w:trHeight w:val="401"/>
          <w:tblHeader/>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612EA0F" w14:textId="77777777" w:rsidR="008570E5" w:rsidRPr="00CB60D4" w:rsidRDefault="008570E5" w:rsidP="00567202">
            <w:pPr>
              <w:spacing w:before="100" w:after="100"/>
              <w:jc w:val="center"/>
              <w:rPr>
                <w:rFonts w:ascii="Arial" w:hAnsi="Arial" w:cs="Arial"/>
                <w:color w:val="FFFFFF"/>
                <w:sz w:val="20"/>
                <w:szCs w:val="20"/>
              </w:rPr>
            </w:pPr>
            <w:r w:rsidRPr="00CB60D4">
              <w:rPr>
                <w:rFonts w:ascii="Arial" w:hAnsi="Arial" w:cs="Arial"/>
                <w:color w:val="FFFFFF"/>
                <w:sz w:val="20"/>
                <w:szCs w:val="20"/>
              </w:rPr>
              <w:t>Periodo</w:t>
            </w:r>
          </w:p>
        </w:tc>
        <w:tc>
          <w:tcPr>
            <w:tcW w:w="0" w:type="auto"/>
            <w:gridSpan w:val="2"/>
            <w:shd w:val="clear" w:color="auto" w:fill="4F81BD" w:themeFill="accent1"/>
            <w:vAlign w:val="center"/>
            <w:hideMark/>
          </w:tcPr>
          <w:p w14:paraId="6EAA0495" w14:textId="2A3D68B8" w:rsidR="008570E5" w:rsidRPr="00CB60D4" w:rsidRDefault="008570E5"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B60D4">
              <w:rPr>
                <w:rFonts w:ascii="Arial" w:hAnsi="Arial" w:cs="Arial"/>
                <w:color w:val="FFFFFF"/>
                <w:sz w:val="20"/>
                <w:szCs w:val="20"/>
              </w:rPr>
              <w:t>Costo Consumo de Papel ($)</w:t>
            </w:r>
          </w:p>
        </w:tc>
        <w:tc>
          <w:tcPr>
            <w:tcW w:w="0" w:type="auto"/>
            <w:gridSpan w:val="2"/>
            <w:shd w:val="clear" w:color="auto" w:fill="4F81BD" w:themeFill="accent1"/>
            <w:vAlign w:val="center"/>
            <w:hideMark/>
          </w:tcPr>
          <w:p w14:paraId="0B7EBEBE" w14:textId="77777777" w:rsidR="008570E5" w:rsidRPr="00CB60D4" w:rsidRDefault="008570E5"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B60D4">
              <w:rPr>
                <w:rFonts w:ascii="Arial" w:hAnsi="Arial" w:cs="Arial"/>
                <w:color w:val="FFFFFF"/>
                <w:sz w:val="20"/>
                <w:szCs w:val="20"/>
              </w:rPr>
              <w:t>Variaciones</w:t>
            </w:r>
          </w:p>
        </w:tc>
      </w:tr>
      <w:tr w:rsidR="005E7B62" w:rsidRPr="00CB60D4" w14:paraId="1779DB79" w14:textId="77777777" w:rsidTr="005E7B6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37F867A" w14:textId="77777777" w:rsidR="008570E5" w:rsidRPr="00CB60D4" w:rsidRDefault="008570E5" w:rsidP="00567202">
            <w:pPr>
              <w:spacing w:before="100" w:after="100"/>
              <w:rPr>
                <w:rFonts w:ascii="Arial" w:hAnsi="Arial" w:cs="Arial"/>
                <w:color w:val="FFFFFF"/>
                <w:sz w:val="20"/>
                <w:szCs w:val="20"/>
              </w:rPr>
            </w:pPr>
          </w:p>
        </w:tc>
        <w:tc>
          <w:tcPr>
            <w:tcW w:w="0" w:type="auto"/>
            <w:shd w:val="clear" w:color="auto" w:fill="DBE5F1" w:themeFill="accent1" w:themeFillTint="33"/>
            <w:vAlign w:val="center"/>
            <w:hideMark/>
          </w:tcPr>
          <w:p w14:paraId="7E56DD32" w14:textId="62D34381" w:rsidR="008570E5" w:rsidRPr="005E7B62" w:rsidRDefault="00CB60D4"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I</w:t>
            </w:r>
            <w:r w:rsidR="008570E5" w:rsidRPr="005E7B62">
              <w:rPr>
                <w:rFonts w:ascii="Arial" w:hAnsi="Arial" w:cs="Arial"/>
                <w:color w:val="0F243E" w:themeColor="text2" w:themeShade="80"/>
                <w:sz w:val="20"/>
                <w:szCs w:val="20"/>
              </w:rPr>
              <w:t>II Trimestre 2020</w:t>
            </w:r>
          </w:p>
        </w:tc>
        <w:tc>
          <w:tcPr>
            <w:tcW w:w="0" w:type="auto"/>
            <w:shd w:val="clear" w:color="auto" w:fill="DBE5F1" w:themeFill="accent1" w:themeFillTint="33"/>
            <w:vAlign w:val="center"/>
            <w:hideMark/>
          </w:tcPr>
          <w:p w14:paraId="6570B023" w14:textId="5DD18BEB" w:rsidR="008570E5" w:rsidRPr="005E7B62" w:rsidRDefault="00CB60D4"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I</w:t>
            </w:r>
            <w:r w:rsidR="008570E5" w:rsidRPr="005E7B62">
              <w:rPr>
                <w:rFonts w:ascii="Arial" w:hAnsi="Arial" w:cs="Arial"/>
                <w:color w:val="0F243E" w:themeColor="text2" w:themeShade="80"/>
                <w:sz w:val="20"/>
                <w:szCs w:val="20"/>
              </w:rPr>
              <w:t>II Trimestre 2019</w:t>
            </w:r>
          </w:p>
        </w:tc>
        <w:tc>
          <w:tcPr>
            <w:tcW w:w="0" w:type="auto"/>
            <w:shd w:val="clear" w:color="auto" w:fill="DBE5F1" w:themeFill="accent1" w:themeFillTint="33"/>
            <w:vAlign w:val="center"/>
            <w:hideMark/>
          </w:tcPr>
          <w:p w14:paraId="2F221AFD" w14:textId="2596E10C" w:rsidR="008570E5" w:rsidRPr="005E7B62" w:rsidRDefault="008570E5"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w:t>
            </w:r>
          </w:p>
        </w:tc>
        <w:tc>
          <w:tcPr>
            <w:tcW w:w="0" w:type="auto"/>
            <w:shd w:val="clear" w:color="auto" w:fill="DBE5F1" w:themeFill="accent1" w:themeFillTint="33"/>
            <w:vAlign w:val="center"/>
            <w:hideMark/>
          </w:tcPr>
          <w:p w14:paraId="4A722171" w14:textId="77777777" w:rsidR="008570E5" w:rsidRPr="005E7B62" w:rsidRDefault="008570E5" w:rsidP="00567202">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w:t>
            </w:r>
          </w:p>
        </w:tc>
      </w:tr>
      <w:tr w:rsidR="00510B66" w:rsidRPr="00CB60D4" w14:paraId="5E4FA7DD" w14:textId="77777777" w:rsidTr="006D4A3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E56841" w14:textId="1F3EC318" w:rsidR="00510B66" w:rsidRPr="00CB60D4" w:rsidRDefault="00510B66" w:rsidP="00567202">
            <w:pPr>
              <w:spacing w:before="100" w:after="100"/>
              <w:rPr>
                <w:rFonts w:ascii="Arial" w:hAnsi="Arial" w:cs="Arial"/>
                <w:color w:val="0F243E" w:themeColor="text2" w:themeShade="80"/>
                <w:sz w:val="20"/>
                <w:szCs w:val="20"/>
              </w:rPr>
            </w:pPr>
            <w:r>
              <w:rPr>
                <w:rFonts w:ascii="Arial" w:hAnsi="Arial" w:cs="Arial"/>
                <w:color w:val="0F243E" w:themeColor="text2" w:themeShade="80"/>
                <w:sz w:val="20"/>
                <w:szCs w:val="20"/>
              </w:rPr>
              <w:t>Julio</w:t>
            </w:r>
          </w:p>
        </w:tc>
        <w:tc>
          <w:tcPr>
            <w:tcW w:w="0" w:type="auto"/>
            <w:vAlign w:val="center"/>
          </w:tcPr>
          <w:p w14:paraId="53DD6166" w14:textId="0C7CBB47"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187.470 </w:t>
            </w:r>
          </w:p>
        </w:tc>
        <w:tc>
          <w:tcPr>
            <w:tcW w:w="0" w:type="auto"/>
            <w:vAlign w:val="center"/>
          </w:tcPr>
          <w:p w14:paraId="6EEE7373" w14:textId="28295615"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36.161.114 </w:t>
            </w:r>
          </w:p>
        </w:tc>
        <w:tc>
          <w:tcPr>
            <w:tcW w:w="0" w:type="auto"/>
            <w:vAlign w:val="center"/>
          </w:tcPr>
          <w:p w14:paraId="4CCFE41C" w14:textId="39DD2253"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(35.973.644) </w:t>
            </w:r>
          </w:p>
        </w:tc>
        <w:tc>
          <w:tcPr>
            <w:tcW w:w="0" w:type="auto"/>
            <w:vAlign w:val="center"/>
          </w:tcPr>
          <w:p w14:paraId="5E6EDE36" w14:textId="1E43DA74" w:rsidR="00510B66" w:rsidRPr="005E7B62" w:rsidRDefault="00510B66" w:rsidP="0056720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(99%)</w:t>
            </w:r>
          </w:p>
        </w:tc>
      </w:tr>
      <w:tr w:rsidR="00510B66" w:rsidRPr="00CB60D4" w14:paraId="43370450" w14:textId="77777777" w:rsidTr="006D4A3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E7B8DB" w14:textId="03751F22" w:rsidR="00510B66" w:rsidRPr="00CB60D4" w:rsidRDefault="00510B66" w:rsidP="00567202">
            <w:pPr>
              <w:spacing w:before="100" w:after="100"/>
              <w:rPr>
                <w:rFonts w:ascii="Arial" w:hAnsi="Arial" w:cs="Arial"/>
                <w:color w:val="0F243E" w:themeColor="text2" w:themeShade="80"/>
                <w:sz w:val="20"/>
                <w:szCs w:val="20"/>
              </w:rPr>
            </w:pPr>
            <w:r>
              <w:rPr>
                <w:rFonts w:ascii="Arial" w:hAnsi="Arial" w:cs="Arial"/>
                <w:color w:val="0F243E" w:themeColor="text2" w:themeShade="80"/>
                <w:sz w:val="20"/>
                <w:szCs w:val="20"/>
              </w:rPr>
              <w:t>Agosto</w:t>
            </w:r>
          </w:p>
        </w:tc>
        <w:tc>
          <w:tcPr>
            <w:tcW w:w="0" w:type="auto"/>
            <w:noWrap/>
            <w:vAlign w:val="bottom"/>
          </w:tcPr>
          <w:p w14:paraId="44AB6ECB" w14:textId="3CA69DBB"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557.370 </w:t>
            </w:r>
          </w:p>
        </w:tc>
        <w:tc>
          <w:tcPr>
            <w:tcW w:w="0" w:type="auto"/>
            <w:noWrap/>
            <w:vAlign w:val="bottom"/>
          </w:tcPr>
          <w:p w14:paraId="7FC6354A" w14:textId="5EFDF2E3"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32.519.986 </w:t>
            </w:r>
          </w:p>
        </w:tc>
        <w:tc>
          <w:tcPr>
            <w:tcW w:w="0" w:type="auto"/>
            <w:vAlign w:val="center"/>
          </w:tcPr>
          <w:p w14:paraId="71F74606" w14:textId="5766DD16"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(31.962.616) </w:t>
            </w:r>
          </w:p>
        </w:tc>
        <w:tc>
          <w:tcPr>
            <w:tcW w:w="0" w:type="auto"/>
            <w:vAlign w:val="center"/>
          </w:tcPr>
          <w:p w14:paraId="364654FB" w14:textId="313D077F" w:rsidR="00510B66" w:rsidRPr="005E7B62" w:rsidRDefault="00510B66" w:rsidP="0056720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(98%)</w:t>
            </w:r>
          </w:p>
        </w:tc>
      </w:tr>
      <w:tr w:rsidR="00510B66" w:rsidRPr="00CB60D4" w14:paraId="38517EFC" w14:textId="77777777" w:rsidTr="006D4A3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AD56D1" w14:textId="2F9F0112" w:rsidR="00510B66" w:rsidRPr="00CB60D4" w:rsidRDefault="00510B66" w:rsidP="00567202">
            <w:pPr>
              <w:spacing w:before="100" w:after="100"/>
              <w:rPr>
                <w:rFonts w:ascii="Arial" w:hAnsi="Arial" w:cs="Arial"/>
                <w:color w:val="0F243E" w:themeColor="text2" w:themeShade="80"/>
                <w:sz w:val="20"/>
                <w:szCs w:val="20"/>
              </w:rPr>
            </w:pPr>
            <w:r>
              <w:rPr>
                <w:rFonts w:ascii="Arial" w:hAnsi="Arial" w:cs="Arial"/>
                <w:color w:val="0F243E" w:themeColor="text2" w:themeShade="80"/>
                <w:sz w:val="20"/>
                <w:szCs w:val="20"/>
              </w:rPr>
              <w:t>Septiembre</w:t>
            </w:r>
          </w:p>
        </w:tc>
        <w:tc>
          <w:tcPr>
            <w:tcW w:w="0" w:type="auto"/>
            <w:noWrap/>
            <w:vAlign w:val="bottom"/>
          </w:tcPr>
          <w:p w14:paraId="04E85D08" w14:textId="57830C1C"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643.860 </w:t>
            </w:r>
          </w:p>
        </w:tc>
        <w:tc>
          <w:tcPr>
            <w:tcW w:w="0" w:type="auto"/>
            <w:noWrap/>
            <w:vAlign w:val="bottom"/>
          </w:tcPr>
          <w:p w14:paraId="6145ABDC" w14:textId="5974842F"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35.030.642 </w:t>
            </w:r>
          </w:p>
        </w:tc>
        <w:tc>
          <w:tcPr>
            <w:tcW w:w="0" w:type="auto"/>
            <w:vAlign w:val="center"/>
          </w:tcPr>
          <w:p w14:paraId="48DEFA5A" w14:textId="286877E6" w:rsidR="00510B66" w:rsidRPr="005E7B62"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 xml:space="preserve">     (34.386.782) </w:t>
            </w:r>
          </w:p>
        </w:tc>
        <w:tc>
          <w:tcPr>
            <w:tcW w:w="0" w:type="auto"/>
            <w:vAlign w:val="center"/>
          </w:tcPr>
          <w:p w14:paraId="2D3729F6" w14:textId="7A3B33D1" w:rsidR="00510B66" w:rsidRPr="005E7B62" w:rsidRDefault="00510B66" w:rsidP="0056720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E7B62">
              <w:rPr>
                <w:rFonts w:ascii="Arial" w:hAnsi="Arial" w:cs="Arial"/>
                <w:color w:val="0F243E" w:themeColor="text2" w:themeShade="80"/>
                <w:sz w:val="20"/>
                <w:szCs w:val="20"/>
              </w:rPr>
              <w:t>(98%)</w:t>
            </w:r>
          </w:p>
        </w:tc>
      </w:tr>
      <w:tr w:rsidR="00510B66" w:rsidRPr="00CA48AF" w14:paraId="5CA29D2F" w14:textId="77777777" w:rsidTr="006D4A31">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hideMark/>
          </w:tcPr>
          <w:p w14:paraId="2981615D" w14:textId="77777777" w:rsidR="00510B66" w:rsidRPr="00CB60D4" w:rsidRDefault="00510B66" w:rsidP="00567202">
            <w:pPr>
              <w:spacing w:before="100" w:after="100"/>
              <w:rPr>
                <w:rFonts w:ascii="Arial" w:hAnsi="Arial" w:cs="Arial"/>
                <w:color w:val="FFFFFF" w:themeColor="background1"/>
                <w:sz w:val="20"/>
                <w:szCs w:val="20"/>
              </w:rPr>
            </w:pPr>
            <w:r w:rsidRPr="00CB60D4">
              <w:rPr>
                <w:rFonts w:ascii="Arial" w:hAnsi="Arial" w:cs="Arial"/>
                <w:color w:val="FFFFFF" w:themeColor="background1"/>
                <w:sz w:val="20"/>
                <w:szCs w:val="20"/>
              </w:rPr>
              <w:t xml:space="preserve">Total </w:t>
            </w:r>
          </w:p>
        </w:tc>
        <w:tc>
          <w:tcPr>
            <w:tcW w:w="0" w:type="auto"/>
            <w:shd w:val="clear" w:color="auto" w:fill="4F81BD" w:themeFill="accent1"/>
            <w:noWrap/>
            <w:vAlign w:val="bottom"/>
          </w:tcPr>
          <w:p w14:paraId="63810220" w14:textId="5CA5EB9B" w:rsidR="00510B66" w:rsidRPr="0052135A"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135A">
              <w:rPr>
                <w:rFonts w:ascii="Arial" w:hAnsi="Arial" w:cs="Arial"/>
                <w:b/>
                <w:bCs/>
                <w:color w:val="FFFFFF" w:themeColor="background1"/>
                <w:sz w:val="20"/>
                <w:szCs w:val="20"/>
              </w:rPr>
              <w:t xml:space="preserve">           1.388.700 </w:t>
            </w:r>
          </w:p>
        </w:tc>
        <w:tc>
          <w:tcPr>
            <w:tcW w:w="0" w:type="auto"/>
            <w:shd w:val="clear" w:color="auto" w:fill="4F81BD" w:themeFill="accent1"/>
            <w:noWrap/>
            <w:vAlign w:val="bottom"/>
          </w:tcPr>
          <w:p w14:paraId="673B818E" w14:textId="644C8E0C" w:rsidR="00510B66" w:rsidRPr="0052135A"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135A">
              <w:rPr>
                <w:rFonts w:ascii="Arial" w:hAnsi="Arial" w:cs="Arial"/>
                <w:b/>
                <w:bCs/>
                <w:color w:val="FFFFFF" w:themeColor="background1"/>
                <w:sz w:val="20"/>
                <w:szCs w:val="20"/>
              </w:rPr>
              <w:t xml:space="preserve">           103.711.742 </w:t>
            </w:r>
          </w:p>
        </w:tc>
        <w:tc>
          <w:tcPr>
            <w:tcW w:w="0" w:type="auto"/>
            <w:shd w:val="clear" w:color="auto" w:fill="4F81BD" w:themeFill="accent1"/>
            <w:noWrap/>
            <w:vAlign w:val="bottom"/>
          </w:tcPr>
          <w:p w14:paraId="70E60F0E" w14:textId="467D72C5" w:rsidR="00510B66" w:rsidRPr="0052135A" w:rsidRDefault="00510B66" w:rsidP="00567202">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135A">
              <w:rPr>
                <w:rFonts w:ascii="Arial" w:hAnsi="Arial" w:cs="Arial"/>
                <w:b/>
                <w:bCs/>
                <w:color w:val="FFFFFF" w:themeColor="background1"/>
                <w:sz w:val="20"/>
                <w:szCs w:val="20"/>
              </w:rPr>
              <w:t xml:space="preserve">    (102.323.042) </w:t>
            </w:r>
          </w:p>
        </w:tc>
        <w:tc>
          <w:tcPr>
            <w:tcW w:w="0" w:type="auto"/>
            <w:shd w:val="clear" w:color="auto" w:fill="4F81BD" w:themeFill="accent1"/>
            <w:vAlign w:val="center"/>
          </w:tcPr>
          <w:p w14:paraId="44DC908F" w14:textId="4B059EC1" w:rsidR="00510B66" w:rsidRPr="0052135A" w:rsidRDefault="00510B66" w:rsidP="00567202">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2135A">
              <w:rPr>
                <w:rFonts w:ascii="Arial" w:hAnsi="Arial" w:cs="Arial"/>
                <w:b/>
                <w:bCs/>
                <w:color w:val="FFFFFF" w:themeColor="background1"/>
                <w:sz w:val="20"/>
                <w:szCs w:val="20"/>
              </w:rPr>
              <w:t>(98,7%)</w:t>
            </w:r>
          </w:p>
        </w:tc>
      </w:tr>
    </w:tbl>
    <w:p w14:paraId="478E555F" w14:textId="6105B74E" w:rsidR="00A06D61" w:rsidRPr="00CA48AF" w:rsidRDefault="00A06D61" w:rsidP="00604540">
      <w:pPr>
        <w:widowControl w:val="0"/>
        <w:spacing w:line="168" w:lineRule="auto"/>
        <w:jc w:val="both"/>
        <w:rPr>
          <w:rFonts w:ascii="Arial" w:hAnsi="Arial" w:cs="Arial"/>
          <w:color w:val="000000"/>
          <w:sz w:val="22"/>
          <w:szCs w:val="22"/>
          <w:highlight w:val="yellow"/>
        </w:rPr>
      </w:pPr>
    </w:p>
    <w:p w14:paraId="586277CC" w14:textId="77777777" w:rsidR="00076C0E" w:rsidRDefault="00076C0E" w:rsidP="00E72DE6">
      <w:pPr>
        <w:widowControl w:val="0"/>
        <w:jc w:val="both"/>
        <w:rPr>
          <w:rFonts w:ascii="Arial" w:hAnsi="Arial" w:cs="Arial"/>
          <w:color w:val="000000"/>
          <w:sz w:val="22"/>
          <w:szCs w:val="22"/>
        </w:rPr>
      </w:pPr>
    </w:p>
    <w:p w14:paraId="73AF2D14" w14:textId="2B32D6AD" w:rsidR="001B0091" w:rsidRPr="00510B66" w:rsidRDefault="003B77C7" w:rsidP="00E72DE6">
      <w:pPr>
        <w:widowControl w:val="0"/>
        <w:jc w:val="both"/>
        <w:rPr>
          <w:rFonts w:ascii="Arial" w:hAnsi="Arial" w:cs="Arial"/>
          <w:color w:val="000000"/>
          <w:sz w:val="22"/>
          <w:szCs w:val="22"/>
        </w:rPr>
      </w:pPr>
      <w:r w:rsidRPr="00510B66">
        <w:rPr>
          <w:rFonts w:ascii="Arial" w:hAnsi="Arial" w:cs="Arial"/>
          <w:color w:val="000000"/>
          <w:sz w:val="22"/>
          <w:szCs w:val="22"/>
        </w:rPr>
        <w:t xml:space="preserve">Respecto </w:t>
      </w:r>
      <w:r w:rsidR="00C3589A" w:rsidRPr="00510B66">
        <w:rPr>
          <w:rFonts w:ascii="Arial" w:hAnsi="Arial" w:cs="Arial"/>
          <w:color w:val="000000"/>
          <w:sz w:val="22"/>
          <w:szCs w:val="22"/>
        </w:rPr>
        <w:t>a las</w:t>
      </w:r>
      <w:r w:rsidR="00C5220D" w:rsidRPr="00510B66">
        <w:rPr>
          <w:rFonts w:ascii="Arial" w:hAnsi="Arial" w:cs="Arial"/>
          <w:color w:val="000000"/>
          <w:sz w:val="22"/>
          <w:szCs w:val="22"/>
        </w:rPr>
        <w:t xml:space="preserve"> variaciones </w:t>
      </w:r>
      <w:r w:rsidR="001B0091" w:rsidRPr="00510B66">
        <w:rPr>
          <w:rFonts w:ascii="Arial" w:hAnsi="Arial" w:cs="Arial"/>
          <w:color w:val="000000"/>
          <w:sz w:val="22"/>
          <w:szCs w:val="22"/>
        </w:rPr>
        <w:t>antes presentadas</w:t>
      </w:r>
      <w:r w:rsidR="00C3589A" w:rsidRPr="00510B66">
        <w:rPr>
          <w:rFonts w:ascii="Arial" w:hAnsi="Arial" w:cs="Arial"/>
          <w:color w:val="000000"/>
          <w:sz w:val="22"/>
          <w:szCs w:val="22"/>
        </w:rPr>
        <w:t xml:space="preserve">, se observó que la entidad logró obtener durante </w:t>
      </w:r>
      <w:r w:rsidR="001B0091" w:rsidRPr="00510B66">
        <w:rPr>
          <w:rFonts w:ascii="Arial" w:hAnsi="Arial" w:cs="Arial"/>
          <w:color w:val="000000"/>
          <w:sz w:val="22"/>
          <w:szCs w:val="22"/>
        </w:rPr>
        <w:t xml:space="preserve">el </w:t>
      </w:r>
      <w:r w:rsidR="00510B66">
        <w:rPr>
          <w:rFonts w:ascii="Arial" w:hAnsi="Arial" w:cs="Arial"/>
          <w:color w:val="000000"/>
          <w:sz w:val="22"/>
          <w:szCs w:val="22"/>
        </w:rPr>
        <w:t xml:space="preserve">tercer </w:t>
      </w:r>
      <w:r w:rsidR="001B0091" w:rsidRPr="00510B66">
        <w:rPr>
          <w:rFonts w:ascii="Arial" w:hAnsi="Arial" w:cs="Arial"/>
          <w:color w:val="000000"/>
          <w:sz w:val="22"/>
          <w:szCs w:val="22"/>
        </w:rPr>
        <w:t>trimestre de 2020</w:t>
      </w:r>
      <w:r w:rsidR="00BB3A98" w:rsidRPr="00510B66">
        <w:rPr>
          <w:rFonts w:ascii="Arial" w:hAnsi="Arial" w:cs="Arial"/>
          <w:color w:val="000000"/>
          <w:sz w:val="22"/>
          <w:szCs w:val="22"/>
        </w:rPr>
        <w:t xml:space="preserve"> </w:t>
      </w:r>
      <w:r w:rsidR="00C5220D" w:rsidRPr="00510B66">
        <w:rPr>
          <w:rFonts w:ascii="Arial" w:hAnsi="Arial" w:cs="Arial"/>
          <w:b/>
          <w:bCs/>
          <w:color w:val="000000"/>
          <w:sz w:val="22"/>
          <w:szCs w:val="22"/>
        </w:rPr>
        <w:t xml:space="preserve">reducciones </w:t>
      </w:r>
      <w:r w:rsidR="00C3589A" w:rsidRPr="00510B66">
        <w:rPr>
          <w:rFonts w:ascii="Arial" w:hAnsi="Arial" w:cs="Arial"/>
          <w:color w:val="000000"/>
          <w:sz w:val="22"/>
          <w:szCs w:val="22"/>
        </w:rPr>
        <w:t>en el consumo de papel</w:t>
      </w:r>
      <w:r w:rsidR="00BB3A98" w:rsidRPr="00510B66">
        <w:rPr>
          <w:rFonts w:ascii="Arial" w:hAnsi="Arial" w:cs="Arial"/>
          <w:color w:val="000000"/>
          <w:sz w:val="22"/>
          <w:szCs w:val="22"/>
        </w:rPr>
        <w:t>, lo que gener</w:t>
      </w:r>
      <w:r w:rsidR="00C5220D" w:rsidRPr="00510B66">
        <w:rPr>
          <w:rFonts w:ascii="Arial" w:hAnsi="Arial" w:cs="Arial"/>
          <w:color w:val="000000"/>
          <w:sz w:val="22"/>
          <w:szCs w:val="22"/>
        </w:rPr>
        <w:t>ó</w:t>
      </w:r>
      <w:r w:rsidR="00BB3A98" w:rsidRPr="00510B66">
        <w:rPr>
          <w:rFonts w:ascii="Arial" w:hAnsi="Arial" w:cs="Arial"/>
          <w:color w:val="000000"/>
          <w:sz w:val="22"/>
          <w:szCs w:val="22"/>
        </w:rPr>
        <w:t xml:space="preserve"> a su vez, </w:t>
      </w:r>
      <w:r w:rsidR="00C5220D" w:rsidRPr="00510B66">
        <w:rPr>
          <w:rFonts w:ascii="Arial" w:hAnsi="Arial" w:cs="Arial"/>
          <w:color w:val="000000"/>
          <w:sz w:val="22"/>
          <w:szCs w:val="22"/>
        </w:rPr>
        <w:t xml:space="preserve">un ahorro en el costo del consumo de la cantidad de hojas usadas. Dichos resultados, se </w:t>
      </w:r>
      <w:r w:rsidR="00002B2A" w:rsidRPr="00510B66">
        <w:rPr>
          <w:rFonts w:ascii="Arial" w:hAnsi="Arial" w:cs="Arial"/>
          <w:color w:val="000000"/>
          <w:sz w:val="22"/>
          <w:szCs w:val="22"/>
        </w:rPr>
        <w:t xml:space="preserve">deduce </w:t>
      </w:r>
      <w:r w:rsidR="00C5220D" w:rsidRPr="00510B66">
        <w:rPr>
          <w:rFonts w:ascii="Arial" w:hAnsi="Arial" w:cs="Arial"/>
          <w:color w:val="000000"/>
          <w:sz w:val="22"/>
          <w:szCs w:val="22"/>
        </w:rPr>
        <w:t>que fueron consecuencia de</w:t>
      </w:r>
      <w:r w:rsidR="001B0091" w:rsidRPr="00510B66">
        <w:rPr>
          <w:rFonts w:ascii="Arial" w:hAnsi="Arial" w:cs="Arial"/>
          <w:color w:val="000000"/>
          <w:sz w:val="22"/>
          <w:szCs w:val="22"/>
        </w:rPr>
        <w:t xml:space="preserve"> </w:t>
      </w:r>
      <w:r w:rsidR="001B0091" w:rsidRPr="00510B66">
        <w:rPr>
          <w:rFonts w:ascii="Arial" w:hAnsi="Arial" w:cs="Arial"/>
          <w:color w:val="000000" w:themeColor="text1"/>
          <w:sz w:val="22"/>
          <w:szCs w:val="22"/>
        </w:rPr>
        <w:t xml:space="preserve">las medidas adoptadas por este Ministerio, en virtud de </w:t>
      </w:r>
      <w:r w:rsidR="001B0091" w:rsidRPr="00510B66">
        <w:rPr>
          <w:rFonts w:ascii="Arial" w:hAnsi="Arial" w:cs="Arial"/>
          <w:color w:val="000000" w:themeColor="text1"/>
          <w:sz w:val="22"/>
          <w:szCs w:val="22"/>
          <w:bdr w:val="none" w:sz="0" w:space="0" w:color="auto" w:frame="1"/>
        </w:rPr>
        <w:t>la Emergencia Económica, Social y Ecológica [Covid-19] decretada por el Gobierno Nacional, entre</w:t>
      </w:r>
      <w:r w:rsidR="00C5220D" w:rsidRPr="00510B66">
        <w:rPr>
          <w:rFonts w:ascii="Arial" w:hAnsi="Arial" w:cs="Arial"/>
          <w:color w:val="000000" w:themeColor="text1"/>
          <w:sz w:val="22"/>
          <w:szCs w:val="22"/>
          <w:bdr w:val="none" w:sz="0" w:space="0" w:color="auto" w:frame="1"/>
        </w:rPr>
        <w:t xml:space="preserve"> otras, esta Entidad implementó la modalidad de trabajo </w:t>
      </w:r>
      <w:r w:rsidR="00002B2A" w:rsidRPr="00510B66">
        <w:rPr>
          <w:rFonts w:ascii="Arial" w:hAnsi="Arial" w:cs="Arial"/>
          <w:color w:val="000000" w:themeColor="text1"/>
          <w:sz w:val="22"/>
          <w:szCs w:val="22"/>
          <w:bdr w:val="none" w:sz="0" w:space="0" w:color="auto" w:frame="1"/>
        </w:rPr>
        <w:t xml:space="preserve">en casa </w:t>
      </w:r>
      <w:r w:rsidR="00C5220D" w:rsidRPr="00510B66">
        <w:rPr>
          <w:rFonts w:ascii="Arial" w:hAnsi="Arial" w:cs="Arial"/>
          <w:color w:val="000000" w:themeColor="text1"/>
          <w:sz w:val="22"/>
          <w:szCs w:val="22"/>
          <w:bdr w:val="none" w:sz="0" w:space="0" w:color="auto" w:frame="1"/>
        </w:rPr>
        <w:t xml:space="preserve">a partir del 20 de marzo de 2020 y se mantuvo durante el </w:t>
      </w:r>
      <w:r w:rsidR="00685E11">
        <w:rPr>
          <w:rFonts w:ascii="Arial" w:hAnsi="Arial" w:cs="Arial"/>
          <w:color w:val="000000" w:themeColor="text1"/>
          <w:sz w:val="22"/>
          <w:szCs w:val="22"/>
          <w:bdr w:val="none" w:sz="0" w:space="0" w:color="auto" w:frame="1"/>
        </w:rPr>
        <w:t xml:space="preserve">tercer </w:t>
      </w:r>
      <w:r w:rsidR="00C5220D" w:rsidRPr="00510B66">
        <w:rPr>
          <w:rFonts w:ascii="Arial" w:hAnsi="Arial" w:cs="Arial"/>
          <w:color w:val="000000" w:themeColor="text1"/>
          <w:sz w:val="22"/>
          <w:szCs w:val="22"/>
          <w:bdr w:val="none" w:sz="0" w:space="0" w:color="auto" w:frame="1"/>
        </w:rPr>
        <w:t>trimestre de 2020</w:t>
      </w:r>
      <w:r w:rsidR="00685E11">
        <w:rPr>
          <w:rFonts w:ascii="Arial" w:hAnsi="Arial" w:cs="Arial"/>
          <w:color w:val="000000" w:themeColor="text1"/>
          <w:sz w:val="22"/>
          <w:szCs w:val="22"/>
          <w:bdr w:val="none" w:sz="0" w:space="0" w:color="auto" w:frame="1"/>
        </w:rPr>
        <w:t xml:space="preserve"> para aproximadamente el 80% de funcionarios, contratistas y pasantes,</w:t>
      </w:r>
      <w:r w:rsidR="00C5220D" w:rsidRPr="00510B66">
        <w:rPr>
          <w:rFonts w:ascii="Arial" w:hAnsi="Arial" w:cs="Arial"/>
          <w:color w:val="000000" w:themeColor="text1"/>
          <w:sz w:val="22"/>
          <w:szCs w:val="22"/>
          <w:bdr w:val="none" w:sz="0" w:space="0" w:color="auto" w:frame="1"/>
        </w:rPr>
        <w:t xml:space="preserve"> considerándose el </w:t>
      </w:r>
      <w:r w:rsidR="001B0091" w:rsidRPr="00510B66">
        <w:rPr>
          <w:rFonts w:ascii="Arial" w:hAnsi="Arial" w:cs="Arial"/>
          <w:color w:val="000000" w:themeColor="text1"/>
          <w:sz w:val="22"/>
          <w:szCs w:val="22"/>
          <w:bdr w:val="none" w:sz="0" w:space="0" w:color="auto" w:frame="1"/>
        </w:rPr>
        <w:t>factor</w:t>
      </w:r>
      <w:r w:rsidR="009A74AA" w:rsidRPr="00510B66">
        <w:rPr>
          <w:rFonts w:ascii="Arial" w:hAnsi="Arial" w:cs="Arial"/>
          <w:color w:val="000000" w:themeColor="text1"/>
          <w:sz w:val="22"/>
          <w:szCs w:val="22"/>
          <w:bdr w:val="none" w:sz="0" w:space="0" w:color="auto" w:frame="1"/>
        </w:rPr>
        <w:t xml:space="preserve"> que</w:t>
      </w:r>
      <w:r w:rsidR="003F0680" w:rsidRPr="00510B66">
        <w:rPr>
          <w:rFonts w:ascii="Arial" w:hAnsi="Arial" w:cs="Arial"/>
          <w:color w:val="000000" w:themeColor="text1"/>
          <w:sz w:val="22"/>
          <w:szCs w:val="22"/>
          <w:bdr w:val="none" w:sz="0" w:space="0" w:color="auto" w:frame="1"/>
        </w:rPr>
        <w:t xml:space="preserve"> </w:t>
      </w:r>
      <w:r w:rsidR="00050B9C" w:rsidRPr="00510B66">
        <w:rPr>
          <w:rFonts w:ascii="Arial" w:hAnsi="Arial" w:cs="Arial"/>
          <w:color w:val="000000" w:themeColor="text1"/>
          <w:sz w:val="22"/>
          <w:szCs w:val="22"/>
          <w:bdr w:val="none" w:sz="0" w:space="0" w:color="auto" w:frame="1"/>
        </w:rPr>
        <w:t>influyó en</w:t>
      </w:r>
      <w:r w:rsidR="003F0680" w:rsidRPr="00510B66">
        <w:rPr>
          <w:rFonts w:ascii="Arial" w:hAnsi="Arial" w:cs="Arial"/>
          <w:color w:val="000000" w:themeColor="text1"/>
          <w:sz w:val="22"/>
          <w:szCs w:val="22"/>
          <w:bdr w:val="none" w:sz="0" w:space="0" w:color="auto" w:frame="1"/>
        </w:rPr>
        <w:t xml:space="preserve"> las estadísticas de consumo, permitiendo </w:t>
      </w:r>
      <w:r w:rsidR="001B0091" w:rsidRPr="00510B66">
        <w:rPr>
          <w:rFonts w:ascii="Arial" w:hAnsi="Arial" w:cs="Arial"/>
          <w:color w:val="000000" w:themeColor="text1"/>
          <w:sz w:val="22"/>
          <w:szCs w:val="22"/>
          <w:bdr w:val="none" w:sz="0" w:space="0" w:color="auto" w:frame="1"/>
        </w:rPr>
        <w:t xml:space="preserve">obtener las variaciones negativas.  </w:t>
      </w:r>
    </w:p>
    <w:p w14:paraId="54AF7071" w14:textId="079ED287" w:rsidR="00C3589A" w:rsidRPr="00CA48AF" w:rsidRDefault="00C3589A" w:rsidP="00604540">
      <w:pPr>
        <w:widowControl w:val="0"/>
        <w:spacing w:line="168" w:lineRule="auto"/>
        <w:jc w:val="both"/>
        <w:rPr>
          <w:rFonts w:ascii="Arial" w:hAnsi="Arial" w:cs="Arial"/>
          <w:sz w:val="22"/>
          <w:szCs w:val="22"/>
          <w:highlight w:val="yellow"/>
        </w:rPr>
      </w:pPr>
    </w:p>
    <w:p w14:paraId="7CE7263B" w14:textId="690A6E55" w:rsidR="00A362C1" w:rsidRPr="00BC2611" w:rsidRDefault="000C38F1" w:rsidP="00D90499">
      <w:pPr>
        <w:pStyle w:val="Prrafodelista"/>
        <w:numPr>
          <w:ilvl w:val="1"/>
          <w:numId w:val="12"/>
        </w:numPr>
        <w:spacing w:after="40"/>
        <w:ind w:left="567" w:hanging="567"/>
        <w:rPr>
          <w:rFonts w:ascii="Arial" w:hAnsi="Arial" w:cs="Arial"/>
          <w:b/>
          <w:color w:val="000000"/>
          <w:sz w:val="22"/>
          <w:szCs w:val="22"/>
        </w:rPr>
      </w:pPr>
      <w:r w:rsidRPr="00BC2611">
        <w:rPr>
          <w:rFonts w:ascii="Arial" w:hAnsi="Arial" w:cs="Arial"/>
          <w:b/>
          <w:color w:val="000000"/>
          <w:sz w:val="22"/>
          <w:szCs w:val="22"/>
        </w:rPr>
        <w:lastRenderedPageBreak/>
        <w:t>PAPELERÍA, ÚTILES DE ESCRITORIO Y OFICINA</w:t>
      </w:r>
    </w:p>
    <w:p w14:paraId="4AB29C92" w14:textId="77777777" w:rsidR="00A362C1" w:rsidRPr="00BC2611" w:rsidRDefault="00A362C1" w:rsidP="00C57501">
      <w:pPr>
        <w:spacing w:after="40" w:line="168" w:lineRule="auto"/>
        <w:rPr>
          <w:rFonts w:ascii="Arial" w:hAnsi="Arial" w:cs="Arial"/>
          <w:b/>
          <w:color w:val="000000"/>
          <w:sz w:val="22"/>
          <w:szCs w:val="22"/>
        </w:rPr>
      </w:pPr>
    </w:p>
    <w:p w14:paraId="39021E85" w14:textId="1659794B" w:rsidR="006638EB" w:rsidRPr="00BC2611" w:rsidRDefault="006638EB" w:rsidP="00047E97">
      <w:pPr>
        <w:spacing w:after="40"/>
        <w:jc w:val="both"/>
        <w:rPr>
          <w:rFonts w:ascii="Arial" w:hAnsi="Arial" w:cs="Arial"/>
          <w:color w:val="000000"/>
          <w:sz w:val="22"/>
          <w:szCs w:val="22"/>
        </w:rPr>
      </w:pPr>
      <w:r w:rsidRPr="00BC2611">
        <w:rPr>
          <w:rFonts w:ascii="Arial" w:hAnsi="Arial" w:cs="Arial"/>
          <w:color w:val="000000"/>
          <w:sz w:val="22"/>
          <w:szCs w:val="22"/>
        </w:rPr>
        <w:t>El Ministerio de Hacienda y Crédito Público programó para la vigencia 2020 en el Plan Anual de Adquisiciones [PAA] la suma de $ 72.100.000, distribuidos así:</w:t>
      </w:r>
    </w:p>
    <w:p w14:paraId="218FAEB0" w14:textId="23CE9CDD" w:rsidR="006638EB" w:rsidRPr="00CA48AF" w:rsidRDefault="006638EB" w:rsidP="00047E97">
      <w:pPr>
        <w:spacing w:after="40"/>
        <w:jc w:val="both"/>
        <w:rPr>
          <w:rFonts w:ascii="Arial" w:hAnsi="Arial" w:cs="Arial"/>
          <w:color w:val="000000"/>
          <w:sz w:val="22"/>
          <w:szCs w:val="22"/>
          <w:highlight w:val="yellow"/>
        </w:rPr>
      </w:pPr>
    </w:p>
    <w:tbl>
      <w:tblPr>
        <w:tblStyle w:val="Tabladecuadrcula4-nfasis1"/>
        <w:tblW w:w="0" w:type="auto"/>
        <w:jc w:val="center"/>
        <w:tblLook w:val="04A0" w:firstRow="1" w:lastRow="0" w:firstColumn="1" w:lastColumn="0" w:noHBand="0" w:noVBand="1"/>
      </w:tblPr>
      <w:tblGrid>
        <w:gridCol w:w="6096"/>
        <w:gridCol w:w="1842"/>
      </w:tblGrid>
      <w:tr w:rsidR="006638EB" w:rsidRPr="00CA48AF" w14:paraId="6ED39314" w14:textId="77777777" w:rsidTr="006638E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096" w:type="dxa"/>
            <w:noWrap/>
            <w:vAlign w:val="center"/>
            <w:hideMark/>
          </w:tcPr>
          <w:p w14:paraId="7E08B028" w14:textId="7F342674" w:rsidR="006638EB" w:rsidRPr="00BC2611" w:rsidRDefault="006638EB" w:rsidP="00567202">
            <w:pPr>
              <w:spacing w:before="100" w:after="80"/>
              <w:jc w:val="center"/>
              <w:rPr>
                <w:rFonts w:ascii="Arial" w:hAnsi="Arial" w:cs="Arial"/>
                <w:sz w:val="20"/>
                <w:szCs w:val="20"/>
              </w:rPr>
            </w:pPr>
            <w:r w:rsidRPr="00BC2611">
              <w:rPr>
                <w:rFonts w:ascii="Arial" w:hAnsi="Arial" w:cs="Arial"/>
                <w:bCs w:val="0"/>
                <w:sz w:val="20"/>
                <w:szCs w:val="20"/>
              </w:rPr>
              <w:t>Concepto</w:t>
            </w:r>
          </w:p>
        </w:tc>
        <w:tc>
          <w:tcPr>
            <w:tcW w:w="1842" w:type="dxa"/>
            <w:noWrap/>
            <w:vAlign w:val="center"/>
            <w:hideMark/>
          </w:tcPr>
          <w:p w14:paraId="2E5ADCC1" w14:textId="7C791F42" w:rsidR="006638EB" w:rsidRPr="00BC2611" w:rsidRDefault="006638EB" w:rsidP="00567202">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BC2611">
              <w:rPr>
                <w:rFonts w:ascii="Arial" w:hAnsi="Arial" w:cs="Arial"/>
                <w:bCs w:val="0"/>
                <w:sz w:val="20"/>
                <w:szCs w:val="20"/>
              </w:rPr>
              <w:t>Valor ($)</w:t>
            </w:r>
          </w:p>
        </w:tc>
      </w:tr>
      <w:tr w:rsidR="006638EB" w:rsidRPr="00CA48AF" w14:paraId="30A70192" w14:textId="77777777" w:rsidTr="00567202">
        <w:trPr>
          <w:cnfStyle w:val="000000100000" w:firstRow="0" w:lastRow="0" w:firstColumn="0" w:lastColumn="0" w:oddVBand="0" w:evenVBand="0" w:oddHBand="1" w:evenHBand="0" w:firstRowFirstColumn="0" w:firstRowLastColumn="0" w:lastRowFirstColumn="0" w:lastRowLastColumn="0"/>
          <w:cantSplit/>
          <w:trHeight w:val="634"/>
          <w:jc w:val="center"/>
        </w:trPr>
        <w:tc>
          <w:tcPr>
            <w:cnfStyle w:val="001000000000" w:firstRow="0" w:lastRow="0" w:firstColumn="1" w:lastColumn="0" w:oddVBand="0" w:evenVBand="0" w:oddHBand="0" w:evenHBand="0" w:firstRowFirstColumn="0" w:firstRowLastColumn="0" w:lastRowFirstColumn="0" w:lastRowLastColumn="0"/>
            <w:tcW w:w="6096" w:type="dxa"/>
            <w:vAlign w:val="center"/>
            <w:hideMark/>
          </w:tcPr>
          <w:p w14:paraId="45BE6498" w14:textId="77777777" w:rsidR="006638EB" w:rsidRPr="00BC2611" w:rsidRDefault="006638EB" w:rsidP="00567202">
            <w:pPr>
              <w:spacing w:before="100" w:after="80"/>
              <w:jc w:val="both"/>
              <w:rPr>
                <w:rFonts w:ascii="Arial" w:hAnsi="Arial" w:cs="Arial"/>
                <w:b w:val="0"/>
                <w:bCs w:val="0"/>
                <w:color w:val="0F243E" w:themeColor="text2" w:themeShade="80"/>
                <w:sz w:val="20"/>
                <w:szCs w:val="20"/>
              </w:rPr>
            </w:pPr>
            <w:r w:rsidRPr="00BC2611">
              <w:rPr>
                <w:rFonts w:ascii="Arial" w:hAnsi="Arial" w:cs="Arial"/>
                <w:b w:val="0"/>
                <w:color w:val="0F243E" w:themeColor="text2" w:themeShade="80"/>
                <w:sz w:val="20"/>
                <w:szCs w:val="20"/>
              </w:rPr>
              <w:t>Adquisición de elementos derivados del papel, cartón y corrugado.</w:t>
            </w:r>
          </w:p>
        </w:tc>
        <w:tc>
          <w:tcPr>
            <w:tcW w:w="1842" w:type="dxa"/>
            <w:noWrap/>
            <w:vAlign w:val="center"/>
            <w:hideMark/>
          </w:tcPr>
          <w:p w14:paraId="3425FEA6" w14:textId="052BDBA3" w:rsidR="006638EB" w:rsidRPr="00BC2611" w:rsidRDefault="006638EB" w:rsidP="00567202">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xml:space="preserve"> 42.100.000 </w:t>
            </w:r>
          </w:p>
        </w:tc>
      </w:tr>
      <w:tr w:rsidR="006638EB" w:rsidRPr="00CA48AF" w14:paraId="5AB6182D" w14:textId="77777777" w:rsidTr="00567202">
        <w:trPr>
          <w:cantSplit/>
          <w:trHeight w:val="782"/>
          <w:jc w:val="center"/>
        </w:trPr>
        <w:tc>
          <w:tcPr>
            <w:cnfStyle w:val="001000000000" w:firstRow="0" w:lastRow="0" w:firstColumn="1" w:lastColumn="0" w:oddVBand="0" w:evenVBand="0" w:oddHBand="0" w:evenHBand="0" w:firstRowFirstColumn="0" w:firstRowLastColumn="0" w:lastRowFirstColumn="0" w:lastRowLastColumn="0"/>
            <w:tcW w:w="6096" w:type="dxa"/>
            <w:vAlign w:val="center"/>
            <w:hideMark/>
          </w:tcPr>
          <w:p w14:paraId="11F3FAA9" w14:textId="77777777" w:rsidR="006638EB" w:rsidRPr="00BC2611" w:rsidRDefault="006638EB" w:rsidP="00567202">
            <w:pPr>
              <w:spacing w:before="100" w:after="80"/>
              <w:jc w:val="both"/>
              <w:rPr>
                <w:rFonts w:ascii="Arial" w:hAnsi="Arial" w:cs="Arial"/>
                <w:b w:val="0"/>
                <w:color w:val="0F243E" w:themeColor="text2" w:themeShade="80"/>
                <w:sz w:val="20"/>
                <w:szCs w:val="20"/>
              </w:rPr>
            </w:pPr>
            <w:r w:rsidRPr="00BC2611">
              <w:rPr>
                <w:rFonts w:ascii="Arial" w:hAnsi="Arial" w:cs="Arial"/>
                <w:b w:val="0"/>
                <w:color w:val="0F243E" w:themeColor="text2" w:themeShade="80"/>
                <w:sz w:val="20"/>
                <w:szCs w:val="20"/>
              </w:rPr>
              <w:t>Suministro y distribución de elementos, útiles y bienes de oficina, papelería e insumos de impresión.</w:t>
            </w:r>
          </w:p>
        </w:tc>
        <w:tc>
          <w:tcPr>
            <w:tcW w:w="1842" w:type="dxa"/>
            <w:noWrap/>
            <w:vAlign w:val="center"/>
            <w:hideMark/>
          </w:tcPr>
          <w:p w14:paraId="57E3D6D9" w14:textId="1464DBB0" w:rsidR="006638EB" w:rsidRPr="00BC2611" w:rsidRDefault="006638EB" w:rsidP="00567202">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xml:space="preserve">30.000.000 </w:t>
            </w:r>
          </w:p>
        </w:tc>
      </w:tr>
      <w:tr w:rsidR="006638EB" w:rsidRPr="00CA48AF" w14:paraId="4E035ECB" w14:textId="77777777" w:rsidTr="006638EB">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096" w:type="dxa"/>
            <w:noWrap/>
            <w:vAlign w:val="center"/>
            <w:hideMark/>
          </w:tcPr>
          <w:p w14:paraId="16CA4BEB" w14:textId="40FF0DB3" w:rsidR="006638EB" w:rsidRPr="00BC2611" w:rsidRDefault="006638EB" w:rsidP="00567202">
            <w:pPr>
              <w:spacing w:before="100" w:after="80"/>
              <w:rPr>
                <w:rFonts w:ascii="Arial" w:hAnsi="Arial" w:cs="Arial"/>
                <w:color w:val="0F243E" w:themeColor="text2" w:themeShade="80"/>
                <w:sz w:val="20"/>
                <w:szCs w:val="20"/>
              </w:rPr>
            </w:pPr>
            <w:r w:rsidRPr="00BC2611">
              <w:rPr>
                <w:rFonts w:ascii="Arial" w:hAnsi="Arial" w:cs="Arial"/>
                <w:color w:val="0F243E" w:themeColor="text2" w:themeShade="80"/>
                <w:sz w:val="20"/>
                <w:szCs w:val="20"/>
              </w:rPr>
              <w:t> Total Programado en PAA</w:t>
            </w:r>
          </w:p>
        </w:tc>
        <w:tc>
          <w:tcPr>
            <w:tcW w:w="1842" w:type="dxa"/>
            <w:noWrap/>
            <w:vAlign w:val="center"/>
            <w:hideMark/>
          </w:tcPr>
          <w:p w14:paraId="69CF3A7B" w14:textId="2D6C0A14" w:rsidR="006638EB" w:rsidRPr="00BC2611" w:rsidRDefault="006638EB" w:rsidP="00567202">
            <w:pPr>
              <w:spacing w:before="100" w:after="8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20"/>
                <w:szCs w:val="20"/>
              </w:rPr>
            </w:pPr>
            <w:r w:rsidRPr="00BC2611">
              <w:rPr>
                <w:rFonts w:ascii="Arial" w:hAnsi="Arial" w:cs="Arial"/>
                <w:b/>
                <w:color w:val="0F243E" w:themeColor="text2" w:themeShade="80"/>
                <w:sz w:val="20"/>
                <w:szCs w:val="20"/>
              </w:rPr>
              <w:t>72.100.000</w:t>
            </w:r>
          </w:p>
        </w:tc>
      </w:tr>
    </w:tbl>
    <w:p w14:paraId="03EBE3B6" w14:textId="77777777" w:rsidR="00BC2611" w:rsidRDefault="00BC2611" w:rsidP="00047E97">
      <w:pPr>
        <w:spacing w:after="40"/>
        <w:jc w:val="both"/>
        <w:rPr>
          <w:rFonts w:ascii="Arial" w:hAnsi="Arial" w:cs="Arial"/>
          <w:color w:val="000000"/>
          <w:sz w:val="22"/>
          <w:szCs w:val="22"/>
        </w:rPr>
      </w:pPr>
    </w:p>
    <w:p w14:paraId="53E5BB08" w14:textId="5FEAB07B" w:rsidR="008F13D4" w:rsidRPr="00BC2611" w:rsidRDefault="00F45C26" w:rsidP="00047E97">
      <w:pPr>
        <w:spacing w:after="40"/>
        <w:jc w:val="both"/>
        <w:rPr>
          <w:rFonts w:ascii="Arial" w:hAnsi="Arial" w:cs="Arial"/>
          <w:color w:val="000000"/>
          <w:sz w:val="22"/>
          <w:szCs w:val="22"/>
        </w:rPr>
      </w:pPr>
      <w:r w:rsidRPr="00BC2611">
        <w:rPr>
          <w:rFonts w:ascii="Arial" w:hAnsi="Arial" w:cs="Arial"/>
          <w:color w:val="000000"/>
          <w:sz w:val="22"/>
          <w:szCs w:val="22"/>
        </w:rPr>
        <w:t>Finalmente,</w:t>
      </w:r>
      <w:r>
        <w:rPr>
          <w:rFonts w:ascii="Arial" w:hAnsi="Arial" w:cs="Arial"/>
          <w:color w:val="000000"/>
          <w:sz w:val="22"/>
          <w:szCs w:val="22"/>
        </w:rPr>
        <w:t xml:space="preserve"> </w:t>
      </w:r>
      <w:r w:rsidR="00453723" w:rsidRPr="00BC2611">
        <w:rPr>
          <w:rFonts w:ascii="Arial" w:hAnsi="Arial" w:cs="Arial"/>
          <w:color w:val="000000"/>
          <w:sz w:val="22"/>
          <w:szCs w:val="22"/>
        </w:rPr>
        <w:t xml:space="preserve">del valor programado en el PAA este </w:t>
      </w:r>
      <w:r w:rsidR="00822B66" w:rsidRPr="00BC2611">
        <w:rPr>
          <w:rFonts w:ascii="Arial" w:hAnsi="Arial" w:cs="Arial"/>
          <w:color w:val="000000"/>
          <w:sz w:val="22"/>
          <w:szCs w:val="22"/>
        </w:rPr>
        <w:t xml:space="preserve">Ministerio </w:t>
      </w:r>
      <w:r w:rsidR="00891242" w:rsidRPr="00BC2611">
        <w:rPr>
          <w:rFonts w:ascii="Arial" w:hAnsi="Arial" w:cs="Arial"/>
          <w:color w:val="000000"/>
          <w:sz w:val="22"/>
          <w:szCs w:val="22"/>
        </w:rPr>
        <w:t>s</w:t>
      </w:r>
      <w:r w:rsidR="00C405FD" w:rsidRPr="00BC2611">
        <w:rPr>
          <w:rFonts w:ascii="Arial" w:hAnsi="Arial" w:cs="Arial"/>
          <w:color w:val="000000"/>
          <w:sz w:val="22"/>
          <w:szCs w:val="22"/>
        </w:rPr>
        <w:t>uscribió</w:t>
      </w:r>
      <w:r w:rsidR="00822B66" w:rsidRPr="00BC2611">
        <w:rPr>
          <w:rFonts w:ascii="Arial" w:hAnsi="Arial" w:cs="Arial"/>
          <w:color w:val="000000"/>
          <w:sz w:val="22"/>
          <w:szCs w:val="22"/>
        </w:rPr>
        <w:t xml:space="preserve"> </w:t>
      </w:r>
      <w:r w:rsidR="00CF18B3" w:rsidRPr="00BC2611">
        <w:rPr>
          <w:rFonts w:ascii="Arial" w:hAnsi="Arial" w:cs="Arial"/>
          <w:color w:val="000000"/>
          <w:sz w:val="22"/>
          <w:szCs w:val="22"/>
        </w:rPr>
        <w:t xml:space="preserve">el 20 de mayo de 2020 </w:t>
      </w:r>
      <w:r w:rsidR="00822B66" w:rsidRPr="00BC2611">
        <w:rPr>
          <w:rFonts w:ascii="Arial" w:hAnsi="Arial" w:cs="Arial"/>
          <w:color w:val="000000"/>
          <w:sz w:val="22"/>
          <w:szCs w:val="22"/>
        </w:rPr>
        <w:t>el contrato 2.002-20</w:t>
      </w:r>
      <w:r w:rsidR="00891242" w:rsidRPr="00BC2611">
        <w:rPr>
          <w:rFonts w:ascii="Arial" w:hAnsi="Arial" w:cs="Arial"/>
          <w:color w:val="000000"/>
          <w:sz w:val="22"/>
          <w:szCs w:val="22"/>
        </w:rPr>
        <w:t>20</w:t>
      </w:r>
      <w:r w:rsidR="00822B66" w:rsidRPr="00BC2611">
        <w:rPr>
          <w:rFonts w:ascii="Arial" w:hAnsi="Arial" w:cs="Arial"/>
          <w:color w:val="000000"/>
          <w:sz w:val="22"/>
          <w:szCs w:val="22"/>
        </w:rPr>
        <w:t xml:space="preserve"> con </w:t>
      </w:r>
      <w:r w:rsidR="00891242" w:rsidRPr="00BC2611">
        <w:rPr>
          <w:rFonts w:ascii="Arial" w:hAnsi="Arial" w:cs="Arial"/>
          <w:color w:val="000000"/>
          <w:sz w:val="22"/>
          <w:szCs w:val="22"/>
        </w:rPr>
        <w:t>la empresa SOLUCIONES MAF S.A.S p</w:t>
      </w:r>
      <w:r w:rsidR="00822B66" w:rsidRPr="00BC2611">
        <w:rPr>
          <w:rFonts w:ascii="Arial" w:hAnsi="Arial" w:cs="Arial"/>
          <w:color w:val="000000"/>
          <w:sz w:val="22"/>
          <w:szCs w:val="22"/>
        </w:rPr>
        <w:t xml:space="preserve">or la suma de $ </w:t>
      </w:r>
      <w:r w:rsidR="00891242" w:rsidRPr="00BC2611">
        <w:rPr>
          <w:rFonts w:ascii="Arial" w:hAnsi="Arial" w:cs="Arial"/>
          <w:color w:val="000000"/>
          <w:sz w:val="22"/>
          <w:szCs w:val="22"/>
        </w:rPr>
        <w:t>3</w:t>
      </w:r>
      <w:r w:rsidR="00822B66" w:rsidRPr="00BC2611">
        <w:rPr>
          <w:rFonts w:ascii="Arial" w:hAnsi="Arial" w:cs="Arial"/>
          <w:color w:val="000000"/>
          <w:sz w:val="22"/>
          <w:szCs w:val="22"/>
        </w:rPr>
        <w:t xml:space="preserve">0.000.000 </w:t>
      </w:r>
      <w:r w:rsidR="00CA0752" w:rsidRPr="00BC2611">
        <w:rPr>
          <w:rFonts w:ascii="Arial" w:hAnsi="Arial" w:cs="Arial"/>
          <w:color w:val="000000"/>
          <w:sz w:val="22"/>
          <w:szCs w:val="22"/>
        </w:rPr>
        <w:t xml:space="preserve">correspondiente a los recursos del Presupuesto General de la Nación, </w:t>
      </w:r>
      <w:r w:rsidR="00822B66" w:rsidRPr="00BC2611">
        <w:rPr>
          <w:rFonts w:ascii="Arial" w:hAnsi="Arial" w:cs="Arial"/>
          <w:color w:val="000000"/>
          <w:sz w:val="22"/>
          <w:szCs w:val="22"/>
        </w:rPr>
        <w:t>con vigencia</w:t>
      </w:r>
      <w:r w:rsidR="004D6EFE" w:rsidRPr="00BC2611">
        <w:rPr>
          <w:rFonts w:ascii="Arial" w:hAnsi="Arial" w:cs="Arial"/>
          <w:color w:val="000000"/>
          <w:sz w:val="22"/>
          <w:szCs w:val="22"/>
        </w:rPr>
        <w:t xml:space="preserve"> desde el </w:t>
      </w:r>
      <w:r w:rsidR="00891242" w:rsidRPr="00BC2611">
        <w:rPr>
          <w:rFonts w:ascii="Arial" w:hAnsi="Arial" w:cs="Arial"/>
          <w:color w:val="000000"/>
          <w:sz w:val="22"/>
          <w:szCs w:val="22"/>
        </w:rPr>
        <w:t xml:space="preserve">4 de junio </w:t>
      </w:r>
      <w:r w:rsidR="004D6EFE" w:rsidRPr="00BC2611">
        <w:rPr>
          <w:rFonts w:ascii="Arial" w:hAnsi="Arial" w:cs="Arial"/>
          <w:color w:val="000000"/>
          <w:sz w:val="22"/>
          <w:szCs w:val="22"/>
        </w:rPr>
        <w:t>de 20</w:t>
      </w:r>
      <w:r w:rsidR="00891242" w:rsidRPr="00BC2611">
        <w:rPr>
          <w:rFonts w:ascii="Arial" w:hAnsi="Arial" w:cs="Arial"/>
          <w:color w:val="000000"/>
          <w:sz w:val="22"/>
          <w:szCs w:val="22"/>
        </w:rPr>
        <w:t>20</w:t>
      </w:r>
      <w:r w:rsidR="00822B66" w:rsidRPr="00BC2611">
        <w:rPr>
          <w:rFonts w:ascii="Arial" w:hAnsi="Arial" w:cs="Arial"/>
          <w:color w:val="000000"/>
          <w:sz w:val="22"/>
          <w:szCs w:val="22"/>
        </w:rPr>
        <w:t xml:space="preserve"> hasta el 31 de </w:t>
      </w:r>
      <w:r w:rsidR="00C405FD" w:rsidRPr="00BC2611">
        <w:rPr>
          <w:rFonts w:ascii="Arial" w:hAnsi="Arial" w:cs="Arial"/>
          <w:color w:val="000000"/>
          <w:sz w:val="22"/>
          <w:szCs w:val="22"/>
        </w:rPr>
        <w:t>diciembre de 20</w:t>
      </w:r>
      <w:r w:rsidR="00891242" w:rsidRPr="00BC2611">
        <w:rPr>
          <w:rFonts w:ascii="Arial" w:hAnsi="Arial" w:cs="Arial"/>
          <w:color w:val="000000"/>
          <w:sz w:val="22"/>
          <w:szCs w:val="22"/>
        </w:rPr>
        <w:t>20</w:t>
      </w:r>
      <w:r w:rsidR="00C405FD" w:rsidRPr="00BC2611">
        <w:rPr>
          <w:rFonts w:ascii="Arial" w:hAnsi="Arial" w:cs="Arial"/>
          <w:color w:val="000000"/>
          <w:sz w:val="22"/>
          <w:szCs w:val="22"/>
        </w:rPr>
        <w:t xml:space="preserve">, </w:t>
      </w:r>
      <w:r w:rsidR="00891242" w:rsidRPr="00BC2611">
        <w:rPr>
          <w:rFonts w:ascii="Arial" w:hAnsi="Arial" w:cs="Arial"/>
          <w:color w:val="000000"/>
          <w:sz w:val="22"/>
          <w:szCs w:val="22"/>
        </w:rPr>
        <w:t xml:space="preserve">el cual tiene </w:t>
      </w:r>
      <w:r w:rsidR="00822B66" w:rsidRPr="00BC2611">
        <w:rPr>
          <w:rFonts w:ascii="Arial" w:hAnsi="Arial" w:cs="Arial"/>
          <w:color w:val="000000"/>
          <w:sz w:val="22"/>
          <w:szCs w:val="22"/>
        </w:rPr>
        <w:t>por objeto</w:t>
      </w:r>
      <w:r w:rsidR="004F689B" w:rsidRPr="00BC2611">
        <w:rPr>
          <w:rFonts w:ascii="Arial" w:hAnsi="Arial" w:cs="Arial"/>
          <w:color w:val="000000"/>
          <w:sz w:val="22"/>
          <w:szCs w:val="22"/>
        </w:rPr>
        <w:t xml:space="preserve">: </w:t>
      </w:r>
      <w:r w:rsidR="00891242" w:rsidRPr="00BC2611">
        <w:rPr>
          <w:rFonts w:ascii="Arial" w:hAnsi="Arial" w:cs="Arial"/>
          <w:i/>
          <w:iCs/>
          <w:color w:val="000000"/>
          <w:sz w:val="22"/>
          <w:szCs w:val="22"/>
        </w:rPr>
        <w:t>Suministro y distribución de elementos, útiles y bienes de oficina, papelería e insumos de impresión</w:t>
      </w:r>
      <w:r w:rsidR="00891242" w:rsidRPr="00BC2611">
        <w:rPr>
          <w:rFonts w:ascii="Arial" w:hAnsi="Arial" w:cs="Arial"/>
          <w:color w:val="000000"/>
          <w:sz w:val="22"/>
          <w:szCs w:val="22"/>
        </w:rPr>
        <w:t>. Así las cosas, e</w:t>
      </w:r>
      <w:r w:rsidR="00C27001" w:rsidRPr="00BC2611">
        <w:rPr>
          <w:rFonts w:ascii="Arial" w:hAnsi="Arial" w:cs="Arial"/>
          <w:color w:val="000000"/>
          <w:sz w:val="22"/>
          <w:szCs w:val="22"/>
        </w:rPr>
        <w:t>l valor contratado para el suministro de papelería para la vigencia 20</w:t>
      </w:r>
      <w:r w:rsidR="00891242" w:rsidRPr="00BC2611">
        <w:rPr>
          <w:rFonts w:ascii="Arial" w:hAnsi="Arial" w:cs="Arial"/>
          <w:color w:val="000000"/>
          <w:sz w:val="22"/>
          <w:szCs w:val="22"/>
        </w:rPr>
        <w:t>20</w:t>
      </w:r>
      <w:r w:rsidR="00C27001" w:rsidRPr="00BC2611">
        <w:rPr>
          <w:rFonts w:ascii="Arial" w:hAnsi="Arial" w:cs="Arial"/>
          <w:color w:val="000000"/>
          <w:sz w:val="22"/>
          <w:szCs w:val="22"/>
        </w:rPr>
        <w:t xml:space="preserve"> comparado con la vigencia 201</w:t>
      </w:r>
      <w:r w:rsidR="00891242" w:rsidRPr="00BC2611">
        <w:rPr>
          <w:rFonts w:ascii="Arial" w:hAnsi="Arial" w:cs="Arial"/>
          <w:color w:val="000000"/>
          <w:sz w:val="22"/>
          <w:szCs w:val="22"/>
        </w:rPr>
        <w:t>9</w:t>
      </w:r>
      <w:r w:rsidR="00C27001" w:rsidRPr="00BC2611">
        <w:rPr>
          <w:rFonts w:ascii="Arial" w:hAnsi="Arial" w:cs="Arial"/>
          <w:color w:val="000000"/>
          <w:sz w:val="22"/>
          <w:szCs w:val="22"/>
        </w:rPr>
        <w:t xml:space="preserve">, </w:t>
      </w:r>
      <w:r w:rsidR="00231297" w:rsidRPr="00BC2611">
        <w:rPr>
          <w:rFonts w:ascii="Arial" w:hAnsi="Arial" w:cs="Arial"/>
          <w:color w:val="000000"/>
          <w:sz w:val="22"/>
          <w:szCs w:val="22"/>
        </w:rPr>
        <w:t>presentó una</w:t>
      </w:r>
      <w:r w:rsidR="009F5823" w:rsidRPr="00BC2611">
        <w:rPr>
          <w:rFonts w:ascii="Arial" w:hAnsi="Arial" w:cs="Arial"/>
          <w:color w:val="000000"/>
          <w:sz w:val="22"/>
          <w:szCs w:val="22"/>
        </w:rPr>
        <w:t xml:space="preserve"> </w:t>
      </w:r>
      <w:r w:rsidR="009F5823" w:rsidRPr="00BC2611">
        <w:rPr>
          <w:rFonts w:ascii="Arial" w:hAnsi="Arial" w:cs="Arial"/>
          <w:b/>
          <w:bCs/>
          <w:color w:val="000000"/>
          <w:sz w:val="22"/>
          <w:szCs w:val="22"/>
        </w:rPr>
        <w:t>disminución</w:t>
      </w:r>
      <w:r w:rsidR="009F5823" w:rsidRPr="00BC2611">
        <w:rPr>
          <w:rFonts w:ascii="Arial" w:hAnsi="Arial" w:cs="Arial"/>
          <w:color w:val="000000"/>
          <w:sz w:val="22"/>
          <w:szCs w:val="22"/>
        </w:rPr>
        <w:t xml:space="preserve"> de $</w:t>
      </w:r>
      <w:r w:rsidR="00CA0752" w:rsidRPr="00BC2611">
        <w:rPr>
          <w:rFonts w:ascii="Arial" w:hAnsi="Arial" w:cs="Arial"/>
          <w:color w:val="000000"/>
          <w:sz w:val="22"/>
          <w:szCs w:val="22"/>
        </w:rPr>
        <w:t xml:space="preserve"> </w:t>
      </w:r>
      <w:r w:rsidR="00891242" w:rsidRPr="00BC2611">
        <w:rPr>
          <w:rFonts w:ascii="Arial" w:hAnsi="Arial" w:cs="Arial"/>
          <w:color w:val="000000"/>
          <w:sz w:val="22"/>
          <w:szCs w:val="22"/>
        </w:rPr>
        <w:t xml:space="preserve">40.000.000, equivalente al 57%. </w:t>
      </w:r>
    </w:p>
    <w:p w14:paraId="0C574BCD" w14:textId="77777777" w:rsidR="00BC2611" w:rsidRPr="00CA48AF" w:rsidRDefault="00BC2611" w:rsidP="00047E97">
      <w:pPr>
        <w:spacing w:after="40"/>
        <w:jc w:val="both"/>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1484"/>
        <w:gridCol w:w="2150"/>
        <w:gridCol w:w="2207"/>
        <w:gridCol w:w="1884"/>
        <w:gridCol w:w="1217"/>
      </w:tblGrid>
      <w:tr w:rsidR="004D6EFE" w:rsidRPr="00BC2611" w14:paraId="6FCE7755" w14:textId="77777777" w:rsidTr="004D1F9F">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03190FF8" w14:textId="77777777" w:rsidR="004D6EFE" w:rsidRPr="00BC2611" w:rsidRDefault="004D6EFE" w:rsidP="00567202">
            <w:pPr>
              <w:spacing w:before="80" w:after="80"/>
              <w:jc w:val="center"/>
              <w:rPr>
                <w:rFonts w:ascii="Arial" w:hAnsi="Arial" w:cs="Arial"/>
                <w:color w:val="FFFFFF" w:themeColor="background1"/>
                <w:sz w:val="20"/>
                <w:szCs w:val="20"/>
              </w:rPr>
            </w:pPr>
            <w:r w:rsidRPr="00BC2611">
              <w:rPr>
                <w:rFonts w:ascii="Arial" w:hAnsi="Arial" w:cs="Arial"/>
                <w:color w:val="FFFFFF" w:themeColor="background1"/>
                <w:sz w:val="20"/>
                <w:szCs w:val="20"/>
              </w:rPr>
              <w:t>Periodo</w:t>
            </w:r>
          </w:p>
        </w:tc>
        <w:tc>
          <w:tcPr>
            <w:tcW w:w="0" w:type="auto"/>
            <w:tcBorders>
              <w:bottom w:val="nil"/>
            </w:tcBorders>
            <w:shd w:val="clear" w:color="auto" w:fill="4F81BD" w:themeFill="accent1"/>
            <w:noWrap/>
            <w:vAlign w:val="center"/>
            <w:hideMark/>
          </w:tcPr>
          <w:p w14:paraId="73865849" w14:textId="77777777" w:rsidR="004D6EFE" w:rsidRPr="00BC2611" w:rsidRDefault="004D6EFE" w:rsidP="0056720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2611">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vAlign w:val="center"/>
            <w:hideMark/>
          </w:tcPr>
          <w:p w14:paraId="03F5D566" w14:textId="77777777" w:rsidR="004D6EFE" w:rsidRPr="00BC2611" w:rsidRDefault="004D6EFE" w:rsidP="0056720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2611">
              <w:rPr>
                <w:rFonts w:ascii="Arial" w:hAnsi="Arial" w:cs="Arial"/>
                <w:color w:val="FFFFFF" w:themeColor="background1"/>
                <w:sz w:val="20"/>
                <w:szCs w:val="20"/>
              </w:rPr>
              <w:t>Proveedor</w:t>
            </w:r>
          </w:p>
        </w:tc>
        <w:tc>
          <w:tcPr>
            <w:tcW w:w="0" w:type="auto"/>
            <w:tcBorders>
              <w:bottom w:val="nil"/>
            </w:tcBorders>
            <w:shd w:val="clear" w:color="auto" w:fill="4F81BD" w:themeFill="accent1"/>
            <w:noWrap/>
            <w:vAlign w:val="center"/>
            <w:hideMark/>
          </w:tcPr>
          <w:p w14:paraId="09084B40" w14:textId="77777777" w:rsidR="004D6EFE" w:rsidRPr="00BC2611" w:rsidRDefault="004D6EFE" w:rsidP="0056720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2611">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vAlign w:val="center"/>
            <w:hideMark/>
          </w:tcPr>
          <w:p w14:paraId="1E3B9BA3" w14:textId="77777777" w:rsidR="004D6EFE" w:rsidRPr="00BC2611" w:rsidRDefault="004D6EFE" w:rsidP="00567202">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BC2611">
              <w:rPr>
                <w:rFonts w:ascii="Arial" w:hAnsi="Arial" w:cs="Arial"/>
                <w:color w:val="FFFFFF" w:themeColor="background1"/>
                <w:sz w:val="20"/>
                <w:szCs w:val="20"/>
              </w:rPr>
              <w:t xml:space="preserve">Plazo </w:t>
            </w:r>
          </w:p>
        </w:tc>
      </w:tr>
      <w:tr w:rsidR="00891242" w:rsidRPr="00BC2611" w14:paraId="6EF83028" w14:textId="77777777" w:rsidTr="00665F67">
        <w:trPr>
          <w:cantSplit/>
          <w:trHeight w:val="65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14:paraId="5EC4DDC8" w14:textId="59189036" w:rsidR="00891242" w:rsidRPr="00BC2611" w:rsidRDefault="00891242" w:rsidP="00567202">
            <w:pPr>
              <w:spacing w:before="80" w:after="80"/>
              <w:jc w:val="center"/>
              <w:rPr>
                <w:rFonts w:ascii="Arial" w:hAnsi="Arial" w:cs="Arial"/>
                <w:b w:val="0"/>
                <w:bCs w:val="0"/>
                <w:color w:val="0F243E" w:themeColor="text2" w:themeShade="80"/>
                <w:sz w:val="20"/>
                <w:szCs w:val="20"/>
              </w:rPr>
            </w:pPr>
            <w:r w:rsidRPr="00BC2611">
              <w:rPr>
                <w:rFonts w:ascii="Arial" w:hAnsi="Arial" w:cs="Arial"/>
                <w:b w:val="0"/>
                <w:bCs w:val="0"/>
                <w:color w:val="0F243E"/>
                <w:sz w:val="20"/>
                <w:szCs w:val="20"/>
              </w:rPr>
              <w:t>Vigencia 2020</w:t>
            </w:r>
          </w:p>
        </w:tc>
        <w:tc>
          <w:tcPr>
            <w:tcW w:w="0" w:type="auto"/>
            <w:tcBorders>
              <w:top w:val="nil"/>
              <w:left w:val="nil"/>
              <w:bottom w:val="nil"/>
              <w:right w:val="nil"/>
            </w:tcBorders>
            <w:noWrap/>
            <w:vAlign w:val="center"/>
            <w:hideMark/>
          </w:tcPr>
          <w:p w14:paraId="417D1CB2" w14:textId="3245EE1D"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2.002-2020</w:t>
            </w:r>
          </w:p>
        </w:tc>
        <w:tc>
          <w:tcPr>
            <w:tcW w:w="0" w:type="auto"/>
            <w:tcBorders>
              <w:top w:val="nil"/>
              <w:left w:val="nil"/>
              <w:bottom w:val="nil"/>
              <w:right w:val="nil"/>
            </w:tcBorders>
            <w:noWrap/>
            <w:vAlign w:val="center"/>
            <w:hideMark/>
          </w:tcPr>
          <w:p w14:paraId="77C2A6BC" w14:textId="60A44B90"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sz w:val="20"/>
                <w:szCs w:val="20"/>
              </w:rPr>
              <w:t>Soluciones MAF SAS</w:t>
            </w:r>
          </w:p>
        </w:tc>
        <w:tc>
          <w:tcPr>
            <w:tcW w:w="0" w:type="auto"/>
            <w:tcBorders>
              <w:top w:val="nil"/>
              <w:left w:val="nil"/>
              <w:bottom w:val="nil"/>
              <w:right w:val="nil"/>
            </w:tcBorders>
            <w:noWrap/>
            <w:vAlign w:val="center"/>
            <w:hideMark/>
          </w:tcPr>
          <w:p w14:paraId="018384D8" w14:textId="3914CB7D" w:rsidR="00891242" w:rsidRPr="00BC2611" w:rsidRDefault="00891242" w:rsidP="00567202">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sz w:val="20"/>
                <w:szCs w:val="20"/>
              </w:rPr>
              <w:t>30.000.000</w:t>
            </w:r>
          </w:p>
        </w:tc>
        <w:tc>
          <w:tcPr>
            <w:tcW w:w="0" w:type="auto"/>
            <w:tcBorders>
              <w:top w:val="nil"/>
              <w:left w:val="nil"/>
              <w:bottom w:val="nil"/>
              <w:right w:val="nil"/>
            </w:tcBorders>
            <w:noWrap/>
            <w:vAlign w:val="center"/>
            <w:hideMark/>
          </w:tcPr>
          <w:p w14:paraId="2D8C0067" w14:textId="7995C210"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31/12/2020</w:t>
            </w:r>
          </w:p>
        </w:tc>
      </w:tr>
      <w:tr w:rsidR="00891242" w:rsidRPr="00BC2611" w14:paraId="47FCBD24" w14:textId="77777777" w:rsidTr="00690B10">
        <w:trPr>
          <w:cantSplit/>
          <w:trHeight w:val="75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425C5179" w14:textId="1685DB3F" w:rsidR="00891242" w:rsidRPr="00BC2611" w:rsidRDefault="00891242" w:rsidP="00567202">
            <w:pPr>
              <w:spacing w:before="80" w:after="80"/>
              <w:jc w:val="center"/>
              <w:rPr>
                <w:rFonts w:ascii="Arial" w:hAnsi="Arial" w:cs="Arial"/>
                <w:b w:val="0"/>
                <w:bCs w:val="0"/>
                <w:color w:val="0F243E" w:themeColor="text2" w:themeShade="80"/>
                <w:sz w:val="20"/>
                <w:szCs w:val="20"/>
              </w:rPr>
            </w:pPr>
            <w:r w:rsidRPr="00BC2611">
              <w:rPr>
                <w:rFonts w:ascii="Arial" w:hAnsi="Arial" w:cs="Arial"/>
                <w:b w:val="0"/>
                <w:bCs w:val="0"/>
                <w:color w:val="0F243E"/>
                <w:sz w:val="20"/>
                <w:szCs w:val="20"/>
              </w:rPr>
              <w:t>Vigencia 2019</w:t>
            </w:r>
          </w:p>
        </w:tc>
        <w:tc>
          <w:tcPr>
            <w:tcW w:w="0" w:type="auto"/>
            <w:tcBorders>
              <w:top w:val="nil"/>
              <w:left w:val="nil"/>
              <w:bottom w:val="double" w:sz="4" w:space="0" w:color="4F81BD" w:themeColor="accent1"/>
              <w:right w:val="nil"/>
            </w:tcBorders>
            <w:noWrap/>
            <w:vAlign w:val="center"/>
            <w:hideMark/>
          </w:tcPr>
          <w:p w14:paraId="6AAE7695" w14:textId="27D78E65"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2.002-2019</w:t>
            </w:r>
          </w:p>
        </w:tc>
        <w:tc>
          <w:tcPr>
            <w:tcW w:w="0" w:type="auto"/>
            <w:tcBorders>
              <w:top w:val="nil"/>
              <w:left w:val="nil"/>
              <w:bottom w:val="double" w:sz="4" w:space="0" w:color="4F81BD" w:themeColor="accent1"/>
              <w:right w:val="nil"/>
            </w:tcBorders>
            <w:noWrap/>
            <w:vAlign w:val="center"/>
            <w:hideMark/>
          </w:tcPr>
          <w:p w14:paraId="420813FC" w14:textId="5132C8F3"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xml:space="preserve">Grupo Los Lagos SAS </w:t>
            </w:r>
          </w:p>
        </w:tc>
        <w:tc>
          <w:tcPr>
            <w:tcW w:w="0" w:type="auto"/>
            <w:tcBorders>
              <w:top w:val="nil"/>
              <w:left w:val="nil"/>
              <w:bottom w:val="double" w:sz="4" w:space="0" w:color="4F81BD" w:themeColor="accent1"/>
              <w:right w:val="nil"/>
            </w:tcBorders>
            <w:noWrap/>
            <w:vAlign w:val="center"/>
            <w:hideMark/>
          </w:tcPr>
          <w:p w14:paraId="4AF38CED" w14:textId="459E29A7" w:rsidR="00891242" w:rsidRPr="00BC2611" w:rsidRDefault="00891242" w:rsidP="00567202">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xml:space="preserve">            70.000.000 </w:t>
            </w:r>
          </w:p>
        </w:tc>
        <w:tc>
          <w:tcPr>
            <w:tcW w:w="0" w:type="auto"/>
            <w:tcBorders>
              <w:top w:val="nil"/>
              <w:left w:val="nil"/>
              <w:bottom w:val="nil"/>
              <w:right w:val="nil"/>
            </w:tcBorders>
            <w:noWrap/>
            <w:vAlign w:val="center"/>
            <w:hideMark/>
          </w:tcPr>
          <w:p w14:paraId="7C724CE4" w14:textId="1B7EDEF0" w:rsidR="00891242" w:rsidRPr="00BC2611" w:rsidRDefault="00891242"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31/12/2019</w:t>
            </w:r>
          </w:p>
        </w:tc>
      </w:tr>
      <w:tr w:rsidR="004D6EFE" w:rsidRPr="00BC2611" w14:paraId="25E06F22"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14:paraId="45F0E0B9" w14:textId="77777777" w:rsidR="004D6EFE" w:rsidRPr="00BC2611" w:rsidRDefault="004D6EFE" w:rsidP="00567202">
            <w:pPr>
              <w:spacing w:before="80" w:after="80"/>
              <w:rPr>
                <w:rFonts w:ascii="Arial" w:hAnsi="Arial" w:cs="Arial"/>
                <w:color w:val="0F243E" w:themeColor="text2" w:themeShade="80"/>
                <w:sz w:val="20"/>
                <w:szCs w:val="20"/>
              </w:rPr>
            </w:pPr>
            <w:r w:rsidRPr="00BC2611">
              <w:rPr>
                <w:rFonts w:ascii="Arial" w:hAnsi="Arial" w:cs="Arial"/>
                <w:color w:val="0F243E" w:themeColor="text2" w:themeShade="80"/>
                <w:sz w:val="20"/>
                <w:szCs w:val="20"/>
              </w:rPr>
              <w:t xml:space="preserve">Variación ($) </w:t>
            </w:r>
          </w:p>
        </w:tc>
        <w:tc>
          <w:tcPr>
            <w:tcW w:w="0" w:type="auto"/>
            <w:gridSpan w:val="2"/>
            <w:tcBorders>
              <w:top w:val="double" w:sz="4" w:space="0" w:color="4F81BD" w:themeColor="accent1"/>
              <w:left w:val="nil"/>
              <w:bottom w:val="nil"/>
              <w:right w:val="nil"/>
            </w:tcBorders>
            <w:noWrap/>
            <w:vAlign w:val="center"/>
            <w:hideMark/>
          </w:tcPr>
          <w:p w14:paraId="44EA0075" w14:textId="77777777" w:rsidR="004D6EFE" w:rsidRPr="00BC2611" w:rsidRDefault="004D6EFE"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C2611">
              <w:rPr>
                <w:rFonts w:ascii="Arial" w:hAnsi="Arial" w:cs="Arial"/>
                <w:b/>
                <w:bCs/>
                <w:color w:val="0F243E" w:themeColor="text2" w:themeShade="80"/>
                <w:sz w:val="20"/>
                <w:szCs w:val="20"/>
              </w:rPr>
              <w:t> </w:t>
            </w:r>
          </w:p>
        </w:tc>
        <w:tc>
          <w:tcPr>
            <w:tcW w:w="0" w:type="auto"/>
            <w:tcBorders>
              <w:top w:val="double" w:sz="4" w:space="0" w:color="4F81BD" w:themeColor="accent1"/>
              <w:left w:val="nil"/>
              <w:bottom w:val="nil"/>
              <w:right w:val="nil"/>
            </w:tcBorders>
            <w:noWrap/>
            <w:vAlign w:val="center"/>
            <w:hideMark/>
          </w:tcPr>
          <w:p w14:paraId="60206DE1" w14:textId="0145A34C" w:rsidR="004D6EFE" w:rsidRPr="00BC2611" w:rsidRDefault="004D6EFE" w:rsidP="00567202">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C2611">
              <w:rPr>
                <w:rFonts w:ascii="Arial" w:hAnsi="Arial" w:cs="Arial"/>
                <w:b/>
                <w:bCs/>
                <w:color w:val="0F243E" w:themeColor="text2" w:themeShade="80"/>
                <w:sz w:val="20"/>
                <w:szCs w:val="20"/>
              </w:rPr>
              <w:t>(</w:t>
            </w:r>
            <w:r w:rsidR="00891242" w:rsidRPr="00BC2611">
              <w:rPr>
                <w:rFonts w:ascii="Arial" w:hAnsi="Arial" w:cs="Arial"/>
                <w:b/>
                <w:bCs/>
                <w:color w:val="0F243E" w:themeColor="text2" w:themeShade="80"/>
                <w:sz w:val="20"/>
                <w:szCs w:val="20"/>
              </w:rPr>
              <w:t>40</w:t>
            </w:r>
            <w:r w:rsidRPr="00BC2611">
              <w:rPr>
                <w:rFonts w:ascii="Arial" w:hAnsi="Arial" w:cs="Arial"/>
                <w:b/>
                <w:bCs/>
                <w:color w:val="0F243E" w:themeColor="text2" w:themeShade="80"/>
                <w:sz w:val="20"/>
                <w:szCs w:val="20"/>
              </w:rPr>
              <w:t>.000.000)</w:t>
            </w:r>
          </w:p>
        </w:tc>
        <w:tc>
          <w:tcPr>
            <w:tcW w:w="0" w:type="auto"/>
            <w:tcBorders>
              <w:top w:val="double" w:sz="4" w:space="0" w:color="4F81BD" w:themeColor="accent1"/>
              <w:left w:val="nil"/>
              <w:bottom w:val="nil"/>
              <w:right w:val="nil"/>
            </w:tcBorders>
            <w:noWrap/>
            <w:vAlign w:val="center"/>
            <w:hideMark/>
          </w:tcPr>
          <w:p w14:paraId="572447B9" w14:textId="77777777" w:rsidR="004D6EFE" w:rsidRPr="00BC2611" w:rsidRDefault="004D6EFE" w:rsidP="00567202">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w:t>
            </w:r>
          </w:p>
        </w:tc>
      </w:tr>
      <w:tr w:rsidR="004D6EFE" w:rsidRPr="00CA48AF" w14:paraId="265F6CC9"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2E14268C" w14:textId="77777777" w:rsidR="004D6EFE" w:rsidRPr="00BC2611" w:rsidRDefault="004D6EFE" w:rsidP="00567202">
            <w:pPr>
              <w:spacing w:before="80" w:after="80"/>
              <w:rPr>
                <w:rFonts w:ascii="Arial" w:hAnsi="Arial" w:cs="Arial"/>
                <w:color w:val="0F243E" w:themeColor="text2" w:themeShade="80"/>
                <w:sz w:val="20"/>
                <w:szCs w:val="20"/>
              </w:rPr>
            </w:pPr>
            <w:r w:rsidRPr="00BC2611">
              <w:rPr>
                <w:rFonts w:ascii="Arial" w:hAnsi="Arial" w:cs="Arial"/>
                <w:color w:val="0F243E" w:themeColor="text2" w:themeShade="80"/>
                <w:sz w:val="20"/>
                <w:szCs w:val="20"/>
              </w:rPr>
              <w:t>Variación (%)</w:t>
            </w:r>
          </w:p>
        </w:tc>
        <w:tc>
          <w:tcPr>
            <w:tcW w:w="0" w:type="auto"/>
            <w:gridSpan w:val="2"/>
            <w:tcBorders>
              <w:top w:val="nil"/>
              <w:left w:val="nil"/>
              <w:bottom w:val="double" w:sz="4" w:space="0" w:color="4F81BD" w:themeColor="accent1"/>
              <w:right w:val="nil"/>
            </w:tcBorders>
            <w:noWrap/>
            <w:vAlign w:val="center"/>
            <w:hideMark/>
          </w:tcPr>
          <w:p w14:paraId="56178F5E" w14:textId="77777777" w:rsidR="004D6EFE" w:rsidRPr="00BC2611" w:rsidRDefault="004D6EFE" w:rsidP="00567202">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C2611">
              <w:rPr>
                <w:rFonts w:ascii="Arial" w:hAnsi="Arial" w:cs="Arial"/>
                <w:b/>
                <w:bCs/>
                <w:color w:val="0F243E" w:themeColor="text2" w:themeShade="80"/>
                <w:sz w:val="20"/>
                <w:szCs w:val="20"/>
              </w:rPr>
              <w:t> </w:t>
            </w:r>
          </w:p>
        </w:tc>
        <w:tc>
          <w:tcPr>
            <w:tcW w:w="0" w:type="auto"/>
            <w:tcBorders>
              <w:top w:val="nil"/>
              <w:left w:val="nil"/>
              <w:bottom w:val="double" w:sz="4" w:space="0" w:color="4F81BD" w:themeColor="accent1"/>
              <w:right w:val="nil"/>
            </w:tcBorders>
            <w:noWrap/>
            <w:vAlign w:val="center"/>
            <w:hideMark/>
          </w:tcPr>
          <w:p w14:paraId="60E3E010" w14:textId="6796599F" w:rsidR="004D6EFE" w:rsidRPr="00BC2611" w:rsidRDefault="004D6EFE" w:rsidP="00567202">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BC2611">
              <w:rPr>
                <w:rFonts w:ascii="Arial" w:hAnsi="Arial" w:cs="Arial"/>
                <w:b/>
                <w:bCs/>
                <w:color w:val="0F243E" w:themeColor="text2" w:themeShade="80"/>
                <w:sz w:val="20"/>
                <w:szCs w:val="20"/>
              </w:rPr>
              <w:t>(</w:t>
            </w:r>
            <w:r w:rsidR="00891242" w:rsidRPr="00BC2611">
              <w:rPr>
                <w:rFonts w:ascii="Arial" w:hAnsi="Arial" w:cs="Arial"/>
                <w:b/>
                <w:bCs/>
                <w:color w:val="0F243E" w:themeColor="text2" w:themeShade="80"/>
                <w:sz w:val="20"/>
                <w:szCs w:val="20"/>
              </w:rPr>
              <w:t>5</w:t>
            </w:r>
            <w:r w:rsidR="000F3084" w:rsidRPr="00BC2611">
              <w:rPr>
                <w:rFonts w:ascii="Arial" w:hAnsi="Arial" w:cs="Arial"/>
                <w:b/>
                <w:bCs/>
                <w:color w:val="0F243E" w:themeColor="text2" w:themeShade="80"/>
                <w:sz w:val="20"/>
                <w:szCs w:val="20"/>
              </w:rPr>
              <w:t>7</w:t>
            </w:r>
            <w:r w:rsidRPr="00BC2611">
              <w:rPr>
                <w:rFonts w:ascii="Arial" w:hAnsi="Arial" w:cs="Arial"/>
                <w:b/>
                <w:bCs/>
                <w:color w:val="0F243E" w:themeColor="text2" w:themeShade="80"/>
                <w:sz w:val="20"/>
                <w:szCs w:val="20"/>
              </w:rPr>
              <w:t>%)</w:t>
            </w:r>
          </w:p>
        </w:tc>
        <w:tc>
          <w:tcPr>
            <w:tcW w:w="0" w:type="auto"/>
            <w:tcBorders>
              <w:top w:val="nil"/>
              <w:left w:val="nil"/>
              <w:bottom w:val="double" w:sz="4" w:space="0" w:color="4F81BD" w:themeColor="accent1"/>
              <w:right w:val="nil"/>
            </w:tcBorders>
            <w:noWrap/>
            <w:vAlign w:val="center"/>
            <w:hideMark/>
          </w:tcPr>
          <w:p w14:paraId="2117BAA1" w14:textId="77777777" w:rsidR="004D6EFE" w:rsidRPr="00BC2611" w:rsidRDefault="004D6EFE" w:rsidP="00567202">
            <w:pPr>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C2611">
              <w:rPr>
                <w:rFonts w:ascii="Arial" w:hAnsi="Arial" w:cs="Arial"/>
                <w:color w:val="0F243E" w:themeColor="text2" w:themeShade="80"/>
                <w:sz w:val="20"/>
                <w:szCs w:val="20"/>
              </w:rPr>
              <w:t> </w:t>
            </w:r>
          </w:p>
        </w:tc>
      </w:tr>
    </w:tbl>
    <w:p w14:paraId="1D698060" w14:textId="310D796A" w:rsidR="00AA0ED3" w:rsidRPr="00CA48AF" w:rsidRDefault="00AA0ED3" w:rsidP="00665F67">
      <w:pPr>
        <w:jc w:val="both"/>
        <w:rPr>
          <w:rFonts w:ascii="Arial" w:hAnsi="Arial" w:cs="Arial"/>
          <w:color w:val="000000" w:themeColor="text1"/>
          <w:sz w:val="22"/>
          <w:szCs w:val="22"/>
          <w:highlight w:val="yellow"/>
        </w:rPr>
      </w:pPr>
    </w:p>
    <w:p w14:paraId="6CF7B3AB" w14:textId="66BFEFBC" w:rsidR="009C5B09" w:rsidRPr="00BC2611" w:rsidRDefault="009C5B09" w:rsidP="00665F67">
      <w:pPr>
        <w:jc w:val="both"/>
        <w:rPr>
          <w:rFonts w:ascii="Arial" w:hAnsi="Arial" w:cs="Arial"/>
          <w:color w:val="000000" w:themeColor="text1"/>
          <w:sz w:val="22"/>
          <w:szCs w:val="22"/>
        </w:rPr>
      </w:pPr>
      <w:r w:rsidRPr="00BC2611">
        <w:rPr>
          <w:rFonts w:ascii="Arial" w:hAnsi="Arial" w:cs="Arial"/>
          <w:color w:val="000000" w:themeColor="text1"/>
          <w:sz w:val="22"/>
          <w:szCs w:val="22"/>
        </w:rPr>
        <w:t xml:space="preserve">De acuerdo con la revisión de las obligaciones registradas en el SIIF, se constató que durante el </w:t>
      </w:r>
      <w:r w:rsidR="00BC2611" w:rsidRPr="00BC2611">
        <w:rPr>
          <w:rFonts w:ascii="Arial" w:hAnsi="Arial" w:cs="Arial"/>
          <w:color w:val="000000" w:themeColor="text1"/>
          <w:sz w:val="22"/>
          <w:szCs w:val="22"/>
        </w:rPr>
        <w:t xml:space="preserve">tercer </w:t>
      </w:r>
      <w:r w:rsidRPr="00BC2611">
        <w:rPr>
          <w:rFonts w:ascii="Arial" w:hAnsi="Arial" w:cs="Arial"/>
          <w:color w:val="000000" w:themeColor="text1"/>
          <w:sz w:val="22"/>
          <w:szCs w:val="22"/>
        </w:rPr>
        <w:t>trimestre de 2020 no se generaron gastos por concepto de papelería.</w:t>
      </w:r>
      <w:r w:rsidR="005541DD">
        <w:rPr>
          <w:rFonts w:ascii="Arial" w:hAnsi="Arial" w:cs="Arial"/>
          <w:color w:val="000000" w:themeColor="text1"/>
          <w:sz w:val="22"/>
          <w:szCs w:val="22"/>
        </w:rPr>
        <w:t xml:space="preserve"> </w:t>
      </w:r>
      <w:r w:rsidRPr="00BC2611">
        <w:rPr>
          <w:rFonts w:ascii="Arial" w:hAnsi="Arial" w:cs="Arial"/>
          <w:color w:val="000000" w:themeColor="text1"/>
          <w:sz w:val="22"/>
          <w:szCs w:val="22"/>
        </w:rPr>
        <w:t xml:space="preserve">Lo anterior, fue </w:t>
      </w:r>
      <w:r w:rsidR="00F45C26">
        <w:rPr>
          <w:rFonts w:ascii="Arial" w:hAnsi="Arial" w:cs="Arial"/>
          <w:color w:val="000000" w:themeColor="text1"/>
          <w:sz w:val="22"/>
          <w:szCs w:val="22"/>
        </w:rPr>
        <w:t xml:space="preserve">ratificado </w:t>
      </w:r>
      <w:r w:rsidRPr="00BC2611">
        <w:rPr>
          <w:rFonts w:ascii="Arial" w:hAnsi="Arial" w:cs="Arial"/>
          <w:color w:val="000000" w:themeColor="text1"/>
          <w:sz w:val="22"/>
          <w:szCs w:val="22"/>
        </w:rPr>
        <w:t xml:space="preserve">por la Subdirección de Servicios. </w:t>
      </w:r>
    </w:p>
    <w:p w14:paraId="2054A5BC" w14:textId="77777777" w:rsidR="00453723" w:rsidRPr="00CA48AF" w:rsidRDefault="00453723" w:rsidP="00665F67">
      <w:pPr>
        <w:jc w:val="both"/>
        <w:rPr>
          <w:rFonts w:ascii="Arial" w:hAnsi="Arial" w:cs="Arial"/>
          <w:color w:val="000000" w:themeColor="text1"/>
          <w:sz w:val="22"/>
          <w:szCs w:val="22"/>
          <w:highlight w:val="yellow"/>
        </w:rPr>
      </w:pPr>
    </w:p>
    <w:p w14:paraId="288F23B1" w14:textId="3BD38BD9" w:rsidR="009C5B09" w:rsidRDefault="009C5B09" w:rsidP="00665F67">
      <w:pPr>
        <w:jc w:val="both"/>
        <w:rPr>
          <w:rFonts w:ascii="Arial" w:hAnsi="Arial" w:cs="Arial"/>
          <w:color w:val="000000" w:themeColor="text1"/>
          <w:sz w:val="22"/>
          <w:szCs w:val="22"/>
        </w:rPr>
      </w:pPr>
      <w:r w:rsidRPr="00BC2611">
        <w:rPr>
          <w:rFonts w:ascii="Arial" w:hAnsi="Arial" w:cs="Arial"/>
          <w:color w:val="000000" w:themeColor="text1"/>
          <w:sz w:val="22"/>
          <w:szCs w:val="22"/>
        </w:rPr>
        <w:t xml:space="preserve">Es </w:t>
      </w:r>
      <w:r w:rsidR="00BC2611" w:rsidRPr="00BC2611">
        <w:rPr>
          <w:rFonts w:ascii="Arial" w:hAnsi="Arial" w:cs="Arial"/>
          <w:color w:val="000000" w:themeColor="text1"/>
          <w:sz w:val="22"/>
          <w:szCs w:val="22"/>
        </w:rPr>
        <w:t>importante</w:t>
      </w:r>
      <w:r w:rsidRPr="00BC2611">
        <w:rPr>
          <w:rFonts w:ascii="Arial" w:hAnsi="Arial" w:cs="Arial"/>
          <w:color w:val="000000" w:themeColor="text1"/>
          <w:sz w:val="22"/>
          <w:szCs w:val="22"/>
        </w:rPr>
        <w:t xml:space="preserve"> mencionar que, este Ministerio implementó la modalidad de trabajo en casa </w:t>
      </w:r>
      <w:r w:rsidR="00BC2611" w:rsidRPr="00BC2611">
        <w:rPr>
          <w:rFonts w:ascii="Arial" w:hAnsi="Arial" w:cs="Arial"/>
          <w:color w:val="000000" w:themeColor="text1"/>
          <w:sz w:val="22"/>
          <w:szCs w:val="22"/>
        </w:rPr>
        <w:t xml:space="preserve">de </w:t>
      </w:r>
      <w:r w:rsidRPr="00BC2611">
        <w:rPr>
          <w:rFonts w:ascii="Arial" w:hAnsi="Arial" w:cs="Arial"/>
          <w:color w:val="000000" w:themeColor="text1"/>
          <w:sz w:val="22"/>
          <w:szCs w:val="22"/>
        </w:rPr>
        <w:t>conformidad con las directrices impartidas por el Gobierno Nacional</w:t>
      </w:r>
      <w:r w:rsidR="00BC2611" w:rsidRPr="00BC2611">
        <w:rPr>
          <w:rFonts w:ascii="Arial" w:hAnsi="Arial" w:cs="Arial"/>
          <w:color w:val="000000" w:themeColor="text1"/>
          <w:sz w:val="22"/>
          <w:szCs w:val="22"/>
        </w:rPr>
        <w:t xml:space="preserve"> </w:t>
      </w:r>
      <w:r w:rsidRPr="00BC2611">
        <w:rPr>
          <w:rFonts w:ascii="Arial" w:hAnsi="Arial" w:cs="Arial"/>
          <w:color w:val="000000" w:themeColor="text1"/>
          <w:sz w:val="22"/>
          <w:szCs w:val="22"/>
        </w:rPr>
        <w:t xml:space="preserve">con ocasión a la Emergencia Económica, Social y Ecológica, </w:t>
      </w:r>
      <w:r w:rsidR="00BC2611" w:rsidRPr="00BC2611">
        <w:rPr>
          <w:rFonts w:ascii="Arial" w:hAnsi="Arial" w:cs="Arial"/>
          <w:color w:val="000000" w:themeColor="text1"/>
          <w:sz w:val="22"/>
          <w:szCs w:val="22"/>
        </w:rPr>
        <w:t xml:space="preserve">dicha directriz se mantuvo durante el tercer trimestre de 2020 para aproximadamente el </w:t>
      </w:r>
      <w:r w:rsidR="007365F4">
        <w:rPr>
          <w:rFonts w:ascii="Arial" w:hAnsi="Arial" w:cs="Arial"/>
          <w:color w:val="000000" w:themeColor="text1"/>
          <w:sz w:val="22"/>
          <w:szCs w:val="22"/>
        </w:rPr>
        <w:t>80</w:t>
      </w:r>
      <w:r w:rsidR="00BC2611" w:rsidRPr="00BC2611">
        <w:rPr>
          <w:rFonts w:ascii="Arial" w:hAnsi="Arial" w:cs="Arial"/>
          <w:color w:val="000000" w:themeColor="text1"/>
          <w:sz w:val="22"/>
          <w:szCs w:val="22"/>
        </w:rPr>
        <w:t>% de los funcionarios</w:t>
      </w:r>
      <w:r w:rsidR="007365F4">
        <w:rPr>
          <w:rFonts w:ascii="Arial" w:hAnsi="Arial" w:cs="Arial"/>
          <w:color w:val="000000" w:themeColor="text1"/>
          <w:sz w:val="22"/>
          <w:szCs w:val="22"/>
        </w:rPr>
        <w:t>, contratistas y pasantes</w:t>
      </w:r>
      <w:r w:rsidR="00BC2611" w:rsidRPr="00BC2611">
        <w:rPr>
          <w:rFonts w:ascii="Arial" w:hAnsi="Arial" w:cs="Arial"/>
          <w:color w:val="000000" w:themeColor="text1"/>
          <w:sz w:val="22"/>
          <w:szCs w:val="22"/>
        </w:rPr>
        <w:t xml:space="preserve"> de este Ministerio, </w:t>
      </w:r>
      <w:r w:rsidRPr="00BC2611">
        <w:rPr>
          <w:rFonts w:ascii="Arial" w:hAnsi="Arial" w:cs="Arial"/>
          <w:color w:val="000000" w:themeColor="text1"/>
          <w:sz w:val="22"/>
          <w:szCs w:val="22"/>
        </w:rPr>
        <w:t xml:space="preserve">por tal razón, no se requirió durante dicho periodo </w:t>
      </w:r>
      <w:r w:rsidR="000D3AD7" w:rsidRPr="00BC2611">
        <w:rPr>
          <w:rFonts w:ascii="Arial" w:hAnsi="Arial" w:cs="Arial"/>
          <w:color w:val="000000" w:themeColor="text1"/>
          <w:sz w:val="22"/>
          <w:szCs w:val="22"/>
        </w:rPr>
        <w:t xml:space="preserve">el suministro de papelería. </w:t>
      </w:r>
    </w:p>
    <w:p w14:paraId="5AA0BDAC" w14:textId="77777777" w:rsidR="00954A36" w:rsidRDefault="00954A36" w:rsidP="00665F67">
      <w:pPr>
        <w:jc w:val="both"/>
        <w:rPr>
          <w:rFonts w:ascii="Arial" w:hAnsi="Arial" w:cs="Arial"/>
          <w:color w:val="000000" w:themeColor="text1"/>
          <w:sz w:val="22"/>
          <w:szCs w:val="22"/>
        </w:rPr>
      </w:pPr>
    </w:p>
    <w:p w14:paraId="1925FBEF" w14:textId="73D27D25" w:rsidR="009C5B09" w:rsidRPr="00F84080" w:rsidRDefault="00954A36" w:rsidP="0082255C">
      <w:pPr>
        <w:jc w:val="both"/>
        <w:rPr>
          <w:rFonts w:ascii="Arial" w:hAnsi="Arial" w:cs="Arial"/>
          <w:bCs/>
          <w:color w:val="000000" w:themeColor="text1"/>
          <w:sz w:val="22"/>
          <w:szCs w:val="22"/>
        </w:rPr>
      </w:pPr>
      <w:r w:rsidRPr="00F84080">
        <w:rPr>
          <w:rFonts w:ascii="Arial" w:hAnsi="Arial" w:cs="Arial"/>
          <w:color w:val="000000" w:themeColor="text1"/>
          <w:sz w:val="22"/>
          <w:szCs w:val="22"/>
        </w:rPr>
        <w:t>Referente a lo anterior, l</w:t>
      </w:r>
      <w:r w:rsidR="005541DD" w:rsidRPr="00F84080">
        <w:rPr>
          <w:rFonts w:ascii="Arial" w:hAnsi="Arial" w:cs="Arial"/>
          <w:color w:val="000000" w:themeColor="text1"/>
          <w:sz w:val="22"/>
          <w:szCs w:val="22"/>
        </w:rPr>
        <w:t xml:space="preserve">a Subdirección de Servicios informó que se tiene proyectado durante el mes de diciembre de 2020, solicitar implementos de papelería por un valor de $ 7.000.000. </w:t>
      </w:r>
      <w:r w:rsidR="00E23554" w:rsidRPr="00F84080">
        <w:rPr>
          <w:rFonts w:ascii="Arial" w:hAnsi="Arial" w:cs="Arial"/>
          <w:color w:val="000000" w:themeColor="text1"/>
          <w:sz w:val="22"/>
          <w:szCs w:val="22"/>
        </w:rPr>
        <w:t>I</w:t>
      </w:r>
      <w:r w:rsidR="005541DD" w:rsidRPr="00F84080">
        <w:rPr>
          <w:rFonts w:ascii="Arial" w:hAnsi="Arial" w:cs="Arial"/>
          <w:color w:val="000000" w:themeColor="text1"/>
          <w:sz w:val="22"/>
          <w:szCs w:val="22"/>
        </w:rPr>
        <w:t xml:space="preserve">gualmente, indicó que teniendo en cuenta que el contrato </w:t>
      </w:r>
      <w:r w:rsidR="00E23554" w:rsidRPr="00F84080">
        <w:rPr>
          <w:rFonts w:ascii="Arial" w:hAnsi="Arial" w:cs="Arial"/>
          <w:color w:val="000000" w:themeColor="text1"/>
          <w:sz w:val="22"/>
          <w:szCs w:val="22"/>
        </w:rPr>
        <w:t xml:space="preserve">2.002-2020 </w:t>
      </w:r>
      <w:r w:rsidR="005541DD" w:rsidRPr="00F84080">
        <w:rPr>
          <w:rFonts w:ascii="Arial" w:hAnsi="Arial" w:cs="Arial"/>
          <w:color w:val="000000" w:themeColor="text1"/>
          <w:sz w:val="22"/>
          <w:szCs w:val="22"/>
        </w:rPr>
        <w:t xml:space="preserve">tiene fecha de vencimiento el 31 de diciembre de 2020, </w:t>
      </w:r>
      <w:r w:rsidR="0082255C" w:rsidRPr="00F84080">
        <w:rPr>
          <w:rFonts w:ascii="Arial" w:hAnsi="Arial" w:cs="Arial"/>
          <w:color w:val="000000" w:themeColor="text1"/>
          <w:sz w:val="22"/>
          <w:szCs w:val="22"/>
        </w:rPr>
        <w:t>c</w:t>
      </w:r>
      <w:r w:rsidR="0082255C" w:rsidRPr="00F84080">
        <w:rPr>
          <w:rFonts w:ascii="Arial" w:hAnsi="Arial" w:cs="Arial"/>
          <w:bCs/>
          <w:color w:val="000000" w:themeColor="text1"/>
          <w:sz w:val="22"/>
          <w:szCs w:val="22"/>
        </w:rPr>
        <w:t>on las cantidades de insumos solicitados se atenderán los requerimientos de</w:t>
      </w:r>
      <w:r w:rsidR="00596B12">
        <w:rPr>
          <w:rFonts w:ascii="Arial" w:hAnsi="Arial" w:cs="Arial"/>
          <w:bCs/>
          <w:color w:val="000000" w:themeColor="text1"/>
          <w:sz w:val="22"/>
          <w:szCs w:val="22"/>
        </w:rPr>
        <w:t xml:space="preserve">l primer trimestre </w:t>
      </w:r>
      <w:r w:rsidR="0082255C" w:rsidRPr="00F84080">
        <w:rPr>
          <w:rFonts w:ascii="Arial" w:hAnsi="Arial" w:cs="Arial"/>
          <w:bCs/>
          <w:color w:val="000000" w:themeColor="text1"/>
          <w:sz w:val="22"/>
          <w:szCs w:val="22"/>
        </w:rPr>
        <w:t xml:space="preserve">de la vigencia 2021. </w:t>
      </w:r>
    </w:p>
    <w:p w14:paraId="0C745C2C" w14:textId="77777777" w:rsidR="00E23554" w:rsidRPr="00F84080" w:rsidRDefault="00E23554" w:rsidP="001B5EBD">
      <w:pPr>
        <w:jc w:val="both"/>
        <w:rPr>
          <w:rFonts w:ascii="Arial" w:hAnsi="Arial" w:cs="Arial"/>
          <w:bCs/>
          <w:color w:val="000000" w:themeColor="text1"/>
          <w:sz w:val="22"/>
          <w:szCs w:val="22"/>
        </w:rPr>
      </w:pPr>
    </w:p>
    <w:p w14:paraId="0C6B3FE4" w14:textId="09513BEB" w:rsidR="008914AA" w:rsidRPr="009A0B5C" w:rsidRDefault="00954A36" w:rsidP="00665F67">
      <w:pPr>
        <w:jc w:val="both"/>
        <w:rPr>
          <w:rFonts w:ascii="Arial" w:hAnsi="Arial" w:cs="Arial"/>
          <w:bCs/>
          <w:color w:val="000000" w:themeColor="text1"/>
          <w:sz w:val="22"/>
          <w:szCs w:val="22"/>
        </w:rPr>
      </w:pPr>
      <w:r>
        <w:rPr>
          <w:rFonts w:ascii="Arial" w:hAnsi="Arial" w:cs="Arial"/>
          <w:bCs/>
          <w:color w:val="000000" w:themeColor="text1"/>
          <w:sz w:val="22"/>
          <w:szCs w:val="22"/>
        </w:rPr>
        <w:lastRenderedPageBreak/>
        <w:t>En este punto, s</w:t>
      </w:r>
      <w:r w:rsidR="008914AA" w:rsidRPr="009A0B5C">
        <w:rPr>
          <w:rFonts w:ascii="Arial" w:hAnsi="Arial" w:cs="Arial"/>
          <w:bCs/>
          <w:color w:val="000000" w:themeColor="text1"/>
          <w:sz w:val="22"/>
          <w:szCs w:val="22"/>
        </w:rPr>
        <w:t xml:space="preserve">e concluye que </w:t>
      </w:r>
      <w:r w:rsidR="00453723" w:rsidRPr="009A0B5C">
        <w:rPr>
          <w:rFonts w:ascii="Arial" w:hAnsi="Arial" w:cs="Arial"/>
          <w:bCs/>
          <w:color w:val="000000" w:themeColor="text1"/>
          <w:sz w:val="22"/>
          <w:szCs w:val="22"/>
        </w:rPr>
        <w:t xml:space="preserve">el </w:t>
      </w:r>
      <w:r w:rsidR="008914AA" w:rsidRPr="009A0B5C">
        <w:rPr>
          <w:rFonts w:ascii="Arial" w:hAnsi="Arial" w:cs="Arial"/>
          <w:bCs/>
          <w:color w:val="000000" w:themeColor="text1"/>
          <w:sz w:val="22"/>
          <w:szCs w:val="22"/>
        </w:rPr>
        <w:t xml:space="preserve">concepto analizado </w:t>
      </w:r>
      <w:r w:rsidR="00453723" w:rsidRPr="009A0B5C">
        <w:rPr>
          <w:rFonts w:ascii="Arial" w:hAnsi="Arial" w:cs="Arial"/>
          <w:bCs/>
          <w:color w:val="000000" w:themeColor="text1"/>
          <w:sz w:val="22"/>
          <w:szCs w:val="22"/>
        </w:rPr>
        <w:t xml:space="preserve">presentó </w:t>
      </w:r>
      <w:r w:rsidR="008914AA" w:rsidRPr="009A0B5C">
        <w:rPr>
          <w:rFonts w:ascii="Arial" w:hAnsi="Arial" w:cs="Arial"/>
          <w:bCs/>
          <w:color w:val="000000" w:themeColor="text1"/>
          <w:sz w:val="22"/>
          <w:szCs w:val="22"/>
        </w:rPr>
        <w:t>un</w:t>
      </w:r>
      <w:r w:rsidR="000D3AD7" w:rsidRPr="009A0B5C">
        <w:rPr>
          <w:rFonts w:ascii="Arial" w:hAnsi="Arial" w:cs="Arial"/>
          <w:bCs/>
          <w:color w:val="000000" w:themeColor="text1"/>
          <w:sz w:val="22"/>
          <w:szCs w:val="22"/>
        </w:rPr>
        <w:t>a reducción en el valor contratado</w:t>
      </w:r>
      <w:r w:rsidR="00453723" w:rsidRPr="009A0B5C">
        <w:rPr>
          <w:rFonts w:ascii="Arial" w:hAnsi="Arial" w:cs="Arial"/>
          <w:bCs/>
          <w:color w:val="000000" w:themeColor="text1"/>
          <w:sz w:val="22"/>
          <w:szCs w:val="22"/>
        </w:rPr>
        <w:t xml:space="preserve"> para la vigencia 2020</w:t>
      </w:r>
      <w:r w:rsidR="000D3AD7" w:rsidRPr="009A0B5C">
        <w:rPr>
          <w:rFonts w:ascii="Arial" w:hAnsi="Arial" w:cs="Arial"/>
          <w:bCs/>
          <w:color w:val="000000" w:themeColor="text1"/>
          <w:sz w:val="22"/>
          <w:szCs w:val="22"/>
        </w:rPr>
        <w:t xml:space="preserve"> comparad</w:t>
      </w:r>
      <w:r w:rsidR="009830D8" w:rsidRPr="009A0B5C">
        <w:rPr>
          <w:rFonts w:ascii="Arial" w:hAnsi="Arial" w:cs="Arial"/>
          <w:bCs/>
          <w:color w:val="000000" w:themeColor="text1"/>
          <w:sz w:val="22"/>
          <w:szCs w:val="22"/>
        </w:rPr>
        <w:t>o</w:t>
      </w:r>
      <w:r w:rsidR="00017500" w:rsidRPr="009A0B5C">
        <w:rPr>
          <w:rFonts w:ascii="Arial" w:hAnsi="Arial" w:cs="Arial"/>
          <w:bCs/>
          <w:color w:val="000000" w:themeColor="text1"/>
          <w:sz w:val="22"/>
          <w:szCs w:val="22"/>
        </w:rPr>
        <w:t xml:space="preserve"> con la vigencia 2019. </w:t>
      </w:r>
      <w:r w:rsidR="000D3AD7" w:rsidRPr="009A0B5C">
        <w:rPr>
          <w:rFonts w:ascii="Arial" w:hAnsi="Arial" w:cs="Arial"/>
          <w:bCs/>
          <w:color w:val="000000" w:themeColor="text1"/>
          <w:sz w:val="22"/>
          <w:szCs w:val="22"/>
        </w:rPr>
        <w:t xml:space="preserve">No obstante, se infiere que debido a la situación coyuntural derivada del COVID-19, influyó en el análisis realizado al momento de suscribir la nueva contratación de papelería, dado que, desde el 20 de marzo de 2020 la entidad </w:t>
      </w:r>
      <w:r w:rsidR="009830D8" w:rsidRPr="009A0B5C">
        <w:rPr>
          <w:rFonts w:ascii="Arial" w:hAnsi="Arial" w:cs="Arial"/>
          <w:bCs/>
          <w:color w:val="000000" w:themeColor="text1"/>
          <w:sz w:val="22"/>
          <w:szCs w:val="22"/>
        </w:rPr>
        <w:t xml:space="preserve">estableció </w:t>
      </w:r>
      <w:r w:rsidR="000D3AD7" w:rsidRPr="009A0B5C">
        <w:rPr>
          <w:rFonts w:ascii="Arial" w:hAnsi="Arial" w:cs="Arial"/>
          <w:bCs/>
          <w:color w:val="000000" w:themeColor="text1"/>
          <w:sz w:val="22"/>
          <w:szCs w:val="22"/>
        </w:rPr>
        <w:t xml:space="preserve">como medida frente a la emergencia </w:t>
      </w:r>
      <w:r w:rsidR="009830D8" w:rsidRPr="009A0B5C">
        <w:rPr>
          <w:rFonts w:ascii="Arial" w:hAnsi="Arial" w:cs="Arial"/>
          <w:bCs/>
          <w:color w:val="000000" w:themeColor="text1"/>
          <w:sz w:val="22"/>
          <w:szCs w:val="22"/>
        </w:rPr>
        <w:t xml:space="preserve">sanitaria, </w:t>
      </w:r>
      <w:r w:rsidR="000D3AD7" w:rsidRPr="009A0B5C">
        <w:rPr>
          <w:rFonts w:ascii="Arial" w:hAnsi="Arial" w:cs="Arial"/>
          <w:bCs/>
          <w:color w:val="000000" w:themeColor="text1"/>
          <w:sz w:val="22"/>
          <w:szCs w:val="22"/>
        </w:rPr>
        <w:t xml:space="preserve">la modalidad de trabajo en casa, en consecuencia, el uso de papelería </w:t>
      </w:r>
      <w:r w:rsidR="00E23428" w:rsidRPr="009A0B5C">
        <w:rPr>
          <w:rFonts w:ascii="Arial" w:hAnsi="Arial" w:cs="Arial"/>
          <w:bCs/>
          <w:color w:val="000000" w:themeColor="text1"/>
          <w:sz w:val="22"/>
          <w:szCs w:val="22"/>
        </w:rPr>
        <w:t>ya no se requería en las mismas cantidades</w:t>
      </w:r>
      <w:r w:rsidR="000D3AD7" w:rsidRPr="009A0B5C">
        <w:rPr>
          <w:rFonts w:ascii="Arial" w:hAnsi="Arial" w:cs="Arial"/>
          <w:bCs/>
          <w:color w:val="000000" w:themeColor="text1"/>
          <w:sz w:val="22"/>
          <w:szCs w:val="22"/>
        </w:rPr>
        <w:t xml:space="preserve">.   </w:t>
      </w:r>
    </w:p>
    <w:p w14:paraId="2C59E5DB" w14:textId="7E908B16" w:rsidR="004B734C" w:rsidRDefault="004B734C" w:rsidP="00665F67">
      <w:pPr>
        <w:jc w:val="both"/>
        <w:rPr>
          <w:rFonts w:ascii="Arial" w:hAnsi="Arial" w:cs="Arial"/>
          <w:b/>
          <w:sz w:val="22"/>
          <w:szCs w:val="22"/>
        </w:rPr>
      </w:pPr>
    </w:p>
    <w:p w14:paraId="0A34BAF0" w14:textId="77777777" w:rsidR="00665F67" w:rsidRPr="00B133F5" w:rsidRDefault="00665F67" w:rsidP="00665F67">
      <w:pPr>
        <w:jc w:val="both"/>
        <w:rPr>
          <w:rFonts w:ascii="Arial" w:hAnsi="Arial" w:cs="Arial"/>
          <w:b/>
          <w:sz w:val="22"/>
          <w:szCs w:val="22"/>
        </w:rPr>
      </w:pPr>
    </w:p>
    <w:p w14:paraId="69F66550" w14:textId="03ED7104" w:rsidR="00AA5CCE" w:rsidRPr="00B133F5" w:rsidRDefault="003879F9" w:rsidP="00665F67">
      <w:pPr>
        <w:rPr>
          <w:rFonts w:ascii="Arial" w:hAnsi="Arial" w:cs="Arial"/>
          <w:b/>
          <w:sz w:val="22"/>
          <w:szCs w:val="22"/>
        </w:rPr>
      </w:pPr>
      <w:r w:rsidRPr="00B133F5">
        <w:rPr>
          <w:rFonts w:ascii="Arial" w:hAnsi="Arial" w:cs="Arial"/>
          <w:b/>
          <w:sz w:val="22"/>
          <w:szCs w:val="22"/>
        </w:rPr>
        <w:t>7</w:t>
      </w:r>
      <w:r w:rsidR="000C38F1" w:rsidRPr="00B133F5">
        <w:rPr>
          <w:rFonts w:ascii="Arial" w:hAnsi="Arial" w:cs="Arial"/>
          <w:b/>
          <w:sz w:val="22"/>
          <w:szCs w:val="22"/>
        </w:rPr>
        <w:t>.3</w:t>
      </w:r>
      <w:r w:rsidRPr="00B133F5">
        <w:rPr>
          <w:rFonts w:ascii="Arial" w:hAnsi="Arial" w:cs="Arial"/>
          <w:b/>
          <w:sz w:val="22"/>
          <w:szCs w:val="22"/>
        </w:rPr>
        <w:t>.</w:t>
      </w:r>
      <w:r w:rsidR="000C38F1" w:rsidRPr="00B133F5">
        <w:rPr>
          <w:rFonts w:ascii="Arial" w:hAnsi="Arial" w:cs="Arial"/>
          <w:b/>
          <w:sz w:val="22"/>
          <w:szCs w:val="22"/>
        </w:rPr>
        <w:t xml:space="preserve"> </w:t>
      </w:r>
      <w:r w:rsidR="00412E8A" w:rsidRPr="00B133F5">
        <w:rPr>
          <w:rFonts w:ascii="Arial" w:hAnsi="Arial" w:cs="Arial"/>
          <w:b/>
          <w:sz w:val="22"/>
          <w:szCs w:val="22"/>
        </w:rPr>
        <w:t xml:space="preserve">TELEFONÍA MÓVIL CELULAR </w:t>
      </w:r>
    </w:p>
    <w:p w14:paraId="0D57E63E" w14:textId="77777777" w:rsidR="00C7012F" w:rsidRDefault="00C7012F" w:rsidP="005362B0">
      <w:pPr>
        <w:jc w:val="both"/>
        <w:rPr>
          <w:rFonts w:ascii="Arial" w:hAnsi="Arial" w:cs="Arial"/>
          <w:sz w:val="22"/>
          <w:szCs w:val="22"/>
        </w:rPr>
      </w:pPr>
    </w:p>
    <w:p w14:paraId="1997D3BD" w14:textId="7F196C2D" w:rsidR="00AA5CCE" w:rsidRPr="00B133F5" w:rsidRDefault="00C51470" w:rsidP="005362B0">
      <w:pPr>
        <w:jc w:val="both"/>
        <w:rPr>
          <w:rFonts w:ascii="Arial" w:hAnsi="Arial" w:cs="Arial"/>
          <w:sz w:val="22"/>
          <w:szCs w:val="22"/>
        </w:rPr>
      </w:pPr>
      <w:r w:rsidRPr="00B133F5">
        <w:rPr>
          <w:rFonts w:ascii="Arial" w:hAnsi="Arial" w:cs="Arial"/>
          <w:sz w:val="22"/>
          <w:szCs w:val="22"/>
        </w:rPr>
        <w:t>Con corte a 3</w:t>
      </w:r>
      <w:r w:rsidR="009E29CE" w:rsidRPr="00B133F5">
        <w:rPr>
          <w:rFonts w:ascii="Arial" w:hAnsi="Arial" w:cs="Arial"/>
          <w:sz w:val="22"/>
          <w:szCs w:val="22"/>
        </w:rPr>
        <w:t>0</w:t>
      </w:r>
      <w:r w:rsidRPr="00B133F5">
        <w:rPr>
          <w:rFonts w:ascii="Arial" w:hAnsi="Arial" w:cs="Arial"/>
          <w:sz w:val="22"/>
          <w:szCs w:val="22"/>
        </w:rPr>
        <w:t xml:space="preserve"> de </w:t>
      </w:r>
      <w:r w:rsidR="00B133F5">
        <w:rPr>
          <w:rFonts w:ascii="Arial" w:hAnsi="Arial" w:cs="Arial"/>
          <w:sz w:val="22"/>
          <w:szCs w:val="22"/>
        </w:rPr>
        <w:t>septiembre d</w:t>
      </w:r>
      <w:r w:rsidRPr="00B133F5">
        <w:rPr>
          <w:rFonts w:ascii="Arial" w:hAnsi="Arial" w:cs="Arial"/>
          <w:sz w:val="22"/>
          <w:szCs w:val="22"/>
        </w:rPr>
        <w:t xml:space="preserve">e 2020, </w:t>
      </w:r>
      <w:r w:rsidR="00AA5CCE" w:rsidRPr="00B133F5">
        <w:rPr>
          <w:rFonts w:ascii="Arial" w:hAnsi="Arial" w:cs="Arial"/>
          <w:sz w:val="22"/>
          <w:szCs w:val="22"/>
        </w:rPr>
        <w:t xml:space="preserve">el Ministerio de Hacienda y Crédito Público tenía suscritos contratos para la prestación del servicio de telefonía celular con las siguientes empresas: </w:t>
      </w:r>
      <w:r w:rsidR="00510C72" w:rsidRPr="00B133F5">
        <w:rPr>
          <w:rFonts w:ascii="Arial" w:hAnsi="Arial" w:cs="Arial"/>
          <w:sz w:val="22"/>
          <w:szCs w:val="22"/>
        </w:rPr>
        <w:t xml:space="preserve">Colombia Telecomunicaciones S.A </w:t>
      </w:r>
      <w:r w:rsidR="00AA5CCE" w:rsidRPr="00B133F5">
        <w:rPr>
          <w:rFonts w:ascii="Arial" w:hAnsi="Arial" w:cs="Arial"/>
          <w:sz w:val="22"/>
          <w:szCs w:val="22"/>
        </w:rPr>
        <w:t>E.</w:t>
      </w:r>
      <w:proofErr w:type="gramStart"/>
      <w:r w:rsidR="00AA5CCE" w:rsidRPr="00B133F5">
        <w:rPr>
          <w:rFonts w:ascii="Arial" w:hAnsi="Arial" w:cs="Arial"/>
          <w:sz w:val="22"/>
          <w:szCs w:val="22"/>
        </w:rPr>
        <w:t>S.P</w:t>
      </w:r>
      <w:proofErr w:type="gramEnd"/>
      <w:r w:rsidR="00510C72" w:rsidRPr="00B133F5">
        <w:rPr>
          <w:rFonts w:ascii="Arial" w:hAnsi="Arial" w:cs="Arial"/>
          <w:sz w:val="22"/>
          <w:szCs w:val="22"/>
        </w:rPr>
        <w:t xml:space="preserve"> [Movistar]</w:t>
      </w:r>
      <w:r w:rsidR="00AA5CCE" w:rsidRPr="00B133F5">
        <w:rPr>
          <w:rFonts w:ascii="Arial" w:hAnsi="Arial" w:cs="Arial"/>
          <w:sz w:val="22"/>
          <w:szCs w:val="22"/>
        </w:rPr>
        <w:t>, Avantel S A S y Comuni</w:t>
      </w:r>
      <w:r w:rsidR="00510C72" w:rsidRPr="00B133F5">
        <w:rPr>
          <w:rFonts w:ascii="Arial" w:hAnsi="Arial" w:cs="Arial"/>
          <w:sz w:val="22"/>
          <w:szCs w:val="22"/>
        </w:rPr>
        <w:t>cación Celular S A Comcel S A [Claro]</w:t>
      </w:r>
      <w:r w:rsidRPr="00B133F5">
        <w:rPr>
          <w:rFonts w:ascii="Arial" w:hAnsi="Arial" w:cs="Arial"/>
          <w:sz w:val="22"/>
          <w:szCs w:val="22"/>
        </w:rPr>
        <w:t xml:space="preserve">, contando con las siguientes líneas telefónicas activas: </w:t>
      </w:r>
    </w:p>
    <w:p w14:paraId="24140665" w14:textId="77777777" w:rsidR="00C51470" w:rsidRPr="00B133F5" w:rsidRDefault="00C51470" w:rsidP="005362B0">
      <w:pPr>
        <w:jc w:val="both"/>
        <w:rPr>
          <w:rFonts w:ascii="Arial" w:hAnsi="Arial" w:cs="Arial"/>
          <w:sz w:val="22"/>
          <w:szCs w:val="22"/>
        </w:rPr>
      </w:pPr>
    </w:p>
    <w:p w14:paraId="54E37E29" w14:textId="2F334F29" w:rsidR="00245DCF" w:rsidRPr="00B133F5" w:rsidRDefault="00245DCF" w:rsidP="005362B0">
      <w:pPr>
        <w:rPr>
          <w:shd w:val="clear" w:color="auto" w:fill="FFFFFF" w:themeFill="background1"/>
          <w:lang w:eastAsia="en-US"/>
        </w:rPr>
      </w:pPr>
      <w:r w:rsidRPr="00B133F5">
        <w:rPr>
          <w:noProof/>
          <w:shd w:val="clear" w:color="auto" w:fill="FFFFFF" w:themeFill="background1"/>
          <w:lang w:val="en-US" w:eastAsia="en-US"/>
        </w:rPr>
        <w:drawing>
          <wp:inline distT="0" distB="0" distL="0" distR="0" wp14:anchorId="1B095E91" wp14:editId="193D1A1A">
            <wp:extent cx="6238875" cy="2276475"/>
            <wp:effectExtent l="0" t="57150" r="0" b="10477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97F64D1" w14:textId="77777777" w:rsidR="00776893" w:rsidRPr="00B133F5" w:rsidRDefault="00776893" w:rsidP="005362B0">
      <w:pPr>
        <w:jc w:val="both"/>
        <w:rPr>
          <w:rFonts w:ascii="Arial" w:hAnsi="Arial" w:cs="Arial"/>
          <w:sz w:val="22"/>
          <w:szCs w:val="22"/>
        </w:rPr>
      </w:pPr>
    </w:p>
    <w:p w14:paraId="04E156F4" w14:textId="44A96B8E" w:rsidR="0015373D" w:rsidRPr="00DF4970" w:rsidRDefault="00AA5CCE" w:rsidP="009C05DD">
      <w:pPr>
        <w:jc w:val="both"/>
        <w:rPr>
          <w:rFonts w:ascii="Arial" w:hAnsi="Arial" w:cs="Arial"/>
          <w:sz w:val="22"/>
          <w:szCs w:val="22"/>
        </w:rPr>
      </w:pPr>
      <w:r w:rsidRPr="00DF4970">
        <w:rPr>
          <w:rFonts w:ascii="Arial" w:hAnsi="Arial" w:cs="Arial"/>
          <w:sz w:val="22"/>
          <w:szCs w:val="22"/>
        </w:rPr>
        <w:t xml:space="preserve">Tomando como </w:t>
      </w:r>
      <w:r w:rsidR="00CC5DFB" w:rsidRPr="00DF4970">
        <w:rPr>
          <w:rFonts w:ascii="Arial" w:hAnsi="Arial" w:cs="Arial"/>
          <w:sz w:val="22"/>
          <w:szCs w:val="22"/>
        </w:rPr>
        <w:t xml:space="preserve">base </w:t>
      </w:r>
      <w:r w:rsidR="00850442" w:rsidRPr="00DF4970">
        <w:rPr>
          <w:rFonts w:ascii="Arial" w:hAnsi="Arial" w:cs="Arial"/>
          <w:sz w:val="22"/>
          <w:szCs w:val="22"/>
        </w:rPr>
        <w:t xml:space="preserve">las obligaciones registradas en el SIIF </w:t>
      </w:r>
      <w:r w:rsidR="0013650D" w:rsidRPr="00DF4970">
        <w:rPr>
          <w:rFonts w:ascii="Arial" w:hAnsi="Arial" w:cs="Arial"/>
          <w:sz w:val="22"/>
          <w:szCs w:val="22"/>
        </w:rPr>
        <w:t>concernientes a l</w:t>
      </w:r>
      <w:r w:rsidR="00850442" w:rsidRPr="00DF4970">
        <w:rPr>
          <w:rFonts w:ascii="Arial" w:hAnsi="Arial" w:cs="Arial"/>
          <w:sz w:val="22"/>
          <w:szCs w:val="22"/>
        </w:rPr>
        <w:t>os gastos de telefonía móvil para el consumo de los</w:t>
      </w:r>
      <w:r w:rsidR="00CC5DFB" w:rsidRPr="00DF4970">
        <w:rPr>
          <w:rFonts w:ascii="Arial" w:hAnsi="Arial" w:cs="Arial"/>
          <w:sz w:val="22"/>
          <w:szCs w:val="22"/>
        </w:rPr>
        <w:t xml:space="preserve"> periodos correspondientes a </w:t>
      </w:r>
      <w:r w:rsidR="00DF4970">
        <w:rPr>
          <w:rFonts w:ascii="Arial" w:hAnsi="Arial" w:cs="Arial"/>
          <w:sz w:val="22"/>
          <w:szCs w:val="22"/>
        </w:rPr>
        <w:t xml:space="preserve">julio, agosto y septiembre </w:t>
      </w:r>
      <w:r w:rsidR="00850442" w:rsidRPr="00DF4970">
        <w:rPr>
          <w:rFonts w:ascii="Arial" w:hAnsi="Arial" w:cs="Arial"/>
          <w:sz w:val="22"/>
          <w:szCs w:val="22"/>
        </w:rPr>
        <w:t>de 2020 y 2019</w:t>
      </w:r>
      <w:r w:rsidR="0013650D" w:rsidRPr="00DF4970">
        <w:rPr>
          <w:rFonts w:ascii="Arial" w:hAnsi="Arial" w:cs="Arial"/>
          <w:sz w:val="22"/>
          <w:szCs w:val="22"/>
        </w:rPr>
        <w:t>,</w:t>
      </w:r>
      <w:r w:rsidR="00850442" w:rsidRPr="00DF4970">
        <w:rPr>
          <w:rFonts w:ascii="Arial" w:hAnsi="Arial" w:cs="Arial"/>
          <w:sz w:val="22"/>
          <w:szCs w:val="22"/>
        </w:rPr>
        <w:t xml:space="preserve"> </w:t>
      </w:r>
      <w:r w:rsidR="00E81A6B" w:rsidRPr="00DF4970">
        <w:rPr>
          <w:rFonts w:ascii="Arial" w:hAnsi="Arial" w:cs="Arial"/>
          <w:sz w:val="22"/>
          <w:szCs w:val="22"/>
        </w:rPr>
        <w:t xml:space="preserve">se efectúo </w:t>
      </w:r>
      <w:r w:rsidR="0013650D" w:rsidRPr="00DF4970">
        <w:rPr>
          <w:rFonts w:ascii="Arial" w:hAnsi="Arial" w:cs="Arial"/>
          <w:sz w:val="22"/>
          <w:szCs w:val="22"/>
        </w:rPr>
        <w:t xml:space="preserve">la </w:t>
      </w:r>
      <w:r w:rsidR="00E81A6B" w:rsidRPr="00DF4970">
        <w:rPr>
          <w:rFonts w:ascii="Arial" w:hAnsi="Arial" w:cs="Arial"/>
          <w:sz w:val="22"/>
          <w:szCs w:val="22"/>
        </w:rPr>
        <w:t xml:space="preserve">comparación con las facturas físicas emitidas </w:t>
      </w:r>
      <w:r w:rsidR="00956ADD" w:rsidRPr="00DF4970">
        <w:rPr>
          <w:rFonts w:ascii="Arial" w:hAnsi="Arial" w:cs="Arial"/>
          <w:sz w:val="22"/>
          <w:szCs w:val="22"/>
        </w:rPr>
        <w:t xml:space="preserve">por cada proveedor </w:t>
      </w:r>
      <w:r w:rsidR="00BE5DE7" w:rsidRPr="00DF4970">
        <w:rPr>
          <w:rFonts w:ascii="Arial" w:hAnsi="Arial" w:cs="Arial"/>
          <w:sz w:val="22"/>
          <w:szCs w:val="22"/>
        </w:rPr>
        <w:t xml:space="preserve">del servicio de telefonía </w:t>
      </w:r>
      <w:r w:rsidR="00442B0D" w:rsidRPr="00DF4970">
        <w:rPr>
          <w:rFonts w:ascii="Arial" w:hAnsi="Arial" w:cs="Arial"/>
          <w:sz w:val="22"/>
          <w:szCs w:val="22"/>
        </w:rPr>
        <w:t>celular</w:t>
      </w:r>
      <w:r w:rsidR="00282921" w:rsidRPr="00DF4970">
        <w:rPr>
          <w:rFonts w:ascii="Arial" w:hAnsi="Arial" w:cs="Arial"/>
          <w:sz w:val="22"/>
          <w:szCs w:val="22"/>
        </w:rPr>
        <w:t xml:space="preserve"> y la información remitida por la Subdirección de Servicios. Como resultado se confirmó que las cifras consulta</w:t>
      </w:r>
      <w:r w:rsidR="009133E9">
        <w:rPr>
          <w:rFonts w:ascii="Arial" w:hAnsi="Arial" w:cs="Arial"/>
          <w:sz w:val="22"/>
          <w:szCs w:val="22"/>
        </w:rPr>
        <w:t>das</w:t>
      </w:r>
      <w:r w:rsidR="00282921" w:rsidRPr="00DF4970">
        <w:rPr>
          <w:rFonts w:ascii="Arial" w:hAnsi="Arial" w:cs="Arial"/>
          <w:sz w:val="22"/>
          <w:szCs w:val="22"/>
        </w:rPr>
        <w:t xml:space="preserve"> en las fuentes mencionadas son concordantes. </w:t>
      </w:r>
      <w:r w:rsidR="00D60F59" w:rsidRPr="00DF4970">
        <w:rPr>
          <w:rFonts w:ascii="Arial" w:hAnsi="Arial" w:cs="Arial"/>
          <w:sz w:val="22"/>
          <w:szCs w:val="22"/>
        </w:rPr>
        <w:t xml:space="preserve">A </w:t>
      </w:r>
      <w:r w:rsidR="006B44C8" w:rsidRPr="00DF4970">
        <w:rPr>
          <w:rFonts w:ascii="Arial" w:hAnsi="Arial" w:cs="Arial"/>
          <w:sz w:val="22"/>
          <w:szCs w:val="22"/>
        </w:rPr>
        <w:t>continuación,</w:t>
      </w:r>
      <w:r w:rsidR="00D60F59" w:rsidRPr="00DF4970">
        <w:rPr>
          <w:rFonts w:ascii="Arial" w:hAnsi="Arial" w:cs="Arial"/>
          <w:sz w:val="22"/>
          <w:szCs w:val="22"/>
        </w:rPr>
        <w:t xml:space="preserve"> se presentan las variaciones del gasto de telefonía móvil para el </w:t>
      </w:r>
      <w:r w:rsidR="00DF4970">
        <w:rPr>
          <w:rFonts w:ascii="Arial" w:hAnsi="Arial" w:cs="Arial"/>
          <w:sz w:val="22"/>
          <w:szCs w:val="22"/>
        </w:rPr>
        <w:t xml:space="preserve">tercer </w:t>
      </w:r>
      <w:r w:rsidR="00DF4970" w:rsidRPr="00DF4970">
        <w:rPr>
          <w:rFonts w:ascii="Arial" w:hAnsi="Arial" w:cs="Arial"/>
          <w:sz w:val="22"/>
          <w:szCs w:val="22"/>
        </w:rPr>
        <w:t>trimestre</w:t>
      </w:r>
      <w:r w:rsidR="00D60F59" w:rsidRPr="00DF4970">
        <w:rPr>
          <w:rFonts w:ascii="Arial" w:hAnsi="Arial" w:cs="Arial"/>
          <w:sz w:val="22"/>
          <w:szCs w:val="22"/>
        </w:rPr>
        <w:t xml:space="preserve"> de 2020 comparado con el mismo periodo de 2019: </w:t>
      </w:r>
    </w:p>
    <w:p w14:paraId="53F44ACC" w14:textId="3EF82546" w:rsidR="00850442" w:rsidRPr="00CA48AF" w:rsidRDefault="00850442" w:rsidP="004644EC">
      <w:pPr>
        <w:jc w:val="both"/>
        <w:rPr>
          <w:rFonts w:ascii="Arial" w:hAnsi="Arial" w:cs="Arial"/>
          <w:sz w:val="22"/>
          <w:szCs w:val="22"/>
          <w:highlight w:val="yellow"/>
        </w:rPr>
      </w:pPr>
    </w:p>
    <w:tbl>
      <w:tblPr>
        <w:tblStyle w:val="Tabladecuadrcula1clara-nfasis1"/>
        <w:tblW w:w="0" w:type="auto"/>
        <w:jc w:val="center"/>
        <w:tblLook w:val="04A0" w:firstRow="1" w:lastRow="0" w:firstColumn="1" w:lastColumn="0" w:noHBand="0" w:noVBand="1"/>
      </w:tblPr>
      <w:tblGrid>
        <w:gridCol w:w="1917"/>
        <w:gridCol w:w="2047"/>
        <w:gridCol w:w="1843"/>
        <w:gridCol w:w="2126"/>
      </w:tblGrid>
      <w:tr w:rsidR="001A6418" w:rsidRPr="00DF4970" w14:paraId="4F6F8F5B" w14:textId="77777777" w:rsidTr="00665F67">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17" w:type="dxa"/>
            <w:vMerge w:val="restart"/>
            <w:shd w:val="clear" w:color="auto" w:fill="4F81BD" w:themeFill="accent1"/>
            <w:noWrap/>
            <w:vAlign w:val="center"/>
            <w:hideMark/>
          </w:tcPr>
          <w:p w14:paraId="36FBB0E7" w14:textId="4C8C9901" w:rsidR="001A6418" w:rsidRPr="00DF4970" w:rsidRDefault="001A6418" w:rsidP="00665F67">
            <w:pPr>
              <w:widowControl w:val="0"/>
              <w:spacing w:before="60" w:after="60"/>
              <w:jc w:val="center"/>
              <w:rPr>
                <w:rFonts w:ascii="Arial" w:hAnsi="Arial" w:cs="Arial"/>
                <w:b w:val="0"/>
                <w:bCs w:val="0"/>
                <w:color w:val="FFFFFF" w:themeColor="background1"/>
                <w:sz w:val="20"/>
                <w:szCs w:val="20"/>
              </w:rPr>
            </w:pPr>
            <w:r w:rsidRPr="00DF4970">
              <w:rPr>
                <w:rFonts w:ascii="Arial" w:hAnsi="Arial" w:cs="Arial"/>
                <w:color w:val="FFFFFF" w:themeColor="background1"/>
                <w:sz w:val="20"/>
                <w:szCs w:val="20"/>
              </w:rPr>
              <w:t>Periodo</w:t>
            </w:r>
            <w:r w:rsidR="00130C73" w:rsidRPr="00DF4970">
              <w:rPr>
                <w:rStyle w:val="Refdenotaalpie"/>
                <w:rFonts w:ascii="Arial" w:hAnsi="Arial" w:cs="Arial"/>
                <w:color w:val="FFFFFF" w:themeColor="background1"/>
                <w:sz w:val="20"/>
                <w:szCs w:val="20"/>
              </w:rPr>
              <w:footnoteReference w:id="9"/>
            </w:r>
          </w:p>
          <w:p w14:paraId="5DD22FE1" w14:textId="70BE5253" w:rsidR="001A6418" w:rsidRPr="00DF4970" w:rsidRDefault="001A6418" w:rsidP="00665F67">
            <w:pPr>
              <w:widowControl w:val="0"/>
              <w:spacing w:before="60" w:after="60"/>
              <w:jc w:val="center"/>
              <w:rPr>
                <w:rFonts w:ascii="Arial" w:hAnsi="Arial" w:cs="Arial"/>
                <w:color w:val="FFFFFF" w:themeColor="background1"/>
                <w:sz w:val="20"/>
                <w:szCs w:val="20"/>
              </w:rPr>
            </w:pPr>
            <w:r w:rsidRPr="00DF4970">
              <w:rPr>
                <w:rFonts w:ascii="Arial" w:hAnsi="Arial" w:cs="Arial"/>
                <w:color w:val="000000"/>
                <w:sz w:val="20"/>
                <w:szCs w:val="20"/>
              </w:rPr>
              <w:t> </w:t>
            </w:r>
          </w:p>
        </w:tc>
        <w:tc>
          <w:tcPr>
            <w:tcW w:w="6016" w:type="dxa"/>
            <w:gridSpan w:val="3"/>
            <w:shd w:val="clear" w:color="auto" w:fill="4F81BD" w:themeFill="accent1"/>
            <w:noWrap/>
            <w:vAlign w:val="center"/>
            <w:hideMark/>
          </w:tcPr>
          <w:p w14:paraId="6383B97B" w14:textId="4DCAD87B" w:rsidR="001A6418" w:rsidRPr="00DF4970" w:rsidRDefault="005302F2" w:rsidP="00665F6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DF4970">
              <w:rPr>
                <w:rFonts w:ascii="Arial" w:hAnsi="Arial" w:cs="Arial"/>
                <w:color w:val="FFFFFF" w:themeColor="background1"/>
                <w:sz w:val="20"/>
                <w:szCs w:val="20"/>
              </w:rPr>
              <w:t xml:space="preserve">Valor Facturado </w:t>
            </w:r>
            <w:r w:rsidR="009E29CE" w:rsidRPr="00DF4970">
              <w:rPr>
                <w:rFonts w:ascii="Arial" w:hAnsi="Arial" w:cs="Arial"/>
                <w:color w:val="FFFFFF" w:themeColor="background1"/>
                <w:sz w:val="20"/>
                <w:szCs w:val="20"/>
              </w:rPr>
              <w:t>I</w:t>
            </w:r>
            <w:r w:rsidRPr="00DF4970">
              <w:rPr>
                <w:rFonts w:ascii="Arial" w:hAnsi="Arial" w:cs="Arial"/>
                <w:color w:val="FFFFFF" w:themeColor="background1"/>
                <w:sz w:val="20"/>
                <w:szCs w:val="20"/>
              </w:rPr>
              <w:t>I</w:t>
            </w:r>
            <w:r w:rsidR="00DF4970">
              <w:rPr>
                <w:rFonts w:ascii="Arial" w:hAnsi="Arial" w:cs="Arial"/>
                <w:color w:val="FFFFFF" w:themeColor="background1"/>
                <w:sz w:val="20"/>
                <w:szCs w:val="20"/>
              </w:rPr>
              <w:t>I</w:t>
            </w:r>
            <w:r w:rsidRPr="00DF4970">
              <w:rPr>
                <w:rFonts w:ascii="Arial" w:hAnsi="Arial" w:cs="Arial"/>
                <w:color w:val="FFFFFF" w:themeColor="background1"/>
                <w:sz w:val="20"/>
                <w:szCs w:val="20"/>
              </w:rPr>
              <w:t xml:space="preserve"> </w:t>
            </w:r>
            <w:r w:rsidR="001A6418" w:rsidRPr="00DF4970">
              <w:rPr>
                <w:rFonts w:ascii="Arial" w:hAnsi="Arial" w:cs="Arial"/>
                <w:color w:val="FFFFFF" w:themeColor="background1"/>
                <w:sz w:val="20"/>
                <w:szCs w:val="20"/>
              </w:rPr>
              <w:t>Trimestre de 20</w:t>
            </w:r>
            <w:r w:rsidR="00130C73" w:rsidRPr="00DF4970">
              <w:rPr>
                <w:rFonts w:ascii="Arial" w:hAnsi="Arial" w:cs="Arial"/>
                <w:color w:val="FFFFFF" w:themeColor="background1"/>
                <w:sz w:val="20"/>
                <w:szCs w:val="20"/>
              </w:rPr>
              <w:t>20</w:t>
            </w:r>
            <w:r w:rsidR="001A6418" w:rsidRPr="00DF4970">
              <w:rPr>
                <w:rFonts w:ascii="Arial" w:hAnsi="Arial" w:cs="Arial"/>
                <w:color w:val="FFFFFF" w:themeColor="background1"/>
                <w:sz w:val="20"/>
                <w:szCs w:val="20"/>
              </w:rPr>
              <w:t xml:space="preserve"> ($)</w:t>
            </w:r>
          </w:p>
        </w:tc>
      </w:tr>
      <w:tr w:rsidR="001A6418" w:rsidRPr="00DF4970" w14:paraId="6DE7C5CA"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noWrap/>
            <w:vAlign w:val="center"/>
            <w:hideMark/>
          </w:tcPr>
          <w:p w14:paraId="05DB7093" w14:textId="504D0D15" w:rsidR="001A6418" w:rsidRPr="00DF4970" w:rsidRDefault="001A6418" w:rsidP="00665F67">
            <w:pPr>
              <w:widowControl w:val="0"/>
              <w:spacing w:before="60" w:after="60"/>
              <w:jc w:val="center"/>
              <w:rPr>
                <w:rFonts w:ascii="Arial" w:hAnsi="Arial" w:cs="Arial"/>
                <w:color w:val="000000"/>
                <w:sz w:val="20"/>
                <w:szCs w:val="20"/>
              </w:rPr>
            </w:pPr>
          </w:p>
        </w:tc>
        <w:tc>
          <w:tcPr>
            <w:tcW w:w="2047" w:type="dxa"/>
            <w:shd w:val="clear" w:color="auto" w:fill="DBE5F1" w:themeFill="accent1" w:themeFillTint="33"/>
            <w:noWrap/>
            <w:vAlign w:val="center"/>
            <w:hideMark/>
          </w:tcPr>
          <w:p w14:paraId="4E7A7B10" w14:textId="77777777" w:rsidR="001A6418" w:rsidRPr="00DF4970" w:rsidRDefault="001A6418" w:rsidP="00665F67">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Avantel</w:t>
            </w:r>
          </w:p>
        </w:tc>
        <w:tc>
          <w:tcPr>
            <w:tcW w:w="1843" w:type="dxa"/>
            <w:shd w:val="clear" w:color="auto" w:fill="DBE5F1" w:themeFill="accent1" w:themeFillTint="33"/>
            <w:noWrap/>
            <w:vAlign w:val="center"/>
            <w:hideMark/>
          </w:tcPr>
          <w:p w14:paraId="4BCFEF7A" w14:textId="77777777" w:rsidR="001A6418" w:rsidRPr="00DF4970" w:rsidRDefault="001A6418" w:rsidP="00665F67">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Claro</w:t>
            </w:r>
          </w:p>
        </w:tc>
        <w:tc>
          <w:tcPr>
            <w:tcW w:w="2126" w:type="dxa"/>
            <w:shd w:val="clear" w:color="auto" w:fill="DBE5F1" w:themeFill="accent1" w:themeFillTint="33"/>
            <w:noWrap/>
            <w:vAlign w:val="center"/>
            <w:hideMark/>
          </w:tcPr>
          <w:p w14:paraId="0322ECEC" w14:textId="77777777" w:rsidR="001A6418" w:rsidRPr="00DF4970" w:rsidRDefault="001A6418" w:rsidP="00665F67">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Movistar</w:t>
            </w:r>
          </w:p>
        </w:tc>
      </w:tr>
      <w:tr w:rsidR="00DF4970" w:rsidRPr="00DF4970" w14:paraId="6B9B5066" w14:textId="77777777" w:rsidTr="00665F67">
        <w:trPr>
          <w:cantSplit/>
          <w:trHeight w:val="517"/>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6F9BCF18" w14:textId="7913815C" w:rsidR="00DF4970" w:rsidRPr="00DF4970" w:rsidRDefault="00DF4970" w:rsidP="00665F67">
            <w:pPr>
              <w:widowControl w:val="0"/>
              <w:spacing w:before="60" w:after="60"/>
              <w:rPr>
                <w:rFonts w:ascii="Arial" w:hAnsi="Arial" w:cs="Arial"/>
                <w:color w:val="0F243E" w:themeColor="text2" w:themeShade="80"/>
                <w:sz w:val="20"/>
                <w:szCs w:val="20"/>
              </w:rPr>
            </w:pPr>
            <w:r w:rsidRPr="00DF4970">
              <w:rPr>
                <w:rFonts w:ascii="Arial" w:hAnsi="Arial" w:cs="Arial"/>
                <w:color w:val="0F243E" w:themeColor="text2" w:themeShade="80"/>
                <w:sz w:val="20"/>
                <w:szCs w:val="20"/>
              </w:rPr>
              <w:t>Julio</w:t>
            </w:r>
          </w:p>
        </w:tc>
        <w:tc>
          <w:tcPr>
            <w:tcW w:w="2047" w:type="dxa"/>
            <w:noWrap/>
            <w:vAlign w:val="center"/>
          </w:tcPr>
          <w:p w14:paraId="4764AE19" w14:textId="4B93B923"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456.419 </w:t>
            </w:r>
          </w:p>
        </w:tc>
        <w:tc>
          <w:tcPr>
            <w:tcW w:w="1843" w:type="dxa"/>
            <w:noWrap/>
            <w:vAlign w:val="center"/>
          </w:tcPr>
          <w:p w14:paraId="7C77E1F3" w14:textId="7D324F20"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856.120 </w:t>
            </w:r>
          </w:p>
        </w:tc>
        <w:tc>
          <w:tcPr>
            <w:tcW w:w="2126" w:type="dxa"/>
            <w:noWrap/>
            <w:vAlign w:val="center"/>
          </w:tcPr>
          <w:p w14:paraId="1E24248F" w14:textId="0E126F8C"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1.224.556</w:t>
            </w:r>
          </w:p>
        </w:tc>
      </w:tr>
      <w:tr w:rsidR="00DF4970" w:rsidRPr="00DF4970" w14:paraId="4ACAED74" w14:textId="77777777" w:rsidTr="00665F67">
        <w:trPr>
          <w:cantSplit/>
          <w:trHeight w:val="411"/>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406839B6" w14:textId="5362FA5F" w:rsidR="00DF4970" w:rsidRPr="00DF4970" w:rsidRDefault="00DF4970" w:rsidP="00665F67">
            <w:pPr>
              <w:widowControl w:val="0"/>
              <w:spacing w:before="60" w:after="60"/>
              <w:rPr>
                <w:rFonts w:ascii="Arial" w:hAnsi="Arial" w:cs="Arial"/>
                <w:color w:val="0F243E" w:themeColor="text2" w:themeShade="80"/>
                <w:sz w:val="20"/>
                <w:szCs w:val="20"/>
              </w:rPr>
            </w:pPr>
            <w:r w:rsidRPr="00DF4970">
              <w:rPr>
                <w:rFonts w:ascii="Arial" w:hAnsi="Arial" w:cs="Arial"/>
                <w:color w:val="0F243E" w:themeColor="text2" w:themeShade="80"/>
                <w:sz w:val="20"/>
                <w:szCs w:val="20"/>
              </w:rPr>
              <w:t>Agosto</w:t>
            </w:r>
          </w:p>
        </w:tc>
        <w:tc>
          <w:tcPr>
            <w:tcW w:w="2047" w:type="dxa"/>
            <w:noWrap/>
            <w:vAlign w:val="center"/>
          </w:tcPr>
          <w:p w14:paraId="797AE13E" w14:textId="744DF724"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456.419 </w:t>
            </w:r>
          </w:p>
        </w:tc>
        <w:tc>
          <w:tcPr>
            <w:tcW w:w="1843" w:type="dxa"/>
            <w:noWrap/>
            <w:vAlign w:val="center"/>
          </w:tcPr>
          <w:p w14:paraId="7A1FF777" w14:textId="6E0F2380"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856.120 </w:t>
            </w:r>
          </w:p>
        </w:tc>
        <w:tc>
          <w:tcPr>
            <w:tcW w:w="2126" w:type="dxa"/>
            <w:noWrap/>
            <w:vAlign w:val="center"/>
          </w:tcPr>
          <w:p w14:paraId="37657875" w14:textId="55D1D66A"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1.455.764</w:t>
            </w:r>
          </w:p>
        </w:tc>
      </w:tr>
      <w:tr w:rsidR="00DF4970" w:rsidRPr="00DF4970" w14:paraId="06396492" w14:textId="77777777" w:rsidTr="00665F67">
        <w:trPr>
          <w:cantSplit/>
          <w:trHeight w:val="271"/>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single" w:sz="4" w:space="0" w:color="4F81BD" w:themeColor="accent1"/>
            </w:tcBorders>
            <w:noWrap/>
            <w:vAlign w:val="center"/>
          </w:tcPr>
          <w:p w14:paraId="660469E2" w14:textId="5A2227B2" w:rsidR="00DF4970" w:rsidRPr="00DF4970" w:rsidRDefault="00DF4970" w:rsidP="00665F67">
            <w:pPr>
              <w:widowControl w:val="0"/>
              <w:spacing w:before="60" w:after="60"/>
              <w:rPr>
                <w:rFonts w:ascii="Arial" w:hAnsi="Arial" w:cs="Arial"/>
                <w:color w:val="0F243E" w:themeColor="text2" w:themeShade="80"/>
                <w:sz w:val="20"/>
                <w:szCs w:val="20"/>
              </w:rPr>
            </w:pPr>
            <w:r w:rsidRPr="00DF4970">
              <w:rPr>
                <w:rFonts w:ascii="Arial" w:hAnsi="Arial" w:cs="Arial"/>
                <w:color w:val="0F243E" w:themeColor="text2" w:themeShade="80"/>
                <w:sz w:val="20"/>
                <w:szCs w:val="20"/>
              </w:rPr>
              <w:t>Septiembre</w:t>
            </w:r>
          </w:p>
        </w:tc>
        <w:tc>
          <w:tcPr>
            <w:tcW w:w="2047" w:type="dxa"/>
            <w:tcBorders>
              <w:bottom w:val="single" w:sz="4" w:space="0" w:color="4F81BD" w:themeColor="accent1"/>
            </w:tcBorders>
            <w:noWrap/>
            <w:vAlign w:val="center"/>
          </w:tcPr>
          <w:p w14:paraId="525EEEC6" w14:textId="6E1B9684"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456.419 </w:t>
            </w:r>
          </w:p>
        </w:tc>
        <w:tc>
          <w:tcPr>
            <w:tcW w:w="1843" w:type="dxa"/>
            <w:tcBorders>
              <w:bottom w:val="single" w:sz="4" w:space="0" w:color="4F81BD" w:themeColor="accent1"/>
            </w:tcBorders>
            <w:noWrap/>
            <w:vAlign w:val="center"/>
          </w:tcPr>
          <w:p w14:paraId="1EFAFC72" w14:textId="336A4961"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 xml:space="preserve">               856.120 </w:t>
            </w:r>
          </w:p>
        </w:tc>
        <w:tc>
          <w:tcPr>
            <w:tcW w:w="2126" w:type="dxa"/>
            <w:tcBorders>
              <w:bottom w:val="single" w:sz="4" w:space="0" w:color="4F81BD" w:themeColor="accent1"/>
            </w:tcBorders>
            <w:noWrap/>
            <w:vAlign w:val="center"/>
          </w:tcPr>
          <w:p w14:paraId="1DB36514" w14:textId="0F8DD8CC"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1.486.777</w:t>
            </w:r>
          </w:p>
        </w:tc>
      </w:tr>
      <w:tr w:rsidR="00DF4970" w:rsidRPr="00DF4970" w14:paraId="6B4893BE" w14:textId="77777777" w:rsidTr="00665F67">
        <w:trPr>
          <w:cantSplit/>
          <w:trHeight w:val="331"/>
          <w:jc w:val="center"/>
        </w:trPr>
        <w:tc>
          <w:tcPr>
            <w:cnfStyle w:val="001000000000" w:firstRow="0" w:lastRow="0" w:firstColumn="1" w:lastColumn="0" w:oddVBand="0" w:evenVBand="0" w:oddHBand="0" w:evenHBand="0" w:firstRowFirstColumn="0" w:firstRowLastColumn="0" w:lastRowFirstColumn="0" w:lastRowLastColumn="0"/>
            <w:tcW w:w="1917" w:type="dxa"/>
            <w:tcBorders>
              <w:top w:val="single" w:sz="4" w:space="0" w:color="4F81BD" w:themeColor="accent1"/>
              <w:bottom w:val="single" w:sz="4" w:space="0" w:color="4F81BD" w:themeColor="accent1"/>
            </w:tcBorders>
            <w:shd w:val="clear" w:color="auto" w:fill="DBE5F1" w:themeFill="accent1" w:themeFillTint="33"/>
            <w:noWrap/>
            <w:vAlign w:val="center"/>
          </w:tcPr>
          <w:p w14:paraId="62D3E045" w14:textId="58151A75" w:rsidR="00DF4970" w:rsidRPr="00DF4970" w:rsidRDefault="00DF4970" w:rsidP="00665F67">
            <w:pPr>
              <w:widowControl w:val="0"/>
              <w:spacing w:before="60" w:after="60"/>
              <w:rPr>
                <w:rFonts w:ascii="Arial" w:hAnsi="Arial" w:cs="Arial"/>
                <w:color w:val="0F243E" w:themeColor="text2" w:themeShade="80"/>
                <w:sz w:val="20"/>
                <w:szCs w:val="20"/>
              </w:rPr>
            </w:pPr>
            <w:r w:rsidRPr="00DF4970">
              <w:rPr>
                <w:rFonts w:ascii="Arial" w:hAnsi="Arial" w:cs="Arial"/>
                <w:b w:val="0"/>
                <w:bCs w:val="0"/>
                <w:color w:val="0F243E" w:themeColor="text2" w:themeShade="80"/>
                <w:sz w:val="20"/>
                <w:szCs w:val="20"/>
              </w:rPr>
              <w:t>Total</w:t>
            </w:r>
          </w:p>
        </w:tc>
        <w:tc>
          <w:tcPr>
            <w:tcW w:w="2047" w:type="dxa"/>
            <w:tcBorders>
              <w:top w:val="single" w:sz="4" w:space="0" w:color="4F81BD" w:themeColor="accent1"/>
              <w:bottom w:val="single" w:sz="4" w:space="0" w:color="4F81BD" w:themeColor="accent1"/>
            </w:tcBorders>
            <w:shd w:val="clear" w:color="auto" w:fill="DBE5F1" w:themeFill="accent1" w:themeFillTint="33"/>
            <w:noWrap/>
            <w:vAlign w:val="center"/>
          </w:tcPr>
          <w:p w14:paraId="754FAFD9" w14:textId="4FC2B352"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1.369.257</w:t>
            </w:r>
          </w:p>
        </w:tc>
        <w:tc>
          <w:tcPr>
            <w:tcW w:w="1843" w:type="dxa"/>
            <w:tcBorders>
              <w:top w:val="single" w:sz="4" w:space="0" w:color="4F81BD" w:themeColor="accent1"/>
              <w:bottom w:val="single" w:sz="4" w:space="0" w:color="4F81BD" w:themeColor="accent1"/>
            </w:tcBorders>
            <w:shd w:val="clear" w:color="auto" w:fill="DBE5F1" w:themeFill="accent1" w:themeFillTint="33"/>
            <w:noWrap/>
            <w:vAlign w:val="center"/>
          </w:tcPr>
          <w:p w14:paraId="0D1A108C" w14:textId="7B6626E1"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2.568.360</w:t>
            </w:r>
          </w:p>
        </w:tc>
        <w:tc>
          <w:tcPr>
            <w:tcW w:w="2126" w:type="dxa"/>
            <w:tcBorders>
              <w:top w:val="single" w:sz="4" w:space="0" w:color="4F81BD" w:themeColor="accent1"/>
              <w:bottom w:val="single" w:sz="4" w:space="0" w:color="4F81BD" w:themeColor="accent1"/>
            </w:tcBorders>
            <w:shd w:val="clear" w:color="auto" w:fill="DBE5F1" w:themeFill="accent1" w:themeFillTint="33"/>
            <w:noWrap/>
            <w:vAlign w:val="center"/>
          </w:tcPr>
          <w:p w14:paraId="3BF96FF3" w14:textId="18EE7AA1" w:rsidR="00DF4970" w:rsidRPr="00DF4970" w:rsidRDefault="00DF4970" w:rsidP="00665F67">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4.167.097</w:t>
            </w:r>
          </w:p>
        </w:tc>
      </w:tr>
      <w:tr w:rsidR="00352897" w:rsidRPr="00DF4970" w14:paraId="05FA65F0"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single" w:sz="4" w:space="0" w:color="4F81BD" w:themeColor="accent1"/>
            </w:tcBorders>
            <w:shd w:val="clear" w:color="auto" w:fill="4F81BD" w:themeFill="accent1"/>
            <w:noWrap/>
            <w:vAlign w:val="center"/>
            <w:hideMark/>
          </w:tcPr>
          <w:p w14:paraId="5A58D163" w14:textId="77777777" w:rsidR="00352897" w:rsidRPr="00DF4970" w:rsidRDefault="00352897" w:rsidP="00B63747">
            <w:pPr>
              <w:widowControl w:val="0"/>
              <w:spacing w:before="40" w:after="40"/>
              <w:jc w:val="center"/>
              <w:rPr>
                <w:rFonts w:ascii="Arial" w:hAnsi="Arial" w:cs="Arial"/>
                <w:color w:val="FFFFFF" w:themeColor="background1"/>
                <w:sz w:val="20"/>
                <w:szCs w:val="20"/>
              </w:rPr>
            </w:pPr>
            <w:r w:rsidRPr="00DF4970">
              <w:rPr>
                <w:rFonts w:ascii="Arial" w:hAnsi="Arial" w:cs="Arial"/>
                <w:color w:val="FFFFFF" w:themeColor="background1"/>
                <w:sz w:val="20"/>
                <w:szCs w:val="20"/>
              </w:rPr>
              <w:lastRenderedPageBreak/>
              <w:t>Periodo</w:t>
            </w:r>
          </w:p>
        </w:tc>
        <w:tc>
          <w:tcPr>
            <w:tcW w:w="6016" w:type="dxa"/>
            <w:gridSpan w:val="3"/>
            <w:tcBorders>
              <w:top w:val="single" w:sz="4" w:space="0" w:color="4F81BD" w:themeColor="accent1"/>
            </w:tcBorders>
            <w:shd w:val="clear" w:color="auto" w:fill="4F81BD" w:themeFill="accent1"/>
            <w:noWrap/>
            <w:vAlign w:val="center"/>
            <w:hideMark/>
          </w:tcPr>
          <w:p w14:paraId="1C65BC6D" w14:textId="79DFC7F0" w:rsidR="00352897" w:rsidRPr="00DF4970" w:rsidRDefault="00352897"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DF4970">
              <w:rPr>
                <w:rFonts w:ascii="Arial" w:hAnsi="Arial" w:cs="Arial"/>
                <w:b/>
                <w:bCs/>
                <w:color w:val="FFFFFF" w:themeColor="background1"/>
                <w:sz w:val="20"/>
                <w:szCs w:val="20"/>
              </w:rPr>
              <w:t xml:space="preserve"> Valor Facturado </w:t>
            </w:r>
            <w:r w:rsidR="009E29CE" w:rsidRPr="00DF4970">
              <w:rPr>
                <w:rFonts w:ascii="Arial" w:hAnsi="Arial" w:cs="Arial"/>
                <w:b/>
                <w:bCs/>
                <w:color w:val="FFFFFF" w:themeColor="background1"/>
                <w:sz w:val="20"/>
                <w:szCs w:val="20"/>
              </w:rPr>
              <w:t>I</w:t>
            </w:r>
            <w:r w:rsidR="0079219A" w:rsidRPr="00DF4970">
              <w:rPr>
                <w:rFonts w:ascii="Arial" w:hAnsi="Arial" w:cs="Arial"/>
                <w:b/>
                <w:bCs/>
                <w:color w:val="FFFFFF" w:themeColor="background1"/>
                <w:sz w:val="20"/>
                <w:szCs w:val="20"/>
              </w:rPr>
              <w:t>I</w:t>
            </w:r>
            <w:r w:rsidR="00DF4970">
              <w:rPr>
                <w:rFonts w:ascii="Arial" w:hAnsi="Arial" w:cs="Arial"/>
                <w:b/>
                <w:bCs/>
                <w:color w:val="FFFFFF" w:themeColor="background1"/>
                <w:sz w:val="20"/>
                <w:szCs w:val="20"/>
              </w:rPr>
              <w:t>I</w:t>
            </w:r>
            <w:r w:rsidR="005302F2" w:rsidRPr="00DF4970">
              <w:rPr>
                <w:rFonts w:ascii="Arial" w:hAnsi="Arial" w:cs="Arial"/>
                <w:b/>
                <w:bCs/>
                <w:color w:val="FFFFFF" w:themeColor="background1"/>
                <w:sz w:val="20"/>
                <w:szCs w:val="20"/>
              </w:rPr>
              <w:t xml:space="preserve"> </w:t>
            </w:r>
            <w:r w:rsidRPr="00DF4970">
              <w:rPr>
                <w:rFonts w:ascii="Arial" w:hAnsi="Arial" w:cs="Arial"/>
                <w:b/>
                <w:bCs/>
                <w:color w:val="FFFFFF" w:themeColor="background1"/>
                <w:sz w:val="20"/>
                <w:szCs w:val="20"/>
              </w:rPr>
              <w:t>Trimestre de 201</w:t>
            </w:r>
            <w:r w:rsidR="00B9632F" w:rsidRPr="00DF4970">
              <w:rPr>
                <w:rFonts w:ascii="Arial" w:hAnsi="Arial" w:cs="Arial"/>
                <w:b/>
                <w:bCs/>
                <w:color w:val="FFFFFF" w:themeColor="background1"/>
                <w:sz w:val="20"/>
                <w:szCs w:val="20"/>
              </w:rPr>
              <w:t>9</w:t>
            </w:r>
            <w:r w:rsidRPr="00DF4970">
              <w:rPr>
                <w:rFonts w:ascii="Arial" w:hAnsi="Arial" w:cs="Arial"/>
                <w:b/>
                <w:bCs/>
                <w:color w:val="FFFFFF" w:themeColor="background1"/>
                <w:sz w:val="20"/>
                <w:szCs w:val="20"/>
              </w:rPr>
              <w:t xml:space="preserve"> ($) </w:t>
            </w:r>
          </w:p>
        </w:tc>
      </w:tr>
      <w:tr w:rsidR="008F795D" w:rsidRPr="00DF4970" w14:paraId="60EE4D79"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14:paraId="72254E79" w14:textId="77777777" w:rsidR="00352897" w:rsidRPr="00DF4970" w:rsidRDefault="00352897" w:rsidP="00B63747">
            <w:pPr>
              <w:widowControl w:val="0"/>
              <w:spacing w:before="40" w:after="40"/>
              <w:rPr>
                <w:rFonts w:ascii="Arial" w:hAnsi="Arial" w:cs="Arial"/>
                <w:color w:val="FFFFFF" w:themeColor="background1"/>
                <w:sz w:val="20"/>
                <w:szCs w:val="20"/>
              </w:rPr>
            </w:pPr>
          </w:p>
        </w:tc>
        <w:tc>
          <w:tcPr>
            <w:tcW w:w="2047" w:type="dxa"/>
            <w:shd w:val="clear" w:color="auto" w:fill="DBE5F1" w:themeFill="accent1" w:themeFillTint="33"/>
            <w:noWrap/>
            <w:vAlign w:val="center"/>
            <w:hideMark/>
          </w:tcPr>
          <w:p w14:paraId="1C407132" w14:textId="0683EF77" w:rsidR="00352897" w:rsidRPr="00DF4970" w:rsidRDefault="00352897"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Avantel</w:t>
            </w:r>
          </w:p>
        </w:tc>
        <w:tc>
          <w:tcPr>
            <w:tcW w:w="1843" w:type="dxa"/>
            <w:shd w:val="clear" w:color="auto" w:fill="DBE5F1" w:themeFill="accent1" w:themeFillTint="33"/>
            <w:noWrap/>
            <w:vAlign w:val="center"/>
            <w:hideMark/>
          </w:tcPr>
          <w:p w14:paraId="6F433ABE" w14:textId="540E79B3" w:rsidR="00352897" w:rsidRPr="00DF4970" w:rsidRDefault="00352897"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Claro</w:t>
            </w:r>
          </w:p>
        </w:tc>
        <w:tc>
          <w:tcPr>
            <w:tcW w:w="2126" w:type="dxa"/>
            <w:shd w:val="clear" w:color="auto" w:fill="DBE5F1" w:themeFill="accent1" w:themeFillTint="33"/>
            <w:noWrap/>
            <w:vAlign w:val="center"/>
            <w:hideMark/>
          </w:tcPr>
          <w:p w14:paraId="013171FB" w14:textId="5421B8AE" w:rsidR="00352897" w:rsidRPr="00DF4970" w:rsidRDefault="00352897"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Movistar</w:t>
            </w:r>
          </w:p>
        </w:tc>
      </w:tr>
      <w:tr w:rsidR="00DF4970" w:rsidRPr="00DF4970" w14:paraId="1B0241B2"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311F0A01" w14:textId="59EDEAE1" w:rsidR="00DF4970" w:rsidRPr="00DF4970" w:rsidRDefault="00DF4970" w:rsidP="00B63747">
            <w:pPr>
              <w:widowControl w:val="0"/>
              <w:spacing w:before="40" w:after="40"/>
              <w:rPr>
                <w:rFonts w:ascii="Arial" w:hAnsi="Arial" w:cs="Arial"/>
                <w:color w:val="0F243E" w:themeColor="text2" w:themeShade="80"/>
                <w:sz w:val="20"/>
                <w:szCs w:val="20"/>
              </w:rPr>
            </w:pPr>
            <w:r w:rsidRPr="00DF4970">
              <w:rPr>
                <w:rFonts w:ascii="Arial" w:hAnsi="Arial" w:cs="Arial"/>
                <w:color w:val="0F243E" w:themeColor="text2" w:themeShade="80"/>
                <w:sz w:val="20"/>
                <w:szCs w:val="20"/>
              </w:rPr>
              <w:t>Julio</w:t>
            </w:r>
          </w:p>
        </w:tc>
        <w:tc>
          <w:tcPr>
            <w:tcW w:w="2047" w:type="dxa"/>
            <w:noWrap/>
            <w:vAlign w:val="center"/>
          </w:tcPr>
          <w:p w14:paraId="0ECF8EA6" w14:textId="180662BA"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1.266.588</w:t>
            </w:r>
          </w:p>
        </w:tc>
        <w:tc>
          <w:tcPr>
            <w:tcW w:w="1843" w:type="dxa"/>
            <w:noWrap/>
            <w:vAlign w:val="center"/>
          </w:tcPr>
          <w:p w14:paraId="4BA03851" w14:textId="4806410D"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856.120</w:t>
            </w:r>
          </w:p>
        </w:tc>
        <w:tc>
          <w:tcPr>
            <w:tcW w:w="2126" w:type="dxa"/>
            <w:noWrap/>
            <w:vAlign w:val="center"/>
          </w:tcPr>
          <w:p w14:paraId="5C9D563D" w14:textId="32FA7481"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3.211.393</w:t>
            </w:r>
          </w:p>
        </w:tc>
      </w:tr>
      <w:tr w:rsidR="00DF4970" w:rsidRPr="00DF4970" w14:paraId="48D95DE5"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noWrap/>
            <w:vAlign w:val="center"/>
          </w:tcPr>
          <w:p w14:paraId="409F13D8" w14:textId="3D86D667" w:rsidR="00DF4970" w:rsidRPr="00DF4970" w:rsidRDefault="00DF4970" w:rsidP="00B63747">
            <w:pPr>
              <w:widowControl w:val="0"/>
              <w:spacing w:before="40" w:after="40"/>
              <w:rPr>
                <w:rFonts w:ascii="Arial" w:hAnsi="Arial" w:cs="Arial"/>
                <w:color w:val="0F243E" w:themeColor="text2" w:themeShade="80"/>
                <w:sz w:val="20"/>
                <w:szCs w:val="20"/>
              </w:rPr>
            </w:pPr>
            <w:r w:rsidRPr="00DF4970">
              <w:rPr>
                <w:rFonts w:ascii="Arial" w:hAnsi="Arial" w:cs="Arial"/>
                <w:color w:val="0F243E" w:themeColor="text2" w:themeShade="80"/>
                <w:sz w:val="20"/>
                <w:szCs w:val="20"/>
              </w:rPr>
              <w:t>Agosto</w:t>
            </w:r>
          </w:p>
        </w:tc>
        <w:tc>
          <w:tcPr>
            <w:tcW w:w="2047" w:type="dxa"/>
            <w:noWrap/>
            <w:vAlign w:val="center"/>
          </w:tcPr>
          <w:p w14:paraId="31C91891" w14:textId="4D54381A"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1.266.588</w:t>
            </w:r>
          </w:p>
        </w:tc>
        <w:tc>
          <w:tcPr>
            <w:tcW w:w="1843" w:type="dxa"/>
            <w:noWrap/>
            <w:vAlign w:val="center"/>
          </w:tcPr>
          <w:p w14:paraId="0AC03704" w14:textId="32F922F9"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856.120</w:t>
            </w:r>
          </w:p>
        </w:tc>
        <w:tc>
          <w:tcPr>
            <w:tcW w:w="2126" w:type="dxa"/>
            <w:noWrap/>
            <w:vAlign w:val="center"/>
          </w:tcPr>
          <w:p w14:paraId="0B0B3ABF" w14:textId="1ABF8905"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2.956.462</w:t>
            </w:r>
          </w:p>
        </w:tc>
      </w:tr>
      <w:tr w:rsidR="00DF4970" w:rsidRPr="00DF4970" w14:paraId="52C0534D"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bottom w:val="double" w:sz="4" w:space="0" w:color="4F81BD" w:themeColor="accent1"/>
            </w:tcBorders>
            <w:noWrap/>
            <w:vAlign w:val="center"/>
          </w:tcPr>
          <w:p w14:paraId="55F3EFFC" w14:textId="2A2696A3" w:rsidR="00DF4970" w:rsidRPr="00DF4970" w:rsidRDefault="00DF4970" w:rsidP="00B63747">
            <w:pPr>
              <w:widowControl w:val="0"/>
              <w:spacing w:before="40" w:after="40"/>
              <w:rPr>
                <w:rFonts w:ascii="Arial" w:hAnsi="Arial" w:cs="Arial"/>
                <w:color w:val="0F243E" w:themeColor="text2" w:themeShade="80"/>
                <w:sz w:val="20"/>
                <w:szCs w:val="20"/>
              </w:rPr>
            </w:pPr>
            <w:r w:rsidRPr="00DF4970">
              <w:rPr>
                <w:rFonts w:ascii="Arial" w:hAnsi="Arial" w:cs="Arial"/>
                <w:color w:val="0F243E" w:themeColor="text2" w:themeShade="80"/>
                <w:sz w:val="20"/>
                <w:szCs w:val="20"/>
              </w:rPr>
              <w:t>Septiembre</w:t>
            </w:r>
          </w:p>
        </w:tc>
        <w:tc>
          <w:tcPr>
            <w:tcW w:w="2047" w:type="dxa"/>
            <w:tcBorders>
              <w:bottom w:val="double" w:sz="4" w:space="0" w:color="4F81BD" w:themeColor="accent1"/>
            </w:tcBorders>
            <w:noWrap/>
            <w:vAlign w:val="center"/>
          </w:tcPr>
          <w:p w14:paraId="0A4A6F91" w14:textId="40F84122"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1.266.588</w:t>
            </w:r>
          </w:p>
        </w:tc>
        <w:tc>
          <w:tcPr>
            <w:tcW w:w="1843" w:type="dxa"/>
            <w:tcBorders>
              <w:bottom w:val="double" w:sz="4" w:space="0" w:color="4F81BD" w:themeColor="accent1"/>
            </w:tcBorders>
            <w:noWrap/>
            <w:vAlign w:val="center"/>
          </w:tcPr>
          <w:p w14:paraId="64A6B90F" w14:textId="0EE797A9"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856.120</w:t>
            </w:r>
          </w:p>
        </w:tc>
        <w:tc>
          <w:tcPr>
            <w:tcW w:w="2126" w:type="dxa"/>
            <w:tcBorders>
              <w:bottom w:val="double" w:sz="4" w:space="0" w:color="4F81BD" w:themeColor="accent1"/>
            </w:tcBorders>
            <w:noWrap/>
            <w:vAlign w:val="center"/>
          </w:tcPr>
          <w:p w14:paraId="6B1654CE" w14:textId="65B1EDDB"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DF4970">
              <w:rPr>
                <w:rFonts w:ascii="Arial" w:hAnsi="Arial" w:cs="Arial"/>
                <w:color w:val="0F243E" w:themeColor="text2" w:themeShade="80"/>
                <w:sz w:val="20"/>
                <w:szCs w:val="20"/>
              </w:rPr>
              <w:t>3.110.542</w:t>
            </w:r>
          </w:p>
        </w:tc>
      </w:tr>
      <w:tr w:rsidR="00DF4970" w:rsidRPr="00DF4970" w14:paraId="3FBFD226"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tcBorders>
              <w:top w:val="double" w:sz="4" w:space="0" w:color="4F81BD" w:themeColor="accent1"/>
              <w:bottom w:val="double" w:sz="4" w:space="0" w:color="4F81BD" w:themeColor="accent1"/>
            </w:tcBorders>
            <w:shd w:val="clear" w:color="auto" w:fill="DBE5F1" w:themeFill="accent1" w:themeFillTint="33"/>
            <w:noWrap/>
            <w:vAlign w:val="center"/>
          </w:tcPr>
          <w:p w14:paraId="3748A38A" w14:textId="16D6564F" w:rsidR="00DF4970" w:rsidRPr="00DF4970" w:rsidRDefault="00DF4970" w:rsidP="00B63747">
            <w:pPr>
              <w:widowControl w:val="0"/>
              <w:spacing w:before="40" w:after="40"/>
              <w:rPr>
                <w:rFonts w:ascii="Arial" w:hAnsi="Arial" w:cs="Arial"/>
                <w:color w:val="0F243E" w:themeColor="text2" w:themeShade="80"/>
                <w:sz w:val="20"/>
                <w:szCs w:val="20"/>
              </w:rPr>
            </w:pPr>
            <w:r w:rsidRPr="00DF4970">
              <w:rPr>
                <w:rFonts w:ascii="Arial" w:hAnsi="Arial" w:cs="Arial"/>
                <w:b w:val="0"/>
                <w:bCs w:val="0"/>
                <w:color w:val="0F243E" w:themeColor="text2" w:themeShade="80"/>
                <w:sz w:val="20"/>
                <w:szCs w:val="20"/>
              </w:rPr>
              <w:t>Total</w:t>
            </w:r>
          </w:p>
        </w:tc>
        <w:tc>
          <w:tcPr>
            <w:tcW w:w="2047" w:type="dxa"/>
            <w:tcBorders>
              <w:top w:val="double" w:sz="4" w:space="0" w:color="4F81BD" w:themeColor="accent1"/>
              <w:bottom w:val="double" w:sz="4" w:space="0" w:color="4F81BD" w:themeColor="accent1"/>
            </w:tcBorders>
            <w:shd w:val="clear" w:color="auto" w:fill="DBE5F1" w:themeFill="accent1" w:themeFillTint="33"/>
            <w:noWrap/>
            <w:vAlign w:val="center"/>
          </w:tcPr>
          <w:p w14:paraId="78B6B48E" w14:textId="75FEE4FD"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3.799.764</w:t>
            </w:r>
          </w:p>
        </w:tc>
        <w:tc>
          <w:tcPr>
            <w:tcW w:w="1843" w:type="dxa"/>
            <w:tcBorders>
              <w:top w:val="double" w:sz="4" w:space="0" w:color="4F81BD" w:themeColor="accent1"/>
              <w:bottom w:val="double" w:sz="4" w:space="0" w:color="4F81BD" w:themeColor="accent1"/>
            </w:tcBorders>
            <w:shd w:val="clear" w:color="auto" w:fill="DBE5F1" w:themeFill="accent1" w:themeFillTint="33"/>
            <w:noWrap/>
            <w:vAlign w:val="center"/>
          </w:tcPr>
          <w:p w14:paraId="14399A1C" w14:textId="4EA3B678"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2.568.360</w:t>
            </w:r>
          </w:p>
        </w:tc>
        <w:tc>
          <w:tcPr>
            <w:tcW w:w="2126" w:type="dxa"/>
            <w:tcBorders>
              <w:top w:val="double" w:sz="4" w:space="0" w:color="4F81BD" w:themeColor="accent1"/>
              <w:bottom w:val="double" w:sz="4" w:space="0" w:color="4F81BD" w:themeColor="accent1"/>
            </w:tcBorders>
            <w:shd w:val="clear" w:color="auto" w:fill="DBE5F1" w:themeFill="accent1" w:themeFillTint="33"/>
            <w:noWrap/>
            <w:vAlign w:val="center"/>
          </w:tcPr>
          <w:p w14:paraId="00D9D4A8" w14:textId="799BFD78"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DF4970">
              <w:rPr>
                <w:rFonts w:ascii="Arial" w:hAnsi="Arial" w:cs="Arial"/>
                <w:b/>
                <w:bCs/>
                <w:color w:val="0F243E" w:themeColor="text2" w:themeShade="80"/>
                <w:sz w:val="20"/>
                <w:szCs w:val="20"/>
              </w:rPr>
              <w:t>9.278.397</w:t>
            </w:r>
          </w:p>
        </w:tc>
      </w:tr>
      <w:tr w:rsidR="00DF4970" w:rsidRPr="00DF4970" w14:paraId="4EEBE04D"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val="restart"/>
            <w:tcBorders>
              <w:top w:val="double" w:sz="4" w:space="0" w:color="4F81BD" w:themeColor="accent1"/>
            </w:tcBorders>
            <w:shd w:val="clear" w:color="auto" w:fill="4F81BD" w:themeFill="accent1"/>
            <w:noWrap/>
            <w:vAlign w:val="center"/>
            <w:hideMark/>
          </w:tcPr>
          <w:p w14:paraId="3CEDE096" w14:textId="77777777" w:rsidR="00DF4970" w:rsidRPr="00DF4970" w:rsidRDefault="00DF4970" w:rsidP="00B63747">
            <w:pPr>
              <w:widowControl w:val="0"/>
              <w:spacing w:before="40" w:after="40"/>
              <w:jc w:val="center"/>
              <w:rPr>
                <w:rFonts w:ascii="Arial" w:hAnsi="Arial" w:cs="Arial"/>
                <w:color w:val="FFFFFF" w:themeColor="background1"/>
                <w:sz w:val="20"/>
                <w:szCs w:val="20"/>
              </w:rPr>
            </w:pPr>
            <w:r w:rsidRPr="00DF4970">
              <w:rPr>
                <w:rFonts w:ascii="Arial" w:hAnsi="Arial" w:cs="Arial"/>
                <w:color w:val="FFFFFF" w:themeColor="background1"/>
                <w:sz w:val="20"/>
                <w:szCs w:val="20"/>
              </w:rPr>
              <w:t>Variaciones</w:t>
            </w:r>
          </w:p>
        </w:tc>
        <w:tc>
          <w:tcPr>
            <w:tcW w:w="2047" w:type="dxa"/>
            <w:tcBorders>
              <w:top w:val="double" w:sz="4" w:space="0" w:color="4F81BD" w:themeColor="accent1"/>
            </w:tcBorders>
            <w:shd w:val="clear" w:color="auto" w:fill="4F81BD" w:themeFill="accent1"/>
            <w:noWrap/>
            <w:vAlign w:val="center"/>
          </w:tcPr>
          <w:p w14:paraId="0CCDA533" w14:textId="35B5EACA"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(2.430.507)</w:t>
            </w:r>
          </w:p>
        </w:tc>
        <w:tc>
          <w:tcPr>
            <w:tcW w:w="1843" w:type="dxa"/>
            <w:tcBorders>
              <w:top w:val="double" w:sz="4" w:space="0" w:color="4F81BD" w:themeColor="accent1"/>
            </w:tcBorders>
            <w:shd w:val="clear" w:color="auto" w:fill="4F81BD" w:themeFill="accent1"/>
            <w:noWrap/>
            <w:vAlign w:val="center"/>
          </w:tcPr>
          <w:p w14:paraId="48474CAD" w14:textId="77AC0F5F"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0</w:t>
            </w:r>
          </w:p>
        </w:tc>
        <w:tc>
          <w:tcPr>
            <w:tcW w:w="2126" w:type="dxa"/>
            <w:tcBorders>
              <w:top w:val="double" w:sz="4" w:space="0" w:color="4F81BD" w:themeColor="accent1"/>
            </w:tcBorders>
            <w:shd w:val="clear" w:color="auto" w:fill="4F81BD" w:themeFill="accent1"/>
            <w:noWrap/>
            <w:vAlign w:val="center"/>
          </w:tcPr>
          <w:p w14:paraId="725556B2" w14:textId="03AD6DD2" w:rsidR="00DF4970" w:rsidRPr="00DF4970" w:rsidRDefault="00DF4970" w:rsidP="00B63747">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(5.111.300)</w:t>
            </w:r>
          </w:p>
        </w:tc>
      </w:tr>
      <w:tr w:rsidR="00DF4970" w:rsidRPr="00CA48AF" w14:paraId="5C124175" w14:textId="77777777" w:rsidTr="00665F67">
        <w:trPr>
          <w:cantSplit/>
          <w:jc w:val="center"/>
        </w:trPr>
        <w:tc>
          <w:tcPr>
            <w:cnfStyle w:val="001000000000" w:firstRow="0" w:lastRow="0" w:firstColumn="1" w:lastColumn="0" w:oddVBand="0" w:evenVBand="0" w:oddHBand="0" w:evenHBand="0" w:firstRowFirstColumn="0" w:firstRowLastColumn="0" w:lastRowFirstColumn="0" w:lastRowLastColumn="0"/>
            <w:tcW w:w="1917" w:type="dxa"/>
            <w:vMerge/>
            <w:shd w:val="clear" w:color="auto" w:fill="4F81BD" w:themeFill="accent1"/>
            <w:vAlign w:val="center"/>
            <w:hideMark/>
          </w:tcPr>
          <w:p w14:paraId="4A08CAB4" w14:textId="77777777" w:rsidR="00DF4970" w:rsidRPr="00DF4970" w:rsidRDefault="00DF4970" w:rsidP="00B63747">
            <w:pPr>
              <w:widowControl w:val="0"/>
              <w:spacing w:before="40" w:after="40"/>
              <w:rPr>
                <w:rFonts w:ascii="Arial" w:hAnsi="Arial" w:cs="Arial"/>
                <w:color w:val="FFFFFF" w:themeColor="background1"/>
                <w:sz w:val="20"/>
                <w:szCs w:val="20"/>
              </w:rPr>
            </w:pPr>
          </w:p>
        </w:tc>
        <w:tc>
          <w:tcPr>
            <w:tcW w:w="2047" w:type="dxa"/>
            <w:shd w:val="clear" w:color="auto" w:fill="4F81BD" w:themeFill="accent1"/>
            <w:noWrap/>
            <w:vAlign w:val="center"/>
          </w:tcPr>
          <w:p w14:paraId="4E554856" w14:textId="707C9959" w:rsidR="00DF4970" w:rsidRPr="00DF4970" w:rsidRDefault="00DF4970"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(64%)</w:t>
            </w:r>
          </w:p>
        </w:tc>
        <w:tc>
          <w:tcPr>
            <w:tcW w:w="1843" w:type="dxa"/>
            <w:shd w:val="clear" w:color="auto" w:fill="4F81BD" w:themeFill="accent1"/>
            <w:noWrap/>
            <w:vAlign w:val="center"/>
          </w:tcPr>
          <w:p w14:paraId="38C4E921" w14:textId="71242DC5" w:rsidR="00DF4970" w:rsidRPr="00DF4970" w:rsidRDefault="00DF4970"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0%</w:t>
            </w:r>
          </w:p>
        </w:tc>
        <w:tc>
          <w:tcPr>
            <w:tcW w:w="2126" w:type="dxa"/>
            <w:shd w:val="clear" w:color="auto" w:fill="4F81BD" w:themeFill="accent1"/>
            <w:noWrap/>
            <w:vAlign w:val="center"/>
          </w:tcPr>
          <w:p w14:paraId="75306150" w14:textId="37858CBF" w:rsidR="00DF4970" w:rsidRPr="00DF4970" w:rsidRDefault="00DF4970" w:rsidP="00B63747">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(55%)</w:t>
            </w:r>
          </w:p>
        </w:tc>
      </w:tr>
    </w:tbl>
    <w:p w14:paraId="435A6A59" w14:textId="77777777" w:rsidR="009E29CE" w:rsidRPr="00CA48AF" w:rsidRDefault="009E29CE" w:rsidP="00F25A26">
      <w:pPr>
        <w:jc w:val="both"/>
        <w:rPr>
          <w:rFonts w:ascii="Arial" w:hAnsi="Arial" w:cs="Arial"/>
          <w:sz w:val="22"/>
          <w:szCs w:val="22"/>
          <w:highlight w:val="yellow"/>
        </w:rPr>
      </w:pPr>
    </w:p>
    <w:p w14:paraId="01DC96B7" w14:textId="4B54E051" w:rsidR="00C51470" w:rsidRDefault="00F22A7B" w:rsidP="00F25A26">
      <w:pPr>
        <w:jc w:val="both"/>
        <w:rPr>
          <w:rFonts w:ascii="Arial" w:hAnsi="Arial" w:cs="Arial"/>
          <w:sz w:val="22"/>
          <w:szCs w:val="22"/>
        </w:rPr>
      </w:pPr>
      <w:r w:rsidRPr="00F63CBD">
        <w:rPr>
          <w:rFonts w:ascii="Arial" w:hAnsi="Arial" w:cs="Arial"/>
          <w:sz w:val="22"/>
          <w:szCs w:val="22"/>
        </w:rPr>
        <w:t xml:space="preserve">De las variaciones antes relacionadas, </w:t>
      </w:r>
      <w:r w:rsidR="00AA5CCE" w:rsidRPr="00F63CBD">
        <w:rPr>
          <w:rFonts w:ascii="Arial" w:hAnsi="Arial" w:cs="Arial"/>
          <w:sz w:val="22"/>
          <w:szCs w:val="22"/>
        </w:rPr>
        <w:t xml:space="preserve">se </w:t>
      </w:r>
      <w:r w:rsidR="004B41FE" w:rsidRPr="00F63CBD">
        <w:rPr>
          <w:rFonts w:ascii="Arial" w:hAnsi="Arial" w:cs="Arial"/>
          <w:sz w:val="22"/>
          <w:szCs w:val="22"/>
        </w:rPr>
        <w:t>eviden</w:t>
      </w:r>
      <w:r w:rsidR="006B44C8" w:rsidRPr="00F63CBD">
        <w:rPr>
          <w:rFonts w:ascii="Arial" w:hAnsi="Arial" w:cs="Arial"/>
          <w:sz w:val="22"/>
          <w:szCs w:val="22"/>
        </w:rPr>
        <w:t xml:space="preserve">ció que el </w:t>
      </w:r>
      <w:r w:rsidR="00113CD8" w:rsidRPr="00F63CBD">
        <w:rPr>
          <w:rFonts w:ascii="Arial" w:hAnsi="Arial" w:cs="Arial"/>
          <w:sz w:val="22"/>
          <w:szCs w:val="22"/>
        </w:rPr>
        <w:t xml:space="preserve">valor del </w:t>
      </w:r>
      <w:r w:rsidR="006B44C8" w:rsidRPr="00F63CBD">
        <w:rPr>
          <w:rFonts w:ascii="Arial" w:hAnsi="Arial" w:cs="Arial"/>
          <w:sz w:val="22"/>
          <w:szCs w:val="22"/>
        </w:rPr>
        <w:t xml:space="preserve">gasto </w:t>
      </w:r>
      <w:r w:rsidR="00113CD8" w:rsidRPr="00F63CBD">
        <w:rPr>
          <w:rFonts w:ascii="Arial" w:hAnsi="Arial" w:cs="Arial"/>
          <w:sz w:val="22"/>
          <w:szCs w:val="22"/>
        </w:rPr>
        <w:t>de</w:t>
      </w:r>
      <w:r w:rsidR="006B44C8" w:rsidRPr="00F63CBD">
        <w:rPr>
          <w:rFonts w:ascii="Arial" w:hAnsi="Arial" w:cs="Arial"/>
          <w:sz w:val="22"/>
          <w:szCs w:val="22"/>
        </w:rPr>
        <w:t xml:space="preserve"> telefonía móvil prestado por Claro, no presentó variación </w:t>
      </w:r>
      <w:r w:rsidR="007F3EFB" w:rsidRPr="00F63CBD">
        <w:rPr>
          <w:rFonts w:ascii="Arial" w:hAnsi="Arial" w:cs="Arial"/>
          <w:sz w:val="22"/>
          <w:szCs w:val="22"/>
        </w:rPr>
        <w:t xml:space="preserve">en </w:t>
      </w:r>
      <w:r w:rsidR="006B44C8" w:rsidRPr="00F63CBD">
        <w:rPr>
          <w:rFonts w:ascii="Arial" w:hAnsi="Arial" w:cs="Arial"/>
          <w:sz w:val="22"/>
          <w:szCs w:val="22"/>
        </w:rPr>
        <w:t xml:space="preserve">los periodos comparados. Para el servicio facturado por Avantel y Movistar, se observó variaciones negativas equivalentes a </w:t>
      </w:r>
      <w:r w:rsidR="006B44C8" w:rsidRPr="00F63CBD">
        <w:rPr>
          <w:rFonts w:ascii="Arial" w:hAnsi="Arial" w:cs="Arial"/>
          <w:b/>
          <w:bCs/>
          <w:sz w:val="22"/>
          <w:szCs w:val="22"/>
        </w:rPr>
        <w:t xml:space="preserve">disminuciones </w:t>
      </w:r>
      <w:r w:rsidR="006B44C8" w:rsidRPr="00F63CBD">
        <w:rPr>
          <w:rFonts w:ascii="Arial" w:hAnsi="Arial" w:cs="Arial"/>
          <w:sz w:val="22"/>
          <w:szCs w:val="22"/>
        </w:rPr>
        <w:t xml:space="preserve">del </w:t>
      </w:r>
      <w:r w:rsidR="00636BDA" w:rsidRPr="00F63CBD">
        <w:rPr>
          <w:rFonts w:ascii="Arial" w:hAnsi="Arial" w:cs="Arial"/>
          <w:sz w:val="22"/>
          <w:szCs w:val="22"/>
        </w:rPr>
        <w:t>6</w:t>
      </w:r>
      <w:r w:rsidR="006B44C8" w:rsidRPr="00F63CBD">
        <w:rPr>
          <w:rFonts w:ascii="Arial" w:hAnsi="Arial" w:cs="Arial"/>
          <w:sz w:val="22"/>
          <w:szCs w:val="22"/>
        </w:rPr>
        <w:t xml:space="preserve">4% y </w:t>
      </w:r>
      <w:r w:rsidR="00F63CBD">
        <w:rPr>
          <w:rFonts w:ascii="Arial" w:hAnsi="Arial" w:cs="Arial"/>
          <w:sz w:val="22"/>
          <w:szCs w:val="22"/>
        </w:rPr>
        <w:t>55</w:t>
      </w:r>
      <w:r w:rsidR="006B44C8" w:rsidRPr="00F63CBD">
        <w:rPr>
          <w:rFonts w:ascii="Arial" w:hAnsi="Arial" w:cs="Arial"/>
          <w:sz w:val="22"/>
          <w:szCs w:val="22"/>
        </w:rPr>
        <w:t xml:space="preserve">%, respectivamente. </w:t>
      </w:r>
    </w:p>
    <w:p w14:paraId="122E57E0" w14:textId="77777777" w:rsidR="00665F67" w:rsidRPr="00F63CBD" w:rsidRDefault="00665F67" w:rsidP="00F25A26">
      <w:pPr>
        <w:jc w:val="both"/>
        <w:rPr>
          <w:rFonts w:ascii="Arial" w:hAnsi="Arial" w:cs="Arial"/>
          <w:sz w:val="22"/>
          <w:szCs w:val="22"/>
        </w:rPr>
      </w:pPr>
    </w:p>
    <w:p w14:paraId="28BFCFFA" w14:textId="0C522163" w:rsidR="00C51470" w:rsidRPr="00D02F1A" w:rsidRDefault="00C51470" w:rsidP="00F25A26">
      <w:pPr>
        <w:jc w:val="both"/>
        <w:rPr>
          <w:rFonts w:ascii="Arial" w:hAnsi="Arial" w:cs="Arial"/>
          <w:sz w:val="22"/>
          <w:szCs w:val="22"/>
        </w:rPr>
      </w:pPr>
      <w:r w:rsidRPr="00D02F1A">
        <w:rPr>
          <w:rFonts w:ascii="Arial" w:hAnsi="Arial" w:cs="Arial"/>
          <w:sz w:val="22"/>
          <w:szCs w:val="22"/>
        </w:rPr>
        <w:t xml:space="preserve">Referente a la disminución del </w:t>
      </w:r>
      <w:r w:rsidR="00636BDA" w:rsidRPr="00D02F1A">
        <w:rPr>
          <w:rFonts w:ascii="Arial" w:hAnsi="Arial" w:cs="Arial"/>
          <w:sz w:val="22"/>
          <w:szCs w:val="22"/>
        </w:rPr>
        <w:t>6</w:t>
      </w:r>
      <w:r w:rsidRPr="00D02F1A">
        <w:rPr>
          <w:rFonts w:ascii="Arial" w:hAnsi="Arial" w:cs="Arial"/>
          <w:sz w:val="22"/>
          <w:szCs w:val="22"/>
        </w:rPr>
        <w:t xml:space="preserve">4% del servicio de telefonía prestado por Avantel, la Subdirección de Servicios, informó que </w:t>
      </w:r>
      <w:r w:rsidR="00636BDA" w:rsidRPr="00D02F1A">
        <w:rPr>
          <w:rFonts w:ascii="Arial" w:hAnsi="Arial" w:cs="Arial"/>
          <w:sz w:val="22"/>
          <w:szCs w:val="22"/>
        </w:rPr>
        <w:t xml:space="preserve">durante el </w:t>
      </w:r>
      <w:r w:rsidR="00F70220">
        <w:rPr>
          <w:rFonts w:ascii="Arial" w:hAnsi="Arial" w:cs="Arial"/>
          <w:sz w:val="22"/>
          <w:szCs w:val="22"/>
        </w:rPr>
        <w:t xml:space="preserve">primer </w:t>
      </w:r>
      <w:r w:rsidR="00636BDA" w:rsidRPr="00D02F1A">
        <w:rPr>
          <w:rFonts w:ascii="Arial" w:hAnsi="Arial" w:cs="Arial"/>
          <w:sz w:val="22"/>
          <w:szCs w:val="22"/>
        </w:rPr>
        <w:t>trimestre de 2020 se solicitó la cancelación de las líneas telefónicas que no estaban en uso, lo anterior, con el fin de lograr</w:t>
      </w:r>
      <w:r w:rsidRPr="00D02F1A">
        <w:rPr>
          <w:rFonts w:ascii="Arial" w:hAnsi="Arial" w:cs="Arial"/>
          <w:sz w:val="22"/>
          <w:szCs w:val="22"/>
        </w:rPr>
        <w:t xml:space="preserve"> ahorros en el servicio de telefonía móvil</w:t>
      </w:r>
      <w:r w:rsidR="00636BDA" w:rsidRPr="00D02F1A">
        <w:rPr>
          <w:rFonts w:ascii="Arial" w:hAnsi="Arial" w:cs="Arial"/>
          <w:sz w:val="22"/>
          <w:szCs w:val="22"/>
        </w:rPr>
        <w:t>. E</w:t>
      </w:r>
      <w:r w:rsidR="00DF1A1B" w:rsidRPr="00D02F1A">
        <w:rPr>
          <w:rFonts w:ascii="Arial" w:hAnsi="Arial" w:cs="Arial"/>
          <w:sz w:val="22"/>
          <w:szCs w:val="22"/>
        </w:rPr>
        <w:t xml:space="preserve">n consecuencia, finalmente a 31 de marzo de 2020 se contaba con 3 líneas activas, significando lo anterior, una </w:t>
      </w:r>
      <w:r w:rsidR="008775FE" w:rsidRPr="00D02F1A">
        <w:rPr>
          <w:rFonts w:ascii="Arial" w:hAnsi="Arial" w:cs="Arial"/>
          <w:sz w:val="22"/>
          <w:szCs w:val="22"/>
        </w:rPr>
        <w:t xml:space="preserve">reducción </w:t>
      </w:r>
      <w:r w:rsidR="00DF1A1B" w:rsidRPr="00D02F1A">
        <w:rPr>
          <w:rFonts w:ascii="Arial" w:hAnsi="Arial" w:cs="Arial"/>
          <w:sz w:val="22"/>
          <w:szCs w:val="22"/>
        </w:rPr>
        <w:t>total de 7 líneas telefónicas</w:t>
      </w:r>
      <w:r w:rsidR="00636BDA" w:rsidRPr="00D02F1A">
        <w:rPr>
          <w:rFonts w:ascii="Arial" w:hAnsi="Arial" w:cs="Arial"/>
          <w:sz w:val="22"/>
          <w:szCs w:val="22"/>
        </w:rPr>
        <w:t xml:space="preserve">. </w:t>
      </w:r>
      <w:r w:rsidR="00DF1A1B" w:rsidRPr="00D02F1A">
        <w:rPr>
          <w:rFonts w:ascii="Arial" w:hAnsi="Arial" w:cs="Arial"/>
          <w:sz w:val="22"/>
          <w:szCs w:val="22"/>
        </w:rPr>
        <w:t xml:space="preserve">  </w:t>
      </w:r>
    </w:p>
    <w:p w14:paraId="6BFFD69F" w14:textId="50D9824E" w:rsidR="00C51470" w:rsidRPr="00CA48AF" w:rsidRDefault="00C51470" w:rsidP="0070175D">
      <w:pPr>
        <w:spacing w:line="168" w:lineRule="auto"/>
        <w:jc w:val="both"/>
        <w:rPr>
          <w:rFonts w:ascii="Arial" w:hAnsi="Arial" w:cs="Arial"/>
          <w:sz w:val="22"/>
          <w:szCs w:val="22"/>
          <w:highlight w:val="yellow"/>
        </w:rPr>
      </w:pPr>
    </w:p>
    <w:p w14:paraId="30E9DEFD" w14:textId="01AF4538" w:rsidR="00D036C9" w:rsidRPr="00D02F1A" w:rsidRDefault="006B44C8" w:rsidP="00D036C9">
      <w:pPr>
        <w:jc w:val="both"/>
        <w:rPr>
          <w:rFonts w:ascii="Arial" w:hAnsi="Arial" w:cs="Arial"/>
          <w:sz w:val="22"/>
          <w:szCs w:val="22"/>
        </w:rPr>
      </w:pPr>
      <w:r w:rsidRPr="00D02F1A">
        <w:rPr>
          <w:rFonts w:ascii="Arial" w:hAnsi="Arial" w:cs="Arial"/>
          <w:sz w:val="22"/>
          <w:szCs w:val="22"/>
        </w:rPr>
        <w:t>Con respecto a la variación negativa</w:t>
      </w:r>
      <w:r w:rsidR="00B234DB" w:rsidRPr="00D02F1A">
        <w:rPr>
          <w:rFonts w:ascii="Arial" w:hAnsi="Arial" w:cs="Arial"/>
          <w:sz w:val="22"/>
          <w:szCs w:val="22"/>
        </w:rPr>
        <w:t xml:space="preserve"> obtenida para el servicio de telefonía móvil ofrecido por </w:t>
      </w:r>
      <w:r w:rsidRPr="00D02F1A">
        <w:rPr>
          <w:rFonts w:ascii="Arial" w:hAnsi="Arial" w:cs="Arial"/>
          <w:sz w:val="22"/>
          <w:szCs w:val="22"/>
        </w:rPr>
        <w:t>Movistar</w:t>
      </w:r>
      <w:r w:rsidR="000F5B4A" w:rsidRPr="00D02F1A">
        <w:rPr>
          <w:rFonts w:ascii="Arial" w:hAnsi="Arial" w:cs="Arial"/>
          <w:sz w:val="22"/>
          <w:szCs w:val="22"/>
        </w:rPr>
        <w:t xml:space="preserve"> (</w:t>
      </w:r>
      <w:r w:rsidR="00D02F1A">
        <w:rPr>
          <w:rFonts w:ascii="Arial" w:hAnsi="Arial" w:cs="Arial"/>
          <w:sz w:val="22"/>
          <w:szCs w:val="22"/>
        </w:rPr>
        <w:t>55</w:t>
      </w:r>
      <w:r w:rsidR="000F5B4A" w:rsidRPr="00D02F1A">
        <w:rPr>
          <w:rFonts w:ascii="Arial" w:hAnsi="Arial" w:cs="Arial"/>
          <w:sz w:val="22"/>
          <w:szCs w:val="22"/>
        </w:rPr>
        <w:t xml:space="preserve">%), </w:t>
      </w:r>
      <w:r w:rsidR="00D036C9" w:rsidRPr="00D02F1A">
        <w:rPr>
          <w:rFonts w:ascii="Arial" w:hAnsi="Arial" w:cs="Arial"/>
          <w:sz w:val="22"/>
          <w:szCs w:val="22"/>
        </w:rPr>
        <w:t>obedeció en parte a las gestiones adelantadas por la Subdirección de Servicios en cuanto a los nuevos beneficios otorgados por Movistar para los planes de telefonía móvil contratados para la vigencia 2020 correspondiente a 22 líneas de telefonía celular, asignadas a los Directivos de este Ministerio y servicios de comunicación por plantas, igualmente, se disminuyó el número de líneas pasando de 24 a 22.</w:t>
      </w:r>
    </w:p>
    <w:p w14:paraId="06962264" w14:textId="48B1FCEA" w:rsidR="00D036C9" w:rsidRPr="00CA48AF" w:rsidRDefault="00D036C9" w:rsidP="004B734C">
      <w:pPr>
        <w:spacing w:line="168" w:lineRule="auto"/>
        <w:jc w:val="both"/>
        <w:rPr>
          <w:rFonts w:ascii="Arial" w:hAnsi="Arial" w:cs="Arial"/>
          <w:sz w:val="22"/>
          <w:szCs w:val="22"/>
          <w:highlight w:val="yellow"/>
        </w:rPr>
      </w:pPr>
    </w:p>
    <w:p w14:paraId="6F408BC0" w14:textId="0FD3CF70" w:rsidR="00D036C9" w:rsidRPr="00D02F1A" w:rsidRDefault="00D036C9" w:rsidP="00D036C9">
      <w:pPr>
        <w:jc w:val="both"/>
        <w:rPr>
          <w:rFonts w:ascii="Arial" w:hAnsi="Arial" w:cs="Arial"/>
          <w:color w:val="000000"/>
          <w:sz w:val="22"/>
          <w:szCs w:val="22"/>
          <w:bdr w:val="none" w:sz="0" w:space="0" w:color="auto" w:frame="1"/>
        </w:rPr>
      </w:pPr>
      <w:r w:rsidRPr="00D02F1A">
        <w:rPr>
          <w:rFonts w:ascii="Arial" w:hAnsi="Arial" w:cs="Arial"/>
          <w:sz w:val="22"/>
          <w:szCs w:val="22"/>
        </w:rPr>
        <w:t>Sin embargo, se identificaron otros factores que in</w:t>
      </w:r>
      <w:r w:rsidR="000F5B4A" w:rsidRPr="00D02F1A">
        <w:rPr>
          <w:rFonts w:ascii="Arial" w:hAnsi="Arial" w:cs="Arial"/>
          <w:sz w:val="22"/>
          <w:szCs w:val="22"/>
        </w:rPr>
        <w:t>f</w:t>
      </w:r>
      <w:r w:rsidRPr="00D02F1A">
        <w:rPr>
          <w:rFonts w:ascii="Arial" w:hAnsi="Arial" w:cs="Arial"/>
          <w:sz w:val="22"/>
          <w:szCs w:val="22"/>
        </w:rPr>
        <w:t>luyeron en la variación del gasto (disminución 68%</w:t>
      </w:r>
      <w:r w:rsidR="000F5B4A" w:rsidRPr="00D02F1A">
        <w:rPr>
          <w:rFonts w:ascii="Arial" w:hAnsi="Arial" w:cs="Arial"/>
          <w:sz w:val="22"/>
          <w:szCs w:val="22"/>
        </w:rPr>
        <w:t>)</w:t>
      </w:r>
      <w:r w:rsidRPr="00D02F1A">
        <w:rPr>
          <w:rFonts w:ascii="Arial" w:hAnsi="Arial" w:cs="Arial"/>
          <w:sz w:val="22"/>
          <w:szCs w:val="22"/>
        </w:rPr>
        <w:t xml:space="preserve"> presentada para el servicio contratado con Movistar, los cuales fueron derivados de las medidas impartidas por el Gobierno Nacional en virtud de la </w:t>
      </w:r>
      <w:r w:rsidRPr="00D02F1A">
        <w:rPr>
          <w:rFonts w:ascii="Arial" w:hAnsi="Arial" w:cs="Arial"/>
          <w:color w:val="000000"/>
          <w:sz w:val="22"/>
          <w:szCs w:val="22"/>
          <w:bdr w:val="none" w:sz="0" w:space="0" w:color="auto" w:frame="1"/>
        </w:rPr>
        <w:t xml:space="preserve">Emergencia Económica, Social y Ecológica [Covid-19], así: </w:t>
      </w:r>
    </w:p>
    <w:p w14:paraId="4BC9BD19" w14:textId="77777777" w:rsidR="004B734C" w:rsidRPr="00D02F1A" w:rsidRDefault="004B734C" w:rsidP="004B734C">
      <w:pPr>
        <w:spacing w:line="168" w:lineRule="auto"/>
        <w:jc w:val="both"/>
        <w:rPr>
          <w:rFonts w:ascii="Arial" w:hAnsi="Arial" w:cs="Arial"/>
          <w:color w:val="000000"/>
          <w:sz w:val="22"/>
          <w:szCs w:val="22"/>
          <w:bdr w:val="none" w:sz="0" w:space="0" w:color="auto" w:frame="1"/>
        </w:rPr>
      </w:pPr>
    </w:p>
    <w:p w14:paraId="01347454" w14:textId="014D546A" w:rsidR="00D036C9" w:rsidRPr="00D02F1A" w:rsidRDefault="00D036C9" w:rsidP="00D036C9">
      <w:pPr>
        <w:pStyle w:val="Prrafodelista"/>
        <w:numPr>
          <w:ilvl w:val="0"/>
          <w:numId w:val="28"/>
        </w:numPr>
        <w:rPr>
          <w:rFonts w:ascii="Arial" w:hAnsi="Arial" w:cs="Arial"/>
          <w:sz w:val="22"/>
          <w:szCs w:val="22"/>
        </w:rPr>
      </w:pPr>
      <w:r w:rsidRPr="00D02F1A">
        <w:rPr>
          <w:rFonts w:ascii="Arial" w:hAnsi="Arial" w:cs="Arial"/>
          <w:sz w:val="22"/>
          <w:szCs w:val="22"/>
        </w:rPr>
        <w:t>De conformidad con</w:t>
      </w:r>
      <w:r w:rsidR="002E58F2" w:rsidRPr="00D02F1A">
        <w:rPr>
          <w:rFonts w:ascii="Arial" w:hAnsi="Arial" w:cs="Arial"/>
          <w:sz w:val="22"/>
          <w:szCs w:val="22"/>
        </w:rPr>
        <w:t xml:space="preserve"> lo establecido en</w:t>
      </w:r>
      <w:r w:rsidRPr="00D02F1A">
        <w:rPr>
          <w:rFonts w:ascii="Arial" w:hAnsi="Arial" w:cs="Arial"/>
          <w:sz w:val="22"/>
          <w:szCs w:val="22"/>
        </w:rPr>
        <w:t xml:space="preserve"> el Decreto Legislativo </w:t>
      </w:r>
      <w:r w:rsidR="00157138" w:rsidRPr="00D02F1A">
        <w:rPr>
          <w:rFonts w:ascii="Arial" w:hAnsi="Arial" w:cs="Arial"/>
          <w:sz w:val="22"/>
          <w:szCs w:val="22"/>
        </w:rPr>
        <w:t xml:space="preserve">540 de </w:t>
      </w:r>
      <w:r w:rsidR="0055506A" w:rsidRPr="00D02F1A">
        <w:rPr>
          <w:rFonts w:ascii="Arial" w:hAnsi="Arial" w:cs="Arial"/>
          <w:sz w:val="22"/>
          <w:szCs w:val="22"/>
        </w:rPr>
        <w:t xml:space="preserve">13 de abril de </w:t>
      </w:r>
      <w:r w:rsidR="00157138" w:rsidRPr="00D02F1A">
        <w:rPr>
          <w:rFonts w:ascii="Arial" w:hAnsi="Arial" w:cs="Arial"/>
          <w:sz w:val="22"/>
          <w:szCs w:val="22"/>
        </w:rPr>
        <w:t>2020</w:t>
      </w:r>
      <w:r w:rsidRPr="00D02F1A">
        <w:rPr>
          <w:rStyle w:val="Refdenotaalpie"/>
          <w:rFonts w:ascii="Arial" w:hAnsi="Arial" w:cs="Arial"/>
          <w:sz w:val="22"/>
          <w:szCs w:val="22"/>
        </w:rPr>
        <w:footnoteReference w:id="10"/>
      </w:r>
      <w:r w:rsidR="00157138" w:rsidRPr="00D02F1A">
        <w:rPr>
          <w:rFonts w:ascii="Arial" w:hAnsi="Arial" w:cs="Arial"/>
          <w:sz w:val="22"/>
          <w:szCs w:val="22"/>
        </w:rPr>
        <w:t xml:space="preserve"> el Gobierno Nacional </w:t>
      </w:r>
      <w:r w:rsidR="002E58F2" w:rsidRPr="00D02F1A">
        <w:rPr>
          <w:rFonts w:ascii="Arial" w:hAnsi="Arial" w:cs="Arial"/>
          <w:sz w:val="22"/>
          <w:szCs w:val="22"/>
        </w:rPr>
        <w:t xml:space="preserve">estableció </w:t>
      </w:r>
      <w:r w:rsidR="00310897" w:rsidRPr="00D02F1A">
        <w:rPr>
          <w:rFonts w:ascii="Arial" w:hAnsi="Arial" w:cs="Arial"/>
          <w:sz w:val="22"/>
          <w:szCs w:val="22"/>
        </w:rPr>
        <w:t>que,</w:t>
      </w:r>
      <w:r w:rsidR="00157138" w:rsidRPr="00D02F1A">
        <w:rPr>
          <w:rFonts w:ascii="Arial" w:hAnsi="Arial" w:cs="Arial"/>
          <w:sz w:val="22"/>
          <w:szCs w:val="22"/>
        </w:rPr>
        <w:t xml:space="preserve"> </w:t>
      </w:r>
      <w:r w:rsidR="00310897" w:rsidRPr="00D02F1A">
        <w:rPr>
          <w:rFonts w:ascii="Arial" w:hAnsi="Arial" w:cs="Arial"/>
          <w:sz w:val="22"/>
          <w:szCs w:val="22"/>
        </w:rPr>
        <w:t xml:space="preserve">durante </w:t>
      </w:r>
      <w:r w:rsidR="0055506A" w:rsidRPr="00D02F1A">
        <w:rPr>
          <w:rFonts w:ascii="Arial" w:hAnsi="Arial" w:cs="Arial"/>
          <w:sz w:val="22"/>
          <w:szCs w:val="22"/>
        </w:rPr>
        <w:t xml:space="preserve">los </w:t>
      </w:r>
      <w:r w:rsidR="00157138" w:rsidRPr="00D02F1A">
        <w:rPr>
          <w:rFonts w:ascii="Arial" w:hAnsi="Arial" w:cs="Arial"/>
          <w:sz w:val="22"/>
          <w:szCs w:val="22"/>
        </w:rPr>
        <w:t xml:space="preserve">4 meses siguientes a la expedición del </w:t>
      </w:r>
      <w:r w:rsidR="00310897" w:rsidRPr="00D02F1A">
        <w:rPr>
          <w:rFonts w:ascii="Arial" w:hAnsi="Arial" w:cs="Arial"/>
          <w:sz w:val="22"/>
          <w:szCs w:val="22"/>
        </w:rPr>
        <w:t xml:space="preserve">citado </w:t>
      </w:r>
      <w:r w:rsidR="00157138" w:rsidRPr="00D02F1A">
        <w:rPr>
          <w:rFonts w:ascii="Arial" w:hAnsi="Arial" w:cs="Arial"/>
          <w:sz w:val="22"/>
          <w:szCs w:val="22"/>
        </w:rPr>
        <w:t>Decreto</w:t>
      </w:r>
      <w:r w:rsidR="00787DB0" w:rsidRPr="00D02F1A">
        <w:rPr>
          <w:rFonts w:ascii="Arial" w:hAnsi="Arial" w:cs="Arial"/>
          <w:sz w:val="22"/>
          <w:szCs w:val="22"/>
        </w:rPr>
        <w:t xml:space="preserve"> </w:t>
      </w:r>
      <w:r w:rsidR="00157138" w:rsidRPr="00D02F1A">
        <w:rPr>
          <w:rFonts w:ascii="Arial" w:hAnsi="Arial" w:cs="Arial"/>
          <w:sz w:val="22"/>
          <w:szCs w:val="22"/>
        </w:rPr>
        <w:t>estar</w:t>
      </w:r>
      <w:r w:rsidR="00787DB0" w:rsidRPr="00D02F1A">
        <w:rPr>
          <w:rFonts w:ascii="Arial" w:hAnsi="Arial" w:cs="Arial"/>
          <w:sz w:val="22"/>
          <w:szCs w:val="22"/>
        </w:rPr>
        <w:t>ía</w:t>
      </w:r>
      <w:r w:rsidR="00157138" w:rsidRPr="00D02F1A">
        <w:rPr>
          <w:rFonts w:ascii="Arial" w:hAnsi="Arial" w:cs="Arial"/>
          <w:sz w:val="22"/>
          <w:szCs w:val="22"/>
        </w:rPr>
        <w:t xml:space="preserve">n exentos del </w:t>
      </w:r>
      <w:r w:rsidR="00310897" w:rsidRPr="00D02F1A">
        <w:rPr>
          <w:rFonts w:ascii="Arial" w:hAnsi="Arial" w:cs="Arial"/>
          <w:sz w:val="22"/>
          <w:szCs w:val="22"/>
        </w:rPr>
        <w:t>I</w:t>
      </w:r>
      <w:r w:rsidR="00157138" w:rsidRPr="00D02F1A">
        <w:rPr>
          <w:rFonts w:ascii="Arial" w:hAnsi="Arial" w:cs="Arial"/>
          <w:sz w:val="22"/>
          <w:szCs w:val="22"/>
        </w:rPr>
        <w:t>mp</w:t>
      </w:r>
      <w:r w:rsidR="00310897" w:rsidRPr="00D02F1A">
        <w:rPr>
          <w:rFonts w:ascii="Arial" w:hAnsi="Arial" w:cs="Arial"/>
          <w:sz w:val="22"/>
          <w:szCs w:val="22"/>
        </w:rPr>
        <w:t>uesto S</w:t>
      </w:r>
      <w:r w:rsidR="00157138" w:rsidRPr="00D02F1A">
        <w:rPr>
          <w:rFonts w:ascii="Arial" w:hAnsi="Arial" w:cs="Arial"/>
          <w:sz w:val="22"/>
          <w:szCs w:val="22"/>
        </w:rPr>
        <w:t xml:space="preserve">obre las </w:t>
      </w:r>
      <w:r w:rsidR="00310897" w:rsidRPr="00D02F1A">
        <w:rPr>
          <w:rFonts w:ascii="Arial" w:hAnsi="Arial" w:cs="Arial"/>
          <w:sz w:val="22"/>
          <w:szCs w:val="22"/>
        </w:rPr>
        <w:t>V</w:t>
      </w:r>
      <w:r w:rsidR="00157138" w:rsidRPr="00D02F1A">
        <w:rPr>
          <w:rFonts w:ascii="Arial" w:hAnsi="Arial" w:cs="Arial"/>
          <w:sz w:val="22"/>
          <w:szCs w:val="22"/>
        </w:rPr>
        <w:t xml:space="preserve">entas (IVA) los </w:t>
      </w:r>
      <w:r w:rsidR="00310897" w:rsidRPr="00D02F1A">
        <w:rPr>
          <w:rFonts w:ascii="Arial" w:hAnsi="Arial" w:cs="Arial"/>
          <w:sz w:val="22"/>
          <w:szCs w:val="22"/>
        </w:rPr>
        <w:t>servicios de</w:t>
      </w:r>
      <w:r w:rsidR="00157138" w:rsidRPr="00D02F1A">
        <w:rPr>
          <w:rFonts w:ascii="Arial" w:hAnsi="Arial" w:cs="Arial"/>
          <w:sz w:val="22"/>
          <w:szCs w:val="22"/>
        </w:rPr>
        <w:t xml:space="preserve"> conexión y acceso a voz e Inte</w:t>
      </w:r>
      <w:r w:rsidR="00310897" w:rsidRPr="00D02F1A">
        <w:rPr>
          <w:rFonts w:ascii="Arial" w:hAnsi="Arial" w:cs="Arial"/>
          <w:sz w:val="22"/>
          <w:szCs w:val="22"/>
        </w:rPr>
        <w:t>rn</w:t>
      </w:r>
      <w:r w:rsidR="00157138" w:rsidRPr="00D02F1A">
        <w:rPr>
          <w:rFonts w:ascii="Arial" w:hAnsi="Arial" w:cs="Arial"/>
          <w:sz w:val="22"/>
          <w:szCs w:val="22"/>
        </w:rPr>
        <w:t>et móviles</w:t>
      </w:r>
      <w:r w:rsidR="00787DB0" w:rsidRPr="00D02F1A">
        <w:rPr>
          <w:rFonts w:ascii="Arial" w:hAnsi="Arial" w:cs="Arial"/>
          <w:sz w:val="22"/>
          <w:szCs w:val="22"/>
        </w:rPr>
        <w:t xml:space="preserve">. Por tal razón, la empresa de telefonía Movistar durante </w:t>
      </w:r>
      <w:r w:rsidR="00D02F1A" w:rsidRPr="00D02F1A">
        <w:rPr>
          <w:rFonts w:ascii="Arial" w:hAnsi="Arial" w:cs="Arial"/>
          <w:sz w:val="22"/>
          <w:szCs w:val="22"/>
        </w:rPr>
        <w:t xml:space="preserve">el periodo de </w:t>
      </w:r>
      <w:r w:rsidR="00787DB0" w:rsidRPr="00D02F1A">
        <w:rPr>
          <w:rFonts w:ascii="Arial" w:hAnsi="Arial" w:cs="Arial"/>
          <w:sz w:val="22"/>
          <w:szCs w:val="22"/>
        </w:rPr>
        <w:t xml:space="preserve">servicio </w:t>
      </w:r>
      <w:r w:rsidR="00D91833" w:rsidRPr="00D02F1A">
        <w:rPr>
          <w:rFonts w:ascii="Arial" w:hAnsi="Arial" w:cs="Arial"/>
          <w:sz w:val="22"/>
          <w:szCs w:val="22"/>
        </w:rPr>
        <w:t>de</w:t>
      </w:r>
      <w:r w:rsidR="00787DB0" w:rsidRPr="00D02F1A">
        <w:rPr>
          <w:rFonts w:ascii="Arial" w:hAnsi="Arial" w:cs="Arial"/>
          <w:sz w:val="22"/>
          <w:szCs w:val="22"/>
        </w:rPr>
        <w:t xml:space="preserve"> </w:t>
      </w:r>
      <w:r w:rsidR="00D02F1A" w:rsidRPr="00D02F1A">
        <w:rPr>
          <w:rFonts w:ascii="Arial" w:hAnsi="Arial" w:cs="Arial"/>
          <w:sz w:val="22"/>
          <w:szCs w:val="22"/>
        </w:rPr>
        <w:t xml:space="preserve">julio de </w:t>
      </w:r>
      <w:r w:rsidR="00787DB0" w:rsidRPr="00D02F1A">
        <w:rPr>
          <w:rFonts w:ascii="Arial" w:hAnsi="Arial" w:cs="Arial"/>
          <w:sz w:val="22"/>
          <w:szCs w:val="22"/>
        </w:rPr>
        <w:t xml:space="preserve">2020 no efectuó </w:t>
      </w:r>
      <w:r w:rsidR="0055506A" w:rsidRPr="00D02F1A">
        <w:rPr>
          <w:rFonts w:ascii="Arial" w:hAnsi="Arial" w:cs="Arial"/>
          <w:sz w:val="22"/>
          <w:szCs w:val="22"/>
        </w:rPr>
        <w:t xml:space="preserve">el </w:t>
      </w:r>
      <w:r w:rsidR="00787DB0" w:rsidRPr="00D02F1A">
        <w:rPr>
          <w:rFonts w:ascii="Arial" w:hAnsi="Arial" w:cs="Arial"/>
          <w:sz w:val="22"/>
          <w:szCs w:val="22"/>
        </w:rPr>
        <w:t xml:space="preserve">cobro </w:t>
      </w:r>
      <w:r w:rsidR="0055506A" w:rsidRPr="00D02F1A">
        <w:rPr>
          <w:rFonts w:ascii="Arial" w:hAnsi="Arial" w:cs="Arial"/>
          <w:sz w:val="22"/>
          <w:szCs w:val="22"/>
        </w:rPr>
        <w:t xml:space="preserve">por concepto de IVA </w:t>
      </w:r>
      <w:r w:rsidR="00787DB0" w:rsidRPr="00D02F1A">
        <w:rPr>
          <w:rFonts w:ascii="Arial" w:hAnsi="Arial" w:cs="Arial"/>
          <w:sz w:val="22"/>
          <w:szCs w:val="22"/>
        </w:rPr>
        <w:t xml:space="preserve">en la respectiva facturación, el cual significó un ahorro de $ </w:t>
      </w:r>
      <w:r w:rsidR="00D02F1A" w:rsidRPr="00D02F1A">
        <w:rPr>
          <w:rFonts w:ascii="Arial" w:hAnsi="Arial" w:cs="Arial"/>
          <w:sz w:val="22"/>
          <w:szCs w:val="22"/>
        </w:rPr>
        <w:t>229.402</w:t>
      </w:r>
      <w:r w:rsidR="00787DB0" w:rsidRPr="00D02F1A">
        <w:rPr>
          <w:rFonts w:ascii="Arial" w:hAnsi="Arial" w:cs="Arial"/>
          <w:sz w:val="22"/>
          <w:szCs w:val="22"/>
        </w:rPr>
        <w:t xml:space="preserve">. </w:t>
      </w:r>
    </w:p>
    <w:p w14:paraId="458EC052" w14:textId="77777777" w:rsidR="00D02F1A" w:rsidRPr="00CA48AF" w:rsidRDefault="00D02F1A" w:rsidP="00D02F1A">
      <w:pPr>
        <w:pStyle w:val="Prrafodelista"/>
        <w:ind w:left="360"/>
        <w:rPr>
          <w:rFonts w:ascii="Arial" w:hAnsi="Arial" w:cs="Arial"/>
          <w:sz w:val="22"/>
          <w:szCs w:val="22"/>
          <w:highlight w:val="yellow"/>
        </w:rPr>
      </w:pPr>
    </w:p>
    <w:p w14:paraId="373AC60D" w14:textId="4E952B48" w:rsidR="001F65D2" w:rsidRPr="00F572A4" w:rsidRDefault="001F65D2" w:rsidP="001F65D2">
      <w:pPr>
        <w:pStyle w:val="Prrafodelista"/>
        <w:ind w:left="360"/>
        <w:rPr>
          <w:rFonts w:ascii="Arial" w:hAnsi="Arial" w:cs="Arial"/>
          <w:sz w:val="22"/>
          <w:szCs w:val="22"/>
        </w:rPr>
      </w:pPr>
      <w:r w:rsidRPr="00F572A4">
        <w:rPr>
          <w:rFonts w:ascii="Arial" w:hAnsi="Arial" w:cs="Arial"/>
          <w:sz w:val="22"/>
          <w:szCs w:val="22"/>
        </w:rPr>
        <w:t xml:space="preserve">En este punto se precisa que, las empresas Avantel y Claro no aplicaron la medida defina en el Decreto 540 de 2020, toda vez que, si bien el servicio está catalogado como telefonía móvil, los planes facturados </w:t>
      </w:r>
      <w:r w:rsidR="00A87DCD" w:rsidRPr="00F572A4">
        <w:rPr>
          <w:rFonts w:ascii="Arial" w:hAnsi="Arial" w:cs="Arial"/>
          <w:sz w:val="22"/>
          <w:szCs w:val="22"/>
        </w:rPr>
        <w:t xml:space="preserve">por Avantel </w:t>
      </w:r>
      <w:r w:rsidRPr="00F572A4">
        <w:rPr>
          <w:rFonts w:ascii="Arial" w:hAnsi="Arial" w:cs="Arial"/>
          <w:sz w:val="22"/>
          <w:szCs w:val="22"/>
        </w:rPr>
        <w:t xml:space="preserve">corresponden a servicios </w:t>
      </w:r>
      <w:proofErr w:type="spellStart"/>
      <w:r w:rsidRPr="00F572A4">
        <w:rPr>
          <w:rFonts w:ascii="Arial" w:hAnsi="Arial" w:cs="Arial"/>
          <w:sz w:val="22"/>
          <w:szCs w:val="22"/>
        </w:rPr>
        <w:t>Trunking</w:t>
      </w:r>
      <w:proofErr w:type="spellEnd"/>
      <w:r w:rsidRPr="00F572A4">
        <w:rPr>
          <w:rStyle w:val="Refdenotaalpie"/>
          <w:rFonts w:ascii="Arial" w:hAnsi="Arial" w:cs="Arial"/>
          <w:sz w:val="22"/>
          <w:szCs w:val="22"/>
        </w:rPr>
        <w:footnoteReference w:id="11"/>
      </w:r>
      <w:r w:rsidR="00A87DCD" w:rsidRPr="00F572A4">
        <w:rPr>
          <w:rFonts w:ascii="Arial" w:hAnsi="Arial" w:cs="Arial"/>
          <w:sz w:val="22"/>
          <w:szCs w:val="22"/>
        </w:rPr>
        <w:t xml:space="preserve"> y para Claro, son servicios de telefonía</w:t>
      </w:r>
      <w:r w:rsidR="00B442C9" w:rsidRPr="00F572A4">
        <w:rPr>
          <w:rFonts w:ascii="Arial" w:hAnsi="Arial" w:cs="Arial"/>
          <w:sz w:val="22"/>
          <w:szCs w:val="22"/>
        </w:rPr>
        <w:t xml:space="preserve"> </w:t>
      </w:r>
      <w:r w:rsidR="00B442C9" w:rsidRPr="00F572A4">
        <w:rPr>
          <w:rFonts w:ascii="Arial" w:eastAsia="Times New Roman" w:hAnsi="Arial" w:cs="Arial"/>
          <w:color w:val="000000"/>
          <w:sz w:val="22"/>
          <w:szCs w:val="22"/>
          <w:lang w:eastAsia="es-CO"/>
        </w:rPr>
        <w:t xml:space="preserve">de comunicación </w:t>
      </w:r>
      <w:r w:rsidR="00D11A76">
        <w:rPr>
          <w:rFonts w:ascii="Arial" w:eastAsia="Times New Roman" w:hAnsi="Arial" w:cs="Arial"/>
          <w:color w:val="000000"/>
          <w:sz w:val="22"/>
          <w:szCs w:val="22"/>
          <w:lang w:eastAsia="es-CO"/>
        </w:rPr>
        <w:t>por</w:t>
      </w:r>
      <w:r w:rsidR="00B442C9" w:rsidRPr="00F572A4">
        <w:rPr>
          <w:rFonts w:ascii="Arial" w:eastAsia="Times New Roman" w:hAnsi="Arial" w:cs="Arial"/>
          <w:color w:val="000000"/>
          <w:sz w:val="22"/>
          <w:szCs w:val="22"/>
          <w:lang w:eastAsia="es-CO"/>
        </w:rPr>
        <w:t xml:space="preserve"> plantas. </w:t>
      </w:r>
    </w:p>
    <w:p w14:paraId="695F2F8C" w14:textId="77777777" w:rsidR="00787DB0" w:rsidRPr="00CA48AF" w:rsidRDefault="00787DB0" w:rsidP="004B734C">
      <w:pPr>
        <w:pStyle w:val="Prrafodelista"/>
        <w:spacing w:line="168" w:lineRule="auto"/>
        <w:ind w:left="357"/>
        <w:contextualSpacing w:val="0"/>
        <w:rPr>
          <w:rFonts w:ascii="Arial" w:hAnsi="Arial" w:cs="Arial"/>
          <w:sz w:val="22"/>
          <w:szCs w:val="22"/>
          <w:highlight w:val="yellow"/>
        </w:rPr>
      </w:pPr>
    </w:p>
    <w:p w14:paraId="6D8B21E8" w14:textId="37CE8902" w:rsidR="000A6448" w:rsidRPr="00BC29C6" w:rsidRDefault="000F5B4A" w:rsidP="00665F67">
      <w:pPr>
        <w:pStyle w:val="Prrafodelista"/>
        <w:numPr>
          <w:ilvl w:val="0"/>
          <w:numId w:val="28"/>
        </w:numPr>
        <w:contextualSpacing w:val="0"/>
        <w:rPr>
          <w:rFonts w:ascii="Arial" w:hAnsi="Arial" w:cs="Arial"/>
          <w:sz w:val="22"/>
          <w:szCs w:val="22"/>
        </w:rPr>
      </w:pPr>
      <w:r w:rsidRPr="00BC29C6">
        <w:rPr>
          <w:rFonts w:ascii="Arial" w:hAnsi="Arial" w:cs="Arial"/>
          <w:sz w:val="22"/>
          <w:szCs w:val="22"/>
        </w:rPr>
        <w:lastRenderedPageBreak/>
        <w:t xml:space="preserve">Teniendo en cuenta, </w:t>
      </w:r>
      <w:r w:rsidR="00381D94" w:rsidRPr="00BC29C6">
        <w:rPr>
          <w:rFonts w:ascii="Arial" w:hAnsi="Arial" w:cs="Arial"/>
          <w:sz w:val="22"/>
          <w:szCs w:val="22"/>
        </w:rPr>
        <w:t xml:space="preserve">las </w:t>
      </w:r>
      <w:r w:rsidR="00787DB0" w:rsidRPr="00BC29C6">
        <w:rPr>
          <w:rFonts w:ascii="Arial" w:hAnsi="Arial" w:cs="Arial"/>
          <w:sz w:val="22"/>
          <w:szCs w:val="22"/>
        </w:rPr>
        <w:t xml:space="preserve">medidas impartidas en materia de movilidad durante el periodo de aislamiento preventivo obligatorio, los Directivos de </w:t>
      </w:r>
      <w:r w:rsidR="00CA2012" w:rsidRPr="00BC29C6">
        <w:rPr>
          <w:rFonts w:ascii="Arial" w:hAnsi="Arial" w:cs="Arial"/>
          <w:sz w:val="22"/>
          <w:szCs w:val="22"/>
        </w:rPr>
        <w:t>esta</w:t>
      </w:r>
      <w:r w:rsidR="00787DB0" w:rsidRPr="00BC29C6">
        <w:rPr>
          <w:rFonts w:ascii="Arial" w:hAnsi="Arial" w:cs="Arial"/>
          <w:sz w:val="22"/>
          <w:szCs w:val="22"/>
        </w:rPr>
        <w:t xml:space="preserve"> entidad</w:t>
      </w:r>
      <w:r w:rsidR="00381D94" w:rsidRPr="00BC29C6">
        <w:rPr>
          <w:rFonts w:ascii="Arial" w:hAnsi="Arial" w:cs="Arial"/>
          <w:sz w:val="22"/>
          <w:szCs w:val="22"/>
        </w:rPr>
        <w:t>,</w:t>
      </w:r>
      <w:r w:rsidR="00787DB0" w:rsidRPr="00BC29C6">
        <w:rPr>
          <w:rFonts w:ascii="Arial" w:hAnsi="Arial" w:cs="Arial"/>
          <w:sz w:val="22"/>
          <w:szCs w:val="22"/>
        </w:rPr>
        <w:t xml:space="preserve"> los cuales tienen asignados las líneas telefónica</w:t>
      </w:r>
      <w:r w:rsidR="00381D94" w:rsidRPr="00BC29C6">
        <w:rPr>
          <w:rFonts w:ascii="Arial" w:hAnsi="Arial" w:cs="Arial"/>
          <w:sz w:val="22"/>
          <w:szCs w:val="22"/>
        </w:rPr>
        <w:t>s</w:t>
      </w:r>
      <w:r w:rsidR="00787DB0" w:rsidRPr="00BC29C6">
        <w:rPr>
          <w:rFonts w:ascii="Arial" w:hAnsi="Arial" w:cs="Arial"/>
          <w:sz w:val="22"/>
          <w:szCs w:val="22"/>
        </w:rPr>
        <w:t xml:space="preserve"> no</w:t>
      </w:r>
      <w:r w:rsidR="0069749C" w:rsidRPr="00BC29C6">
        <w:rPr>
          <w:rFonts w:ascii="Arial" w:hAnsi="Arial" w:cs="Arial"/>
          <w:sz w:val="22"/>
          <w:szCs w:val="22"/>
        </w:rPr>
        <w:t xml:space="preserve"> e</w:t>
      </w:r>
      <w:r w:rsidR="00787DB0" w:rsidRPr="00BC29C6">
        <w:rPr>
          <w:rFonts w:ascii="Arial" w:hAnsi="Arial" w:cs="Arial"/>
          <w:sz w:val="22"/>
          <w:szCs w:val="22"/>
        </w:rPr>
        <w:t>fectuaron comisiones al exterior, en consecuencia, los servicios adicionales</w:t>
      </w:r>
      <w:r w:rsidR="00CF442B" w:rsidRPr="00BC29C6">
        <w:rPr>
          <w:rFonts w:ascii="Arial" w:hAnsi="Arial" w:cs="Arial"/>
          <w:sz w:val="22"/>
          <w:szCs w:val="22"/>
        </w:rPr>
        <w:t xml:space="preserve"> a manera de ejemplo, </w:t>
      </w:r>
      <w:r w:rsidR="00CF442B" w:rsidRPr="00BC29C6">
        <w:rPr>
          <w:rFonts w:ascii="Arial" w:hAnsi="Arial" w:cs="Arial"/>
          <w:i/>
          <w:iCs/>
          <w:sz w:val="22"/>
          <w:szCs w:val="22"/>
        </w:rPr>
        <w:t>el</w:t>
      </w:r>
      <w:r w:rsidR="00787DB0" w:rsidRPr="00BC29C6">
        <w:rPr>
          <w:rFonts w:ascii="Arial" w:hAnsi="Arial" w:cs="Arial"/>
          <w:i/>
          <w:iCs/>
          <w:sz w:val="22"/>
          <w:szCs w:val="22"/>
        </w:rPr>
        <w:t xml:space="preserve"> </w:t>
      </w:r>
      <w:proofErr w:type="spellStart"/>
      <w:r w:rsidR="00787DB0" w:rsidRPr="00BC29C6">
        <w:rPr>
          <w:rFonts w:ascii="Arial" w:hAnsi="Arial" w:cs="Arial"/>
          <w:i/>
          <w:iCs/>
          <w:sz w:val="22"/>
          <w:szCs w:val="22"/>
        </w:rPr>
        <w:t>roaming</w:t>
      </w:r>
      <w:proofErr w:type="spellEnd"/>
      <w:r w:rsidR="00787DB0" w:rsidRPr="00BC29C6">
        <w:rPr>
          <w:rFonts w:ascii="Arial" w:hAnsi="Arial" w:cs="Arial"/>
          <w:i/>
          <w:iCs/>
          <w:sz w:val="22"/>
          <w:szCs w:val="22"/>
        </w:rPr>
        <w:t xml:space="preserve"> </w:t>
      </w:r>
      <w:r w:rsidR="00CF442B" w:rsidRPr="00BC29C6">
        <w:rPr>
          <w:rFonts w:ascii="Arial" w:hAnsi="Arial" w:cs="Arial"/>
          <w:i/>
          <w:iCs/>
          <w:sz w:val="22"/>
          <w:szCs w:val="22"/>
        </w:rPr>
        <w:t>internacional</w:t>
      </w:r>
      <w:r w:rsidR="00CF442B" w:rsidRPr="00BC29C6">
        <w:rPr>
          <w:rFonts w:ascii="Arial" w:hAnsi="Arial" w:cs="Arial"/>
          <w:sz w:val="22"/>
          <w:szCs w:val="22"/>
        </w:rPr>
        <w:t xml:space="preserve"> no fueron utilizados durante los periodos que conforman el </w:t>
      </w:r>
      <w:r w:rsidR="00F572A4" w:rsidRPr="00BC29C6">
        <w:rPr>
          <w:rFonts w:ascii="Arial" w:hAnsi="Arial" w:cs="Arial"/>
          <w:sz w:val="22"/>
          <w:szCs w:val="22"/>
        </w:rPr>
        <w:t xml:space="preserve">tercer </w:t>
      </w:r>
      <w:r w:rsidR="00CF442B" w:rsidRPr="00BC29C6">
        <w:rPr>
          <w:rFonts w:ascii="Arial" w:hAnsi="Arial" w:cs="Arial"/>
          <w:sz w:val="22"/>
          <w:szCs w:val="22"/>
        </w:rPr>
        <w:t>trimestre de 2020</w:t>
      </w:r>
      <w:r w:rsidR="0069749C" w:rsidRPr="00BC29C6">
        <w:rPr>
          <w:rFonts w:ascii="Arial" w:hAnsi="Arial" w:cs="Arial"/>
          <w:sz w:val="22"/>
          <w:szCs w:val="22"/>
        </w:rPr>
        <w:t>,</w:t>
      </w:r>
      <w:r w:rsidR="00CF442B" w:rsidRPr="00BC29C6">
        <w:rPr>
          <w:rFonts w:ascii="Arial" w:hAnsi="Arial" w:cs="Arial"/>
          <w:sz w:val="22"/>
          <w:szCs w:val="22"/>
        </w:rPr>
        <w:t xml:space="preserve"> generando una reducción en </w:t>
      </w:r>
      <w:r w:rsidR="00381D94" w:rsidRPr="00BC29C6">
        <w:rPr>
          <w:rFonts w:ascii="Arial" w:hAnsi="Arial" w:cs="Arial"/>
          <w:sz w:val="22"/>
          <w:szCs w:val="22"/>
        </w:rPr>
        <w:t xml:space="preserve">el gasto por </w:t>
      </w:r>
      <w:r w:rsidR="00CF442B" w:rsidRPr="00BC29C6">
        <w:rPr>
          <w:rFonts w:ascii="Arial" w:hAnsi="Arial" w:cs="Arial"/>
          <w:sz w:val="22"/>
          <w:szCs w:val="22"/>
        </w:rPr>
        <w:t>servicio</w:t>
      </w:r>
      <w:r w:rsidR="008649F8" w:rsidRPr="00BC29C6">
        <w:rPr>
          <w:rFonts w:ascii="Arial" w:hAnsi="Arial" w:cs="Arial"/>
          <w:sz w:val="22"/>
          <w:szCs w:val="22"/>
        </w:rPr>
        <w:t xml:space="preserve"> adicionales </w:t>
      </w:r>
      <w:r w:rsidR="00CF442B" w:rsidRPr="00BC29C6">
        <w:rPr>
          <w:rFonts w:ascii="Arial" w:hAnsi="Arial" w:cs="Arial"/>
          <w:sz w:val="22"/>
          <w:szCs w:val="22"/>
        </w:rPr>
        <w:t>de telefonía facturados</w:t>
      </w:r>
      <w:r w:rsidR="00381D94" w:rsidRPr="00BC29C6">
        <w:rPr>
          <w:rFonts w:ascii="Arial" w:hAnsi="Arial" w:cs="Arial"/>
          <w:sz w:val="22"/>
          <w:szCs w:val="22"/>
        </w:rPr>
        <w:t xml:space="preserve"> para </w:t>
      </w:r>
      <w:r w:rsidR="00F572A4" w:rsidRPr="00BC29C6">
        <w:rPr>
          <w:rFonts w:ascii="Arial" w:hAnsi="Arial" w:cs="Arial"/>
          <w:sz w:val="22"/>
          <w:szCs w:val="22"/>
        </w:rPr>
        <w:t xml:space="preserve">el </w:t>
      </w:r>
      <w:r w:rsidR="00381D94" w:rsidRPr="00BC29C6">
        <w:rPr>
          <w:rFonts w:ascii="Arial" w:hAnsi="Arial" w:cs="Arial"/>
          <w:sz w:val="22"/>
          <w:szCs w:val="22"/>
        </w:rPr>
        <w:t xml:space="preserve">trimestre objeto de verificación. </w:t>
      </w:r>
    </w:p>
    <w:p w14:paraId="0DA0B9EB" w14:textId="77777777" w:rsidR="000A6448" w:rsidRPr="00BC29C6" w:rsidRDefault="000A6448" w:rsidP="00665F67">
      <w:pPr>
        <w:pStyle w:val="Prrafodelista"/>
        <w:ind w:left="357"/>
        <w:contextualSpacing w:val="0"/>
        <w:rPr>
          <w:rFonts w:ascii="Arial" w:hAnsi="Arial" w:cs="Arial"/>
          <w:sz w:val="22"/>
          <w:szCs w:val="22"/>
        </w:rPr>
      </w:pPr>
    </w:p>
    <w:p w14:paraId="5FDFF198" w14:textId="2A22F637" w:rsidR="00D036C9" w:rsidRPr="00BC29C6" w:rsidRDefault="00500E8E" w:rsidP="00665F67">
      <w:pPr>
        <w:pStyle w:val="Prrafodelista"/>
        <w:ind w:left="360"/>
        <w:contextualSpacing w:val="0"/>
        <w:rPr>
          <w:rFonts w:ascii="Arial" w:hAnsi="Arial" w:cs="Arial"/>
          <w:sz w:val="22"/>
          <w:szCs w:val="22"/>
        </w:rPr>
      </w:pPr>
      <w:r w:rsidRPr="00BC29C6">
        <w:rPr>
          <w:rFonts w:ascii="Arial" w:hAnsi="Arial" w:cs="Arial"/>
          <w:sz w:val="22"/>
          <w:szCs w:val="22"/>
        </w:rPr>
        <w:t xml:space="preserve">Es de precisar que, </w:t>
      </w:r>
      <w:r w:rsidR="00F572A4" w:rsidRPr="00BC29C6">
        <w:rPr>
          <w:rFonts w:ascii="Arial" w:hAnsi="Arial" w:cs="Arial"/>
          <w:sz w:val="22"/>
          <w:szCs w:val="22"/>
        </w:rPr>
        <w:t xml:space="preserve">el valor de los servicios adicionales no es </w:t>
      </w:r>
      <w:r w:rsidR="000A6448" w:rsidRPr="00BC29C6">
        <w:rPr>
          <w:rFonts w:ascii="Arial" w:hAnsi="Arial" w:cs="Arial"/>
          <w:sz w:val="22"/>
          <w:szCs w:val="22"/>
        </w:rPr>
        <w:t xml:space="preserve">fijo, dado que, depende de la necesidad del servicio en virtud de las comisiones al exterior que esta Entidad autoriza a los Directivos en el marco de las funciones asignadas. Por lo anterior, no es posible establecer el </w:t>
      </w:r>
      <w:r w:rsidR="00A07642" w:rsidRPr="00BC29C6">
        <w:rPr>
          <w:rFonts w:ascii="Arial" w:hAnsi="Arial" w:cs="Arial"/>
          <w:sz w:val="22"/>
          <w:szCs w:val="22"/>
        </w:rPr>
        <w:t xml:space="preserve">posible </w:t>
      </w:r>
      <w:r w:rsidR="000A6448" w:rsidRPr="00BC29C6">
        <w:rPr>
          <w:rFonts w:ascii="Arial" w:hAnsi="Arial" w:cs="Arial"/>
          <w:sz w:val="22"/>
          <w:szCs w:val="22"/>
        </w:rPr>
        <w:t xml:space="preserve">ahorro generado </w:t>
      </w:r>
      <w:r w:rsidR="00F43DF8" w:rsidRPr="00BC29C6">
        <w:rPr>
          <w:rFonts w:ascii="Arial" w:hAnsi="Arial" w:cs="Arial"/>
          <w:sz w:val="22"/>
          <w:szCs w:val="22"/>
        </w:rPr>
        <w:t xml:space="preserve">en </w:t>
      </w:r>
      <w:r w:rsidR="00A07642" w:rsidRPr="00BC29C6">
        <w:rPr>
          <w:rFonts w:ascii="Arial" w:hAnsi="Arial" w:cs="Arial"/>
          <w:sz w:val="22"/>
          <w:szCs w:val="22"/>
        </w:rPr>
        <w:t xml:space="preserve">el gasto </w:t>
      </w:r>
      <w:r w:rsidR="00F43DF8" w:rsidRPr="00BC29C6">
        <w:rPr>
          <w:rFonts w:ascii="Arial" w:hAnsi="Arial" w:cs="Arial"/>
          <w:sz w:val="22"/>
          <w:szCs w:val="22"/>
        </w:rPr>
        <w:t>del servicio de telefonía por</w:t>
      </w:r>
      <w:r w:rsidR="009D55DD" w:rsidRPr="00BC29C6">
        <w:rPr>
          <w:rFonts w:ascii="Arial" w:hAnsi="Arial" w:cs="Arial"/>
          <w:sz w:val="22"/>
          <w:szCs w:val="22"/>
        </w:rPr>
        <w:t xml:space="preserve"> el</w:t>
      </w:r>
      <w:r w:rsidR="00F43DF8" w:rsidRPr="00BC29C6">
        <w:rPr>
          <w:rFonts w:ascii="Arial" w:hAnsi="Arial" w:cs="Arial"/>
          <w:sz w:val="22"/>
          <w:szCs w:val="22"/>
        </w:rPr>
        <w:t xml:space="preserve"> concepto de servicios adicionales</w:t>
      </w:r>
      <w:r w:rsidR="009D55DD" w:rsidRPr="00BC29C6">
        <w:rPr>
          <w:rFonts w:ascii="Arial" w:hAnsi="Arial" w:cs="Arial"/>
          <w:sz w:val="22"/>
          <w:szCs w:val="22"/>
        </w:rPr>
        <w:t xml:space="preserve"> durante el </w:t>
      </w:r>
      <w:r w:rsidR="00F572A4" w:rsidRPr="00BC29C6">
        <w:rPr>
          <w:rFonts w:ascii="Arial" w:hAnsi="Arial" w:cs="Arial"/>
          <w:sz w:val="22"/>
          <w:szCs w:val="22"/>
        </w:rPr>
        <w:t xml:space="preserve">tercer </w:t>
      </w:r>
      <w:r w:rsidR="009D55DD" w:rsidRPr="00BC29C6">
        <w:rPr>
          <w:rFonts w:ascii="Arial" w:hAnsi="Arial" w:cs="Arial"/>
          <w:sz w:val="22"/>
          <w:szCs w:val="22"/>
        </w:rPr>
        <w:t xml:space="preserve">trimestre de 2020. </w:t>
      </w:r>
    </w:p>
    <w:p w14:paraId="21C03837" w14:textId="2CFE2910" w:rsidR="005927DA" w:rsidRPr="009B3B40" w:rsidRDefault="005927DA" w:rsidP="00665F67">
      <w:pPr>
        <w:pStyle w:val="Prrafodelista"/>
        <w:ind w:left="357"/>
        <w:contextualSpacing w:val="0"/>
        <w:rPr>
          <w:rFonts w:ascii="Arial" w:hAnsi="Arial" w:cs="Arial"/>
          <w:sz w:val="22"/>
          <w:szCs w:val="22"/>
          <w:highlight w:val="yellow"/>
        </w:rPr>
      </w:pPr>
    </w:p>
    <w:p w14:paraId="0D04E1D8" w14:textId="1CC9DD8C" w:rsidR="00250B19" w:rsidRPr="00F572A4" w:rsidRDefault="0069749C" w:rsidP="00665F67">
      <w:pPr>
        <w:jc w:val="both"/>
        <w:rPr>
          <w:rFonts w:ascii="Arial" w:hAnsi="Arial" w:cs="Arial"/>
          <w:sz w:val="22"/>
          <w:szCs w:val="22"/>
        </w:rPr>
      </w:pPr>
      <w:r w:rsidRPr="00F572A4">
        <w:rPr>
          <w:rFonts w:ascii="Arial" w:hAnsi="Arial" w:cs="Arial"/>
          <w:sz w:val="22"/>
          <w:szCs w:val="22"/>
        </w:rPr>
        <w:t xml:space="preserve">Ahora bien, efectuado el cálculo de variación del servicio de telefonía móvil facturado por Movistar </w:t>
      </w:r>
      <w:r w:rsidR="00CA2012" w:rsidRPr="00F572A4">
        <w:rPr>
          <w:rFonts w:ascii="Arial" w:hAnsi="Arial" w:cs="Arial"/>
          <w:sz w:val="22"/>
          <w:szCs w:val="22"/>
        </w:rPr>
        <w:t xml:space="preserve">teniendo en cuenta, </w:t>
      </w:r>
      <w:r w:rsidRPr="00F572A4">
        <w:rPr>
          <w:rFonts w:ascii="Arial" w:hAnsi="Arial" w:cs="Arial"/>
          <w:sz w:val="22"/>
          <w:szCs w:val="22"/>
        </w:rPr>
        <w:t xml:space="preserve">el </w:t>
      </w:r>
      <w:r w:rsidR="00F32D01" w:rsidRPr="00F572A4">
        <w:rPr>
          <w:rFonts w:ascii="Arial" w:hAnsi="Arial" w:cs="Arial"/>
          <w:sz w:val="22"/>
          <w:szCs w:val="22"/>
        </w:rPr>
        <w:t xml:space="preserve">valor del </w:t>
      </w:r>
      <w:r w:rsidRPr="00F572A4">
        <w:rPr>
          <w:rFonts w:ascii="Arial" w:hAnsi="Arial" w:cs="Arial"/>
          <w:sz w:val="22"/>
          <w:szCs w:val="22"/>
        </w:rPr>
        <w:t xml:space="preserve">IVA </w:t>
      </w:r>
      <w:r w:rsidR="00F32D01" w:rsidRPr="00F572A4">
        <w:rPr>
          <w:rFonts w:ascii="Arial" w:hAnsi="Arial" w:cs="Arial"/>
          <w:sz w:val="22"/>
          <w:szCs w:val="22"/>
        </w:rPr>
        <w:t xml:space="preserve">dejado de cobrar </w:t>
      </w:r>
      <w:r w:rsidRPr="00F572A4">
        <w:rPr>
          <w:rFonts w:ascii="Arial" w:hAnsi="Arial" w:cs="Arial"/>
          <w:sz w:val="22"/>
          <w:szCs w:val="22"/>
        </w:rPr>
        <w:t xml:space="preserve">durante el </w:t>
      </w:r>
      <w:r w:rsidR="00F572A4">
        <w:rPr>
          <w:rFonts w:ascii="Arial" w:hAnsi="Arial" w:cs="Arial"/>
          <w:sz w:val="22"/>
          <w:szCs w:val="22"/>
        </w:rPr>
        <w:t>periodo de julio de 2020</w:t>
      </w:r>
      <w:r w:rsidRPr="00F572A4">
        <w:rPr>
          <w:rFonts w:ascii="Arial" w:hAnsi="Arial" w:cs="Arial"/>
          <w:sz w:val="22"/>
          <w:szCs w:val="22"/>
        </w:rPr>
        <w:t xml:space="preserve"> ($</w:t>
      </w:r>
      <w:r w:rsidR="00F572A4">
        <w:rPr>
          <w:rFonts w:ascii="Arial" w:hAnsi="Arial" w:cs="Arial"/>
          <w:sz w:val="22"/>
          <w:szCs w:val="22"/>
        </w:rPr>
        <w:t>229.402)</w:t>
      </w:r>
      <w:r w:rsidR="00745A37" w:rsidRPr="00F572A4">
        <w:rPr>
          <w:rFonts w:ascii="Arial" w:hAnsi="Arial" w:cs="Arial"/>
          <w:sz w:val="22"/>
          <w:szCs w:val="22"/>
        </w:rPr>
        <w:t>, se determin</w:t>
      </w:r>
      <w:r w:rsidR="00452E67" w:rsidRPr="00F572A4">
        <w:rPr>
          <w:rFonts w:ascii="Arial" w:hAnsi="Arial" w:cs="Arial"/>
          <w:sz w:val="22"/>
          <w:szCs w:val="22"/>
        </w:rPr>
        <w:t>ó</w:t>
      </w:r>
      <w:r w:rsidR="00745A37" w:rsidRPr="00F572A4">
        <w:rPr>
          <w:rFonts w:ascii="Arial" w:hAnsi="Arial" w:cs="Arial"/>
          <w:sz w:val="22"/>
          <w:szCs w:val="22"/>
        </w:rPr>
        <w:t xml:space="preserve"> que el </w:t>
      </w:r>
      <w:r w:rsidR="00745A37" w:rsidRPr="00F572A4">
        <w:rPr>
          <w:rFonts w:ascii="Arial" w:hAnsi="Arial" w:cs="Arial"/>
          <w:b/>
          <w:bCs/>
          <w:sz w:val="22"/>
          <w:szCs w:val="22"/>
        </w:rPr>
        <w:t>ahorro</w:t>
      </w:r>
      <w:r w:rsidR="00745A37" w:rsidRPr="00F572A4">
        <w:rPr>
          <w:rFonts w:ascii="Arial" w:hAnsi="Arial" w:cs="Arial"/>
          <w:sz w:val="22"/>
          <w:szCs w:val="22"/>
        </w:rPr>
        <w:t xml:space="preserve"> del servicio de telefonía móvil (Movistar)</w:t>
      </w:r>
      <w:r w:rsidR="0028569A" w:rsidRPr="00F572A4">
        <w:rPr>
          <w:rFonts w:ascii="Arial" w:hAnsi="Arial" w:cs="Arial"/>
          <w:sz w:val="22"/>
          <w:szCs w:val="22"/>
        </w:rPr>
        <w:t xml:space="preserve"> </w:t>
      </w:r>
      <w:r w:rsidR="00E85140" w:rsidRPr="00F572A4">
        <w:rPr>
          <w:rFonts w:ascii="Arial" w:hAnsi="Arial" w:cs="Arial"/>
          <w:sz w:val="22"/>
          <w:szCs w:val="22"/>
        </w:rPr>
        <w:t xml:space="preserve">sería del </w:t>
      </w:r>
      <w:r w:rsidR="00F572A4" w:rsidRPr="00BC29C6">
        <w:rPr>
          <w:rFonts w:ascii="Arial" w:hAnsi="Arial" w:cs="Arial"/>
          <w:b/>
          <w:bCs/>
          <w:sz w:val="22"/>
          <w:szCs w:val="22"/>
        </w:rPr>
        <w:t>53</w:t>
      </w:r>
      <w:r w:rsidR="00E85140" w:rsidRPr="00BC29C6">
        <w:rPr>
          <w:rFonts w:ascii="Arial" w:hAnsi="Arial" w:cs="Arial"/>
          <w:b/>
          <w:bCs/>
          <w:sz w:val="22"/>
          <w:szCs w:val="22"/>
        </w:rPr>
        <w:t>%</w:t>
      </w:r>
      <w:r w:rsidR="00250B19" w:rsidRPr="00BC29C6">
        <w:rPr>
          <w:rFonts w:ascii="Arial" w:hAnsi="Arial" w:cs="Arial"/>
          <w:sz w:val="22"/>
          <w:szCs w:val="22"/>
        </w:rPr>
        <w:t>.</w:t>
      </w:r>
      <w:r w:rsidR="00250B19" w:rsidRPr="00F572A4">
        <w:rPr>
          <w:rFonts w:ascii="Arial" w:hAnsi="Arial" w:cs="Arial"/>
          <w:sz w:val="22"/>
          <w:szCs w:val="22"/>
        </w:rPr>
        <w:t xml:space="preserve"> </w:t>
      </w:r>
      <w:r w:rsidR="00E85140" w:rsidRPr="00F572A4">
        <w:rPr>
          <w:rFonts w:ascii="Arial" w:hAnsi="Arial" w:cs="Arial"/>
          <w:sz w:val="22"/>
          <w:szCs w:val="22"/>
        </w:rPr>
        <w:t xml:space="preserve"> </w:t>
      </w:r>
    </w:p>
    <w:p w14:paraId="5E35BE01" w14:textId="77777777" w:rsidR="00250B19" w:rsidRPr="00F572A4" w:rsidRDefault="00250B19" w:rsidP="00665F67">
      <w:pPr>
        <w:pStyle w:val="Prrafodelista"/>
        <w:ind w:left="357"/>
        <w:contextualSpacing w:val="0"/>
        <w:rPr>
          <w:rFonts w:ascii="Arial" w:hAnsi="Arial" w:cs="Arial"/>
          <w:sz w:val="22"/>
          <w:szCs w:val="22"/>
        </w:rPr>
      </w:pPr>
    </w:p>
    <w:p w14:paraId="5DCDA4EB" w14:textId="17255FB7" w:rsidR="0069749C" w:rsidRDefault="00250B19" w:rsidP="00665F67">
      <w:pPr>
        <w:jc w:val="both"/>
        <w:rPr>
          <w:rFonts w:ascii="Arial" w:hAnsi="Arial" w:cs="Arial"/>
          <w:sz w:val="22"/>
          <w:szCs w:val="22"/>
        </w:rPr>
      </w:pPr>
      <w:r w:rsidRPr="00FA3516">
        <w:rPr>
          <w:rFonts w:ascii="Arial" w:hAnsi="Arial" w:cs="Arial"/>
          <w:sz w:val="22"/>
          <w:szCs w:val="22"/>
        </w:rPr>
        <w:t xml:space="preserve">Lo anterior, permite inferir que </w:t>
      </w:r>
      <w:r w:rsidR="00CA2012" w:rsidRPr="00FA3516">
        <w:rPr>
          <w:rFonts w:ascii="Arial" w:hAnsi="Arial" w:cs="Arial"/>
          <w:sz w:val="22"/>
          <w:szCs w:val="22"/>
        </w:rPr>
        <w:t xml:space="preserve">según </w:t>
      </w:r>
      <w:r w:rsidRPr="00FA3516">
        <w:rPr>
          <w:rFonts w:ascii="Arial" w:hAnsi="Arial" w:cs="Arial"/>
          <w:sz w:val="22"/>
          <w:szCs w:val="22"/>
        </w:rPr>
        <w:t>la reducción en el gasto observada para el servicio de telefonía móvil prestado por Movistar</w:t>
      </w:r>
      <w:r w:rsidR="00935F23" w:rsidRPr="00FA3516">
        <w:rPr>
          <w:rFonts w:ascii="Arial" w:hAnsi="Arial" w:cs="Arial"/>
          <w:sz w:val="22"/>
          <w:szCs w:val="22"/>
        </w:rPr>
        <w:t xml:space="preserve"> durante el </w:t>
      </w:r>
      <w:r w:rsidR="00FA3516">
        <w:rPr>
          <w:rFonts w:ascii="Arial" w:hAnsi="Arial" w:cs="Arial"/>
          <w:sz w:val="22"/>
          <w:szCs w:val="22"/>
        </w:rPr>
        <w:t xml:space="preserve">tercer </w:t>
      </w:r>
      <w:r w:rsidR="00935F23" w:rsidRPr="00FA3516">
        <w:rPr>
          <w:rFonts w:ascii="Arial" w:hAnsi="Arial" w:cs="Arial"/>
          <w:sz w:val="22"/>
          <w:szCs w:val="22"/>
        </w:rPr>
        <w:t>trimestre de 2020 (</w:t>
      </w:r>
      <w:r w:rsidR="00FA3516">
        <w:rPr>
          <w:rFonts w:ascii="Arial" w:hAnsi="Arial" w:cs="Arial"/>
          <w:sz w:val="22"/>
          <w:szCs w:val="22"/>
        </w:rPr>
        <w:t>55</w:t>
      </w:r>
      <w:r w:rsidR="00935F23" w:rsidRPr="00FA3516">
        <w:rPr>
          <w:rFonts w:ascii="Arial" w:hAnsi="Arial" w:cs="Arial"/>
          <w:sz w:val="22"/>
          <w:szCs w:val="22"/>
        </w:rPr>
        <w:t>%), el 9</w:t>
      </w:r>
      <w:r w:rsidR="00FA3516">
        <w:rPr>
          <w:rFonts w:ascii="Arial" w:hAnsi="Arial" w:cs="Arial"/>
          <w:sz w:val="22"/>
          <w:szCs w:val="22"/>
        </w:rPr>
        <w:t>6</w:t>
      </w:r>
      <w:r w:rsidR="00935F23" w:rsidRPr="00FA3516">
        <w:rPr>
          <w:rFonts w:ascii="Arial" w:hAnsi="Arial" w:cs="Arial"/>
          <w:sz w:val="22"/>
          <w:szCs w:val="22"/>
        </w:rPr>
        <w:t>% correspond</w:t>
      </w:r>
      <w:r w:rsidR="00CA2012" w:rsidRPr="00FA3516">
        <w:rPr>
          <w:rFonts w:ascii="Arial" w:hAnsi="Arial" w:cs="Arial"/>
          <w:sz w:val="22"/>
          <w:szCs w:val="22"/>
        </w:rPr>
        <w:t>ió</w:t>
      </w:r>
      <w:r w:rsidR="00935F23" w:rsidRPr="00FA3516">
        <w:rPr>
          <w:rFonts w:ascii="Arial" w:hAnsi="Arial" w:cs="Arial"/>
          <w:sz w:val="22"/>
          <w:szCs w:val="22"/>
        </w:rPr>
        <w:t xml:space="preserve"> a </w:t>
      </w:r>
      <w:r w:rsidR="0028569A" w:rsidRPr="00FA3516">
        <w:rPr>
          <w:rFonts w:ascii="Arial" w:hAnsi="Arial" w:cs="Arial"/>
          <w:sz w:val="22"/>
          <w:szCs w:val="22"/>
        </w:rPr>
        <w:t>las acciones y medidas de austeridad del gasto aplicadas por este Ministerio</w:t>
      </w:r>
      <w:r w:rsidR="00935F23" w:rsidRPr="00FA3516">
        <w:rPr>
          <w:rFonts w:ascii="Arial" w:hAnsi="Arial" w:cs="Arial"/>
          <w:sz w:val="22"/>
          <w:szCs w:val="22"/>
        </w:rPr>
        <w:t xml:space="preserve">, el </w:t>
      </w:r>
      <w:r w:rsidR="00FA3516">
        <w:rPr>
          <w:rFonts w:ascii="Arial" w:hAnsi="Arial" w:cs="Arial"/>
          <w:sz w:val="22"/>
          <w:szCs w:val="22"/>
        </w:rPr>
        <w:t>4</w:t>
      </w:r>
      <w:r w:rsidR="00935F23" w:rsidRPr="00FA3516">
        <w:rPr>
          <w:rFonts w:ascii="Arial" w:hAnsi="Arial" w:cs="Arial"/>
          <w:sz w:val="22"/>
          <w:szCs w:val="22"/>
        </w:rPr>
        <w:t xml:space="preserve">% restante </w:t>
      </w:r>
      <w:r w:rsidR="00CA2012" w:rsidRPr="00FA3516">
        <w:rPr>
          <w:rFonts w:ascii="Arial" w:hAnsi="Arial" w:cs="Arial"/>
          <w:sz w:val="22"/>
          <w:szCs w:val="22"/>
        </w:rPr>
        <w:t xml:space="preserve">se originó de </w:t>
      </w:r>
      <w:r w:rsidR="00935F23" w:rsidRPr="00FA3516">
        <w:rPr>
          <w:rFonts w:ascii="Arial" w:hAnsi="Arial" w:cs="Arial"/>
          <w:sz w:val="22"/>
          <w:szCs w:val="22"/>
        </w:rPr>
        <w:t xml:space="preserve">la directriz impartida por el Gobierno Nacional en virtud del Decreto 520 de 2020.  </w:t>
      </w:r>
    </w:p>
    <w:p w14:paraId="0FD5AB47" w14:textId="77777777" w:rsidR="00FA3516" w:rsidRPr="00FA3516" w:rsidRDefault="00FA3516" w:rsidP="00665F67">
      <w:pPr>
        <w:jc w:val="both"/>
        <w:rPr>
          <w:rFonts w:ascii="Arial" w:hAnsi="Arial" w:cs="Arial"/>
          <w:sz w:val="22"/>
          <w:szCs w:val="22"/>
        </w:rPr>
      </w:pPr>
    </w:p>
    <w:p w14:paraId="40FDFC49" w14:textId="1DE6CC3B" w:rsidR="005F467B" w:rsidRPr="002D2011" w:rsidRDefault="00AA5CCE" w:rsidP="00665F67">
      <w:pPr>
        <w:jc w:val="both"/>
        <w:rPr>
          <w:rFonts w:ascii="Arial" w:hAnsi="Arial" w:cs="Arial"/>
          <w:b/>
          <w:bCs/>
          <w:color w:val="254061"/>
          <w:sz w:val="20"/>
          <w:szCs w:val="20"/>
        </w:rPr>
      </w:pPr>
      <w:r w:rsidRPr="002D2011">
        <w:rPr>
          <w:rFonts w:ascii="Arial" w:hAnsi="Arial" w:cs="Arial"/>
          <w:sz w:val="22"/>
          <w:szCs w:val="22"/>
        </w:rPr>
        <w:t xml:space="preserve">En </w:t>
      </w:r>
      <w:r w:rsidR="00474D2D" w:rsidRPr="002D2011">
        <w:rPr>
          <w:rFonts w:ascii="Arial" w:hAnsi="Arial" w:cs="Arial"/>
          <w:sz w:val="22"/>
          <w:szCs w:val="22"/>
        </w:rPr>
        <w:t xml:space="preserve">términos globales, </w:t>
      </w:r>
      <w:r w:rsidRPr="002D2011">
        <w:rPr>
          <w:rFonts w:ascii="Arial" w:hAnsi="Arial" w:cs="Arial"/>
          <w:sz w:val="22"/>
          <w:szCs w:val="22"/>
        </w:rPr>
        <w:t>para el</w:t>
      </w:r>
      <w:r w:rsidR="009E72D4" w:rsidRPr="002D2011">
        <w:rPr>
          <w:rFonts w:ascii="Arial" w:hAnsi="Arial" w:cs="Arial"/>
          <w:sz w:val="22"/>
          <w:szCs w:val="22"/>
        </w:rPr>
        <w:t xml:space="preserve"> </w:t>
      </w:r>
      <w:r w:rsidR="002D2011">
        <w:rPr>
          <w:rFonts w:ascii="Arial" w:hAnsi="Arial" w:cs="Arial"/>
          <w:sz w:val="22"/>
          <w:szCs w:val="22"/>
        </w:rPr>
        <w:t xml:space="preserve">tercer </w:t>
      </w:r>
      <w:r w:rsidR="001E521F" w:rsidRPr="002D2011">
        <w:rPr>
          <w:rFonts w:ascii="Arial" w:hAnsi="Arial" w:cs="Arial"/>
          <w:sz w:val="22"/>
          <w:szCs w:val="22"/>
        </w:rPr>
        <w:t xml:space="preserve">trimestre </w:t>
      </w:r>
      <w:r w:rsidR="00F14EC5" w:rsidRPr="002D2011">
        <w:rPr>
          <w:rFonts w:ascii="Arial" w:hAnsi="Arial" w:cs="Arial"/>
          <w:sz w:val="22"/>
          <w:szCs w:val="22"/>
        </w:rPr>
        <w:t>de</w:t>
      </w:r>
      <w:r w:rsidRPr="002D2011">
        <w:rPr>
          <w:rFonts w:ascii="Arial" w:hAnsi="Arial" w:cs="Arial"/>
          <w:sz w:val="22"/>
          <w:szCs w:val="22"/>
        </w:rPr>
        <w:t xml:space="preserve"> 20</w:t>
      </w:r>
      <w:r w:rsidR="009E72D4" w:rsidRPr="002D2011">
        <w:rPr>
          <w:rFonts w:ascii="Arial" w:hAnsi="Arial" w:cs="Arial"/>
          <w:sz w:val="22"/>
          <w:szCs w:val="22"/>
        </w:rPr>
        <w:t>20</w:t>
      </w:r>
      <w:r w:rsidRPr="002D2011">
        <w:rPr>
          <w:rFonts w:ascii="Arial" w:hAnsi="Arial" w:cs="Arial"/>
          <w:sz w:val="22"/>
          <w:szCs w:val="22"/>
        </w:rPr>
        <w:t xml:space="preserve"> comparado con </w:t>
      </w:r>
      <w:r w:rsidR="003853BC" w:rsidRPr="002D2011">
        <w:rPr>
          <w:rFonts w:ascii="Arial" w:hAnsi="Arial" w:cs="Arial"/>
          <w:sz w:val="22"/>
          <w:szCs w:val="22"/>
        </w:rPr>
        <w:t xml:space="preserve">el mismo periodo de </w:t>
      </w:r>
      <w:r w:rsidRPr="002D2011">
        <w:rPr>
          <w:rFonts w:ascii="Arial" w:hAnsi="Arial" w:cs="Arial"/>
          <w:sz w:val="22"/>
          <w:szCs w:val="22"/>
        </w:rPr>
        <w:t>la vigencia 201</w:t>
      </w:r>
      <w:r w:rsidR="009E72D4" w:rsidRPr="002D2011">
        <w:rPr>
          <w:rFonts w:ascii="Arial" w:hAnsi="Arial" w:cs="Arial"/>
          <w:sz w:val="22"/>
          <w:szCs w:val="22"/>
        </w:rPr>
        <w:t>9</w:t>
      </w:r>
      <w:r w:rsidRPr="002D2011">
        <w:rPr>
          <w:rFonts w:ascii="Arial" w:hAnsi="Arial" w:cs="Arial"/>
          <w:sz w:val="22"/>
          <w:szCs w:val="22"/>
        </w:rPr>
        <w:t xml:space="preserve">, </w:t>
      </w:r>
      <w:r w:rsidR="00474D2D" w:rsidRPr="002D2011">
        <w:rPr>
          <w:rFonts w:ascii="Arial" w:hAnsi="Arial" w:cs="Arial"/>
          <w:sz w:val="22"/>
          <w:szCs w:val="22"/>
        </w:rPr>
        <w:t xml:space="preserve">el servicio de telefonía celular </w:t>
      </w:r>
      <w:r w:rsidR="007E3EF1" w:rsidRPr="002D2011">
        <w:rPr>
          <w:rFonts w:ascii="Arial" w:hAnsi="Arial" w:cs="Arial"/>
          <w:sz w:val="22"/>
          <w:szCs w:val="22"/>
        </w:rPr>
        <w:t xml:space="preserve">presentó una </w:t>
      </w:r>
      <w:r w:rsidR="007E3EF1" w:rsidRPr="002D2011">
        <w:rPr>
          <w:rFonts w:ascii="Arial" w:hAnsi="Arial" w:cs="Arial"/>
          <w:b/>
          <w:bCs/>
          <w:sz w:val="22"/>
          <w:szCs w:val="22"/>
        </w:rPr>
        <w:t xml:space="preserve">reducción </w:t>
      </w:r>
      <w:r w:rsidR="007E3EF1" w:rsidRPr="002D2011">
        <w:rPr>
          <w:rFonts w:ascii="Arial" w:hAnsi="Arial" w:cs="Arial"/>
          <w:sz w:val="22"/>
          <w:szCs w:val="22"/>
        </w:rPr>
        <w:t xml:space="preserve">de </w:t>
      </w:r>
      <w:r w:rsidR="007E3EF1" w:rsidRPr="002D2011">
        <w:rPr>
          <w:rFonts w:ascii="Arial" w:hAnsi="Arial" w:cs="Arial"/>
          <w:color w:val="000000" w:themeColor="text1"/>
          <w:sz w:val="22"/>
          <w:szCs w:val="22"/>
        </w:rPr>
        <w:t>$</w:t>
      </w:r>
      <w:r w:rsidR="002D2011" w:rsidRPr="002D2011">
        <w:rPr>
          <w:rFonts w:ascii="Arial" w:hAnsi="Arial" w:cs="Arial"/>
          <w:color w:val="000000" w:themeColor="text1"/>
          <w:sz w:val="22"/>
          <w:szCs w:val="22"/>
        </w:rPr>
        <w:t>7.541.807</w:t>
      </w:r>
      <w:r w:rsidR="002D2011" w:rsidRPr="002D2011">
        <w:rPr>
          <w:rFonts w:ascii="Arial" w:hAnsi="Arial" w:cs="Arial"/>
          <w:b/>
          <w:bCs/>
          <w:color w:val="000000" w:themeColor="text1"/>
          <w:sz w:val="22"/>
          <w:szCs w:val="22"/>
        </w:rPr>
        <w:t xml:space="preserve"> </w:t>
      </w:r>
      <w:r w:rsidR="001E521F" w:rsidRPr="002D2011">
        <w:rPr>
          <w:rFonts w:ascii="Arial" w:hAnsi="Arial" w:cs="Arial"/>
          <w:color w:val="000000" w:themeColor="text1"/>
          <w:sz w:val="22"/>
          <w:szCs w:val="22"/>
        </w:rPr>
        <w:t xml:space="preserve">representando </w:t>
      </w:r>
      <w:r w:rsidR="001E521F" w:rsidRPr="002D2011">
        <w:rPr>
          <w:rFonts w:ascii="Arial" w:hAnsi="Arial" w:cs="Arial"/>
          <w:sz w:val="22"/>
          <w:szCs w:val="22"/>
        </w:rPr>
        <w:t xml:space="preserve">el </w:t>
      </w:r>
      <w:r w:rsidR="002D2011">
        <w:rPr>
          <w:rFonts w:ascii="Arial" w:hAnsi="Arial" w:cs="Arial"/>
          <w:sz w:val="22"/>
          <w:szCs w:val="22"/>
        </w:rPr>
        <w:t>48</w:t>
      </w:r>
      <w:r w:rsidR="007E3EF1" w:rsidRPr="002D2011">
        <w:rPr>
          <w:rFonts w:ascii="Arial" w:hAnsi="Arial" w:cs="Arial"/>
          <w:sz w:val="22"/>
          <w:szCs w:val="22"/>
        </w:rPr>
        <w:t>%</w:t>
      </w:r>
      <w:r w:rsidR="009C4E2E" w:rsidRPr="002D2011">
        <w:rPr>
          <w:rFonts w:ascii="Arial" w:hAnsi="Arial" w:cs="Arial"/>
          <w:sz w:val="22"/>
          <w:szCs w:val="22"/>
        </w:rPr>
        <w:t xml:space="preserve">. </w:t>
      </w:r>
    </w:p>
    <w:p w14:paraId="3D053323" w14:textId="29E36C1B" w:rsidR="00665F67" w:rsidRDefault="00665F67" w:rsidP="00F25A26">
      <w:pPr>
        <w:jc w:val="both"/>
        <w:rPr>
          <w:rFonts w:ascii="Calibri" w:hAnsi="Calibri" w:cs="Calibri"/>
          <w:color w:val="000000"/>
          <w:sz w:val="22"/>
          <w:szCs w:val="22"/>
          <w:highlight w:val="yellow"/>
        </w:rPr>
      </w:pPr>
    </w:p>
    <w:p w14:paraId="14B71B35" w14:textId="1C5E0B10" w:rsidR="00665F67" w:rsidRDefault="00665F67" w:rsidP="00F25A26">
      <w:pPr>
        <w:jc w:val="both"/>
        <w:rPr>
          <w:rFonts w:ascii="Calibri" w:hAnsi="Calibri" w:cs="Calibri"/>
          <w:color w:val="000000"/>
          <w:sz w:val="22"/>
          <w:szCs w:val="22"/>
          <w:highlight w:val="yellow"/>
        </w:rPr>
      </w:pPr>
    </w:p>
    <w:tbl>
      <w:tblPr>
        <w:tblW w:w="10354" w:type="dxa"/>
        <w:tblInd w:w="-10" w:type="dxa"/>
        <w:tblCellMar>
          <w:left w:w="70" w:type="dxa"/>
          <w:right w:w="70" w:type="dxa"/>
        </w:tblCellMar>
        <w:tblLook w:val="04A0" w:firstRow="1" w:lastRow="0" w:firstColumn="1" w:lastColumn="0" w:noHBand="0" w:noVBand="1"/>
      </w:tblPr>
      <w:tblGrid>
        <w:gridCol w:w="10"/>
        <w:gridCol w:w="849"/>
        <w:gridCol w:w="554"/>
        <w:gridCol w:w="229"/>
        <w:gridCol w:w="859"/>
        <w:gridCol w:w="324"/>
        <w:gridCol w:w="446"/>
        <w:gridCol w:w="828"/>
        <w:gridCol w:w="5519"/>
        <w:gridCol w:w="298"/>
        <w:gridCol w:w="146"/>
        <w:gridCol w:w="146"/>
        <w:gridCol w:w="146"/>
      </w:tblGrid>
      <w:tr w:rsidR="00132FA4" w:rsidRPr="009B3B40" w14:paraId="56A26D0A" w14:textId="77777777" w:rsidTr="007D0377">
        <w:trPr>
          <w:gridBefore w:val="1"/>
          <w:wBefore w:w="10" w:type="dxa"/>
          <w:trHeight w:val="759"/>
        </w:trPr>
        <w:tc>
          <w:tcPr>
            <w:tcW w:w="4089" w:type="dxa"/>
            <w:gridSpan w:val="7"/>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54E73AD2" w14:textId="04AAE2F5" w:rsidR="009B3B40" w:rsidRPr="009B3B40" w:rsidRDefault="009B3B40" w:rsidP="009B3B40">
            <w:pPr>
              <w:jc w:val="center"/>
              <w:rPr>
                <w:rFonts w:ascii="Arial" w:hAnsi="Arial" w:cs="Arial"/>
                <w:b/>
                <w:bCs/>
                <w:color w:val="FFFFFF"/>
                <w:sz w:val="20"/>
                <w:szCs w:val="20"/>
              </w:rPr>
            </w:pPr>
            <w:r w:rsidRPr="009B3B40">
              <w:rPr>
                <w:rFonts w:ascii="Arial" w:hAnsi="Arial" w:cs="Arial"/>
                <w:b/>
                <w:bCs/>
                <w:color w:val="FFFFFF"/>
                <w:sz w:val="20"/>
                <w:szCs w:val="20"/>
              </w:rPr>
              <w:t>Variaciones Servicio Telefonía Móvil</w:t>
            </w:r>
          </w:p>
        </w:tc>
        <w:tc>
          <w:tcPr>
            <w:tcW w:w="5817" w:type="dxa"/>
            <w:gridSpan w:val="2"/>
            <w:tcBorders>
              <w:top w:val="nil"/>
              <w:left w:val="nil"/>
              <w:bottom w:val="nil"/>
              <w:right w:val="nil"/>
            </w:tcBorders>
            <w:shd w:val="clear" w:color="auto" w:fill="auto"/>
            <w:noWrap/>
            <w:vAlign w:val="bottom"/>
            <w:hideMark/>
          </w:tcPr>
          <w:p w14:paraId="45C873DD" w14:textId="1FEB0298" w:rsidR="009B3B40" w:rsidRPr="009B3B40" w:rsidRDefault="009B3B40" w:rsidP="009B3B40">
            <w:pPr>
              <w:rPr>
                <w:rFonts w:ascii="Calibri" w:hAnsi="Calibri" w:cs="Calibri"/>
                <w:color w:val="000000"/>
                <w:sz w:val="22"/>
                <w:szCs w:val="22"/>
              </w:rPr>
            </w:pPr>
            <w:r w:rsidRPr="009B3B40">
              <w:rPr>
                <w:rFonts w:ascii="Calibri" w:hAnsi="Calibri" w:cs="Calibri"/>
                <w:noProof/>
                <w:color w:val="000000"/>
                <w:sz w:val="22"/>
                <w:szCs w:val="22"/>
                <w:lang w:val="en-US" w:eastAsia="en-US"/>
              </w:rPr>
              <w:drawing>
                <wp:anchor distT="0" distB="0" distL="114300" distR="114300" simplePos="0" relativeHeight="252371968" behindDoc="0" locked="0" layoutInCell="1" allowOverlap="1" wp14:anchorId="5295B901" wp14:editId="33ABF6C2">
                  <wp:simplePos x="0" y="0"/>
                  <wp:positionH relativeFrom="column">
                    <wp:posOffset>45720</wp:posOffset>
                  </wp:positionH>
                  <wp:positionV relativeFrom="paragraph">
                    <wp:posOffset>635</wp:posOffset>
                  </wp:positionV>
                  <wp:extent cx="3429000" cy="3343275"/>
                  <wp:effectExtent l="0" t="0" r="0" b="0"/>
                  <wp:wrapNone/>
                  <wp:docPr id="7" name="Gráfico 7">
                    <a:extLst xmlns:a="http://schemas.openxmlformats.org/drawingml/2006/main">
                      <a:ext uri="{FF2B5EF4-FFF2-40B4-BE49-F238E27FC236}">
                        <a16:creationId xmlns:a16="http://schemas.microsoft.com/office/drawing/2014/main" id="{1D2464C7-8DF2-4672-B7E1-2792B7A21526}"/>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95"/>
            </w:tblGrid>
            <w:tr w:rsidR="009B3B40" w:rsidRPr="009B3B40" w14:paraId="617964D2" w14:textId="77777777" w:rsidTr="00AB47B8">
              <w:trPr>
                <w:trHeight w:val="759"/>
                <w:tblCellSpacing w:w="0" w:type="dxa"/>
              </w:trPr>
              <w:tc>
                <w:tcPr>
                  <w:tcW w:w="1495" w:type="dxa"/>
                  <w:tcBorders>
                    <w:top w:val="nil"/>
                    <w:left w:val="nil"/>
                    <w:bottom w:val="nil"/>
                    <w:right w:val="nil"/>
                  </w:tcBorders>
                  <w:shd w:val="clear" w:color="auto" w:fill="auto"/>
                  <w:noWrap/>
                  <w:vAlign w:val="bottom"/>
                  <w:hideMark/>
                </w:tcPr>
                <w:p w14:paraId="3611BC81" w14:textId="77777777" w:rsidR="009B3B40" w:rsidRPr="009B3B40" w:rsidRDefault="009B3B40" w:rsidP="009B3B40">
                  <w:pPr>
                    <w:rPr>
                      <w:rFonts w:ascii="Calibri" w:hAnsi="Calibri" w:cs="Calibri"/>
                      <w:color w:val="000000"/>
                      <w:sz w:val="22"/>
                      <w:szCs w:val="22"/>
                    </w:rPr>
                  </w:pPr>
                </w:p>
              </w:tc>
            </w:tr>
          </w:tbl>
          <w:p w14:paraId="091DC2D4" w14:textId="77777777" w:rsidR="009B3B40" w:rsidRPr="009B3B40" w:rsidRDefault="009B3B40" w:rsidP="009B3B40">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55C80021"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74B9C5E8"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15EA3FE8" w14:textId="77777777" w:rsidR="009B3B40" w:rsidRPr="009B3B40" w:rsidRDefault="009B3B40" w:rsidP="009B3B40">
            <w:pPr>
              <w:rPr>
                <w:sz w:val="20"/>
                <w:szCs w:val="20"/>
              </w:rPr>
            </w:pPr>
          </w:p>
        </w:tc>
      </w:tr>
      <w:tr w:rsidR="009B3B40" w:rsidRPr="009B3B40" w14:paraId="2AB68F1B" w14:textId="77777777" w:rsidTr="007D0377">
        <w:trPr>
          <w:gridBefore w:val="1"/>
          <w:wBefore w:w="10" w:type="dxa"/>
          <w:trHeight w:val="986"/>
        </w:trPr>
        <w:tc>
          <w:tcPr>
            <w:tcW w:w="1403" w:type="dxa"/>
            <w:gridSpan w:val="2"/>
            <w:tcBorders>
              <w:top w:val="nil"/>
              <w:left w:val="single" w:sz="8" w:space="0" w:color="B8CCE4"/>
              <w:bottom w:val="single" w:sz="8" w:space="0" w:color="B8CCE4"/>
              <w:right w:val="single" w:sz="8" w:space="0" w:color="B8CCE4"/>
            </w:tcBorders>
            <w:shd w:val="clear" w:color="000000" w:fill="4F81BD"/>
            <w:vAlign w:val="center"/>
            <w:hideMark/>
          </w:tcPr>
          <w:p w14:paraId="303DF698" w14:textId="267EB883" w:rsidR="009B3B40" w:rsidRPr="009B3B40" w:rsidRDefault="009B3B40" w:rsidP="009B3B40">
            <w:pPr>
              <w:jc w:val="center"/>
              <w:rPr>
                <w:rFonts w:ascii="Arial" w:hAnsi="Arial" w:cs="Arial"/>
                <w:b/>
                <w:bCs/>
                <w:color w:val="FFFFFF"/>
                <w:sz w:val="20"/>
                <w:szCs w:val="20"/>
              </w:rPr>
            </w:pPr>
            <w:r w:rsidRPr="009B3B40">
              <w:rPr>
                <w:rFonts w:ascii="Arial" w:hAnsi="Arial" w:cs="Arial"/>
                <w:b/>
                <w:bCs/>
                <w:color w:val="FFFFFF"/>
                <w:sz w:val="20"/>
                <w:szCs w:val="20"/>
              </w:rPr>
              <w:t>Concepto</w:t>
            </w:r>
          </w:p>
        </w:tc>
        <w:tc>
          <w:tcPr>
            <w:tcW w:w="1412" w:type="dxa"/>
            <w:gridSpan w:val="3"/>
            <w:tcBorders>
              <w:top w:val="nil"/>
              <w:left w:val="nil"/>
              <w:bottom w:val="single" w:sz="8" w:space="0" w:color="B8CCE4"/>
              <w:right w:val="single" w:sz="8" w:space="0" w:color="B8CCE4"/>
            </w:tcBorders>
            <w:shd w:val="clear" w:color="000000" w:fill="4F81BD"/>
            <w:vAlign w:val="center"/>
            <w:hideMark/>
          </w:tcPr>
          <w:p w14:paraId="5429F684" w14:textId="77777777" w:rsidR="009B3B40" w:rsidRPr="009B3B40" w:rsidRDefault="009B3B40" w:rsidP="009B3B40">
            <w:pPr>
              <w:jc w:val="center"/>
              <w:rPr>
                <w:rFonts w:ascii="Arial" w:hAnsi="Arial" w:cs="Arial"/>
                <w:b/>
                <w:bCs/>
                <w:color w:val="FFFFFF"/>
                <w:sz w:val="20"/>
                <w:szCs w:val="20"/>
              </w:rPr>
            </w:pPr>
            <w:r w:rsidRPr="009B3B40">
              <w:rPr>
                <w:rFonts w:ascii="Arial" w:hAnsi="Arial" w:cs="Arial"/>
                <w:b/>
                <w:bCs/>
                <w:color w:val="FFFFFF"/>
                <w:sz w:val="20"/>
                <w:szCs w:val="20"/>
              </w:rPr>
              <w:t>III Trimestre de 2020</w:t>
            </w:r>
          </w:p>
        </w:tc>
        <w:tc>
          <w:tcPr>
            <w:tcW w:w="1274" w:type="dxa"/>
            <w:gridSpan w:val="2"/>
            <w:tcBorders>
              <w:top w:val="nil"/>
              <w:left w:val="nil"/>
              <w:bottom w:val="single" w:sz="8" w:space="0" w:color="B8CCE4"/>
              <w:right w:val="single" w:sz="8" w:space="0" w:color="B8CCE4"/>
            </w:tcBorders>
            <w:shd w:val="clear" w:color="000000" w:fill="4F81BD"/>
            <w:vAlign w:val="center"/>
            <w:hideMark/>
          </w:tcPr>
          <w:p w14:paraId="68E302DD" w14:textId="77777777" w:rsidR="009B3B40" w:rsidRPr="009B3B40" w:rsidRDefault="009B3B40" w:rsidP="009B3B40">
            <w:pPr>
              <w:jc w:val="center"/>
              <w:rPr>
                <w:rFonts w:ascii="Arial" w:hAnsi="Arial" w:cs="Arial"/>
                <w:b/>
                <w:bCs/>
                <w:color w:val="FFFFFF"/>
                <w:sz w:val="20"/>
                <w:szCs w:val="20"/>
              </w:rPr>
            </w:pPr>
            <w:r w:rsidRPr="009B3B40">
              <w:rPr>
                <w:rFonts w:ascii="Arial" w:hAnsi="Arial" w:cs="Arial"/>
                <w:b/>
                <w:bCs/>
                <w:color w:val="FFFFFF"/>
                <w:sz w:val="20"/>
                <w:szCs w:val="20"/>
              </w:rPr>
              <w:t>III Trimestre de 2019</w:t>
            </w:r>
          </w:p>
        </w:tc>
        <w:tc>
          <w:tcPr>
            <w:tcW w:w="5817" w:type="dxa"/>
            <w:gridSpan w:val="2"/>
            <w:tcBorders>
              <w:top w:val="nil"/>
              <w:left w:val="nil"/>
              <w:bottom w:val="nil"/>
              <w:right w:val="nil"/>
            </w:tcBorders>
            <w:shd w:val="clear" w:color="auto" w:fill="auto"/>
            <w:noWrap/>
            <w:vAlign w:val="bottom"/>
            <w:hideMark/>
          </w:tcPr>
          <w:p w14:paraId="67F1BB1D" w14:textId="77777777" w:rsidR="009B3B40" w:rsidRPr="009B3B40" w:rsidRDefault="009B3B40" w:rsidP="009B3B40">
            <w:pPr>
              <w:jc w:val="center"/>
              <w:rPr>
                <w:rFonts w:ascii="Arial" w:hAnsi="Arial" w:cs="Arial"/>
                <w:b/>
                <w:bCs/>
                <w:color w:val="FFFFFF"/>
                <w:sz w:val="20"/>
                <w:szCs w:val="20"/>
              </w:rPr>
            </w:pPr>
          </w:p>
        </w:tc>
        <w:tc>
          <w:tcPr>
            <w:tcW w:w="0" w:type="auto"/>
            <w:tcBorders>
              <w:top w:val="nil"/>
              <w:left w:val="nil"/>
              <w:bottom w:val="nil"/>
              <w:right w:val="nil"/>
            </w:tcBorders>
            <w:shd w:val="clear" w:color="auto" w:fill="auto"/>
            <w:noWrap/>
            <w:vAlign w:val="bottom"/>
            <w:hideMark/>
          </w:tcPr>
          <w:p w14:paraId="3FA437C7"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19FCAAE2"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0D344E8F" w14:textId="77777777" w:rsidR="009B3B40" w:rsidRPr="009B3B40" w:rsidRDefault="009B3B40" w:rsidP="009B3B40">
            <w:pPr>
              <w:rPr>
                <w:sz w:val="20"/>
                <w:szCs w:val="20"/>
              </w:rPr>
            </w:pPr>
          </w:p>
        </w:tc>
      </w:tr>
      <w:tr w:rsidR="009B3B40" w:rsidRPr="009B3B40" w14:paraId="66AD5405" w14:textId="77777777" w:rsidTr="007D0377">
        <w:trPr>
          <w:gridBefore w:val="1"/>
          <w:wBefore w:w="10" w:type="dxa"/>
          <w:trHeight w:val="1873"/>
        </w:trPr>
        <w:tc>
          <w:tcPr>
            <w:tcW w:w="1403" w:type="dxa"/>
            <w:gridSpan w:val="2"/>
            <w:tcBorders>
              <w:top w:val="nil"/>
              <w:left w:val="single" w:sz="8" w:space="0" w:color="B8CCE4"/>
              <w:bottom w:val="double" w:sz="6" w:space="0" w:color="4F81BD"/>
              <w:right w:val="single" w:sz="8" w:space="0" w:color="B8CCE4"/>
            </w:tcBorders>
            <w:shd w:val="clear" w:color="auto" w:fill="auto"/>
            <w:vAlign w:val="center"/>
            <w:hideMark/>
          </w:tcPr>
          <w:p w14:paraId="389CB967" w14:textId="010437E8" w:rsidR="009B3B40" w:rsidRPr="00F73654" w:rsidRDefault="009B3B40" w:rsidP="009B3B40">
            <w:pPr>
              <w:jc w:val="center"/>
              <w:rPr>
                <w:rFonts w:ascii="Arial" w:hAnsi="Arial" w:cs="Arial"/>
                <w:color w:val="0F243E" w:themeColor="text2" w:themeShade="80"/>
                <w:sz w:val="20"/>
                <w:szCs w:val="20"/>
              </w:rPr>
            </w:pPr>
            <w:r w:rsidRPr="00F73654">
              <w:rPr>
                <w:rFonts w:ascii="Arial" w:hAnsi="Arial" w:cs="Arial"/>
                <w:color w:val="0F243E" w:themeColor="text2" w:themeShade="80"/>
                <w:sz w:val="20"/>
                <w:szCs w:val="20"/>
              </w:rPr>
              <w:t>Total Servicio de Telefonía Celular</w:t>
            </w:r>
          </w:p>
        </w:tc>
        <w:tc>
          <w:tcPr>
            <w:tcW w:w="1412" w:type="dxa"/>
            <w:gridSpan w:val="3"/>
            <w:tcBorders>
              <w:top w:val="nil"/>
              <w:left w:val="nil"/>
              <w:bottom w:val="double" w:sz="6" w:space="0" w:color="4F81BD"/>
              <w:right w:val="single" w:sz="8" w:space="0" w:color="B8CCE4"/>
            </w:tcBorders>
            <w:shd w:val="clear" w:color="auto" w:fill="auto"/>
            <w:vAlign w:val="center"/>
            <w:hideMark/>
          </w:tcPr>
          <w:p w14:paraId="6F817FE7" w14:textId="47746D95" w:rsidR="009B3B40" w:rsidRPr="00F73654" w:rsidRDefault="009B3B40" w:rsidP="009B3B40">
            <w:pPr>
              <w:jc w:val="center"/>
              <w:rPr>
                <w:rFonts w:ascii="Arial" w:hAnsi="Arial" w:cs="Arial"/>
                <w:color w:val="0F243E" w:themeColor="text2" w:themeShade="80"/>
                <w:sz w:val="20"/>
                <w:szCs w:val="20"/>
              </w:rPr>
            </w:pPr>
            <w:r w:rsidRPr="00F73654">
              <w:rPr>
                <w:rFonts w:ascii="Arial" w:hAnsi="Arial" w:cs="Arial"/>
                <w:color w:val="0F243E" w:themeColor="text2" w:themeShade="80"/>
                <w:sz w:val="20"/>
                <w:szCs w:val="20"/>
              </w:rPr>
              <w:t>8.104.714</w:t>
            </w:r>
          </w:p>
        </w:tc>
        <w:tc>
          <w:tcPr>
            <w:tcW w:w="1274" w:type="dxa"/>
            <w:gridSpan w:val="2"/>
            <w:tcBorders>
              <w:top w:val="nil"/>
              <w:left w:val="nil"/>
              <w:bottom w:val="double" w:sz="6" w:space="0" w:color="4F81BD"/>
              <w:right w:val="single" w:sz="8" w:space="0" w:color="B8CCE4"/>
            </w:tcBorders>
            <w:shd w:val="clear" w:color="auto" w:fill="auto"/>
            <w:vAlign w:val="center"/>
            <w:hideMark/>
          </w:tcPr>
          <w:p w14:paraId="5614B8CD" w14:textId="77777777" w:rsidR="009B3B40" w:rsidRPr="00F73654" w:rsidRDefault="009B3B40" w:rsidP="009B3B40">
            <w:pPr>
              <w:jc w:val="center"/>
              <w:rPr>
                <w:rFonts w:ascii="Arial" w:hAnsi="Arial" w:cs="Arial"/>
                <w:color w:val="0F243E" w:themeColor="text2" w:themeShade="80"/>
                <w:sz w:val="20"/>
                <w:szCs w:val="20"/>
              </w:rPr>
            </w:pPr>
            <w:r w:rsidRPr="00F73654">
              <w:rPr>
                <w:rFonts w:ascii="Arial" w:hAnsi="Arial" w:cs="Arial"/>
                <w:color w:val="0F243E" w:themeColor="text2" w:themeShade="80"/>
                <w:sz w:val="20"/>
                <w:szCs w:val="20"/>
              </w:rPr>
              <w:t>15.646.521</w:t>
            </w:r>
          </w:p>
        </w:tc>
        <w:tc>
          <w:tcPr>
            <w:tcW w:w="5817" w:type="dxa"/>
            <w:gridSpan w:val="2"/>
            <w:tcBorders>
              <w:top w:val="nil"/>
              <w:left w:val="nil"/>
              <w:bottom w:val="nil"/>
              <w:right w:val="nil"/>
            </w:tcBorders>
            <w:shd w:val="clear" w:color="auto" w:fill="auto"/>
            <w:noWrap/>
            <w:vAlign w:val="bottom"/>
            <w:hideMark/>
          </w:tcPr>
          <w:p w14:paraId="74028249" w14:textId="77777777" w:rsidR="009B3B40" w:rsidRPr="009B3B40" w:rsidRDefault="009B3B40" w:rsidP="009B3B40">
            <w:pPr>
              <w:jc w:val="center"/>
              <w:rPr>
                <w:rFonts w:ascii="Arial" w:hAnsi="Arial" w:cs="Arial"/>
                <w:color w:val="254061"/>
                <w:sz w:val="20"/>
                <w:szCs w:val="20"/>
              </w:rPr>
            </w:pPr>
          </w:p>
        </w:tc>
        <w:tc>
          <w:tcPr>
            <w:tcW w:w="0" w:type="auto"/>
            <w:tcBorders>
              <w:top w:val="nil"/>
              <w:left w:val="nil"/>
              <w:bottom w:val="nil"/>
              <w:right w:val="nil"/>
            </w:tcBorders>
            <w:shd w:val="clear" w:color="auto" w:fill="auto"/>
            <w:noWrap/>
            <w:vAlign w:val="bottom"/>
            <w:hideMark/>
          </w:tcPr>
          <w:p w14:paraId="1F4D275A"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6DEB72D9"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7CA1CFC9" w14:textId="77777777" w:rsidR="009B3B40" w:rsidRPr="009B3B40" w:rsidRDefault="009B3B40" w:rsidP="009B3B40">
            <w:pPr>
              <w:rPr>
                <w:sz w:val="20"/>
                <w:szCs w:val="20"/>
              </w:rPr>
            </w:pPr>
          </w:p>
        </w:tc>
      </w:tr>
      <w:tr w:rsidR="00132FA4" w:rsidRPr="009B3B40" w14:paraId="04947965" w14:textId="77777777" w:rsidTr="007D0377">
        <w:trPr>
          <w:gridBefore w:val="1"/>
          <w:wBefore w:w="10" w:type="dxa"/>
          <w:trHeight w:val="601"/>
        </w:trPr>
        <w:tc>
          <w:tcPr>
            <w:tcW w:w="1403" w:type="dxa"/>
            <w:gridSpan w:val="2"/>
            <w:tcBorders>
              <w:top w:val="nil"/>
              <w:left w:val="single" w:sz="8" w:space="0" w:color="B8CCE4"/>
              <w:bottom w:val="single" w:sz="8" w:space="0" w:color="B8CCE4"/>
              <w:right w:val="single" w:sz="8" w:space="0" w:color="B8CCE4"/>
            </w:tcBorders>
            <w:shd w:val="clear" w:color="auto" w:fill="auto"/>
            <w:vAlign w:val="center"/>
            <w:hideMark/>
          </w:tcPr>
          <w:p w14:paraId="227D235A" w14:textId="15C51C40" w:rsidR="009B3B40" w:rsidRPr="00F73654" w:rsidRDefault="009B3B40" w:rsidP="009B3B40">
            <w:pPr>
              <w:jc w:val="center"/>
              <w:rPr>
                <w:rFonts w:ascii="Arial" w:hAnsi="Arial" w:cs="Arial"/>
                <w:color w:val="0F243E" w:themeColor="text2" w:themeShade="80"/>
                <w:sz w:val="20"/>
                <w:szCs w:val="20"/>
              </w:rPr>
            </w:pPr>
            <w:r w:rsidRPr="00F73654">
              <w:rPr>
                <w:rFonts w:ascii="Arial" w:hAnsi="Arial" w:cs="Arial"/>
                <w:color w:val="0F243E" w:themeColor="text2" w:themeShade="80"/>
                <w:sz w:val="20"/>
                <w:szCs w:val="20"/>
              </w:rPr>
              <w:t>Variación $</w:t>
            </w:r>
          </w:p>
        </w:tc>
        <w:tc>
          <w:tcPr>
            <w:tcW w:w="2686" w:type="dxa"/>
            <w:gridSpan w:val="5"/>
            <w:tcBorders>
              <w:top w:val="double" w:sz="6" w:space="0" w:color="4F81BD"/>
              <w:left w:val="nil"/>
              <w:bottom w:val="single" w:sz="8" w:space="0" w:color="B8CCE4"/>
              <w:right w:val="single" w:sz="8" w:space="0" w:color="B8CCE4"/>
            </w:tcBorders>
            <w:shd w:val="clear" w:color="auto" w:fill="auto"/>
            <w:vAlign w:val="center"/>
            <w:hideMark/>
          </w:tcPr>
          <w:p w14:paraId="35C1FDE0" w14:textId="10E2AB80" w:rsidR="009B3B40" w:rsidRPr="00F73654" w:rsidRDefault="009B3B40" w:rsidP="009B3B40">
            <w:pPr>
              <w:jc w:val="center"/>
              <w:rPr>
                <w:rFonts w:ascii="Arial" w:hAnsi="Arial" w:cs="Arial"/>
                <w:b/>
                <w:bCs/>
                <w:color w:val="0F243E" w:themeColor="text2" w:themeShade="80"/>
                <w:sz w:val="20"/>
                <w:szCs w:val="20"/>
              </w:rPr>
            </w:pPr>
            <w:r w:rsidRPr="00F73654">
              <w:rPr>
                <w:rFonts w:ascii="Arial" w:hAnsi="Arial" w:cs="Arial"/>
                <w:b/>
                <w:bCs/>
                <w:color w:val="0F243E" w:themeColor="text2" w:themeShade="80"/>
                <w:sz w:val="20"/>
                <w:szCs w:val="20"/>
              </w:rPr>
              <w:t>(7.541.807)</w:t>
            </w:r>
          </w:p>
        </w:tc>
        <w:tc>
          <w:tcPr>
            <w:tcW w:w="5817" w:type="dxa"/>
            <w:gridSpan w:val="2"/>
            <w:tcBorders>
              <w:top w:val="nil"/>
              <w:left w:val="nil"/>
              <w:bottom w:val="nil"/>
              <w:right w:val="nil"/>
            </w:tcBorders>
            <w:shd w:val="clear" w:color="auto" w:fill="auto"/>
            <w:noWrap/>
            <w:vAlign w:val="bottom"/>
            <w:hideMark/>
          </w:tcPr>
          <w:p w14:paraId="6E354D78" w14:textId="77777777" w:rsidR="009B3B40" w:rsidRPr="009B3B40" w:rsidRDefault="009B3B40" w:rsidP="009B3B40">
            <w:pPr>
              <w:jc w:val="center"/>
              <w:rPr>
                <w:rFonts w:ascii="Arial" w:hAnsi="Arial" w:cs="Arial"/>
                <w:b/>
                <w:bCs/>
                <w:color w:val="254061"/>
                <w:sz w:val="20"/>
                <w:szCs w:val="20"/>
              </w:rPr>
            </w:pPr>
          </w:p>
        </w:tc>
        <w:tc>
          <w:tcPr>
            <w:tcW w:w="0" w:type="auto"/>
            <w:tcBorders>
              <w:top w:val="nil"/>
              <w:left w:val="nil"/>
              <w:bottom w:val="nil"/>
              <w:right w:val="nil"/>
            </w:tcBorders>
            <w:shd w:val="clear" w:color="auto" w:fill="auto"/>
            <w:noWrap/>
            <w:vAlign w:val="bottom"/>
            <w:hideMark/>
          </w:tcPr>
          <w:p w14:paraId="0DE9DF4C"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60280CE5"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7B83A66C" w14:textId="77777777" w:rsidR="009B3B40" w:rsidRPr="009B3B40" w:rsidRDefault="009B3B40" w:rsidP="009B3B40">
            <w:pPr>
              <w:rPr>
                <w:sz w:val="20"/>
                <w:szCs w:val="20"/>
              </w:rPr>
            </w:pPr>
          </w:p>
        </w:tc>
      </w:tr>
      <w:tr w:rsidR="00132FA4" w:rsidRPr="009B3B40" w14:paraId="5A9A4DE6" w14:textId="77777777" w:rsidTr="007D0377">
        <w:trPr>
          <w:gridBefore w:val="1"/>
          <w:wBefore w:w="10" w:type="dxa"/>
          <w:trHeight w:val="692"/>
        </w:trPr>
        <w:tc>
          <w:tcPr>
            <w:tcW w:w="1403" w:type="dxa"/>
            <w:gridSpan w:val="2"/>
            <w:tcBorders>
              <w:top w:val="nil"/>
              <w:left w:val="single" w:sz="8" w:space="0" w:color="B8CCE4"/>
              <w:bottom w:val="double" w:sz="6" w:space="0" w:color="4F81BD"/>
              <w:right w:val="single" w:sz="8" w:space="0" w:color="B8CCE4"/>
            </w:tcBorders>
            <w:shd w:val="clear" w:color="auto" w:fill="auto"/>
            <w:vAlign w:val="center"/>
            <w:hideMark/>
          </w:tcPr>
          <w:p w14:paraId="4F01CA6B" w14:textId="44C71C80" w:rsidR="009B3B40" w:rsidRPr="00F73654" w:rsidRDefault="009B3B40" w:rsidP="009B3B40">
            <w:pPr>
              <w:jc w:val="center"/>
              <w:rPr>
                <w:rFonts w:ascii="Arial" w:hAnsi="Arial" w:cs="Arial"/>
                <w:color w:val="0F243E" w:themeColor="text2" w:themeShade="80"/>
                <w:sz w:val="20"/>
                <w:szCs w:val="20"/>
              </w:rPr>
            </w:pPr>
            <w:r w:rsidRPr="00F73654">
              <w:rPr>
                <w:rFonts w:ascii="Arial" w:hAnsi="Arial" w:cs="Arial"/>
                <w:color w:val="0F243E" w:themeColor="text2" w:themeShade="80"/>
                <w:sz w:val="20"/>
                <w:szCs w:val="20"/>
              </w:rPr>
              <w:t>Variación %</w:t>
            </w:r>
          </w:p>
        </w:tc>
        <w:tc>
          <w:tcPr>
            <w:tcW w:w="2686" w:type="dxa"/>
            <w:gridSpan w:val="5"/>
            <w:tcBorders>
              <w:top w:val="single" w:sz="8" w:space="0" w:color="B8CCE4"/>
              <w:left w:val="nil"/>
              <w:bottom w:val="double" w:sz="6" w:space="0" w:color="4F81BD"/>
              <w:right w:val="single" w:sz="8" w:space="0" w:color="B8CCE4"/>
            </w:tcBorders>
            <w:shd w:val="clear" w:color="auto" w:fill="auto"/>
            <w:vAlign w:val="center"/>
            <w:hideMark/>
          </w:tcPr>
          <w:p w14:paraId="12BF4397" w14:textId="426EE42F" w:rsidR="009B3B40" w:rsidRPr="00F73654" w:rsidRDefault="009B3B40" w:rsidP="009B3B40">
            <w:pPr>
              <w:jc w:val="center"/>
              <w:rPr>
                <w:rFonts w:ascii="Arial" w:hAnsi="Arial" w:cs="Arial"/>
                <w:b/>
                <w:bCs/>
                <w:color w:val="0F243E" w:themeColor="text2" w:themeShade="80"/>
                <w:sz w:val="20"/>
                <w:szCs w:val="20"/>
              </w:rPr>
            </w:pPr>
            <w:r w:rsidRPr="00F73654">
              <w:rPr>
                <w:rFonts w:ascii="Arial" w:hAnsi="Arial" w:cs="Arial"/>
                <w:b/>
                <w:bCs/>
                <w:color w:val="0F243E" w:themeColor="text2" w:themeShade="80"/>
                <w:sz w:val="20"/>
                <w:szCs w:val="20"/>
              </w:rPr>
              <w:t>(48%)</w:t>
            </w:r>
          </w:p>
        </w:tc>
        <w:tc>
          <w:tcPr>
            <w:tcW w:w="5817" w:type="dxa"/>
            <w:gridSpan w:val="2"/>
            <w:tcBorders>
              <w:top w:val="nil"/>
              <w:left w:val="nil"/>
              <w:bottom w:val="nil"/>
              <w:right w:val="nil"/>
            </w:tcBorders>
            <w:shd w:val="clear" w:color="auto" w:fill="auto"/>
            <w:noWrap/>
            <w:vAlign w:val="bottom"/>
            <w:hideMark/>
          </w:tcPr>
          <w:p w14:paraId="4E90ADBA" w14:textId="77777777" w:rsidR="009B3B40" w:rsidRPr="009B3B40" w:rsidRDefault="009B3B40" w:rsidP="009B3B40">
            <w:pPr>
              <w:jc w:val="center"/>
              <w:rPr>
                <w:rFonts w:ascii="Arial" w:hAnsi="Arial" w:cs="Arial"/>
                <w:b/>
                <w:bCs/>
                <w:color w:val="254061"/>
                <w:sz w:val="20"/>
                <w:szCs w:val="20"/>
              </w:rPr>
            </w:pPr>
          </w:p>
        </w:tc>
        <w:tc>
          <w:tcPr>
            <w:tcW w:w="0" w:type="auto"/>
            <w:tcBorders>
              <w:top w:val="nil"/>
              <w:left w:val="nil"/>
              <w:bottom w:val="nil"/>
              <w:right w:val="nil"/>
            </w:tcBorders>
            <w:shd w:val="clear" w:color="auto" w:fill="auto"/>
            <w:noWrap/>
            <w:vAlign w:val="bottom"/>
            <w:hideMark/>
          </w:tcPr>
          <w:p w14:paraId="1F65A96A"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1A21101E" w14:textId="77777777" w:rsidR="009B3B40" w:rsidRPr="009B3B40" w:rsidRDefault="009B3B40" w:rsidP="009B3B40">
            <w:pPr>
              <w:rPr>
                <w:sz w:val="20"/>
                <w:szCs w:val="20"/>
              </w:rPr>
            </w:pPr>
          </w:p>
        </w:tc>
        <w:tc>
          <w:tcPr>
            <w:tcW w:w="0" w:type="auto"/>
            <w:tcBorders>
              <w:top w:val="nil"/>
              <w:left w:val="nil"/>
              <w:bottom w:val="nil"/>
              <w:right w:val="nil"/>
            </w:tcBorders>
            <w:shd w:val="clear" w:color="auto" w:fill="auto"/>
            <w:noWrap/>
            <w:vAlign w:val="bottom"/>
            <w:hideMark/>
          </w:tcPr>
          <w:p w14:paraId="017402C1" w14:textId="77777777" w:rsidR="009B3B40" w:rsidRPr="009B3B40" w:rsidRDefault="009B3B40" w:rsidP="009B3B40">
            <w:pPr>
              <w:rPr>
                <w:sz w:val="20"/>
                <w:szCs w:val="20"/>
              </w:rPr>
            </w:pPr>
          </w:p>
        </w:tc>
      </w:tr>
      <w:tr w:rsidR="00132FA4" w:rsidRPr="00132FA4" w14:paraId="0F947DB3" w14:textId="77777777" w:rsidTr="007D0377">
        <w:trPr>
          <w:gridAfter w:val="4"/>
          <w:wAfter w:w="736" w:type="dxa"/>
          <w:trHeight w:val="468"/>
        </w:trPr>
        <w:tc>
          <w:tcPr>
            <w:tcW w:w="859" w:type="dxa"/>
            <w:gridSpan w:val="2"/>
            <w:tcBorders>
              <w:top w:val="nil"/>
              <w:left w:val="nil"/>
              <w:bottom w:val="nil"/>
              <w:right w:val="nil"/>
            </w:tcBorders>
            <w:shd w:val="clear" w:color="auto" w:fill="auto"/>
            <w:noWrap/>
            <w:vAlign w:val="bottom"/>
            <w:hideMark/>
          </w:tcPr>
          <w:p w14:paraId="64F3B05E" w14:textId="1B8FD212" w:rsidR="00132FA4" w:rsidRPr="00132FA4" w:rsidRDefault="00132FA4" w:rsidP="00132FA4">
            <w:pPr>
              <w:rPr>
                <w:sz w:val="20"/>
                <w:szCs w:val="20"/>
              </w:rPr>
            </w:pPr>
          </w:p>
        </w:tc>
        <w:tc>
          <w:tcPr>
            <w:tcW w:w="783" w:type="dxa"/>
            <w:gridSpan w:val="2"/>
            <w:tcBorders>
              <w:top w:val="nil"/>
              <w:left w:val="nil"/>
              <w:bottom w:val="nil"/>
              <w:right w:val="nil"/>
            </w:tcBorders>
            <w:shd w:val="clear" w:color="auto" w:fill="auto"/>
            <w:noWrap/>
            <w:vAlign w:val="bottom"/>
            <w:hideMark/>
          </w:tcPr>
          <w:p w14:paraId="73C1EC7F" w14:textId="422E6E4E" w:rsidR="00132FA4" w:rsidRPr="00132FA4" w:rsidRDefault="00132FA4" w:rsidP="00132FA4">
            <w:pPr>
              <w:rPr>
                <w:sz w:val="20"/>
                <w:szCs w:val="20"/>
              </w:rPr>
            </w:pPr>
          </w:p>
        </w:tc>
        <w:tc>
          <w:tcPr>
            <w:tcW w:w="859" w:type="dxa"/>
            <w:tcBorders>
              <w:top w:val="nil"/>
              <w:left w:val="nil"/>
              <w:bottom w:val="nil"/>
              <w:right w:val="nil"/>
            </w:tcBorders>
            <w:shd w:val="clear" w:color="auto" w:fill="auto"/>
            <w:noWrap/>
            <w:vAlign w:val="bottom"/>
            <w:hideMark/>
          </w:tcPr>
          <w:p w14:paraId="719AC8FB" w14:textId="67D3069C" w:rsidR="00132FA4" w:rsidRPr="00132FA4" w:rsidRDefault="00132FA4" w:rsidP="00132FA4">
            <w:pPr>
              <w:rPr>
                <w:sz w:val="20"/>
                <w:szCs w:val="20"/>
              </w:rPr>
            </w:pPr>
          </w:p>
        </w:tc>
        <w:tc>
          <w:tcPr>
            <w:tcW w:w="770" w:type="dxa"/>
            <w:gridSpan w:val="2"/>
            <w:tcBorders>
              <w:top w:val="nil"/>
              <w:left w:val="nil"/>
              <w:bottom w:val="nil"/>
              <w:right w:val="nil"/>
            </w:tcBorders>
            <w:shd w:val="clear" w:color="auto" w:fill="auto"/>
            <w:noWrap/>
            <w:vAlign w:val="bottom"/>
            <w:hideMark/>
          </w:tcPr>
          <w:p w14:paraId="5A1D4755" w14:textId="462B8A06" w:rsidR="00132FA4" w:rsidRPr="00132FA4" w:rsidRDefault="00132FA4" w:rsidP="00132FA4">
            <w:pPr>
              <w:rPr>
                <w:sz w:val="20"/>
                <w:szCs w:val="20"/>
              </w:rPr>
            </w:pPr>
          </w:p>
        </w:tc>
        <w:tc>
          <w:tcPr>
            <w:tcW w:w="828" w:type="dxa"/>
            <w:tcBorders>
              <w:top w:val="nil"/>
              <w:left w:val="nil"/>
              <w:bottom w:val="nil"/>
              <w:right w:val="nil"/>
            </w:tcBorders>
            <w:shd w:val="clear" w:color="auto" w:fill="auto"/>
            <w:noWrap/>
            <w:vAlign w:val="bottom"/>
            <w:hideMark/>
          </w:tcPr>
          <w:p w14:paraId="3046755A" w14:textId="26498A31" w:rsidR="00132FA4" w:rsidRPr="00132FA4" w:rsidRDefault="00132FA4" w:rsidP="00132FA4">
            <w:pPr>
              <w:rPr>
                <w:sz w:val="20"/>
                <w:szCs w:val="20"/>
              </w:rPr>
            </w:pPr>
          </w:p>
        </w:tc>
        <w:tc>
          <w:tcPr>
            <w:tcW w:w="5519" w:type="dxa"/>
            <w:tcBorders>
              <w:top w:val="nil"/>
              <w:left w:val="nil"/>
              <w:bottom w:val="nil"/>
              <w:right w:val="nil"/>
            </w:tcBorders>
            <w:shd w:val="clear" w:color="auto" w:fill="auto"/>
            <w:vAlign w:val="center"/>
            <w:hideMark/>
          </w:tcPr>
          <w:p w14:paraId="64E308BA" w14:textId="77777777" w:rsidR="007D0377" w:rsidRDefault="007D0377" w:rsidP="00132FA4">
            <w:pPr>
              <w:jc w:val="both"/>
              <w:rPr>
                <w:rFonts w:ascii="Arial" w:hAnsi="Arial" w:cs="Arial"/>
                <w:color w:val="000000"/>
                <w:sz w:val="22"/>
                <w:szCs w:val="22"/>
              </w:rPr>
            </w:pPr>
          </w:p>
          <w:p w14:paraId="51DA100C" w14:textId="77777777" w:rsidR="007D0377" w:rsidRDefault="007D0377" w:rsidP="00132FA4">
            <w:pPr>
              <w:jc w:val="both"/>
              <w:rPr>
                <w:rFonts w:ascii="Arial" w:hAnsi="Arial" w:cs="Arial"/>
                <w:color w:val="000000"/>
                <w:sz w:val="22"/>
                <w:szCs w:val="22"/>
              </w:rPr>
            </w:pPr>
          </w:p>
          <w:p w14:paraId="59F2D126" w14:textId="567921AB" w:rsidR="00132FA4" w:rsidRDefault="007D0377" w:rsidP="00132FA4">
            <w:pPr>
              <w:jc w:val="both"/>
              <w:rPr>
                <w:rFonts w:ascii="Arial" w:hAnsi="Arial" w:cs="Arial"/>
                <w:color w:val="000000"/>
                <w:sz w:val="22"/>
                <w:szCs w:val="22"/>
              </w:rPr>
            </w:pPr>
            <w:r w:rsidRPr="00132FA4">
              <w:rPr>
                <w:rFonts w:ascii="Calibri" w:hAnsi="Calibri" w:cs="Calibri"/>
                <w:noProof/>
                <w:color w:val="000000"/>
                <w:sz w:val="22"/>
                <w:szCs w:val="22"/>
                <w:lang w:val="en-US" w:eastAsia="en-US"/>
              </w:rPr>
              <w:lastRenderedPageBreak/>
              <mc:AlternateContent>
                <mc:Choice Requires="wps">
                  <w:drawing>
                    <wp:anchor distT="0" distB="0" distL="114300" distR="114300" simplePos="0" relativeHeight="252375040" behindDoc="0" locked="0" layoutInCell="1" allowOverlap="1" wp14:anchorId="51626228" wp14:editId="6DE94A0B">
                      <wp:simplePos x="0" y="0"/>
                      <wp:positionH relativeFrom="column">
                        <wp:posOffset>-1906905</wp:posOffset>
                      </wp:positionH>
                      <wp:positionV relativeFrom="paragraph">
                        <wp:posOffset>1216025</wp:posOffset>
                      </wp:positionV>
                      <wp:extent cx="962025" cy="533400"/>
                      <wp:effectExtent l="0" t="0" r="0" b="0"/>
                      <wp:wrapNone/>
                      <wp:docPr id="19" name="Cuadro de texto 19">
                        <a:extLst xmlns:a="http://schemas.openxmlformats.org/drawingml/2006/main">
                          <a:ext uri="{FF2B5EF4-FFF2-40B4-BE49-F238E27FC236}">
                            <a16:creationId xmlns:a16="http://schemas.microsoft.com/office/drawing/2014/main" id="{C4AA2586-9CA7-4A58-9534-E9FC86774004}"/>
                          </a:ext>
                        </a:extLst>
                      </wp:docPr>
                      <wp:cNvGraphicFramePr/>
                      <a:graphic xmlns:a="http://schemas.openxmlformats.org/drawingml/2006/main">
                        <a:graphicData uri="http://schemas.microsoft.com/office/word/2010/wordprocessingShape">
                          <wps:wsp>
                            <wps:cNvSpPr txBox="1"/>
                            <wps:spPr>
                              <a:xfrm>
                                <a:off x="0" y="0"/>
                                <a:ext cx="962025" cy="5334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D8D2794" w14:textId="77777777" w:rsidR="001966EF" w:rsidRPr="00665F67" w:rsidRDefault="001966EF" w:rsidP="00132FA4">
                                  <w:pPr>
                                    <w:jc w:val="center"/>
                                    <w:rPr>
                                      <w:color w:val="0F243E" w:themeColor="text2" w:themeShade="80"/>
                                    </w:rPr>
                                  </w:pPr>
                                  <w:r w:rsidRPr="00665F67">
                                    <w:rPr>
                                      <w:rFonts w:ascii="Arial Black" w:hAnsi="Arial Black" w:cs="Arial"/>
                                      <w:color w:val="0F243E" w:themeColor="text2" w:themeShade="80"/>
                                      <w:sz w:val="48"/>
                                      <w:szCs w:val="48"/>
                                    </w:rPr>
                                    <w:t>47%</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1626228" id="Cuadro de texto 19" o:spid="_x0000_s1033" type="#_x0000_t202" style="position:absolute;left:0;text-align:left;margin-left:-150.15pt;margin-top:95.75pt;width:75.75pt;height:42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" filled="f" stroked="f">
                      <v:textbox>
                        <w:txbxContent>
                          <w:p w14:paraId="0D8D2794" w14:textId="77777777" w:rsidR="001966EF" w:rsidRPr="00665F67" w:rsidRDefault="001966EF" w:rsidP="00132FA4">
                            <w:pPr>
                              <w:jc w:val="center"/>
                              <w:rPr>
                                <w:color w:val="0F243E" w:themeColor="text2" w:themeShade="80"/>
                              </w:rPr>
                            </w:pPr>
                            <w:r w:rsidRPr="00665F67">
                              <w:rPr>
                                <w:rFonts w:ascii="Arial Black" w:hAnsi="Arial Black" w:cs="Arial"/>
                                <w:color w:val="0F243E" w:themeColor="text2" w:themeShade="80"/>
                                <w:sz w:val="48"/>
                                <w:szCs w:val="48"/>
                              </w:rPr>
                              <w:t>47%</w:t>
                            </w:r>
                          </w:p>
                        </w:txbxContent>
                      </v:textbox>
                    </v:shape>
                  </w:pict>
                </mc:Fallback>
              </mc:AlternateContent>
            </w:r>
            <w:r w:rsidRPr="00132FA4">
              <w:rPr>
                <w:rFonts w:ascii="Calibri" w:hAnsi="Calibri" w:cs="Calibri"/>
                <w:noProof/>
                <w:color w:val="000000"/>
                <w:sz w:val="22"/>
                <w:szCs w:val="22"/>
                <w:lang w:val="en-US" w:eastAsia="en-US"/>
              </w:rPr>
              <mc:AlternateContent>
                <mc:Choice Requires="cx1">
                  <w:drawing>
                    <wp:anchor distT="0" distB="0" distL="114300" distR="114300" simplePos="0" relativeHeight="252374016" behindDoc="0" locked="0" layoutInCell="1" allowOverlap="1" wp14:anchorId="00978F55" wp14:editId="56BBC6B1">
                      <wp:simplePos x="0" y="0"/>
                      <wp:positionH relativeFrom="margin">
                        <wp:posOffset>-2844800</wp:posOffset>
                      </wp:positionH>
                      <wp:positionV relativeFrom="paragraph">
                        <wp:posOffset>-15240</wp:posOffset>
                      </wp:positionV>
                      <wp:extent cx="2800350" cy="3800475"/>
                      <wp:effectExtent l="0" t="0" r="0" b="9525"/>
                      <wp:wrapNone/>
                      <wp:docPr id="23" name="Gráfico 23">
                        <a:extLst xmlns:a="http://schemas.openxmlformats.org/drawingml/2006/main">
                          <a:ext uri="{FF2B5EF4-FFF2-40B4-BE49-F238E27FC236}">
                            <a16:creationId xmlns:a16="http://schemas.microsoft.com/office/drawing/2014/main" id="{BD46D7DB-540D-4873-962F-BD2740FD538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drawing>
                    <wp:anchor distT="0" distB="0" distL="114300" distR="114300" simplePos="0" relativeHeight="252374016" behindDoc="0" locked="0" layoutInCell="1" allowOverlap="1" wp14:anchorId="00978F55" wp14:editId="56BBC6B1">
                      <wp:simplePos x="0" y="0"/>
                      <wp:positionH relativeFrom="margin">
                        <wp:posOffset>-2844800</wp:posOffset>
                      </wp:positionH>
                      <wp:positionV relativeFrom="paragraph">
                        <wp:posOffset>-15240</wp:posOffset>
                      </wp:positionV>
                      <wp:extent cx="2800350" cy="3800475"/>
                      <wp:effectExtent l="0" t="0" r="0" b="9525"/>
                      <wp:wrapNone/>
                      <wp:docPr id="23" name="Gráfico 23">
                        <a:extLst xmlns:a="http://schemas.openxmlformats.org/drawingml/2006/main">
                          <a:ext uri="{FF2B5EF4-FFF2-40B4-BE49-F238E27FC236}">
                            <a16:creationId xmlns:a16="http://schemas.microsoft.com/office/drawing/2014/main" id="{BD46D7DB-540D-4873-962F-BD2740FD538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3" name="Gráfico 23">
                                <a:extLst>
                                  <a:ext uri="{FF2B5EF4-FFF2-40B4-BE49-F238E27FC236}">
                                    <a16:creationId xmlns:a16="http://schemas.microsoft.com/office/drawing/2014/main" id="{BD46D7DB-540D-4873-962F-BD2740FD5386}"/>
                                  </a:ext>
                                </a:extLst>
                              </pic:cNvPr>
                              <pic:cNvPicPr>
                                <a:picLocks noGrp="1" noRot="1" noChangeAspect="1" noMove="1" noResize="1" noEditPoints="1" noAdjustHandles="1" noChangeArrowheads="1" noChangeShapeType="1"/>
                              </pic:cNvPicPr>
                            </pic:nvPicPr>
                            <pic:blipFill>
                              <a:blip r:embed="rId30"/>
                              <a:stretch>
                                <a:fillRect/>
                              </a:stretch>
                            </pic:blipFill>
                            <pic:spPr>
                              <a:xfrm>
                                <a:off x="0" y="0"/>
                                <a:ext cx="2800350" cy="380047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132FA4" w:rsidRPr="00132FA4">
              <w:rPr>
                <w:rFonts w:ascii="Arial" w:hAnsi="Arial" w:cs="Arial"/>
                <w:color w:val="000000"/>
                <w:sz w:val="22"/>
                <w:szCs w:val="22"/>
              </w:rPr>
              <w:t xml:space="preserve">De lo anterior se deduce que, </w:t>
            </w:r>
            <w:r w:rsidR="008B2AEC">
              <w:rPr>
                <w:rFonts w:ascii="Arial" w:hAnsi="Arial" w:cs="Arial"/>
                <w:color w:val="000000"/>
                <w:sz w:val="22"/>
                <w:szCs w:val="22"/>
              </w:rPr>
              <w:t xml:space="preserve">el </w:t>
            </w:r>
            <w:r w:rsidR="00132FA4" w:rsidRPr="00132FA4">
              <w:rPr>
                <w:rFonts w:ascii="Arial" w:hAnsi="Arial" w:cs="Arial"/>
                <w:color w:val="000000"/>
                <w:sz w:val="22"/>
                <w:szCs w:val="22"/>
              </w:rPr>
              <w:t>98% del ahorro presentado en el gasto de servicio de telefonía móvil para el tercer trimestre de 2020 comparado con el tercer trimestre de 2019 (48%), obedeció a las gestiones adelantadas por la Subdirección de Servicios en cuanto a los nuevos beneficios otorgados por Movistar para los planes de telefonía móvil contratados para la vigencia 2020, así como, la reducción de 7 líneas telefónicas contratadas con Avantel. Lo anterior, contribuyó a la disminución en el gasto del servicio de telefonía móvil. En conclusión, el Ministerio de Hacienda y Crédito Público ha implementado medidas encaminadas a cumplir las directrices del Gobierno Nacional en el marco de la austeridad del gasto.</w:t>
            </w:r>
          </w:p>
          <w:p w14:paraId="6283CE32" w14:textId="77777777" w:rsidR="00132FA4" w:rsidRDefault="00132FA4" w:rsidP="00132FA4">
            <w:pPr>
              <w:jc w:val="both"/>
              <w:rPr>
                <w:rFonts w:ascii="Arial" w:hAnsi="Arial" w:cs="Arial"/>
                <w:color w:val="000000"/>
                <w:sz w:val="22"/>
                <w:szCs w:val="22"/>
              </w:rPr>
            </w:pPr>
          </w:p>
          <w:p w14:paraId="1564DCFD" w14:textId="1DA3AB27" w:rsidR="00132FA4" w:rsidRDefault="00132FA4" w:rsidP="00132FA4">
            <w:pPr>
              <w:jc w:val="both"/>
              <w:rPr>
                <w:rFonts w:ascii="Arial" w:hAnsi="Arial" w:cs="Arial"/>
                <w:color w:val="000000"/>
                <w:sz w:val="22"/>
                <w:szCs w:val="22"/>
              </w:rPr>
            </w:pPr>
            <w:r w:rsidRPr="00132FA4">
              <w:rPr>
                <w:rFonts w:ascii="Arial" w:hAnsi="Arial" w:cs="Arial"/>
                <w:color w:val="000000"/>
                <w:sz w:val="22"/>
                <w:szCs w:val="22"/>
              </w:rPr>
              <w:t xml:space="preserve">Frente a las medidas impartidas por el Gobierno Nacional en virtud de la Emergencia Económica, Social y Ecológica [COVID-19], el gasto por concepto de telefonía móvil para el tercer trimestre de 2020 fue impactado por las disposiciones del Decreto 520 de 2020, generando una reducción en el gasto por valor de $229.402, correspondiente al valor del impuesto de IVA no cobrado por el periodo de julio de 2020.  </w:t>
            </w:r>
          </w:p>
          <w:p w14:paraId="2AE9AB9F" w14:textId="6169C2EF" w:rsidR="00665F67" w:rsidRDefault="00665F67" w:rsidP="00132FA4">
            <w:pPr>
              <w:jc w:val="both"/>
              <w:rPr>
                <w:rFonts w:ascii="Arial" w:hAnsi="Arial" w:cs="Arial"/>
                <w:color w:val="000000"/>
                <w:sz w:val="22"/>
                <w:szCs w:val="22"/>
              </w:rPr>
            </w:pPr>
          </w:p>
          <w:p w14:paraId="78261CC3" w14:textId="77777777" w:rsidR="00665F67" w:rsidRDefault="00665F67" w:rsidP="00132FA4">
            <w:pPr>
              <w:jc w:val="both"/>
              <w:rPr>
                <w:rFonts w:ascii="Arial" w:hAnsi="Arial" w:cs="Arial"/>
                <w:color w:val="000000"/>
                <w:sz w:val="22"/>
                <w:szCs w:val="22"/>
              </w:rPr>
            </w:pPr>
          </w:p>
          <w:p w14:paraId="1A10BFA3" w14:textId="32EBA6A5" w:rsidR="001D4421" w:rsidRPr="00132FA4" w:rsidRDefault="001D4421" w:rsidP="00132FA4">
            <w:pPr>
              <w:jc w:val="both"/>
              <w:rPr>
                <w:rFonts w:ascii="Arial" w:hAnsi="Arial" w:cs="Arial"/>
                <w:color w:val="000000"/>
                <w:sz w:val="22"/>
                <w:szCs w:val="22"/>
              </w:rPr>
            </w:pPr>
          </w:p>
        </w:tc>
      </w:tr>
    </w:tbl>
    <w:p w14:paraId="544A048E" w14:textId="696CAF76" w:rsidR="00AA5CCE" w:rsidRPr="009F2D9C" w:rsidRDefault="00412E8A" w:rsidP="009F2D9C">
      <w:pPr>
        <w:pStyle w:val="Prrafodelista"/>
        <w:numPr>
          <w:ilvl w:val="2"/>
          <w:numId w:val="41"/>
        </w:numPr>
        <w:rPr>
          <w:rFonts w:ascii="Arial" w:hAnsi="Arial" w:cs="Arial"/>
          <w:b/>
          <w:sz w:val="22"/>
          <w:szCs w:val="22"/>
        </w:rPr>
      </w:pPr>
      <w:r w:rsidRPr="009F2D9C">
        <w:rPr>
          <w:rFonts w:ascii="Arial" w:hAnsi="Arial" w:cs="Arial"/>
          <w:b/>
          <w:sz w:val="22"/>
          <w:szCs w:val="22"/>
        </w:rPr>
        <w:lastRenderedPageBreak/>
        <w:t xml:space="preserve">Líneas de </w:t>
      </w:r>
      <w:r w:rsidR="00950EE8" w:rsidRPr="009F2D9C">
        <w:rPr>
          <w:rFonts w:ascii="Arial" w:hAnsi="Arial" w:cs="Arial"/>
          <w:b/>
          <w:sz w:val="22"/>
          <w:szCs w:val="22"/>
        </w:rPr>
        <w:t>C</w:t>
      </w:r>
      <w:r w:rsidR="00AA5CCE" w:rsidRPr="009F2D9C">
        <w:rPr>
          <w:rFonts w:ascii="Arial" w:hAnsi="Arial" w:cs="Arial"/>
          <w:b/>
          <w:sz w:val="22"/>
          <w:szCs w:val="22"/>
        </w:rPr>
        <w:t xml:space="preserve">elulares </w:t>
      </w:r>
      <w:r w:rsidR="00950EE8" w:rsidRPr="009F2D9C">
        <w:rPr>
          <w:rFonts w:ascii="Arial" w:hAnsi="Arial" w:cs="Arial"/>
          <w:b/>
          <w:sz w:val="22"/>
          <w:szCs w:val="22"/>
        </w:rPr>
        <w:t>A</w:t>
      </w:r>
      <w:r w:rsidR="00AA5CCE" w:rsidRPr="009F2D9C">
        <w:rPr>
          <w:rFonts w:ascii="Arial" w:hAnsi="Arial" w:cs="Arial"/>
          <w:b/>
          <w:sz w:val="22"/>
          <w:szCs w:val="22"/>
        </w:rPr>
        <w:t>signados a Directores</w:t>
      </w:r>
    </w:p>
    <w:p w14:paraId="4E71C1A9" w14:textId="77777777" w:rsidR="00016B10" w:rsidRPr="00CD07C2" w:rsidRDefault="00016B10" w:rsidP="00640F84">
      <w:pPr>
        <w:spacing w:line="168" w:lineRule="auto"/>
        <w:rPr>
          <w:rFonts w:ascii="Arial" w:hAnsi="Arial" w:cs="Arial"/>
          <w:b/>
          <w:sz w:val="22"/>
          <w:szCs w:val="22"/>
        </w:rPr>
      </w:pPr>
    </w:p>
    <w:p w14:paraId="7D9E29AF" w14:textId="77777777" w:rsidR="009F2D9C" w:rsidRDefault="00DA44F5" w:rsidP="009F2D9C">
      <w:pPr>
        <w:jc w:val="both"/>
        <w:rPr>
          <w:rFonts w:ascii="Arial" w:hAnsi="Arial" w:cs="Arial"/>
          <w:color w:val="000000" w:themeColor="text1"/>
          <w:sz w:val="22"/>
          <w:szCs w:val="22"/>
        </w:rPr>
      </w:pPr>
      <w:r w:rsidRPr="00963D44">
        <w:rPr>
          <w:rFonts w:ascii="Arial" w:hAnsi="Arial" w:cs="Arial"/>
          <w:sz w:val="22"/>
          <w:szCs w:val="22"/>
        </w:rPr>
        <w:t>Con base en el listado de</w:t>
      </w:r>
      <w:r w:rsidR="00283C91" w:rsidRPr="00963D44">
        <w:rPr>
          <w:rFonts w:ascii="Arial" w:hAnsi="Arial" w:cs="Arial"/>
          <w:sz w:val="22"/>
          <w:szCs w:val="22"/>
        </w:rPr>
        <w:t xml:space="preserve"> </w:t>
      </w:r>
      <w:r w:rsidRPr="00963D44">
        <w:rPr>
          <w:rFonts w:ascii="Arial" w:hAnsi="Arial" w:cs="Arial"/>
          <w:sz w:val="22"/>
          <w:szCs w:val="22"/>
        </w:rPr>
        <w:t>l</w:t>
      </w:r>
      <w:r w:rsidR="00283C91" w:rsidRPr="00963D44">
        <w:rPr>
          <w:rFonts w:ascii="Arial" w:hAnsi="Arial" w:cs="Arial"/>
          <w:sz w:val="22"/>
          <w:szCs w:val="22"/>
        </w:rPr>
        <w:t xml:space="preserve">os servicios </w:t>
      </w:r>
      <w:r w:rsidR="00932440" w:rsidRPr="00963D44">
        <w:rPr>
          <w:rFonts w:ascii="Arial" w:hAnsi="Arial" w:cs="Arial"/>
          <w:sz w:val="22"/>
          <w:szCs w:val="22"/>
        </w:rPr>
        <w:t xml:space="preserve">de telefonía móvil </w:t>
      </w:r>
      <w:r w:rsidRPr="00963D44">
        <w:rPr>
          <w:rFonts w:ascii="Arial" w:hAnsi="Arial" w:cs="Arial"/>
          <w:sz w:val="22"/>
          <w:szCs w:val="22"/>
        </w:rPr>
        <w:t>facturado</w:t>
      </w:r>
      <w:r w:rsidR="00283C91" w:rsidRPr="00963D44">
        <w:rPr>
          <w:rFonts w:ascii="Arial" w:hAnsi="Arial" w:cs="Arial"/>
          <w:sz w:val="22"/>
          <w:szCs w:val="22"/>
        </w:rPr>
        <w:t>s</w:t>
      </w:r>
      <w:r w:rsidR="00932440" w:rsidRPr="00963D44">
        <w:rPr>
          <w:rFonts w:ascii="Arial" w:hAnsi="Arial" w:cs="Arial"/>
          <w:sz w:val="22"/>
          <w:szCs w:val="22"/>
        </w:rPr>
        <w:t xml:space="preserve"> por Movistar, </w:t>
      </w:r>
      <w:r w:rsidR="00AA5CCE" w:rsidRPr="00963D44">
        <w:rPr>
          <w:rFonts w:ascii="Arial" w:hAnsi="Arial" w:cs="Arial"/>
          <w:sz w:val="22"/>
          <w:szCs w:val="22"/>
        </w:rPr>
        <w:t>allegad</w:t>
      </w:r>
      <w:r w:rsidR="00932440" w:rsidRPr="00963D44">
        <w:rPr>
          <w:rFonts w:ascii="Arial" w:hAnsi="Arial" w:cs="Arial"/>
          <w:sz w:val="22"/>
          <w:szCs w:val="22"/>
        </w:rPr>
        <w:t>o</w:t>
      </w:r>
      <w:r w:rsidR="00AA5CCE" w:rsidRPr="00963D44">
        <w:rPr>
          <w:rFonts w:ascii="Arial" w:hAnsi="Arial" w:cs="Arial"/>
          <w:sz w:val="22"/>
          <w:szCs w:val="22"/>
        </w:rPr>
        <w:t xml:space="preserve"> a esta Oficina, se procedió a verificar las facturas </w:t>
      </w:r>
      <w:r w:rsidR="00931AE5" w:rsidRPr="00963D44">
        <w:rPr>
          <w:rFonts w:ascii="Arial" w:hAnsi="Arial" w:cs="Arial"/>
          <w:sz w:val="22"/>
          <w:szCs w:val="22"/>
        </w:rPr>
        <w:t xml:space="preserve">digitales </w:t>
      </w:r>
      <w:r w:rsidR="00AA5CCE" w:rsidRPr="00963D44">
        <w:rPr>
          <w:rFonts w:ascii="Arial" w:hAnsi="Arial" w:cs="Arial"/>
          <w:sz w:val="22"/>
          <w:szCs w:val="22"/>
        </w:rPr>
        <w:t xml:space="preserve">emitidas </w:t>
      </w:r>
      <w:r w:rsidR="00932440" w:rsidRPr="00963D44">
        <w:rPr>
          <w:rFonts w:ascii="Arial" w:hAnsi="Arial" w:cs="Arial"/>
          <w:sz w:val="22"/>
          <w:szCs w:val="22"/>
        </w:rPr>
        <w:t xml:space="preserve">por dicha empresa para el </w:t>
      </w:r>
      <w:r w:rsidR="000E14EF" w:rsidRPr="00963D44">
        <w:rPr>
          <w:rFonts w:ascii="Arial" w:hAnsi="Arial" w:cs="Arial"/>
          <w:sz w:val="22"/>
          <w:szCs w:val="22"/>
        </w:rPr>
        <w:t>tercer</w:t>
      </w:r>
      <w:r w:rsidR="00932440" w:rsidRPr="00963D44">
        <w:rPr>
          <w:rFonts w:ascii="Arial" w:hAnsi="Arial" w:cs="Arial"/>
          <w:sz w:val="22"/>
          <w:szCs w:val="22"/>
        </w:rPr>
        <w:t xml:space="preserve"> </w:t>
      </w:r>
      <w:r w:rsidR="004B253D" w:rsidRPr="00963D44">
        <w:rPr>
          <w:rFonts w:ascii="Arial" w:hAnsi="Arial" w:cs="Arial"/>
          <w:sz w:val="22"/>
          <w:szCs w:val="22"/>
        </w:rPr>
        <w:t>trimestre de 20</w:t>
      </w:r>
      <w:r w:rsidR="00773E06" w:rsidRPr="00963D44">
        <w:rPr>
          <w:rFonts w:ascii="Arial" w:hAnsi="Arial" w:cs="Arial"/>
          <w:sz w:val="22"/>
          <w:szCs w:val="22"/>
        </w:rPr>
        <w:t>20</w:t>
      </w:r>
      <w:r w:rsidR="009F2D9C">
        <w:rPr>
          <w:rFonts w:ascii="Arial" w:hAnsi="Arial" w:cs="Arial"/>
          <w:sz w:val="22"/>
          <w:szCs w:val="22"/>
        </w:rPr>
        <w:t xml:space="preserve">, revisando </w:t>
      </w:r>
      <w:r w:rsidR="00BE724C" w:rsidRPr="009F2D9C">
        <w:rPr>
          <w:rFonts w:ascii="Arial" w:hAnsi="Arial" w:cs="Arial"/>
          <w:color w:val="000000" w:themeColor="text1"/>
          <w:sz w:val="22"/>
          <w:szCs w:val="22"/>
        </w:rPr>
        <w:t xml:space="preserve">cada estado de cuenta de </w:t>
      </w:r>
      <w:r w:rsidR="00AA5CCE" w:rsidRPr="009F2D9C">
        <w:rPr>
          <w:rFonts w:ascii="Arial" w:hAnsi="Arial" w:cs="Arial"/>
          <w:color w:val="000000" w:themeColor="text1"/>
          <w:sz w:val="22"/>
          <w:szCs w:val="22"/>
        </w:rPr>
        <w:t xml:space="preserve">las líneas asignadas a los Directivos </w:t>
      </w:r>
      <w:r w:rsidR="009F57CB" w:rsidRPr="009F2D9C">
        <w:rPr>
          <w:rFonts w:ascii="Arial" w:hAnsi="Arial" w:cs="Arial"/>
          <w:color w:val="000000" w:themeColor="text1"/>
          <w:sz w:val="22"/>
          <w:szCs w:val="22"/>
        </w:rPr>
        <w:t xml:space="preserve">y </w:t>
      </w:r>
      <w:r w:rsidR="00283C91" w:rsidRPr="009F2D9C">
        <w:rPr>
          <w:rFonts w:ascii="Arial" w:hAnsi="Arial" w:cs="Arial"/>
          <w:color w:val="000000" w:themeColor="text1"/>
          <w:sz w:val="22"/>
          <w:szCs w:val="22"/>
        </w:rPr>
        <w:t>funcionarios</w:t>
      </w:r>
      <w:r w:rsidR="00BE724C" w:rsidRPr="009F2D9C">
        <w:rPr>
          <w:rFonts w:ascii="Arial" w:hAnsi="Arial" w:cs="Arial"/>
          <w:color w:val="000000" w:themeColor="text1"/>
          <w:sz w:val="22"/>
          <w:szCs w:val="22"/>
        </w:rPr>
        <w:t xml:space="preserve"> autorizados </w:t>
      </w:r>
      <w:r w:rsidR="00AA5CCE" w:rsidRPr="009F2D9C">
        <w:rPr>
          <w:rFonts w:ascii="Arial" w:hAnsi="Arial" w:cs="Arial"/>
          <w:color w:val="000000" w:themeColor="text1"/>
          <w:sz w:val="22"/>
          <w:szCs w:val="22"/>
        </w:rPr>
        <w:t>de este Ministerio</w:t>
      </w:r>
      <w:r w:rsidR="009F57CB" w:rsidRPr="009F2D9C">
        <w:rPr>
          <w:rFonts w:ascii="Arial" w:hAnsi="Arial" w:cs="Arial"/>
          <w:color w:val="000000" w:themeColor="text1"/>
          <w:sz w:val="22"/>
          <w:szCs w:val="22"/>
        </w:rPr>
        <w:t>, constatando que los valores allí facturados corresponden con los informados por la Subdirección de Servicios.</w:t>
      </w:r>
      <w:r w:rsidR="00AF2733" w:rsidRPr="009F2D9C">
        <w:rPr>
          <w:rFonts w:ascii="Arial" w:hAnsi="Arial" w:cs="Arial"/>
          <w:color w:val="000000" w:themeColor="text1"/>
          <w:sz w:val="22"/>
          <w:szCs w:val="22"/>
        </w:rPr>
        <w:t xml:space="preserve"> </w:t>
      </w:r>
    </w:p>
    <w:p w14:paraId="45793F74" w14:textId="77777777" w:rsidR="009F2D9C" w:rsidRDefault="009F2D9C" w:rsidP="009F2D9C">
      <w:pPr>
        <w:jc w:val="both"/>
        <w:rPr>
          <w:rFonts w:ascii="Arial" w:hAnsi="Arial" w:cs="Arial"/>
          <w:color w:val="000000" w:themeColor="text1"/>
          <w:sz w:val="22"/>
          <w:szCs w:val="22"/>
        </w:rPr>
      </w:pPr>
    </w:p>
    <w:p w14:paraId="5F791450" w14:textId="071C7163" w:rsidR="00457140" w:rsidRPr="009F2D9C" w:rsidRDefault="00AF2733" w:rsidP="009F2D9C">
      <w:pPr>
        <w:jc w:val="both"/>
        <w:rPr>
          <w:rFonts w:ascii="Arial" w:hAnsi="Arial" w:cs="Arial"/>
          <w:color w:val="000000" w:themeColor="text1"/>
          <w:sz w:val="22"/>
          <w:szCs w:val="22"/>
        </w:rPr>
      </w:pPr>
      <w:r w:rsidRPr="009F2D9C">
        <w:rPr>
          <w:rFonts w:ascii="Arial" w:hAnsi="Arial" w:cs="Arial"/>
          <w:color w:val="000000" w:themeColor="text1"/>
          <w:sz w:val="22"/>
          <w:szCs w:val="22"/>
        </w:rPr>
        <w:t xml:space="preserve">De igual forma, se </w:t>
      </w:r>
      <w:r w:rsidR="009F2D9C">
        <w:rPr>
          <w:rFonts w:ascii="Arial" w:hAnsi="Arial" w:cs="Arial"/>
          <w:color w:val="000000" w:themeColor="text1"/>
          <w:sz w:val="22"/>
          <w:szCs w:val="22"/>
        </w:rPr>
        <w:t xml:space="preserve">confirmó </w:t>
      </w:r>
      <w:r w:rsidR="00457140" w:rsidRPr="009F2D9C">
        <w:rPr>
          <w:rFonts w:ascii="Arial" w:hAnsi="Arial" w:cs="Arial"/>
          <w:color w:val="000000" w:themeColor="text1"/>
          <w:sz w:val="22"/>
          <w:szCs w:val="22"/>
        </w:rPr>
        <w:t xml:space="preserve">que para el </w:t>
      </w:r>
      <w:r w:rsidR="00963D44" w:rsidRPr="009F2D9C">
        <w:rPr>
          <w:rFonts w:ascii="Arial" w:hAnsi="Arial" w:cs="Arial"/>
          <w:color w:val="000000" w:themeColor="text1"/>
          <w:sz w:val="22"/>
          <w:szCs w:val="22"/>
        </w:rPr>
        <w:t>tercer trimestre</w:t>
      </w:r>
      <w:r w:rsidR="00457140" w:rsidRPr="009F2D9C">
        <w:rPr>
          <w:rFonts w:ascii="Arial" w:hAnsi="Arial" w:cs="Arial"/>
          <w:color w:val="000000" w:themeColor="text1"/>
          <w:sz w:val="22"/>
          <w:szCs w:val="22"/>
        </w:rPr>
        <w:t xml:space="preserve"> de 2020 </w:t>
      </w:r>
      <w:r w:rsidR="0031733D" w:rsidRPr="009F2D9C">
        <w:rPr>
          <w:rFonts w:ascii="Arial" w:hAnsi="Arial" w:cs="Arial"/>
          <w:color w:val="000000" w:themeColor="text1"/>
          <w:sz w:val="22"/>
          <w:szCs w:val="22"/>
        </w:rPr>
        <w:t>se presentaron servicios adicionales</w:t>
      </w:r>
      <w:r w:rsidR="009F2D9C">
        <w:rPr>
          <w:rFonts w:ascii="Arial" w:hAnsi="Arial" w:cs="Arial"/>
          <w:color w:val="000000" w:themeColor="text1"/>
          <w:sz w:val="22"/>
          <w:szCs w:val="22"/>
        </w:rPr>
        <w:t xml:space="preserve"> de telefonía móvil </w:t>
      </w:r>
      <w:r w:rsidR="0031733D" w:rsidRPr="009F2D9C">
        <w:rPr>
          <w:rFonts w:ascii="Arial" w:hAnsi="Arial" w:cs="Arial"/>
          <w:color w:val="000000" w:themeColor="text1"/>
          <w:sz w:val="22"/>
          <w:szCs w:val="22"/>
        </w:rPr>
        <w:t xml:space="preserve">por valor de $ </w:t>
      </w:r>
      <w:r w:rsidR="00BD07DF" w:rsidRPr="009F2D9C">
        <w:rPr>
          <w:rFonts w:ascii="Arial" w:hAnsi="Arial" w:cs="Arial"/>
          <w:color w:val="000000" w:themeColor="text1"/>
          <w:sz w:val="22"/>
          <w:szCs w:val="22"/>
        </w:rPr>
        <w:t>34.813</w:t>
      </w:r>
      <w:r w:rsidR="0031733D" w:rsidRPr="009F2D9C">
        <w:rPr>
          <w:rFonts w:ascii="Arial" w:hAnsi="Arial" w:cs="Arial"/>
          <w:color w:val="000000" w:themeColor="text1"/>
          <w:sz w:val="22"/>
          <w:szCs w:val="22"/>
        </w:rPr>
        <w:t xml:space="preserve"> generados por la</w:t>
      </w:r>
      <w:r w:rsidR="00BD07DF" w:rsidRP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línea</w:t>
      </w:r>
      <w:r w:rsidR="00BD07DF" w:rsidRP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asignada</w:t>
      </w:r>
      <w:r w:rsidR="00BD07DF" w:rsidRP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al Director de Crédito Público y Tesoro Nacional</w:t>
      </w:r>
      <w:r w:rsidR="00BD07DF" w:rsidRPr="009F2D9C">
        <w:rPr>
          <w:rFonts w:ascii="Arial" w:hAnsi="Arial" w:cs="Arial"/>
          <w:color w:val="000000" w:themeColor="text1"/>
          <w:sz w:val="22"/>
          <w:szCs w:val="22"/>
        </w:rPr>
        <w:t xml:space="preserve"> y el Director de Tecnología</w:t>
      </w:r>
      <w:r w:rsidR="0031733D" w:rsidRPr="009F2D9C">
        <w:rPr>
          <w:rFonts w:ascii="Arial" w:hAnsi="Arial" w:cs="Arial"/>
          <w:color w:val="000000" w:themeColor="text1"/>
          <w:sz w:val="22"/>
          <w:szCs w:val="22"/>
        </w:rPr>
        <w:t xml:space="preserve">. </w:t>
      </w:r>
      <w:r w:rsidR="00931AE5" w:rsidRPr="009F2D9C">
        <w:rPr>
          <w:rFonts w:ascii="Arial" w:hAnsi="Arial" w:cs="Arial"/>
          <w:color w:val="000000" w:themeColor="text1"/>
          <w:sz w:val="22"/>
          <w:szCs w:val="22"/>
        </w:rPr>
        <w:t xml:space="preserve">Al respecto, esta Oficina </w:t>
      </w:r>
      <w:r w:rsidR="0031733D" w:rsidRPr="009F2D9C">
        <w:rPr>
          <w:rFonts w:ascii="Arial" w:hAnsi="Arial" w:cs="Arial"/>
          <w:color w:val="000000" w:themeColor="text1"/>
          <w:sz w:val="22"/>
          <w:szCs w:val="22"/>
        </w:rPr>
        <w:t>observó la respectiva gestión de cobro por parte de la Subdirección de Servicios y la</w:t>
      </w:r>
      <w:r w:rsidR="00BD07DF" w:rsidRP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w:t>
      </w:r>
      <w:r w:rsidR="00BD07DF" w:rsidRPr="009F2D9C">
        <w:rPr>
          <w:rFonts w:ascii="Arial" w:hAnsi="Arial" w:cs="Arial"/>
          <w:color w:val="000000" w:themeColor="text1"/>
          <w:sz w:val="22"/>
          <w:szCs w:val="22"/>
        </w:rPr>
        <w:t>correspondientes justificaciones</w:t>
      </w:r>
      <w:r w:rsidR="0031733D" w:rsidRPr="009F2D9C">
        <w:rPr>
          <w:rFonts w:ascii="Arial" w:hAnsi="Arial" w:cs="Arial"/>
          <w:color w:val="000000" w:themeColor="text1"/>
          <w:sz w:val="22"/>
          <w:szCs w:val="22"/>
        </w:rPr>
        <w:t xml:space="preserve"> por parte </w:t>
      </w:r>
      <w:r w:rsidR="009F2D9C">
        <w:rPr>
          <w:rFonts w:ascii="Arial" w:hAnsi="Arial" w:cs="Arial"/>
          <w:color w:val="000000" w:themeColor="text1"/>
          <w:sz w:val="22"/>
          <w:szCs w:val="22"/>
        </w:rPr>
        <w:t xml:space="preserve">de </w:t>
      </w:r>
      <w:r w:rsidR="0031733D" w:rsidRPr="009F2D9C">
        <w:rPr>
          <w:rFonts w:ascii="Arial" w:hAnsi="Arial" w:cs="Arial"/>
          <w:color w:val="000000" w:themeColor="text1"/>
          <w:sz w:val="22"/>
          <w:szCs w:val="22"/>
        </w:rPr>
        <w:t>dicha</w:t>
      </w:r>
      <w:r w:rsidR="00BD07DF" w:rsidRP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Direcci</w:t>
      </w:r>
      <w:r w:rsidR="00BD07DF" w:rsidRPr="009F2D9C">
        <w:rPr>
          <w:rFonts w:ascii="Arial" w:hAnsi="Arial" w:cs="Arial"/>
          <w:color w:val="000000" w:themeColor="text1"/>
          <w:sz w:val="22"/>
          <w:szCs w:val="22"/>
        </w:rPr>
        <w:t>ones</w:t>
      </w:r>
      <w:r w:rsidR="0031733D" w:rsidRPr="009F2D9C">
        <w:rPr>
          <w:rFonts w:ascii="Arial" w:hAnsi="Arial" w:cs="Arial"/>
          <w:color w:val="000000" w:themeColor="text1"/>
          <w:sz w:val="22"/>
          <w:szCs w:val="22"/>
        </w:rPr>
        <w:t xml:space="preserve">, </w:t>
      </w:r>
      <w:r w:rsidR="00BD07DF" w:rsidRPr="009F2D9C">
        <w:rPr>
          <w:rFonts w:ascii="Arial" w:hAnsi="Arial" w:cs="Arial"/>
          <w:color w:val="000000" w:themeColor="text1"/>
          <w:sz w:val="22"/>
          <w:szCs w:val="22"/>
        </w:rPr>
        <w:t xml:space="preserve">mediante las cuales informaron que </w:t>
      </w:r>
      <w:r w:rsidR="009F2D9C">
        <w:rPr>
          <w:rFonts w:ascii="Arial" w:hAnsi="Arial" w:cs="Arial"/>
          <w:color w:val="000000" w:themeColor="text1"/>
          <w:sz w:val="22"/>
          <w:szCs w:val="22"/>
        </w:rPr>
        <w:t>los</w:t>
      </w:r>
      <w:r w:rsidR="00931AE5" w:rsidRPr="009F2D9C">
        <w:rPr>
          <w:rFonts w:ascii="Arial" w:hAnsi="Arial" w:cs="Arial"/>
          <w:color w:val="000000" w:themeColor="text1"/>
          <w:sz w:val="22"/>
          <w:szCs w:val="22"/>
        </w:rPr>
        <w:t xml:space="preserve"> </w:t>
      </w:r>
      <w:r w:rsidR="0031733D" w:rsidRPr="009F2D9C">
        <w:rPr>
          <w:rFonts w:ascii="Arial" w:hAnsi="Arial" w:cs="Arial"/>
          <w:color w:val="000000" w:themeColor="text1"/>
          <w:sz w:val="22"/>
          <w:szCs w:val="22"/>
        </w:rPr>
        <w:t>servicio</w:t>
      </w:r>
      <w:r w:rsidR="009F2D9C">
        <w:rPr>
          <w:rFonts w:ascii="Arial" w:hAnsi="Arial" w:cs="Arial"/>
          <w:color w:val="000000" w:themeColor="text1"/>
          <w:sz w:val="22"/>
          <w:szCs w:val="22"/>
        </w:rPr>
        <w:t>s</w:t>
      </w:r>
      <w:r w:rsidR="0031733D" w:rsidRPr="009F2D9C">
        <w:rPr>
          <w:rFonts w:ascii="Arial" w:hAnsi="Arial" w:cs="Arial"/>
          <w:color w:val="000000" w:themeColor="text1"/>
          <w:sz w:val="22"/>
          <w:szCs w:val="22"/>
        </w:rPr>
        <w:t xml:space="preserve"> adicional</w:t>
      </w:r>
      <w:r w:rsidR="009F2D9C">
        <w:rPr>
          <w:rFonts w:ascii="Arial" w:hAnsi="Arial" w:cs="Arial"/>
          <w:color w:val="000000" w:themeColor="text1"/>
          <w:sz w:val="22"/>
          <w:szCs w:val="22"/>
        </w:rPr>
        <w:t>es</w:t>
      </w:r>
      <w:r w:rsidR="0031733D" w:rsidRPr="009F2D9C">
        <w:rPr>
          <w:rFonts w:ascii="Arial" w:hAnsi="Arial" w:cs="Arial"/>
          <w:color w:val="000000" w:themeColor="text1"/>
          <w:sz w:val="22"/>
          <w:szCs w:val="22"/>
        </w:rPr>
        <w:t xml:space="preserve"> fue</w:t>
      </w:r>
      <w:r w:rsidR="009F2D9C">
        <w:rPr>
          <w:rFonts w:ascii="Arial" w:hAnsi="Arial" w:cs="Arial"/>
          <w:color w:val="000000" w:themeColor="text1"/>
          <w:sz w:val="22"/>
          <w:szCs w:val="22"/>
        </w:rPr>
        <w:t xml:space="preserve">ron </w:t>
      </w:r>
      <w:r w:rsidR="000D4390" w:rsidRPr="009F2D9C">
        <w:rPr>
          <w:rFonts w:ascii="Arial" w:hAnsi="Arial" w:cs="Arial"/>
          <w:color w:val="000000" w:themeColor="text1"/>
          <w:sz w:val="22"/>
          <w:szCs w:val="22"/>
        </w:rPr>
        <w:t>con</w:t>
      </w:r>
      <w:r w:rsidR="0031733D" w:rsidRPr="009F2D9C">
        <w:rPr>
          <w:rFonts w:ascii="Arial" w:hAnsi="Arial" w:cs="Arial"/>
          <w:color w:val="000000" w:themeColor="text1"/>
          <w:sz w:val="22"/>
          <w:szCs w:val="22"/>
        </w:rPr>
        <w:t xml:space="preserve"> ocasión al cumplimiento de las funciones asignadas</w:t>
      </w:r>
      <w:r w:rsidR="006C5EBF" w:rsidRPr="009F2D9C">
        <w:rPr>
          <w:rFonts w:ascii="Arial" w:hAnsi="Arial" w:cs="Arial"/>
          <w:color w:val="000000" w:themeColor="text1"/>
          <w:sz w:val="22"/>
          <w:szCs w:val="22"/>
        </w:rPr>
        <w:t xml:space="preserve">. </w:t>
      </w:r>
    </w:p>
    <w:p w14:paraId="26457CBF" w14:textId="185E9135" w:rsidR="00457140" w:rsidRDefault="00457140" w:rsidP="00235D84">
      <w:pPr>
        <w:pStyle w:val="Prrafodelista"/>
        <w:ind w:left="708" w:hanging="348"/>
        <w:contextualSpacing w:val="0"/>
        <w:rPr>
          <w:rFonts w:ascii="Arial" w:hAnsi="Arial" w:cs="Arial"/>
          <w:sz w:val="22"/>
          <w:szCs w:val="22"/>
        </w:rPr>
      </w:pPr>
    </w:p>
    <w:p w14:paraId="7EF54A62" w14:textId="23339148" w:rsidR="009F2D9C" w:rsidRDefault="009F2D9C" w:rsidP="00235D84">
      <w:pPr>
        <w:pStyle w:val="Prrafodelista"/>
        <w:ind w:left="708" w:hanging="348"/>
        <w:contextualSpacing w:val="0"/>
        <w:rPr>
          <w:rFonts w:ascii="Arial" w:hAnsi="Arial" w:cs="Arial"/>
          <w:sz w:val="22"/>
          <w:szCs w:val="22"/>
        </w:rPr>
      </w:pPr>
    </w:p>
    <w:p w14:paraId="69A90451" w14:textId="77777777" w:rsidR="00640F84" w:rsidRPr="001D4421" w:rsidRDefault="00640F84" w:rsidP="00235D84">
      <w:pPr>
        <w:pStyle w:val="Prrafodelista"/>
        <w:ind w:left="708" w:hanging="348"/>
        <w:contextualSpacing w:val="0"/>
        <w:rPr>
          <w:rFonts w:ascii="Arial" w:hAnsi="Arial" w:cs="Arial"/>
          <w:sz w:val="22"/>
          <w:szCs w:val="22"/>
        </w:rPr>
      </w:pPr>
    </w:p>
    <w:p w14:paraId="7883486C" w14:textId="457B4D39" w:rsidR="00AA5CCE" w:rsidRPr="001D4421" w:rsidRDefault="003879F9" w:rsidP="00D90499">
      <w:pPr>
        <w:pStyle w:val="Prrafodelista"/>
        <w:numPr>
          <w:ilvl w:val="1"/>
          <w:numId w:val="13"/>
        </w:numPr>
        <w:tabs>
          <w:tab w:val="left" w:pos="284"/>
        </w:tabs>
        <w:rPr>
          <w:rFonts w:ascii="Arial" w:hAnsi="Arial" w:cs="Arial"/>
          <w:b/>
          <w:sz w:val="22"/>
          <w:szCs w:val="22"/>
        </w:rPr>
      </w:pPr>
      <w:r w:rsidRPr="001D4421">
        <w:rPr>
          <w:rFonts w:ascii="Arial" w:hAnsi="Arial" w:cs="Arial"/>
          <w:b/>
          <w:sz w:val="22"/>
          <w:szCs w:val="22"/>
        </w:rPr>
        <w:t xml:space="preserve"> </w:t>
      </w:r>
      <w:r w:rsidR="000C38F1" w:rsidRPr="001D4421">
        <w:rPr>
          <w:rFonts w:ascii="Arial" w:hAnsi="Arial" w:cs="Arial"/>
          <w:b/>
          <w:sz w:val="22"/>
          <w:szCs w:val="22"/>
        </w:rPr>
        <w:t xml:space="preserve">TELÉFONOS, FAX Y OTROS </w:t>
      </w:r>
    </w:p>
    <w:p w14:paraId="5F7E508B" w14:textId="77777777" w:rsidR="00FC5CAB" w:rsidRPr="001D4421" w:rsidRDefault="00FC5CAB" w:rsidP="00FC5CAB">
      <w:pPr>
        <w:pStyle w:val="Prrafodelista"/>
        <w:ind w:left="360"/>
        <w:contextualSpacing w:val="0"/>
        <w:jc w:val="left"/>
        <w:rPr>
          <w:rFonts w:ascii="Arial" w:hAnsi="Arial" w:cs="Arial"/>
          <w:b/>
          <w:sz w:val="22"/>
          <w:szCs w:val="22"/>
        </w:rPr>
      </w:pPr>
    </w:p>
    <w:p w14:paraId="0BE4C156" w14:textId="3580D17F" w:rsidR="00AA5CCE" w:rsidRPr="001D4421" w:rsidRDefault="00AA5CCE" w:rsidP="00AA5CCE">
      <w:pPr>
        <w:rPr>
          <w:rFonts w:ascii="Arial" w:hAnsi="Arial" w:cs="Arial"/>
          <w:color w:val="000000"/>
          <w:sz w:val="22"/>
          <w:szCs w:val="22"/>
        </w:rPr>
      </w:pPr>
      <w:r w:rsidRPr="001D4421">
        <w:rPr>
          <w:rFonts w:ascii="Arial" w:hAnsi="Arial" w:cs="Arial"/>
          <w:color w:val="000000"/>
          <w:sz w:val="22"/>
          <w:szCs w:val="22"/>
        </w:rPr>
        <w:t>El servicio de telefonía está compuesto por:</w:t>
      </w:r>
    </w:p>
    <w:p w14:paraId="29F1B5BA" w14:textId="77777777" w:rsidR="00640F84" w:rsidRPr="001D4421" w:rsidRDefault="00640F84" w:rsidP="00AA5CCE">
      <w:pPr>
        <w:rPr>
          <w:rFonts w:ascii="Arial" w:hAnsi="Arial" w:cs="Arial"/>
          <w:color w:val="000000"/>
          <w:sz w:val="22"/>
          <w:szCs w:val="22"/>
        </w:rPr>
      </w:pPr>
    </w:p>
    <w:p w14:paraId="781E0805" w14:textId="38BEED3F" w:rsidR="00AA5CCE" w:rsidRPr="001D4421"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1D4421">
        <w:rPr>
          <w:rFonts w:ascii="Arial" w:hAnsi="Arial" w:cs="Arial"/>
          <w:color w:val="000000"/>
          <w:sz w:val="22"/>
          <w:szCs w:val="22"/>
        </w:rPr>
        <w:t>Operador Empresa de Telecomunicaciones de Bogotá S.A.: cuenta 4362813C19 teléfono fijo local y larga distancia</w:t>
      </w:r>
      <w:r w:rsidR="00640F84" w:rsidRPr="001D4421">
        <w:rPr>
          <w:rFonts w:ascii="Arial" w:hAnsi="Arial" w:cs="Arial"/>
          <w:color w:val="000000"/>
          <w:sz w:val="22"/>
          <w:szCs w:val="22"/>
        </w:rPr>
        <w:t>.</w:t>
      </w:r>
    </w:p>
    <w:p w14:paraId="3326AB64" w14:textId="77777777" w:rsidR="00AA5CCE" w:rsidRPr="001D4421"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1D4421">
        <w:rPr>
          <w:rFonts w:ascii="Arial" w:hAnsi="Arial" w:cs="Arial"/>
          <w:color w:val="000000"/>
          <w:sz w:val="22"/>
          <w:szCs w:val="22"/>
        </w:rPr>
        <w:t>Operador Empresa de Telecomunicaciones de Bogotá S.A.: Cuenta 675354527 dos Líneas ADSL con internet.</w:t>
      </w:r>
    </w:p>
    <w:p w14:paraId="6D89F3AB" w14:textId="77777777" w:rsidR="00AA5CCE" w:rsidRPr="001D4421"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1D4421">
        <w:rPr>
          <w:rFonts w:ascii="Arial" w:hAnsi="Arial" w:cs="Arial"/>
          <w:color w:val="000000"/>
          <w:sz w:val="22"/>
          <w:szCs w:val="22"/>
        </w:rPr>
        <w:lastRenderedPageBreak/>
        <w:t xml:space="preserve">Colombia Telecomunicaciones S.A. E.S.P: Línea Nacional 018000 </w:t>
      </w:r>
    </w:p>
    <w:p w14:paraId="6055C6E1" w14:textId="77777777" w:rsidR="00AA5CCE" w:rsidRPr="001D4421" w:rsidRDefault="00AA5CCE" w:rsidP="00D90499">
      <w:pPr>
        <w:pStyle w:val="Prrafodelista"/>
        <w:numPr>
          <w:ilvl w:val="0"/>
          <w:numId w:val="3"/>
        </w:numPr>
        <w:spacing w:after="80"/>
        <w:ind w:left="357" w:hanging="357"/>
        <w:contextualSpacing w:val="0"/>
        <w:rPr>
          <w:rFonts w:ascii="Arial" w:hAnsi="Arial" w:cs="Arial"/>
          <w:color w:val="000000"/>
          <w:sz w:val="22"/>
          <w:szCs w:val="22"/>
        </w:rPr>
      </w:pPr>
      <w:r w:rsidRPr="001D4421">
        <w:rPr>
          <w:rFonts w:ascii="Arial" w:hAnsi="Arial" w:cs="Arial"/>
          <w:color w:val="000000"/>
          <w:sz w:val="22"/>
          <w:szCs w:val="22"/>
        </w:rPr>
        <w:t xml:space="preserve">Colombia Telecomunicaciones S.A. E.S.P: Cuenta Cliente 906709041, plan telefonía PVL25 empresas. </w:t>
      </w:r>
    </w:p>
    <w:p w14:paraId="55BB84F9" w14:textId="400A1780" w:rsidR="00AA5CCE" w:rsidRPr="001D4421" w:rsidRDefault="00AA5CCE" w:rsidP="00D90499">
      <w:pPr>
        <w:pStyle w:val="Prrafodelista"/>
        <w:numPr>
          <w:ilvl w:val="0"/>
          <w:numId w:val="3"/>
        </w:numPr>
        <w:contextualSpacing w:val="0"/>
        <w:rPr>
          <w:rFonts w:ascii="Arial" w:hAnsi="Arial" w:cs="Arial"/>
          <w:color w:val="000000"/>
          <w:sz w:val="22"/>
          <w:szCs w:val="22"/>
        </w:rPr>
      </w:pPr>
      <w:r w:rsidRPr="001D4421">
        <w:rPr>
          <w:rFonts w:ascii="Arial" w:hAnsi="Arial" w:cs="Arial"/>
          <w:color w:val="000000"/>
          <w:sz w:val="22"/>
          <w:szCs w:val="22"/>
        </w:rPr>
        <w:t>UNE EPM</w:t>
      </w:r>
    </w:p>
    <w:p w14:paraId="43D97124" w14:textId="7241699A" w:rsidR="00125716" w:rsidRPr="00CA48AF" w:rsidRDefault="00125716" w:rsidP="00125716">
      <w:pPr>
        <w:pStyle w:val="Prrafodelista"/>
        <w:ind w:left="360"/>
        <w:contextualSpacing w:val="0"/>
        <w:rPr>
          <w:rFonts w:ascii="Arial" w:hAnsi="Arial" w:cs="Arial"/>
          <w:color w:val="000000"/>
          <w:sz w:val="22"/>
          <w:szCs w:val="22"/>
          <w:highlight w:val="yellow"/>
        </w:rPr>
      </w:pPr>
    </w:p>
    <w:p w14:paraId="527D3673" w14:textId="77777777" w:rsidR="00303E25" w:rsidRPr="00CA48AF" w:rsidRDefault="00303E25" w:rsidP="00125716">
      <w:pPr>
        <w:pStyle w:val="Prrafodelista"/>
        <w:ind w:left="360"/>
        <w:contextualSpacing w:val="0"/>
        <w:rPr>
          <w:rFonts w:ascii="Arial" w:hAnsi="Arial" w:cs="Arial"/>
          <w:color w:val="000000"/>
          <w:sz w:val="22"/>
          <w:szCs w:val="22"/>
          <w:highlight w:val="yellow"/>
        </w:rPr>
      </w:pPr>
    </w:p>
    <w:p w14:paraId="2A75C435" w14:textId="4E1D3442" w:rsidR="00AA5CCE" w:rsidRPr="001D4421" w:rsidRDefault="00AA5CCE" w:rsidP="008C1D98">
      <w:pPr>
        <w:jc w:val="both"/>
        <w:rPr>
          <w:rFonts w:ascii="Arial" w:hAnsi="Arial" w:cs="Arial"/>
          <w:color w:val="000000"/>
          <w:sz w:val="22"/>
          <w:szCs w:val="22"/>
        </w:rPr>
      </w:pPr>
      <w:r w:rsidRPr="001D4421">
        <w:rPr>
          <w:rFonts w:ascii="Arial" w:hAnsi="Arial" w:cs="Arial"/>
          <w:color w:val="000000"/>
          <w:sz w:val="22"/>
          <w:szCs w:val="22"/>
        </w:rPr>
        <w:t xml:space="preserve">A continuación, se </w:t>
      </w:r>
      <w:r w:rsidR="001410AC" w:rsidRPr="001D4421">
        <w:rPr>
          <w:rFonts w:ascii="Arial" w:hAnsi="Arial" w:cs="Arial"/>
          <w:color w:val="000000"/>
          <w:sz w:val="22"/>
          <w:szCs w:val="22"/>
        </w:rPr>
        <w:t xml:space="preserve">detallan </w:t>
      </w:r>
      <w:r w:rsidRPr="001D4421">
        <w:rPr>
          <w:rFonts w:ascii="Arial" w:hAnsi="Arial" w:cs="Arial"/>
          <w:color w:val="000000"/>
          <w:sz w:val="22"/>
          <w:szCs w:val="22"/>
        </w:rPr>
        <w:t xml:space="preserve">los valores facturados para el </w:t>
      </w:r>
      <w:r w:rsidR="003418B0" w:rsidRPr="001D4421">
        <w:rPr>
          <w:rFonts w:ascii="Arial" w:hAnsi="Arial" w:cs="Arial"/>
          <w:color w:val="000000"/>
          <w:sz w:val="22"/>
          <w:szCs w:val="22"/>
        </w:rPr>
        <w:t>tercer trimestre</w:t>
      </w:r>
      <w:r w:rsidR="007E3F3A" w:rsidRPr="001D4421">
        <w:rPr>
          <w:rFonts w:ascii="Arial" w:hAnsi="Arial" w:cs="Arial"/>
          <w:color w:val="000000"/>
          <w:sz w:val="22"/>
          <w:szCs w:val="22"/>
        </w:rPr>
        <w:t xml:space="preserve"> d</w:t>
      </w:r>
      <w:r w:rsidRPr="001D4421">
        <w:rPr>
          <w:rFonts w:ascii="Arial" w:hAnsi="Arial" w:cs="Arial"/>
          <w:color w:val="000000"/>
          <w:sz w:val="22"/>
          <w:szCs w:val="22"/>
        </w:rPr>
        <w:t>e 20</w:t>
      </w:r>
      <w:r w:rsidR="00E713F5" w:rsidRPr="001D4421">
        <w:rPr>
          <w:rFonts w:ascii="Arial" w:hAnsi="Arial" w:cs="Arial"/>
          <w:color w:val="000000"/>
          <w:sz w:val="22"/>
          <w:szCs w:val="22"/>
        </w:rPr>
        <w:t>20</w:t>
      </w:r>
      <w:r w:rsidRPr="001D4421">
        <w:rPr>
          <w:rFonts w:ascii="Arial" w:hAnsi="Arial" w:cs="Arial"/>
          <w:color w:val="000000"/>
          <w:sz w:val="22"/>
          <w:szCs w:val="22"/>
        </w:rPr>
        <w:t xml:space="preserve"> en comparación con igual periodo en el año inmediatamente anterior</w:t>
      </w:r>
      <w:r w:rsidR="00E713F5" w:rsidRPr="001D4421">
        <w:rPr>
          <w:rFonts w:ascii="Arial" w:hAnsi="Arial" w:cs="Arial"/>
          <w:color w:val="000000"/>
          <w:sz w:val="22"/>
          <w:szCs w:val="22"/>
        </w:rPr>
        <w:t>, tomando como base las obligaciones registradas en el SIIF</w:t>
      </w:r>
      <w:r w:rsidR="00B96313" w:rsidRPr="001D4421">
        <w:rPr>
          <w:rFonts w:ascii="Arial" w:hAnsi="Arial" w:cs="Arial"/>
          <w:color w:val="000000"/>
          <w:sz w:val="22"/>
          <w:szCs w:val="22"/>
        </w:rPr>
        <w:t xml:space="preserve"> para los periodos analizados:</w:t>
      </w:r>
    </w:p>
    <w:p w14:paraId="02F4E818" w14:textId="77777777" w:rsidR="00DC3486" w:rsidRPr="00CA48AF" w:rsidRDefault="00DC3486" w:rsidP="00303E25">
      <w:pPr>
        <w:spacing w:line="168" w:lineRule="auto"/>
        <w:jc w:val="both"/>
        <w:rPr>
          <w:rFonts w:ascii="Arial" w:hAnsi="Arial" w:cs="Arial"/>
          <w:color w:val="000000"/>
          <w:sz w:val="22"/>
          <w:szCs w:val="22"/>
          <w:highlight w:val="yellow"/>
        </w:rPr>
      </w:pPr>
    </w:p>
    <w:tbl>
      <w:tblPr>
        <w:tblStyle w:val="Tabladecuadrcula1clara-nfasis1"/>
        <w:tblW w:w="0" w:type="auto"/>
        <w:jc w:val="center"/>
        <w:tblLayout w:type="fixed"/>
        <w:tblLook w:val="04A0" w:firstRow="1" w:lastRow="0" w:firstColumn="1" w:lastColumn="0" w:noHBand="0" w:noVBand="1"/>
      </w:tblPr>
      <w:tblGrid>
        <w:gridCol w:w="2040"/>
        <w:gridCol w:w="1683"/>
        <w:gridCol w:w="1375"/>
        <w:gridCol w:w="1701"/>
        <w:gridCol w:w="1418"/>
        <w:gridCol w:w="1283"/>
      </w:tblGrid>
      <w:tr w:rsidR="003838D4" w:rsidRPr="003418B0" w14:paraId="447B03B2" w14:textId="77777777" w:rsidTr="00303E2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shd w:val="clear" w:color="auto" w:fill="4F81BD" w:themeFill="accent1"/>
            <w:vAlign w:val="center"/>
            <w:hideMark/>
          </w:tcPr>
          <w:p w14:paraId="08789519" w14:textId="77777777" w:rsidR="001678A0" w:rsidRPr="003418B0" w:rsidRDefault="001678A0" w:rsidP="003B3CDF">
            <w:pPr>
              <w:spacing w:before="60" w:after="60"/>
              <w:jc w:val="center"/>
              <w:rPr>
                <w:rFonts w:ascii="Arial" w:hAnsi="Arial" w:cs="Arial"/>
                <w:color w:val="FFFFFF" w:themeColor="background1"/>
                <w:sz w:val="20"/>
                <w:szCs w:val="20"/>
              </w:rPr>
            </w:pPr>
            <w:r w:rsidRPr="003418B0">
              <w:rPr>
                <w:rFonts w:ascii="Arial" w:hAnsi="Arial" w:cs="Arial"/>
                <w:color w:val="FFFFFF" w:themeColor="background1"/>
                <w:sz w:val="20"/>
                <w:szCs w:val="20"/>
              </w:rPr>
              <w:t xml:space="preserve">Empresa </w:t>
            </w:r>
          </w:p>
        </w:tc>
        <w:tc>
          <w:tcPr>
            <w:tcW w:w="1683" w:type="dxa"/>
            <w:vMerge w:val="restart"/>
            <w:shd w:val="clear" w:color="auto" w:fill="4F81BD" w:themeFill="accent1"/>
            <w:vAlign w:val="center"/>
            <w:hideMark/>
          </w:tcPr>
          <w:p w14:paraId="14FC924A" w14:textId="77777777" w:rsidR="001678A0" w:rsidRPr="003418B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418B0">
              <w:rPr>
                <w:rFonts w:ascii="Arial" w:hAnsi="Arial" w:cs="Arial"/>
                <w:color w:val="FFFFFF" w:themeColor="background1"/>
                <w:sz w:val="20"/>
                <w:szCs w:val="20"/>
              </w:rPr>
              <w:t xml:space="preserve"> Concepto </w:t>
            </w:r>
          </w:p>
        </w:tc>
        <w:tc>
          <w:tcPr>
            <w:tcW w:w="1375" w:type="dxa"/>
            <w:vMerge w:val="restart"/>
            <w:shd w:val="clear" w:color="auto" w:fill="4F81BD" w:themeFill="accent1"/>
            <w:vAlign w:val="center"/>
            <w:hideMark/>
          </w:tcPr>
          <w:p w14:paraId="3884DFD0" w14:textId="516AB2C0" w:rsidR="001678A0" w:rsidRPr="003418B0" w:rsidRDefault="00E954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418B0">
              <w:rPr>
                <w:rFonts w:ascii="Arial" w:hAnsi="Arial" w:cs="Arial"/>
                <w:color w:val="FFFFFF" w:themeColor="background1"/>
                <w:sz w:val="20"/>
                <w:szCs w:val="20"/>
              </w:rPr>
              <w:t>I</w:t>
            </w:r>
            <w:r w:rsidR="003418B0">
              <w:rPr>
                <w:rFonts w:ascii="Arial" w:hAnsi="Arial" w:cs="Arial"/>
                <w:color w:val="FFFFFF" w:themeColor="background1"/>
                <w:sz w:val="20"/>
                <w:szCs w:val="20"/>
              </w:rPr>
              <w:t>I</w:t>
            </w:r>
            <w:r w:rsidR="008E1592" w:rsidRPr="003418B0">
              <w:rPr>
                <w:rFonts w:ascii="Arial" w:hAnsi="Arial" w:cs="Arial"/>
                <w:color w:val="FFFFFF" w:themeColor="background1"/>
                <w:sz w:val="20"/>
                <w:szCs w:val="20"/>
              </w:rPr>
              <w:t>I</w:t>
            </w:r>
            <w:r w:rsidR="001678A0" w:rsidRPr="003418B0">
              <w:rPr>
                <w:rFonts w:ascii="Arial" w:hAnsi="Arial" w:cs="Arial"/>
                <w:color w:val="FFFFFF" w:themeColor="background1"/>
                <w:sz w:val="20"/>
                <w:szCs w:val="20"/>
              </w:rPr>
              <w:t xml:space="preserve"> Trimestre 20</w:t>
            </w:r>
            <w:r w:rsidR="00B67C4F" w:rsidRPr="003418B0">
              <w:rPr>
                <w:rFonts w:ascii="Arial" w:hAnsi="Arial" w:cs="Arial"/>
                <w:color w:val="FFFFFF" w:themeColor="background1"/>
                <w:sz w:val="20"/>
                <w:szCs w:val="20"/>
              </w:rPr>
              <w:t>20</w:t>
            </w:r>
            <w:r w:rsidR="001678A0" w:rsidRPr="003418B0">
              <w:rPr>
                <w:rFonts w:ascii="Arial" w:hAnsi="Arial" w:cs="Arial"/>
                <w:color w:val="FFFFFF" w:themeColor="background1"/>
                <w:sz w:val="20"/>
                <w:szCs w:val="20"/>
              </w:rPr>
              <w:t xml:space="preserve"> </w:t>
            </w:r>
            <w:r w:rsidR="00303E25" w:rsidRPr="003418B0">
              <w:rPr>
                <w:rFonts w:ascii="Arial" w:hAnsi="Arial" w:cs="Arial"/>
                <w:color w:val="FFFFFF" w:themeColor="background1"/>
                <w:sz w:val="20"/>
                <w:szCs w:val="20"/>
              </w:rPr>
              <w:t>($)</w:t>
            </w:r>
          </w:p>
        </w:tc>
        <w:tc>
          <w:tcPr>
            <w:tcW w:w="1701" w:type="dxa"/>
            <w:vMerge w:val="restart"/>
            <w:shd w:val="clear" w:color="auto" w:fill="4F81BD" w:themeFill="accent1"/>
            <w:vAlign w:val="center"/>
            <w:hideMark/>
          </w:tcPr>
          <w:p w14:paraId="5C8B0F55" w14:textId="05584360" w:rsidR="001678A0" w:rsidRPr="003418B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418B0">
              <w:rPr>
                <w:rFonts w:ascii="Arial" w:hAnsi="Arial" w:cs="Arial"/>
                <w:color w:val="FFFFFF" w:themeColor="background1"/>
                <w:sz w:val="20"/>
                <w:szCs w:val="20"/>
              </w:rPr>
              <w:t xml:space="preserve"> </w:t>
            </w:r>
            <w:r w:rsidR="003418B0">
              <w:rPr>
                <w:rFonts w:ascii="Arial" w:hAnsi="Arial" w:cs="Arial"/>
                <w:color w:val="FFFFFF" w:themeColor="background1"/>
                <w:sz w:val="20"/>
                <w:szCs w:val="20"/>
              </w:rPr>
              <w:t>I</w:t>
            </w:r>
            <w:r w:rsidR="00E954A0" w:rsidRPr="003418B0">
              <w:rPr>
                <w:rFonts w:ascii="Arial" w:hAnsi="Arial" w:cs="Arial"/>
                <w:color w:val="FFFFFF" w:themeColor="background1"/>
                <w:sz w:val="20"/>
                <w:szCs w:val="20"/>
              </w:rPr>
              <w:t>I</w:t>
            </w:r>
            <w:r w:rsidR="008E1592" w:rsidRPr="003418B0">
              <w:rPr>
                <w:rFonts w:ascii="Arial" w:hAnsi="Arial" w:cs="Arial"/>
                <w:color w:val="FFFFFF" w:themeColor="background1"/>
                <w:sz w:val="20"/>
                <w:szCs w:val="20"/>
              </w:rPr>
              <w:t>I</w:t>
            </w:r>
            <w:r w:rsidR="00125716" w:rsidRPr="003418B0">
              <w:rPr>
                <w:rFonts w:ascii="Arial" w:hAnsi="Arial" w:cs="Arial"/>
                <w:color w:val="FFFFFF" w:themeColor="background1"/>
                <w:sz w:val="20"/>
                <w:szCs w:val="20"/>
              </w:rPr>
              <w:t xml:space="preserve"> </w:t>
            </w:r>
            <w:r w:rsidRPr="003418B0">
              <w:rPr>
                <w:rFonts w:ascii="Arial" w:hAnsi="Arial" w:cs="Arial"/>
                <w:color w:val="FFFFFF" w:themeColor="background1"/>
                <w:sz w:val="20"/>
                <w:szCs w:val="20"/>
              </w:rPr>
              <w:t>Trimestre 201</w:t>
            </w:r>
            <w:r w:rsidR="00B67C4F" w:rsidRPr="003418B0">
              <w:rPr>
                <w:rFonts w:ascii="Arial" w:hAnsi="Arial" w:cs="Arial"/>
                <w:color w:val="FFFFFF" w:themeColor="background1"/>
                <w:sz w:val="20"/>
                <w:szCs w:val="20"/>
              </w:rPr>
              <w:t>9</w:t>
            </w:r>
            <w:r w:rsidRPr="003418B0">
              <w:rPr>
                <w:rFonts w:ascii="Arial" w:hAnsi="Arial" w:cs="Arial"/>
                <w:color w:val="FFFFFF" w:themeColor="background1"/>
                <w:sz w:val="20"/>
                <w:szCs w:val="20"/>
              </w:rPr>
              <w:t xml:space="preserve"> </w:t>
            </w:r>
            <w:r w:rsidR="00303E25" w:rsidRPr="003418B0">
              <w:rPr>
                <w:rFonts w:ascii="Arial" w:hAnsi="Arial" w:cs="Arial"/>
                <w:color w:val="FFFFFF" w:themeColor="background1"/>
                <w:sz w:val="20"/>
                <w:szCs w:val="20"/>
              </w:rPr>
              <w:t>($)</w:t>
            </w:r>
          </w:p>
        </w:tc>
        <w:tc>
          <w:tcPr>
            <w:tcW w:w="2701" w:type="dxa"/>
            <w:gridSpan w:val="2"/>
            <w:shd w:val="clear" w:color="auto" w:fill="4F81BD" w:themeFill="accent1"/>
            <w:vAlign w:val="center"/>
            <w:hideMark/>
          </w:tcPr>
          <w:p w14:paraId="5DD80D17" w14:textId="261D6243" w:rsidR="001678A0" w:rsidRPr="003418B0"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3418B0">
              <w:rPr>
                <w:rFonts w:ascii="Arial" w:hAnsi="Arial" w:cs="Arial"/>
                <w:color w:val="FFFFFF" w:themeColor="background1"/>
                <w:sz w:val="20"/>
                <w:szCs w:val="20"/>
              </w:rPr>
              <w:t xml:space="preserve"> Variaciones </w:t>
            </w:r>
            <w:r w:rsidR="003418B0">
              <w:rPr>
                <w:rFonts w:ascii="Arial" w:hAnsi="Arial" w:cs="Arial"/>
                <w:color w:val="FFFFFF" w:themeColor="background1"/>
                <w:sz w:val="20"/>
                <w:szCs w:val="20"/>
              </w:rPr>
              <w:t>I</w:t>
            </w:r>
            <w:r w:rsidR="00E954A0" w:rsidRPr="003418B0">
              <w:rPr>
                <w:rFonts w:ascii="Arial" w:hAnsi="Arial" w:cs="Arial"/>
                <w:color w:val="FFFFFF" w:themeColor="background1"/>
                <w:sz w:val="20"/>
                <w:szCs w:val="20"/>
              </w:rPr>
              <w:t>I</w:t>
            </w:r>
            <w:r w:rsidR="008E1592" w:rsidRPr="003418B0">
              <w:rPr>
                <w:rFonts w:ascii="Arial" w:hAnsi="Arial" w:cs="Arial"/>
                <w:color w:val="FFFFFF" w:themeColor="background1"/>
                <w:sz w:val="20"/>
                <w:szCs w:val="20"/>
              </w:rPr>
              <w:t>I</w:t>
            </w:r>
            <w:r w:rsidR="00125716" w:rsidRPr="003418B0">
              <w:rPr>
                <w:rFonts w:ascii="Arial" w:hAnsi="Arial" w:cs="Arial"/>
                <w:color w:val="FFFFFF" w:themeColor="background1"/>
                <w:sz w:val="20"/>
                <w:szCs w:val="20"/>
              </w:rPr>
              <w:t xml:space="preserve"> </w:t>
            </w:r>
            <w:r w:rsidRPr="003418B0">
              <w:rPr>
                <w:rFonts w:ascii="Arial" w:hAnsi="Arial" w:cs="Arial"/>
                <w:color w:val="FFFFFF" w:themeColor="background1"/>
                <w:sz w:val="20"/>
                <w:szCs w:val="20"/>
              </w:rPr>
              <w:t>Trimestre 20</w:t>
            </w:r>
            <w:r w:rsidR="00B67C4F" w:rsidRPr="003418B0">
              <w:rPr>
                <w:rFonts w:ascii="Arial" w:hAnsi="Arial" w:cs="Arial"/>
                <w:color w:val="FFFFFF" w:themeColor="background1"/>
                <w:sz w:val="20"/>
                <w:szCs w:val="20"/>
              </w:rPr>
              <w:t>20</w:t>
            </w:r>
            <w:r w:rsidRPr="003418B0">
              <w:rPr>
                <w:rFonts w:ascii="Arial" w:hAnsi="Arial" w:cs="Arial"/>
                <w:color w:val="FFFFFF" w:themeColor="background1"/>
                <w:sz w:val="20"/>
                <w:szCs w:val="20"/>
              </w:rPr>
              <w:t>-201</w:t>
            </w:r>
            <w:r w:rsidR="00B67C4F" w:rsidRPr="003418B0">
              <w:rPr>
                <w:rFonts w:ascii="Arial" w:hAnsi="Arial" w:cs="Arial"/>
                <w:color w:val="FFFFFF" w:themeColor="background1"/>
                <w:sz w:val="20"/>
                <w:szCs w:val="20"/>
              </w:rPr>
              <w:t>9</w:t>
            </w:r>
          </w:p>
        </w:tc>
      </w:tr>
      <w:tr w:rsidR="003838D4" w:rsidRPr="003418B0" w14:paraId="2C6E45CA"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E49A36C" w14:textId="77777777" w:rsidR="001678A0" w:rsidRPr="003418B0" w:rsidRDefault="001678A0" w:rsidP="003B3CDF">
            <w:pPr>
              <w:spacing w:before="60" w:after="60"/>
              <w:rPr>
                <w:rFonts w:ascii="Arial" w:hAnsi="Arial" w:cs="Arial"/>
                <w:color w:val="FFFFFF" w:themeColor="background1"/>
                <w:sz w:val="20"/>
                <w:szCs w:val="20"/>
              </w:rPr>
            </w:pPr>
          </w:p>
        </w:tc>
        <w:tc>
          <w:tcPr>
            <w:tcW w:w="1683" w:type="dxa"/>
            <w:vMerge/>
            <w:shd w:val="clear" w:color="auto" w:fill="4F81BD" w:themeFill="accent1"/>
            <w:vAlign w:val="center"/>
            <w:hideMark/>
          </w:tcPr>
          <w:p w14:paraId="2A0F4552" w14:textId="77777777" w:rsidR="001678A0" w:rsidRPr="003418B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375" w:type="dxa"/>
            <w:vMerge/>
            <w:shd w:val="clear" w:color="auto" w:fill="4F81BD" w:themeFill="accent1"/>
            <w:vAlign w:val="center"/>
            <w:hideMark/>
          </w:tcPr>
          <w:p w14:paraId="26E32186" w14:textId="77777777" w:rsidR="001678A0" w:rsidRPr="003418B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vMerge/>
            <w:shd w:val="clear" w:color="auto" w:fill="4F81BD" w:themeFill="accent1"/>
            <w:vAlign w:val="center"/>
            <w:hideMark/>
          </w:tcPr>
          <w:p w14:paraId="7289D723" w14:textId="77777777" w:rsidR="001678A0" w:rsidRPr="003418B0"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shd w:val="clear" w:color="auto" w:fill="4F81BD" w:themeFill="accent1"/>
            <w:vAlign w:val="center"/>
            <w:hideMark/>
          </w:tcPr>
          <w:p w14:paraId="2D0F422B" w14:textId="77777777" w:rsidR="001678A0" w:rsidRPr="003418B0"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418B0">
              <w:rPr>
                <w:rFonts w:ascii="Arial" w:hAnsi="Arial" w:cs="Arial"/>
                <w:b/>
                <w:bCs/>
                <w:color w:val="FFFFFF" w:themeColor="background1"/>
                <w:sz w:val="20"/>
                <w:szCs w:val="20"/>
              </w:rPr>
              <w:t xml:space="preserve"> $ </w:t>
            </w:r>
          </w:p>
        </w:tc>
        <w:tc>
          <w:tcPr>
            <w:tcW w:w="1283" w:type="dxa"/>
            <w:shd w:val="clear" w:color="auto" w:fill="4F81BD" w:themeFill="accent1"/>
            <w:vAlign w:val="center"/>
            <w:hideMark/>
          </w:tcPr>
          <w:p w14:paraId="3D6A2731" w14:textId="77777777" w:rsidR="001678A0" w:rsidRPr="003418B0"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3418B0">
              <w:rPr>
                <w:rFonts w:ascii="Arial" w:hAnsi="Arial" w:cs="Arial"/>
                <w:b/>
                <w:bCs/>
                <w:color w:val="FFFFFF" w:themeColor="background1"/>
                <w:sz w:val="20"/>
                <w:szCs w:val="20"/>
                <w:shd w:val="clear" w:color="auto" w:fill="4F81BD" w:themeFill="accent1"/>
              </w:rPr>
              <w:t xml:space="preserve"> </w:t>
            </w:r>
            <w:r w:rsidRPr="003418B0">
              <w:rPr>
                <w:rFonts w:ascii="Arial" w:hAnsi="Arial" w:cs="Arial"/>
                <w:b/>
                <w:bCs/>
                <w:color w:val="FFFFFF" w:themeColor="background1"/>
                <w:sz w:val="20"/>
                <w:szCs w:val="20"/>
              </w:rPr>
              <w:t xml:space="preserve">% </w:t>
            </w:r>
          </w:p>
        </w:tc>
      </w:tr>
      <w:tr w:rsidR="003418B0" w:rsidRPr="003418B0" w14:paraId="35E75D50"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1D7818B2" w14:textId="21FD7EB8" w:rsidR="003418B0" w:rsidRPr="003418B0" w:rsidRDefault="003418B0" w:rsidP="003418B0">
            <w:pPr>
              <w:spacing w:before="60" w:after="60"/>
              <w:jc w:val="center"/>
              <w:rPr>
                <w:rFonts w:ascii="Arial" w:hAnsi="Arial" w:cs="Arial"/>
                <w:b w:val="0"/>
                <w:color w:val="0F243E" w:themeColor="text2" w:themeShade="80"/>
                <w:sz w:val="20"/>
                <w:szCs w:val="20"/>
              </w:rPr>
            </w:pPr>
            <w:r w:rsidRPr="003418B0">
              <w:rPr>
                <w:rFonts w:ascii="Arial" w:hAnsi="Arial" w:cs="Arial"/>
                <w:b w:val="0"/>
                <w:color w:val="0F243E" w:themeColor="text2" w:themeShade="80"/>
                <w:sz w:val="20"/>
                <w:szCs w:val="20"/>
              </w:rPr>
              <w:t>Empresa de Telecomunicaciones de Bogotá S.A (ETB)</w:t>
            </w:r>
          </w:p>
        </w:tc>
        <w:tc>
          <w:tcPr>
            <w:tcW w:w="1683" w:type="dxa"/>
            <w:vAlign w:val="center"/>
            <w:hideMark/>
          </w:tcPr>
          <w:p w14:paraId="235834FD" w14:textId="77777777" w:rsidR="003418B0" w:rsidRPr="003418B0" w:rsidRDefault="003418B0" w:rsidP="003418B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 xml:space="preserve"> Teléfono Fijo y Larga Distancia </w:t>
            </w:r>
          </w:p>
        </w:tc>
        <w:tc>
          <w:tcPr>
            <w:tcW w:w="1375" w:type="dxa"/>
            <w:vAlign w:val="center"/>
          </w:tcPr>
          <w:p w14:paraId="09F59CF7" w14:textId="50BEC932"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18.581.370</w:t>
            </w:r>
          </w:p>
        </w:tc>
        <w:tc>
          <w:tcPr>
            <w:tcW w:w="1701" w:type="dxa"/>
            <w:vAlign w:val="center"/>
          </w:tcPr>
          <w:p w14:paraId="2E93550C" w14:textId="42395789"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18.824.280</w:t>
            </w:r>
          </w:p>
        </w:tc>
        <w:tc>
          <w:tcPr>
            <w:tcW w:w="1418" w:type="dxa"/>
            <w:vAlign w:val="center"/>
          </w:tcPr>
          <w:p w14:paraId="6532725E" w14:textId="77A603C6"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3418B0">
              <w:rPr>
                <w:rFonts w:ascii="Arial" w:hAnsi="Arial" w:cs="Arial"/>
                <w:color w:val="0F243E" w:themeColor="text2" w:themeShade="80"/>
                <w:sz w:val="20"/>
                <w:szCs w:val="20"/>
              </w:rPr>
              <w:t>242.910</w:t>
            </w:r>
            <w:r>
              <w:rPr>
                <w:rFonts w:ascii="Arial" w:hAnsi="Arial" w:cs="Arial"/>
                <w:color w:val="0F243E" w:themeColor="text2" w:themeShade="80"/>
                <w:sz w:val="20"/>
                <w:szCs w:val="20"/>
              </w:rPr>
              <w:t>)</w:t>
            </w:r>
          </w:p>
        </w:tc>
        <w:tc>
          <w:tcPr>
            <w:tcW w:w="1283" w:type="dxa"/>
            <w:vAlign w:val="center"/>
          </w:tcPr>
          <w:p w14:paraId="5B5A6527" w14:textId="2535CEA3"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F243E" w:themeColor="text2" w:themeShade="80"/>
                <w:sz w:val="20"/>
                <w:szCs w:val="20"/>
              </w:rPr>
              <w:t>(</w:t>
            </w:r>
            <w:r w:rsidRPr="003418B0">
              <w:rPr>
                <w:rFonts w:ascii="Arial" w:hAnsi="Arial" w:cs="Arial"/>
                <w:color w:val="0F243E" w:themeColor="text2" w:themeShade="80"/>
                <w:sz w:val="20"/>
                <w:szCs w:val="20"/>
              </w:rPr>
              <w:t>1,</w:t>
            </w:r>
            <w:r>
              <w:rPr>
                <w:rFonts w:ascii="Arial" w:hAnsi="Arial" w:cs="Arial"/>
                <w:color w:val="0F243E" w:themeColor="text2" w:themeShade="80"/>
                <w:sz w:val="20"/>
                <w:szCs w:val="20"/>
              </w:rPr>
              <w:t>3</w:t>
            </w:r>
            <w:r w:rsidRPr="003418B0">
              <w:rPr>
                <w:rFonts w:ascii="Arial" w:hAnsi="Arial" w:cs="Arial"/>
                <w:color w:val="0F243E" w:themeColor="text2" w:themeShade="80"/>
                <w:sz w:val="20"/>
                <w:szCs w:val="20"/>
              </w:rPr>
              <w:t>%</w:t>
            </w:r>
            <w:r>
              <w:rPr>
                <w:rFonts w:ascii="Arial" w:hAnsi="Arial" w:cs="Arial"/>
                <w:color w:val="0F243E" w:themeColor="text2" w:themeShade="80"/>
                <w:sz w:val="20"/>
                <w:szCs w:val="20"/>
              </w:rPr>
              <w:t>)</w:t>
            </w:r>
          </w:p>
        </w:tc>
      </w:tr>
      <w:tr w:rsidR="003418B0" w:rsidRPr="003418B0" w14:paraId="37D1946B"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07F39F3B" w14:textId="77777777" w:rsidR="003418B0" w:rsidRPr="003418B0" w:rsidRDefault="003418B0" w:rsidP="003418B0">
            <w:pPr>
              <w:spacing w:before="60" w:after="60"/>
              <w:jc w:val="center"/>
              <w:rPr>
                <w:rFonts w:ascii="Arial" w:hAnsi="Arial" w:cs="Arial"/>
                <w:b w:val="0"/>
                <w:color w:val="0F243E" w:themeColor="text2" w:themeShade="80"/>
                <w:sz w:val="20"/>
                <w:szCs w:val="20"/>
              </w:rPr>
            </w:pPr>
          </w:p>
        </w:tc>
        <w:tc>
          <w:tcPr>
            <w:tcW w:w="1683" w:type="dxa"/>
            <w:vAlign w:val="center"/>
            <w:hideMark/>
          </w:tcPr>
          <w:p w14:paraId="283053C1" w14:textId="77777777" w:rsidR="003418B0" w:rsidRPr="003418B0" w:rsidRDefault="003418B0" w:rsidP="003418B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 xml:space="preserve"> Líneas ADSL </w:t>
            </w:r>
          </w:p>
        </w:tc>
        <w:tc>
          <w:tcPr>
            <w:tcW w:w="1375" w:type="dxa"/>
            <w:vAlign w:val="center"/>
          </w:tcPr>
          <w:p w14:paraId="6109EB3A" w14:textId="3504F5D2"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811.650</w:t>
            </w:r>
          </w:p>
        </w:tc>
        <w:tc>
          <w:tcPr>
            <w:tcW w:w="1701" w:type="dxa"/>
            <w:vAlign w:val="center"/>
          </w:tcPr>
          <w:p w14:paraId="54920149" w14:textId="1A573995"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770.790</w:t>
            </w:r>
          </w:p>
        </w:tc>
        <w:tc>
          <w:tcPr>
            <w:tcW w:w="1418" w:type="dxa"/>
            <w:vAlign w:val="center"/>
          </w:tcPr>
          <w:p w14:paraId="004838F9" w14:textId="1F48B6C3"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40.860</w:t>
            </w:r>
          </w:p>
        </w:tc>
        <w:tc>
          <w:tcPr>
            <w:tcW w:w="1283" w:type="dxa"/>
            <w:vAlign w:val="center"/>
          </w:tcPr>
          <w:p w14:paraId="6DBE47B3" w14:textId="43982211"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5%</w:t>
            </w:r>
          </w:p>
        </w:tc>
      </w:tr>
      <w:tr w:rsidR="003418B0" w:rsidRPr="003418B0" w14:paraId="2242ACB7"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7E378E6E" w14:textId="77777777" w:rsidR="003418B0" w:rsidRPr="003418B0" w:rsidRDefault="003418B0" w:rsidP="003418B0">
            <w:pPr>
              <w:spacing w:before="60" w:after="60"/>
              <w:jc w:val="center"/>
              <w:rPr>
                <w:rFonts w:ascii="Arial" w:hAnsi="Arial" w:cs="Arial"/>
                <w:b w:val="0"/>
                <w:color w:val="0F243E" w:themeColor="text2" w:themeShade="80"/>
                <w:sz w:val="20"/>
                <w:szCs w:val="20"/>
              </w:rPr>
            </w:pPr>
            <w:r w:rsidRPr="003418B0">
              <w:rPr>
                <w:rFonts w:ascii="Arial" w:hAnsi="Arial" w:cs="Arial"/>
                <w:b w:val="0"/>
                <w:color w:val="0F243E" w:themeColor="text2" w:themeShade="80"/>
                <w:sz w:val="20"/>
                <w:szCs w:val="20"/>
              </w:rPr>
              <w:t xml:space="preserve">Colombia </w:t>
            </w:r>
            <w:proofErr w:type="spellStart"/>
            <w:r w:rsidRPr="003418B0">
              <w:rPr>
                <w:rFonts w:ascii="Arial" w:hAnsi="Arial" w:cs="Arial"/>
                <w:b w:val="0"/>
                <w:color w:val="0F243E" w:themeColor="text2" w:themeShade="80"/>
                <w:sz w:val="20"/>
                <w:szCs w:val="20"/>
              </w:rPr>
              <w:t>Telecomuniciones</w:t>
            </w:r>
            <w:proofErr w:type="spellEnd"/>
            <w:r w:rsidRPr="003418B0">
              <w:rPr>
                <w:rFonts w:ascii="Arial" w:hAnsi="Arial" w:cs="Arial"/>
                <w:b w:val="0"/>
                <w:color w:val="0F243E" w:themeColor="text2" w:themeShade="80"/>
                <w:sz w:val="20"/>
                <w:szCs w:val="20"/>
              </w:rPr>
              <w:t xml:space="preserve"> S.A. E.S.P.</w:t>
            </w:r>
          </w:p>
        </w:tc>
        <w:tc>
          <w:tcPr>
            <w:tcW w:w="1683" w:type="dxa"/>
            <w:vAlign w:val="center"/>
            <w:hideMark/>
          </w:tcPr>
          <w:p w14:paraId="34600FB1" w14:textId="77777777" w:rsidR="003418B0" w:rsidRPr="003418B0" w:rsidRDefault="003418B0" w:rsidP="003418B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 xml:space="preserve"> Plan Telefonía PVL25 </w:t>
            </w:r>
          </w:p>
        </w:tc>
        <w:tc>
          <w:tcPr>
            <w:tcW w:w="1375" w:type="dxa"/>
            <w:vAlign w:val="center"/>
          </w:tcPr>
          <w:p w14:paraId="6446CB58" w14:textId="3E5FCE1A"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6.070.123</w:t>
            </w:r>
          </w:p>
        </w:tc>
        <w:tc>
          <w:tcPr>
            <w:tcW w:w="1701" w:type="dxa"/>
            <w:vAlign w:val="center"/>
          </w:tcPr>
          <w:p w14:paraId="0AF3EB34" w14:textId="7C7292CF"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5.936.329</w:t>
            </w:r>
          </w:p>
        </w:tc>
        <w:tc>
          <w:tcPr>
            <w:tcW w:w="1418" w:type="dxa"/>
            <w:vAlign w:val="center"/>
          </w:tcPr>
          <w:p w14:paraId="4A92E383" w14:textId="52770775"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133.794</w:t>
            </w:r>
          </w:p>
        </w:tc>
        <w:tc>
          <w:tcPr>
            <w:tcW w:w="1283" w:type="dxa"/>
            <w:vAlign w:val="center"/>
          </w:tcPr>
          <w:p w14:paraId="002EE638" w14:textId="3B6601E0"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2,3%</w:t>
            </w:r>
          </w:p>
        </w:tc>
      </w:tr>
      <w:tr w:rsidR="003418B0" w:rsidRPr="003418B0" w14:paraId="1288C01E" w14:textId="77777777" w:rsidTr="008E1592">
        <w:trPr>
          <w:cantSplit/>
          <w:trHeight w:val="621"/>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72E8AF10" w14:textId="77777777" w:rsidR="003418B0" w:rsidRPr="003418B0" w:rsidRDefault="003418B0" w:rsidP="003418B0">
            <w:pPr>
              <w:spacing w:before="60" w:after="60"/>
              <w:jc w:val="center"/>
              <w:rPr>
                <w:rFonts w:ascii="Arial" w:hAnsi="Arial" w:cs="Arial"/>
                <w:b w:val="0"/>
                <w:color w:val="0F243E" w:themeColor="text2" w:themeShade="80"/>
                <w:sz w:val="20"/>
                <w:szCs w:val="20"/>
              </w:rPr>
            </w:pPr>
          </w:p>
        </w:tc>
        <w:tc>
          <w:tcPr>
            <w:tcW w:w="1683" w:type="dxa"/>
            <w:vAlign w:val="center"/>
            <w:hideMark/>
          </w:tcPr>
          <w:p w14:paraId="6390E515" w14:textId="77777777" w:rsidR="003418B0" w:rsidRPr="003418B0" w:rsidRDefault="003418B0" w:rsidP="003418B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 xml:space="preserve"> Línea 01800 </w:t>
            </w:r>
          </w:p>
        </w:tc>
        <w:tc>
          <w:tcPr>
            <w:tcW w:w="1375" w:type="dxa"/>
            <w:vAlign w:val="center"/>
          </w:tcPr>
          <w:p w14:paraId="48B1429A" w14:textId="5362B734"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13.751.063</w:t>
            </w:r>
          </w:p>
        </w:tc>
        <w:tc>
          <w:tcPr>
            <w:tcW w:w="1701" w:type="dxa"/>
            <w:vAlign w:val="center"/>
          </w:tcPr>
          <w:p w14:paraId="5354DDF8" w14:textId="0D1B3503"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5.440.585</w:t>
            </w:r>
          </w:p>
        </w:tc>
        <w:tc>
          <w:tcPr>
            <w:tcW w:w="1418" w:type="dxa"/>
            <w:vAlign w:val="center"/>
          </w:tcPr>
          <w:p w14:paraId="79D44CA1" w14:textId="67CD75E0"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8.310.478</w:t>
            </w:r>
          </w:p>
        </w:tc>
        <w:tc>
          <w:tcPr>
            <w:tcW w:w="1283" w:type="dxa"/>
            <w:vAlign w:val="center"/>
          </w:tcPr>
          <w:p w14:paraId="608CBF03" w14:textId="502FFEA5"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153%</w:t>
            </w:r>
          </w:p>
        </w:tc>
      </w:tr>
      <w:tr w:rsidR="003418B0" w:rsidRPr="003418B0" w14:paraId="65F15F5C"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33EF333" w14:textId="77777777" w:rsidR="003418B0" w:rsidRPr="003418B0" w:rsidRDefault="003418B0" w:rsidP="003418B0">
            <w:pPr>
              <w:spacing w:before="60" w:after="60"/>
              <w:jc w:val="center"/>
              <w:rPr>
                <w:rFonts w:ascii="Arial" w:hAnsi="Arial" w:cs="Arial"/>
                <w:b w:val="0"/>
                <w:color w:val="0F243E" w:themeColor="text2" w:themeShade="80"/>
                <w:sz w:val="20"/>
                <w:szCs w:val="20"/>
              </w:rPr>
            </w:pPr>
            <w:r w:rsidRPr="003418B0">
              <w:rPr>
                <w:rFonts w:ascii="Arial" w:hAnsi="Arial" w:cs="Arial"/>
                <w:b w:val="0"/>
                <w:color w:val="0F243E" w:themeColor="text2" w:themeShade="80"/>
                <w:sz w:val="20"/>
                <w:szCs w:val="20"/>
              </w:rPr>
              <w:t>UNE</w:t>
            </w:r>
          </w:p>
        </w:tc>
        <w:tc>
          <w:tcPr>
            <w:tcW w:w="1683" w:type="dxa"/>
            <w:vAlign w:val="center"/>
            <w:hideMark/>
          </w:tcPr>
          <w:p w14:paraId="4104BD20" w14:textId="77777777" w:rsidR="003418B0" w:rsidRPr="003418B0" w:rsidRDefault="003418B0" w:rsidP="003418B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 xml:space="preserve"> Contrato 1000395708 </w:t>
            </w:r>
          </w:p>
        </w:tc>
        <w:tc>
          <w:tcPr>
            <w:tcW w:w="1375" w:type="dxa"/>
            <w:vAlign w:val="center"/>
          </w:tcPr>
          <w:p w14:paraId="6DD8470B" w14:textId="5C48EBD6"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1.704.804</w:t>
            </w:r>
          </w:p>
        </w:tc>
        <w:tc>
          <w:tcPr>
            <w:tcW w:w="1701" w:type="dxa"/>
            <w:vAlign w:val="center"/>
          </w:tcPr>
          <w:p w14:paraId="1D2A69B5" w14:textId="748C6028"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1.629.354</w:t>
            </w:r>
          </w:p>
        </w:tc>
        <w:tc>
          <w:tcPr>
            <w:tcW w:w="1418" w:type="dxa"/>
            <w:vAlign w:val="center"/>
          </w:tcPr>
          <w:p w14:paraId="7F261034" w14:textId="4851E28E"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75.450</w:t>
            </w:r>
          </w:p>
        </w:tc>
        <w:tc>
          <w:tcPr>
            <w:tcW w:w="1283" w:type="dxa"/>
            <w:vAlign w:val="center"/>
          </w:tcPr>
          <w:p w14:paraId="724897B8" w14:textId="086D3D87"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3418B0">
              <w:rPr>
                <w:rFonts w:ascii="Arial" w:hAnsi="Arial" w:cs="Arial"/>
                <w:color w:val="0F243E" w:themeColor="text2" w:themeShade="80"/>
                <w:sz w:val="20"/>
                <w:szCs w:val="20"/>
              </w:rPr>
              <w:t>5%</w:t>
            </w:r>
          </w:p>
        </w:tc>
      </w:tr>
      <w:tr w:rsidR="003418B0" w:rsidRPr="00CA48AF" w14:paraId="19284C75"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4F81BD" w:themeFill="accent1"/>
            <w:vAlign w:val="center"/>
            <w:hideMark/>
          </w:tcPr>
          <w:p w14:paraId="77E42D73" w14:textId="379E0914" w:rsidR="003418B0" w:rsidRPr="003418B0" w:rsidRDefault="003418B0" w:rsidP="003418B0">
            <w:pPr>
              <w:spacing w:before="60" w:after="60"/>
              <w:jc w:val="center"/>
              <w:rPr>
                <w:rFonts w:ascii="Arial" w:hAnsi="Arial" w:cs="Arial"/>
                <w:color w:val="FFFFFF" w:themeColor="background1"/>
                <w:sz w:val="20"/>
                <w:szCs w:val="20"/>
              </w:rPr>
            </w:pPr>
            <w:r w:rsidRPr="003418B0">
              <w:rPr>
                <w:rFonts w:ascii="Arial" w:hAnsi="Arial" w:cs="Arial"/>
                <w:color w:val="FFFFFF" w:themeColor="background1"/>
                <w:sz w:val="20"/>
                <w:szCs w:val="20"/>
              </w:rPr>
              <w:t xml:space="preserve">Variaciones </w:t>
            </w:r>
            <w:r>
              <w:rPr>
                <w:rFonts w:ascii="Arial" w:hAnsi="Arial" w:cs="Arial"/>
                <w:color w:val="FFFFFF" w:themeColor="background1"/>
                <w:sz w:val="20"/>
                <w:szCs w:val="20"/>
              </w:rPr>
              <w:t>I</w:t>
            </w:r>
            <w:r w:rsidRPr="003418B0">
              <w:rPr>
                <w:rFonts w:ascii="Arial" w:hAnsi="Arial" w:cs="Arial"/>
                <w:color w:val="FFFFFF" w:themeColor="background1"/>
                <w:sz w:val="20"/>
                <w:szCs w:val="20"/>
              </w:rPr>
              <w:t>II Trimestre 2020-2019</w:t>
            </w:r>
          </w:p>
        </w:tc>
        <w:tc>
          <w:tcPr>
            <w:tcW w:w="1375" w:type="dxa"/>
            <w:shd w:val="clear" w:color="auto" w:fill="4F81BD" w:themeFill="accent1"/>
            <w:vAlign w:val="center"/>
          </w:tcPr>
          <w:p w14:paraId="07B09D9A" w14:textId="21406335"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40.919.010</w:t>
            </w:r>
          </w:p>
        </w:tc>
        <w:tc>
          <w:tcPr>
            <w:tcW w:w="1701" w:type="dxa"/>
            <w:shd w:val="clear" w:color="auto" w:fill="4F81BD" w:themeFill="accent1"/>
            <w:vAlign w:val="center"/>
          </w:tcPr>
          <w:p w14:paraId="1D9AC423" w14:textId="3E2AA120"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32.601.338</w:t>
            </w:r>
          </w:p>
        </w:tc>
        <w:tc>
          <w:tcPr>
            <w:tcW w:w="1418" w:type="dxa"/>
            <w:shd w:val="clear" w:color="auto" w:fill="4F81BD" w:themeFill="accent1"/>
            <w:vAlign w:val="center"/>
          </w:tcPr>
          <w:p w14:paraId="5563261D" w14:textId="04741D4C"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sz w:val="20"/>
                <w:szCs w:val="20"/>
              </w:rPr>
              <w:t>8.317.672</w:t>
            </w:r>
          </w:p>
        </w:tc>
        <w:tc>
          <w:tcPr>
            <w:tcW w:w="1283" w:type="dxa"/>
            <w:shd w:val="clear" w:color="auto" w:fill="4F81BD" w:themeFill="accent1"/>
            <w:vAlign w:val="center"/>
          </w:tcPr>
          <w:p w14:paraId="57BA179A" w14:textId="7594A9D3" w:rsidR="003418B0" w:rsidRPr="003418B0" w:rsidRDefault="003418B0" w:rsidP="003418B0">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Pr>
                <w:rFonts w:ascii="Arial" w:hAnsi="Arial" w:cs="Arial"/>
                <w:b/>
                <w:bCs/>
                <w:color w:val="FFFFFF"/>
                <w:sz w:val="20"/>
                <w:szCs w:val="20"/>
              </w:rPr>
              <w:t>26%</w:t>
            </w:r>
          </w:p>
        </w:tc>
      </w:tr>
    </w:tbl>
    <w:p w14:paraId="19DB5B7D" w14:textId="77777777" w:rsidR="008E1592" w:rsidRPr="00CA48AF" w:rsidRDefault="008E1592" w:rsidP="00B57B24">
      <w:pPr>
        <w:jc w:val="both"/>
        <w:rPr>
          <w:rFonts w:ascii="Arial" w:hAnsi="Arial" w:cs="Arial"/>
          <w:sz w:val="22"/>
          <w:szCs w:val="22"/>
          <w:highlight w:val="yellow"/>
        </w:rPr>
      </w:pPr>
    </w:p>
    <w:p w14:paraId="756733D2" w14:textId="232C5659" w:rsidR="00C8643B" w:rsidRPr="00C456F8" w:rsidRDefault="001678A0" w:rsidP="00B57B24">
      <w:pPr>
        <w:jc w:val="both"/>
        <w:rPr>
          <w:rFonts w:ascii="Arial" w:hAnsi="Arial" w:cs="Arial"/>
          <w:color w:val="000000" w:themeColor="text1"/>
          <w:sz w:val="22"/>
          <w:szCs w:val="22"/>
        </w:rPr>
      </w:pPr>
      <w:r w:rsidRPr="00E37665">
        <w:rPr>
          <w:rFonts w:ascii="Arial" w:hAnsi="Arial" w:cs="Arial"/>
          <w:color w:val="000000" w:themeColor="text1"/>
          <w:sz w:val="22"/>
          <w:szCs w:val="22"/>
        </w:rPr>
        <w:t>P</w:t>
      </w:r>
      <w:r w:rsidR="00AA5CCE" w:rsidRPr="00E37665">
        <w:rPr>
          <w:rFonts w:ascii="Arial" w:hAnsi="Arial" w:cs="Arial"/>
          <w:color w:val="000000" w:themeColor="text1"/>
          <w:sz w:val="22"/>
          <w:szCs w:val="22"/>
        </w:rPr>
        <w:t>ara este concepto, se observó que</w:t>
      </w:r>
      <w:r w:rsidR="00BE3032" w:rsidRPr="00E37665">
        <w:rPr>
          <w:rFonts w:ascii="Arial" w:hAnsi="Arial" w:cs="Arial"/>
          <w:color w:val="000000" w:themeColor="text1"/>
          <w:sz w:val="22"/>
          <w:szCs w:val="22"/>
        </w:rPr>
        <w:t xml:space="preserve"> el gasto </w:t>
      </w:r>
      <w:r w:rsidR="00AA5CCE" w:rsidRPr="00E37665">
        <w:rPr>
          <w:rFonts w:ascii="Arial" w:hAnsi="Arial" w:cs="Arial"/>
          <w:color w:val="000000" w:themeColor="text1"/>
          <w:sz w:val="22"/>
          <w:szCs w:val="22"/>
        </w:rPr>
        <w:t>facturado por el servicio de telefonía</w:t>
      </w:r>
      <w:r w:rsidR="007B0044" w:rsidRPr="00E37665">
        <w:rPr>
          <w:rFonts w:ascii="Arial" w:hAnsi="Arial" w:cs="Arial"/>
          <w:color w:val="000000" w:themeColor="text1"/>
          <w:sz w:val="22"/>
          <w:szCs w:val="22"/>
        </w:rPr>
        <w:t xml:space="preserve"> </w:t>
      </w:r>
      <w:r w:rsidR="004B589B" w:rsidRPr="00E37665">
        <w:rPr>
          <w:rFonts w:ascii="Arial" w:hAnsi="Arial" w:cs="Arial"/>
          <w:color w:val="000000" w:themeColor="text1"/>
          <w:sz w:val="22"/>
          <w:szCs w:val="22"/>
        </w:rPr>
        <w:t>fija durante</w:t>
      </w:r>
      <w:r w:rsidR="00AA5CCE" w:rsidRPr="00E37665">
        <w:rPr>
          <w:rFonts w:ascii="Arial" w:hAnsi="Arial" w:cs="Arial"/>
          <w:color w:val="000000" w:themeColor="text1"/>
          <w:sz w:val="22"/>
          <w:szCs w:val="22"/>
        </w:rPr>
        <w:t xml:space="preserve"> el </w:t>
      </w:r>
      <w:r w:rsidR="008D7459" w:rsidRPr="00E37665">
        <w:rPr>
          <w:rFonts w:ascii="Arial" w:hAnsi="Arial" w:cs="Arial"/>
          <w:color w:val="000000" w:themeColor="text1"/>
          <w:sz w:val="22"/>
          <w:szCs w:val="22"/>
        </w:rPr>
        <w:t xml:space="preserve">tercer </w:t>
      </w:r>
      <w:r w:rsidR="00AA5CCE" w:rsidRPr="00E37665">
        <w:rPr>
          <w:rFonts w:ascii="Arial" w:hAnsi="Arial" w:cs="Arial"/>
          <w:color w:val="000000" w:themeColor="text1"/>
          <w:sz w:val="22"/>
          <w:szCs w:val="22"/>
        </w:rPr>
        <w:t>trimestre de 20</w:t>
      </w:r>
      <w:r w:rsidR="00E713F5" w:rsidRPr="00E37665">
        <w:rPr>
          <w:rFonts w:ascii="Arial" w:hAnsi="Arial" w:cs="Arial"/>
          <w:color w:val="000000" w:themeColor="text1"/>
          <w:sz w:val="22"/>
          <w:szCs w:val="22"/>
        </w:rPr>
        <w:t>20</w:t>
      </w:r>
      <w:r w:rsidR="00AA5CCE" w:rsidRPr="00E37665">
        <w:rPr>
          <w:rFonts w:ascii="Arial" w:hAnsi="Arial" w:cs="Arial"/>
          <w:color w:val="000000" w:themeColor="text1"/>
          <w:sz w:val="22"/>
          <w:szCs w:val="22"/>
        </w:rPr>
        <w:t>, comparado con el mismo periodo del año 201</w:t>
      </w:r>
      <w:r w:rsidR="00E713F5" w:rsidRPr="00E37665">
        <w:rPr>
          <w:rFonts w:ascii="Arial" w:hAnsi="Arial" w:cs="Arial"/>
          <w:color w:val="000000" w:themeColor="text1"/>
          <w:sz w:val="22"/>
          <w:szCs w:val="22"/>
        </w:rPr>
        <w:t>9</w:t>
      </w:r>
      <w:r w:rsidR="00AA5CCE" w:rsidRPr="00E37665">
        <w:rPr>
          <w:rFonts w:ascii="Arial" w:hAnsi="Arial" w:cs="Arial"/>
          <w:color w:val="000000" w:themeColor="text1"/>
          <w:sz w:val="22"/>
          <w:szCs w:val="22"/>
        </w:rPr>
        <w:t>,</w:t>
      </w:r>
      <w:r w:rsidR="008B0EB2" w:rsidRPr="00E37665">
        <w:rPr>
          <w:rFonts w:ascii="Arial" w:hAnsi="Arial" w:cs="Arial"/>
          <w:color w:val="000000" w:themeColor="text1"/>
          <w:sz w:val="22"/>
          <w:szCs w:val="22"/>
        </w:rPr>
        <w:t xml:space="preserve"> present</w:t>
      </w:r>
      <w:r w:rsidR="00BE3032" w:rsidRPr="00E37665">
        <w:rPr>
          <w:rFonts w:ascii="Arial" w:hAnsi="Arial" w:cs="Arial"/>
          <w:color w:val="000000" w:themeColor="text1"/>
          <w:sz w:val="22"/>
          <w:szCs w:val="22"/>
        </w:rPr>
        <w:t>ó</w:t>
      </w:r>
      <w:r w:rsidR="008B0EB2" w:rsidRPr="00E37665">
        <w:rPr>
          <w:rFonts w:ascii="Arial" w:hAnsi="Arial" w:cs="Arial"/>
          <w:color w:val="000000" w:themeColor="text1"/>
          <w:sz w:val="22"/>
          <w:szCs w:val="22"/>
        </w:rPr>
        <w:t xml:space="preserve"> un</w:t>
      </w:r>
      <w:r w:rsidR="008D7459" w:rsidRPr="00E37665">
        <w:rPr>
          <w:rFonts w:ascii="Arial" w:hAnsi="Arial" w:cs="Arial"/>
          <w:color w:val="000000" w:themeColor="text1"/>
          <w:sz w:val="22"/>
          <w:szCs w:val="22"/>
        </w:rPr>
        <w:t xml:space="preserve"> </w:t>
      </w:r>
      <w:r w:rsidR="008D7459" w:rsidRPr="00E37665">
        <w:rPr>
          <w:rFonts w:ascii="Arial" w:hAnsi="Arial" w:cs="Arial"/>
          <w:b/>
          <w:bCs/>
          <w:color w:val="000000" w:themeColor="text1"/>
          <w:sz w:val="22"/>
          <w:szCs w:val="22"/>
        </w:rPr>
        <w:t>incremento del</w:t>
      </w:r>
      <w:r w:rsidR="00BE3032" w:rsidRPr="00E37665">
        <w:rPr>
          <w:rFonts w:ascii="Arial" w:hAnsi="Arial" w:cs="Arial"/>
          <w:b/>
          <w:bCs/>
          <w:color w:val="000000" w:themeColor="text1"/>
          <w:sz w:val="22"/>
          <w:szCs w:val="22"/>
        </w:rPr>
        <w:t xml:space="preserve"> </w:t>
      </w:r>
      <w:r w:rsidR="008D7459" w:rsidRPr="00E37665">
        <w:rPr>
          <w:rFonts w:ascii="Arial" w:hAnsi="Arial" w:cs="Arial"/>
          <w:b/>
          <w:bCs/>
          <w:color w:val="000000" w:themeColor="text1"/>
          <w:sz w:val="22"/>
          <w:szCs w:val="22"/>
        </w:rPr>
        <w:t>26</w:t>
      </w:r>
      <w:r w:rsidR="00BE3032" w:rsidRPr="00E37665">
        <w:rPr>
          <w:rFonts w:ascii="Arial" w:hAnsi="Arial" w:cs="Arial"/>
          <w:b/>
          <w:bCs/>
          <w:color w:val="000000" w:themeColor="text1"/>
          <w:sz w:val="22"/>
          <w:szCs w:val="22"/>
        </w:rPr>
        <w:t>%</w:t>
      </w:r>
      <w:r w:rsidR="00C456F8">
        <w:rPr>
          <w:rFonts w:ascii="Arial" w:hAnsi="Arial" w:cs="Arial"/>
          <w:color w:val="000000" w:themeColor="text1"/>
          <w:sz w:val="22"/>
          <w:szCs w:val="22"/>
        </w:rPr>
        <w:t>.</w:t>
      </w:r>
    </w:p>
    <w:p w14:paraId="7C13A124" w14:textId="77777777" w:rsidR="00C8643B" w:rsidRPr="00E37665" w:rsidRDefault="00C8643B" w:rsidP="00B57B24">
      <w:pPr>
        <w:jc w:val="both"/>
        <w:rPr>
          <w:rFonts w:ascii="Arial" w:hAnsi="Arial" w:cs="Arial"/>
          <w:color w:val="000000" w:themeColor="text1"/>
          <w:sz w:val="22"/>
          <w:szCs w:val="22"/>
        </w:rPr>
      </w:pPr>
    </w:p>
    <w:p w14:paraId="26C0D91F" w14:textId="6812B750" w:rsidR="00E37665" w:rsidRPr="00E37665" w:rsidRDefault="008D7459" w:rsidP="00B57B24">
      <w:pPr>
        <w:jc w:val="both"/>
        <w:rPr>
          <w:rFonts w:ascii="Arial" w:hAnsi="Arial" w:cs="Arial"/>
          <w:color w:val="000000" w:themeColor="text1"/>
          <w:sz w:val="22"/>
          <w:szCs w:val="22"/>
        </w:rPr>
      </w:pPr>
      <w:r w:rsidRPr="00E37665">
        <w:rPr>
          <w:rFonts w:ascii="Arial" w:hAnsi="Arial" w:cs="Arial"/>
          <w:color w:val="000000" w:themeColor="text1"/>
          <w:sz w:val="22"/>
          <w:szCs w:val="22"/>
        </w:rPr>
        <w:t xml:space="preserve">Al respecto, la Subdirección de Servicios informó que el mencionado aumento </w:t>
      </w:r>
      <w:r w:rsidR="00A12F1E" w:rsidRPr="00E37665">
        <w:rPr>
          <w:rFonts w:ascii="Arial" w:hAnsi="Arial" w:cs="Arial"/>
          <w:color w:val="000000" w:themeColor="text1"/>
          <w:sz w:val="22"/>
          <w:szCs w:val="22"/>
        </w:rPr>
        <w:t>obedec</w:t>
      </w:r>
      <w:r w:rsidR="003853BC" w:rsidRPr="00E37665">
        <w:rPr>
          <w:rFonts w:ascii="Arial" w:hAnsi="Arial" w:cs="Arial"/>
          <w:color w:val="000000" w:themeColor="text1"/>
          <w:sz w:val="22"/>
          <w:szCs w:val="22"/>
        </w:rPr>
        <w:t>ió</w:t>
      </w:r>
      <w:r w:rsidR="00A12F1E" w:rsidRPr="00E37665">
        <w:rPr>
          <w:rFonts w:ascii="Arial" w:hAnsi="Arial" w:cs="Arial"/>
          <w:color w:val="000000" w:themeColor="text1"/>
          <w:sz w:val="22"/>
          <w:szCs w:val="22"/>
        </w:rPr>
        <w:t xml:space="preserve"> en parte</w:t>
      </w:r>
      <w:r w:rsidR="008672EA">
        <w:rPr>
          <w:rFonts w:ascii="Arial" w:hAnsi="Arial" w:cs="Arial"/>
          <w:color w:val="000000" w:themeColor="text1"/>
          <w:sz w:val="22"/>
          <w:szCs w:val="22"/>
        </w:rPr>
        <w:t xml:space="preserve"> al cobro generado por </w:t>
      </w:r>
      <w:r w:rsidR="00A12F1E" w:rsidRPr="00E37665">
        <w:rPr>
          <w:rFonts w:ascii="Arial" w:hAnsi="Arial" w:cs="Arial"/>
          <w:color w:val="000000" w:themeColor="text1"/>
          <w:sz w:val="22"/>
          <w:szCs w:val="22"/>
        </w:rPr>
        <w:t>el periodo de abril de 2020</w:t>
      </w:r>
      <w:r w:rsidR="008672EA">
        <w:rPr>
          <w:rFonts w:ascii="Arial" w:hAnsi="Arial" w:cs="Arial"/>
          <w:color w:val="000000" w:themeColor="text1"/>
          <w:sz w:val="22"/>
          <w:szCs w:val="22"/>
        </w:rPr>
        <w:t xml:space="preserve"> por valor de </w:t>
      </w:r>
      <w:r w:rsidR="008672EA" w:rsidRPr="008672EA">
        <w:rPr>
          <w:rFonts w:ascii="Arial" w:hAnsi="Arial" w:cs="Arial"/>
          <w:color w:val="000000" w:themeColor="text1"/>
          <w:sz w:val="22"/>
          <w:szCs w:val="22"/>
        </w:rPr>
        <w:t>$ 11.405.276</w:t>
      </w:r>
      <w:r w:rsidR="008672EA">
        <w:rPr>
          <w:rFonts w:ascii="Arial" w:hAnsi="Arial" w:cs="Arial"/>
          <w:color w:val="000000" w:themeColor="text1"/>
          <w:sz w:val="22"/>
          <w:szCs w:val="22"/>
        </w:rPr>
        <w:t xml:space="preserve"> </w:t>
      </w:r>
      <w:r w:rsidR="008672EA" w:rsidRPr="00E37665">
        <w:rPr>
          <w:rFonts w:ascii="Arial" w:hAnsi="Arial" w:cs="Arial"/>
          <w:color w:val="000000" w:themeColor="text1"/>
          <w:sz w:val="22"/>
          <w:szCs w:val="22"/>
        </w:rPr>
        <w:t>por concepto de telefonía fija larga distancia ofrecido por Colombia Telecomunicaciones S.A. E.S.P</w:t>
      </w:r>
      <w:r w:rsidR="008672EA">
        <w:rPr>
          <w:rFonts w:ascii="Arial" w:hAnsi="Arial" w:cs="Arial"/>
          <w:color w:val="000000" w:themeColor="text1"/>
          <w:sz w:val="22"/>
          <w:szCs w:val="22"/>
        </w:rPr>
        <w:t xml:space="preserve">, el cual fue incluido en el pago realizado en el mes de septiembre de 2020, </w:t>
      </w:r>
      <w:r w:rsidR="00A12F1E" w:rsidRPr="00E37665">
        <w:rPr>
          <w:rFonts w:ascii="Arial" w:hAnsi="Arial" w:cs="Arial"/>
          <w:color w:val="000000" w:themeColor="text1"/>
          <w:sz w:val="22"/>
          <w:szCs w:val="22"/>
        </w:rPr>
        <w:t>toda vez que, la facturación de</w:t>
      </w:r>
      <w:r w:rsidR="008672EA">
        <w:rPr>
          <w:rFonts w:ascii="Arial" w:hAnsi="Arial" w:cs="Arial"/>
          <w:color w:val="000000" w:themeColor="text1"/>
          <w:sz w:val="22"/>
          <w:szCs w:val="22"/>
        </w:rPr>
        <w:t xml:space="preserve">l </w:t>
      </w:r>
      <w:r w:rsidR="00A12F1E" w:rsidRPr="00E37665">
        <w:rPr>
          <w:rFonts w:ascii="Arial" w:hAnsi="Arial" w:cs="Arial"/>
          <w:color w:val="000000" w:themeColor="text1"/>
          <w:sz w:val="22"/>
          <w:szCs w:val="22"/>
        </w:rPr>
        <w:t>periodo</w:t>
      </w:r>
      <w:r w:rsidR="008672EA">
        <w:rPr>
          <w:rFonts w:ascii="Arial" w:hAnsi="Arial" w:cs="Arial"/>
          <w:color w:val="000000" w:themeColor="text1"/>
          <w:sz w:val="22"/>
          <w:szCs w:val="22"/>
        </w:rPr>
        <w:t xml:space="preserve"> de abril de 2020, en su momento </w:t>
      </w:r>
      <w:r w:rsidR="00A12F1E" w:rsidRPr="00E37665">
        <w:rPr>
          <w:rFonts w:ascii="Arial" w:hAnsi="Arial" w:cs="Arial"/>
          <w:color w:val="000000" w:themeColor="text1"/>
          <w:sz w:val="22"/>
          <w:szCs w:val="22"/>
        </w:rPr>
        <w:t>fue sometida a reclamación ante la empresa de telefonía</w:t>
      </w:r>
      <w:r w:rsidR="00653D51" w:rsidRPr="00E37665">
        <w:rPr>
          <w:rFonts w:ascii="Arial" w:hAnsi="Arial" w:cs="Arial"/>
          <w:color w:val="000000" w:themeColor="text1"/>
          <w:sz w:val="22"/>
          <w:szCs w:val="22"/>
        </w:rPr>
        <w:t xml:space="preserve">, </w:t>
      </w:r>
      <w:r w:rsidR="00C8643B" w:rsidRPr="00E37665">
        <w:rPr>
          <w:rFonts w:ascii="Arial" w:hAnsi="Arial" w:cs="Arial"/>
          <w:color w:val="000000" w:themeColor="text1"/>
          <w:sz w:val="22"/>
          <w:szCs w:val="22"/>
        </w:rPr>
        <w:t xml:space="preserve">no obstante, </w:t>
      </w:r>
      <w:r w:rsidR="00E37665" w:rsidRPr="00E37665">
        <w:rPr>
          <w:rFonts w:ascii="Arial" w:hAnsi="Arial" w:cs="Arial"/>
          <w:color w:val="000000" w:themeColor="text1"/>
          <w:sz w:val="22"/>
          <w:szCs w:val="22"/>
        </w:rPr>
        <w:t xml:space="preserve">Colombia Telecomunicaciones </w:t>
      </w:r>
      <w:r w:rsidR="00C8643B" w:rsidRPr="00E37665">
        <w:rPr>
          <w:rFonts w:ascii="Arial" w:hAnsi="Arial" w:cs="Arial"/>
          <w:color w:val="000000" w:themeColor="text1"/>
          <w:sz w:val="22"/>
          <w:szCs w:val="22"/>
        </w:rPr>
        <w:t xml:space="preserve">informó </w:t>
      </w:r>
      <w:r w:rsidR="00E37665" w:rsidRPr="00E37665">
        <w:rPr>
          <w:rFonts w:ascii="Arial" w:hAnsi="Arial" w:cs="Arial"/>
          <w:color w:val="000000" w:themeColor="text1"/>
          <w:sz w:val="22"/>
          <w:szCs w:val="22"/>
        </w:rPr>
        <w:t xml:space="preserve">a esta entidad </w:t>
      </w:r>
      <w:r w:rsidR="00C8643B" w:rsidRPr="00E37665">
        <w:rPr>
          <w:rFonts w:ascii="Arial" w:hAnsi="Arial" w:cs="Arial"/>
          <w:color w:val="000000" w:themeColor="text1"/>
          <w:sz w:val="22"/>
          <w:szCs w:val="22"/>
        </w:rPr>
        <w:t xml:space="preserve">que los consumos realizados en abril de 2020 no eran sujetos de ajustes y que correspondían a los consumos reales. Frente a lo anterior, </w:t>
      </w:r>
      <w:r w:rsidR="00E37665" w:rsidRPr="00E37665">
        <w:rPr>
          <w:rFonts w:ascii="Arial" w:hAnsi="Arial" w:cs="Arial"/>
          <w:color w:val="000000" w:themeColor="text1"/>
          <w:sz w:val="22"/>
          <w:szCs w:val="22"/>
        </w:rPr>
        <w:t>e</w:t>
      </w:r>
      <w:r w:rsidR="00A80D9D">
        <w:rPr>
          <w:rFonts w:ascii="Arial" w:hAnsi="Arial" w:cs="Arial"/>
          <w:color w:val="000000" w:themeColor="text1"/>
          <w:sz w:val="22"/>
          <w:szCs w:val="22"/>
        </w:rPr>
        <w:t>l</w:t>
      </w:r>
      <w:r w:rsidR="00E37665" w:rsidRPr="00E37665">
        <w:rPr>
          <w:rFonts w:ascii="Arial" w:hAnsi="Arial" w:cs="Arial"/>
          <w:color w:val="000000" w:themeColor="text1"/>
          <w:sz w:val="22"/>
          <w:szCs w:val="22"/>
        </w:rPr>
        <w:t xml:space="preserve"> </w:t>
      </w:r>
      <w:r w:rsidR="00A80D9D">
        <w:rPr>
          <w:rFonts w:ascii="Arial" w:hAnsi="Arial" w:cs="Arial"/>
          <w:color w:val="000000" w:themeColor="text1"/>
          <w:sz w:val="22"/>
          <w:szCs w:val="22"/>
        </w:rPr>
        <w:t>M</w:t>
      </w:r>
      <w:r w:rsidR="00E37665" w:rsidRPr="00E37665">
        <w:rPr>
          <w:rFonts w:ascii="Arial" w:hAnsi="Arial" w:cs="Arial"/>
          <w:color w:val="000000" w:themeColor="text1"/>
          <w:sz w:val="22"/>
          <w:szCs w:val="22"/>
        </w:rPr>
        <w:t xml:space="preserve">inisterio de Hacienda y Crédito Público </w:t>
      </w:r>
      <w:r w:rsidR="00C8643B" w:rsidRPr="00E37665">
        <w:rPr>
          <w:rFonts w:ascii="Arial" w:hAnsi="Arial" w:cs="Arial"/>
          <w:color w:val="000000" w:themeColor="text1"/>
          <w:sz w:val="22"/>
          <w:szCs w:val="22"/>
        </w:rPr>
        <w:t>decidió efectuar el respectivo pago</w:t>
      </w:r>
      <w:r w:rsidR="00E37665" w:rsidRPr="00E37665">
        <w:rPr>
          <w:rFonts w:ascii="Arial" w:hAnsi="Arial" w:cs="Arial"/>
          <w:color w:val="000000" w:themeColor="text1"/>
          <w:sz w:val="22"/>
          <w:szCs w:val="22"/>
        </w:rPr>
        <w:t xml:space="preserve">. Lo anterior, </w:t>
      </w:r>
      <w:r w:rsidR="00C965C1" w:rsidRPr="00E37665">
        <w:rPr>
          <w:rFonts w:ascii="Arial" w:hAnsi="Arial" w:cs="Arial"/>
          <w:color w:val="000000" w:themeColor="text1"/>
          <w:sz w:val="22"/>
          <w:szCs w:val="22"/>
        </w:rPr>
        <w:t>con el fin de evitar sanciones o intereses</w:t>
      </w:r>
      <w:r w:rsidR="00E37665" w:rsidRPr="00E37665">
        <w:rPr>
          <w:rFonts w:ascii="Arial" w:hAnsi="Arial" w:cs="Arial"/>
          <w:color w:val="000000" w:themeColor="text1"/>
          <w:sz w:val="22"/>
          <w:szCs w:val="22"/>
        </w:rPr>
        <w:t xml:space="preserve"> moratorios. S</w:t>
      </w:r>
      <w:r w:rsidR="00C965C1" w:rsidRPr="00E37665">
        <w:rPr>
          <w:rFonts w:ascii="Arial" w:hAnsi="Arial" w:cs="Arial"/>
          <w:color w:val="000000" w:themeColor="text1"/>
          <w:sz w:val="22"/>
          <w:szCs w:val="22"/>
        </w:rPr>
        <w:t>in embargo,</w:t>
      </w:r>
      <w:r w:rsidR="00A80D9D">
        <w:rPr>
          <w:rFonts w:ascii="Arial" w:hAnsi="Arial" w:cs="Arial"/>
          <w:color w:val="000000" w:themeColor="text1"/>
          <w:sz w:val="22"/>
          <w:szCs w:val="22"/>
        </w:rPr>
        <w:t xml:space="preserve"> </w:t>
      </w:r>
      <w:r w:rsidR="00E37665" w:rsidRPr="00E37665">
        <w:rPr>
          <w:rFonts w:ascii="Arial" w:hAnsi="Arial" w:cs="Arial"/>
          <w:color w:val="000000" w:themeColor="text1"/>
          <w:sz w:val="22"/>
          <w:szCs w:val="22"/>
        </w:rPr>
        <w:t xml:space="preserve">este Ministerio </w:t>
      </w:r>
      <w:r w:rsidR="00C965C1" w:rsidRPr="00E37665">
        <w:rPr>
          <w:rFonts w:ascii="Arial" w:hAnsi="Arial" w:cs="Arial"/>
          <w:color w:val="000000" w:themeColor="text1"/>
          <w:sz w:val="22"/>
          <w:szCs w:val="22"/>
        </w:rPr>
        <w:t>continu</w:t>
      </w:r>
      <w:r w:rsidR="00E37665" w:rsidRPr="00E37665">
        <w:rPr>
          <w:rFonts w:ascii="Arial" w:hAnsi="Arial" w:cs="Arial"/>
          <w:color w:val="000000" w:themeColor="text1"/>
          <w:sz w:val="22"/>
          <w:szCs w:val="22"/>
        </w:rPr>
        <w:t>ó</w:t>
      </w:r>
      <w:r w:rsidR="00C965C1" w:rsidRPr="00E37665">
        <w:rPr>
          <w:rFonts w:ascii="Arial" w:hAnsi="Arial" w:cs="Arial"/>
          <w:color w:val="000000" w:themeColor="text1"/>
          <w:sz w:val="22"/>
          <w:szCs w:val="22"/>
        </w:rPr>
        <w:t xml:space="preserve"> con el proceso de reclamación</w:t>
      </w:r>
      <w:r w:rsidR="00E37665" w:rsidRPr="00E37665">
        <w:rPr>
          <w:rFonts w:ascii="Arial" w:hAnsi="Arial" w:cs="Arial"/>
          <w:color w:val="000000" w:themeColor="text1"/>
          <w:sz w:val="22"/>
          <w:szCs w:val="22"/>
        </w:rPr>
        <w:t xml:space="preserve"> ante Colombia</w:t>
      </w:r>
      <w:r w:rsidR="00A12F1E" w:rsidRPr="00E37665">
        <w:rPr>
          <w:rFonts w:ascii="Arial" w:hAnsi="Arial" w:cs="Arial"/>
          <w:color w:val="000000" w:themeColor="text1"/>
          <w:sz w:val="22"/>
          <w:szCs w:val="22"/>
        </w:rPr>
        <w:t xml:space="preserve"> Telecomunicaciones </w:t>
      </w:r>
      <w:r w:rsidR="00E37665" w:rsidRPr="00E37665">
        <w:rPr>
          <w:rFonts w:ascii="Arial" w:hAnsi="Arial" w:cs="Arial"/>
          <w:color w:val="000000" w:themeColor="text1"/>
          <w:sz w:val="22"/>
          <w:szCs w:val="22"/>
        </w:rPr>
        <w:t xml:space="preserve">S.A. </w:t>
      </w:r>
    </w:p>
    <w:p w14:paraId="39984CA6" w14:textId="77777777" w:rsidR="00E37665" w:rsidRPr="00E37665" w:rsidRDefault="00E37665" w:rsidP="00B57B24">
      <w:pPr>
        <w:jc w:val="both"/>
        <w:rPr>
          <w:rFonts w:ascii="Arial" w:hAnsi="Arial" w:cs="Arial"/>
          <w:color w:val="000000" w:themeColor="text1"/>
          <w:sz w:val="22"/>
          <w:szCs w:val="22"/>
        </w:rPr>
      </w:pPr>
    </w:p>
    <w:p w14:paraId="61E8D3F4" w14:textId="6F8D3923" w:rsidR="00BE3032" w:rsidRPr="00E37665" w:rsidRDefault="00E37665" w:rsidP="00B57B24">
      <w:pPr>
        <w:jc w:val="both"/>
        <w:rPr>
          <w:rFonts w:ascii="Arial" w:hAnsi="Arial" w:cs="Arial"/>
          <w:color w:val="000000" w:themeColor="text1"/>
          <w:sz w:val="22"/>
          <w:szCs w:val="22"/>
        </w:rPr>
      </w:pPr>
      <w:r w:rsidRPr="00E37665">
        <w:rPr>
          <w:rFonts w:ascii="Arial" w:hAnsi="Arial" w:cs="Arial"/>
          <w:color w:val="000000" w:themeColor="text1"/>
          <w:sz w:val="22"/>
          <w:szCs w:val="22"/>
        </w:rPr>
        <w:t xml:space="preserve">De igual forma, la Dirección de Tecnología se encuentra </w:t>
      </w:r>
      <w:r w:rsidR="005F6237">
        <w:rPr>
          <w:rFonts w:ascii="Arial" w:hAnsi="Arial" w:cs="Arial"/>
          <w:color w:val="000000" w:themeColor="text1"/>
          <w:sz w:val="22"/>
          <w:szCs w:val="22"/>
        </w:rPr>
        <w:t xml:space="preserve">validando </w:t>
      </w:r>
      <w:r w:rsidRPr="00E37665">
        <w:rPr>
          <w:rFonts w:ascii="Arial" w:hAnsi="Arial" w:cs="Arial"/>
          <w:color w:val="000000" w:themeColor="text1"/>
          <w:sz w:val="22"/>
          <w:szCs w:val="22"/>
        </w:rPr>
        <w:t>l</w:t>
      </w:r>
      <w:r w:rsidR="00920381">
        <w:rPr>
          <w:rFonts w:ascii="Arial" w:hAnsi="Arial" w:cs="Arial"/>
          <w:color w:val="000000" w:themeColor="text1"/>
          <w:sz w:val="22"/>
          <w:szCs w:val="22"/>
        </w:rPr>
        <w:t>os consumos</w:t>
      </w:r>
      <w:r w:rsidRPr="00E37665">
        <w:rPr>
          <w:rFonts w:ascii="Arial" w:hAnsi="Arial" w:cs="Arial"/>
          <w:color w:val="000000" w:themeColor="text1"/>
          <w:sz w:val="22"/>
          <w:szCs w:val="22"/>
        </w:rPr>
        <w:t xml:space="preserve"> factura</w:t>
      </w:r>
      <w:r w:rsidR="00920381">
        <w:rPr>
          <w:rFonts w:ascii="Arial" w:hAnsi="Arial" w:cs="Arial"/>
          <w:color w:val="000000" w:themeColor="text1"/>
          <w:sz w:val="22"/>
          <w:szCs w:val="22"/>
        </w:rPr>
        <w:t>dos</w:t>
      </w:r>
      <w:r w:rsidRPr="00E37665">
        <w:rPr>
          <w:rFonts w:ascii="Arial" w:hAnsi="Arial" w:cs="Arial"/>
          <w:color w:val="000000" w:themeColor="text1"/>
          <w:sz w:val="22"/>
          <w:szCs w:val="22"/>
        </w:rPr>
        <w:t xml:space="preserve"> </w:t>
      </w:r>
      <w:r w:rsidR="00920381">
        <w:rPr>
          <w:rFonts w:ascii="Arial" w:hAnsi="Arial" w:cs="Arial"/>
          <w:color w:val="000000" w:themeColor="text1"/>
          <w:sz w:val="22"/>
          <w:szCs w:val="22"/>
        </w:rPr>
        <w:t xml:space="preserve">en el </w:t>
      </w:r>
      <w:r w:rsidRPr="00E37665">
        <w:rPr>
          <w:rFonts w:ascii="Arial" w:hAnsi="Arial" w:cs="Arial"/>
          <w:color w:val="000000" w:themeColor="text1"/>
          <w:sz w:val="22"/>
          <w:szCs w:val="22"/>
        </w:rPr>
        <w:t>mes abril de 2020</w:t>
      </w:r>
      <w:r w:rsidR="00920381">
        <w:rPr>
          <w:rFonts w:ascii="Arial" w:hAnsi="Arial" w:cs="Arial"/>
          <w:color w:val="000000" w:themeColor="text1"/>
          <w:sz w:val="22"/>
          <w:szCs w:val="22"/>
        </w:rPr>
        <w:t xml:space="preserve">, así como, la revisión de todos </w:t>
      </w:r>
      <w:r w:rsidRPr="00E37665">
        <w:rPr>
          <w:rFonts w:ascii="Arial" w:hAnsi="Arial" w:cs="Arial"/>
          <w:color w:val="000000" w:themeColor="text1"/>
          <w:sz w:val="22"/>
          <w:szCs w:val="22"/>
        </w:rPr>
        <w:t>los planes</w:t>
      </w:r>
      <w:r w:rsidR="00920381">
        <w:rPr>
          <w:rFonts w:ascii="Arial" w:hAnsi="Arial" w:cs="Arial"/>
          <w:color w:val="000000" w:themeColor="text1"/>
          <w:sz w:val="22"/>
          <w:szCs w:val="22"/>
        </w:rPr>
        <w:t xml:space="preserve"> de telefonía fija </w:t>
      </w:r>
      <w:r w:rsidRPr="00E37665">
        <w:rPr>
          <w:rFonts w:ascii="Arial" w:hAnsi="Arial" w:cs="Arial"/>
          <w:color w:val="000000" w:themeColor="text1"/>
          <w:sz w:val="22"/>
          <w:szCs w:val="22"/>
        </w:rPr>
        <w:t>que actualmente se encuentran vigentes</w:t>
      </w:r>
      <w:r w:rsidR="005F6237">
        <w:rPr>
          <w:rFonts w:ascii="Arial" w:hAnsi="Arial" w:cs="Arial"/>
          <w:color w:val="000000" w:themeColor="text1"/>
          <w:sz w:val="22"/>
          <w:szCs w:val="22"/>
        </w:rPr>
        <w:t>,</w:t>
      </w:r>
      <w:r w:rsidRPr="00E37665">
        <w:rPr>
          <w:rFonts w:ascii="Arial" w:hAnsi="Arial" w:cs="Arial"/>
          <w:color w:val="000000" w:themeColor="text1"/>
          <w:sz w:val="22"/>
          <w:szCs w:val="22"/>
        </w:rPr>
        <w:t xml:space="preserve"> con el propósito de determinar la pertinencia de los mismos</w:t>
      </w:r>
      <w:r w:rsidR="00920381">
        <w:rPr>
          <w:rFonts w:ascii="Arial" w:hAnsi="Arial" w:cs="Arial"/>
          <w:color w:val="000000" w:themeColor="text1"/>
          <w:sz w:val="22"/>
          <w:szCs w:val="22"/>
        </w:rPr>
        <w:t xml:space="preserve">. </w:t>
      </w:r>
    </w:p>
    <w:p w14:paraId="73BF5077" w14:textId="77777777" w:rsidR="00640F84" w:rsidRPr="00E37665" w:rsidRDefault="00640F84" w:rsidP="00B57B24">
      <w:pPr>
        <w:jc w:val="both"/>
        <w:rPr>
          <w:rFonts w:ascii="Arial" w:hAnsi="Arial" w:cs="Arial"/>
          <w:color w:val="000000" w:themeColor="text1"/>
          <w:sz w:val="22"/>
          <w:szCs w:val="22"/>
          <w:highlight w:val="yellow"/>
        </w:rPr>
      </w:pPr>
    </w:p>
    <w:p w14:paraId="2AA35C56" w14:textId="72D7C3BC" w:rsidR="00AA5CCE" w:rsidRPr="00E37665" w:rsidRDefault="000E7F25" w:rsidP="00B57B24">
      <w:pPr>
        <w:jc w:val="both"/>
        <w:rPr>
          <w:rFonts w:ascii="Arial" w:hAnsi="Arial" w:cs="Arial"/>
          <w:color w:val="000000" w:themeColor="text1"/>
          <w:sz w:val="22"/>
          <w:szCs w:val="22"/>
        </w:rPr>
      </w:pPr>
      <w:r w:rsidRPr="00E37665">
        <w:rPr>
          <w:rFonts w:ascii="Arial" w:hAnsi="Arial" w:cs="Arial"/>
          <w:color w:val="000000" w:themeColor="text1"/>
          <w:sz w:val="22"/>
          <w:szCs w:val="22"/>
        </w:rPr>
        <w:t xml:space="preserve">En relación a los reintegros que debe efectuar el contratista </w:t>
      </w:r>
      <w:r w:rsidR="0047334D" w:rsidRPr="00E37665">
        <w:rPr>
          <w:rFonts w:ascii="Arial" w:hAnsi="Arial" w:cs="Arial"/>
          <w:color w:val="000000" w:themeColor="text1"/>
          <w:sz w:val="22"/>
          <w:szCs w:val="22"/>
        </w:rPr>
        <w:t>Unión Temporal COMBPCAM por</w:t>
      </w:r>
      <w:r w:rsidRPr="00E37665">
        <w:rPr>
          <w:rFonts w:ascii="Arial" w:hAnsi="Arial" w:cs="Arial"/>
          <w:color w:val="000000" w:themeColor="text1"/>
          <w:sz w:val="22"/>
          <w:szCs w:val="22"/>
        </w:rPr>
        <w:t xml:space="preserve"> concepto de </w:t>
      </w:r>
      <w:r w:rsidR="00A711EE" w:rsidRPr="00E37665">
        <w:rPr>
          <w:rFonts w:ascii="Arial" w:hAnsi="Arial" w:cs="Arial"/>
          <w:color w:val="000000" w:themeColor="text1"/>
          <w:sz w:val="22"/>
          <w:szCs w:val="22"/>
        </w:rPr>
        <w:t xml:space="preserve">servicio de telefonía fija </w:t>
      </w:r>
      <w:r w:rsidR="00AB208A" w:rsidRPr="00E37665">
        <w:rPr>
          <w:rFonts w:ascii="Arial" w:hAnsi="Arial" w:cs="Arial"/>
          <w:color w:val="000000" w:themeColor="text1"/>
          <w:sz w:val="22"/>
          <w:szCs w:val="22"/>
        </w:rPr>
        <w:t>[</w:t>
      </w:r>
      <w:r w:rsidR="00A711EE" w:rsidRPr="00E37665">
        <w:rPr>
          <w:rFonts w:ascii="Arial" w:hAnsi="Arial" w:cs="Arial"/>
          <w:color w:val="000000" w:themeColor="text1"/>
          <w:sz w:val="22"/>
          <w:szCs w:val="22"/>
        </w:rPr>
        <w:t>RDS PRIS del SIIF</w:t>
      </w:r>
      <w:r w:rsidR="00AB208A" w:rsidRPr="00E37665">
        <w:rPr>
          <w:rFonts w:ascii="Arial" w:hAnsi="Arial" w:cs="Arial"/>
          <w:color w:val="000000" w:themeColor="text1"/>
          <w:sz w:val="22"/>
          <w:szCs w:val="22"/>
        </w:rPr>
        <w:t>]</w:t>
      </w:r>
      <w:r w:rsidR="00A711EE" w:rsidRPr="00E37665">
        <w:rPr>
          <w:rFonts w:ascii="Arial" w:hAnsi="Arial" w:cs="Arial"/>
          <w:color w:val="000000" w:themeColor="text1"/>
          <w:sz w:val="22"/>
          <w:szCs w:val="22"/>
        </w:rPr>
        <w:t xml:space="preserve">, </w:t>
      </w:r>
      <w:r w:rsidRPr="00E37665">
        <w:rPr>
          <w:rFonts w:ascii="Arial" w:hAnsi="Arial" w:cs="Arial"/>
          <w:color w:val="000000" w:themeColor="text1"/>
          <w:sz w:val="22"/>
          <w:szCs w:val="22"/>
        </w:rPr>
        <w:t xml:space="preserve">facturados por </w:t>
      </w:r>
      <w:r w:rsidR="00500818" w:rsidRPr="00E37665">
        <w:rPr>
          <w:rFonts w:ascii="Arial" w:hAnsi="Arial" w:cs="Arial"/>
          <w:color w:val="000000" w:themeColor="text1"/>
          <w:sz w:val="22"/>
          <w:szCs w:val="22"/>
        </w:rPr>
        <w:t>UNE</w:t>
      </w:r>
      <w:r w:rsidR="00A711EE" w:rsidRPr="00E37665">
        <w:rPr>
          <w:rFonts w:ascii="Arial" w:hAnsi="Arial" w:cs="Arial"/>
          <w:color w:val="000000" w:themeColor="text1"/>
          <w:sz w:val="22"/>
          <w:szCs w:val="22"/>
        </w:rPr>
        <w:t xml:space="preserve">, </w:t>
      </w:r>
      <w:r w:rsidR="00E57228" w:rsidRPr="00E37665">
        <w:rPr>
          <w:rFonts w:ascii="Arial" w:hAnsi="Arial" w:cs="Arial"/>
          <w:color w:val="000000" w:themeColor="text1"/>
          <w:sz w:val="22"/>
          <w:szCs w:val="22"/>
        </w:rPr>
        <w:t xml:space="preserve">esta Oficina </w:t>
      </w:r>
      <w:r w:rsidR="00AA5CCE" w:rsidRPr="00E37665">
        <w:rPr>
          <w:rFonts w:ascii="Arial" w:hAnsi="Arial" w:cs="Arial"/>
          <w:color w:val="000000" w:themeColor="text1"/>
          <w:sz w:val="22"/>
          <w:szCs w:val="22"/>
        </w:rPr>
        <w:t xml:space="preserve">evidenció la gestión realizada por la Subdirección de Servicios en lo concerniente a la solicitud </w:t>
      </w:r>
      <w:r w:rsidR="00A711EE" w:rsidRPr="00E37665">
        <w:rPr>
          <w:rFonts w:ascii="Arial" w:hAnsi="Arial" w:cs="Arial"/>
          <w:color w:val="000000" w:themeColor="text1"/>
          <w:sz w:val="22"/>
          <w:szCs w:val="22"/>
        </w:rPr>
        <w:t xml:space="preserve">de reembolso </w:t>
      </w:r>
      <w:r w:rsidR="00AA5CCE" w:rsidRPr="00E37665">
        <w:rPr>
          <w:rFonts w:ascii="Arial" w:hAnsi="Arial" w:cs="Arial"/>
          <w:color w:val="000000" w:themeColor="text1"/>
          <w:sz w:val="22"/>
          <w:szCs w:val="22"/>
        </w:rPr>
        <w:t xml:space="preserve">al contratista en mención, así: </w:t>
      </w:r>
    </w:p>
    <w:p w14:paraId="2E63F43A" w14:textId="77777777" w:rsidR="009559F9" w:rsidRPr="00CA48AF" w:rsidRDefault="009559F9" w:rsidP="00B57B24">
      <w:pPr>
        <w:jc w:val="both"/>
        <w:rPr>
          <w:rFonts w:ascii="Arial" w:hAnsi="Arial" w:cs="Arial"/>
          <w:color w:val="000000" w:themeColor="text1"/>
          <w:sz w:val="22"/>
          <w:szCs w:val="22"/>
          <w:highlight w:val="yellow"/>
        </w:rPr>
      </w:pPr>
    </w:p>
    <w:tbl>
      <w:tblPr>
        <w:tblStyle w:val="Tabladecuadrcula1clara-nfasis1"/>
        <w:tblW w:w="0" w:type="auto"/>
        <w:jc w:val="center"/>
        <w:tblLook w:val="04A0" w:firstRow="1" w:lastRow="0" w:firstColumn="1" w:lastColumn="0" w:noHBand="0" w:noVBand="1"/>
      </w:tblPr>
      <w:tblGrid>
        <w:gridCol w:w="1626"/>
        <w:gridCol w:w="1562"/>
        <w:gridCol w:w="1573"/>
        <w:gridCol w:w="2234"/>
        <w:gridCol w:w="996"/>
      </w:tblGrid>
      <w:tr w:rsidR="003A1574" w:rsidRPr="0006257F" w14:paraId="3AC2AA52" w14:textId="77777777" w:rsidTr="00CD4B4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626" w:type="dxa"/>
            <w:tcBorders>
              <w:bottom w:val="nil"/>
            </w:tcBorders>
            <w:shd w:val="clear" w:color="auto" w:fill="4F81BD" w:themeFill="accent1"/>
            <w:vAlign w:val="center"/>
            <w:hideMark/>
          </w:tcPr>
          <w:p w14:paraId="581A0976" w14:textId="77777777" w:rsidR="003A1574" w:rsidRPr="0006257F" w:rsidRDefault="003A1574" w:rsidP="005550D8">
            <w:pPr>
              <w:widowControl w:val="0"/>
              <w:spacing w:before="120" w:after="120"/>
              <w:jc w:val="center"/>
              <w:rPr>
                <w:rFonts w:ascii="Arial" w:hAnsi="Arial" w:cs="Arial"/>
                <w:b w:val="0"/>
                <w:bCs w:val="0"/>
                <w:color w:val="FFFFFF" w:themeColor="background1"/>
                <w:sz w:val="20"/>
                <w:szCs w:val="20"/>
              </w:rPr>
            </w:pPr>
            <w:r w:rsidRPr="0006257F">
              <w:rPr>
                <w:rFonts w:ascii="Arial" w:hAnsi="Arial" w:cs="Arial"/>
                <w:b w:val="0"/>
                <w:bCs w:val="0"/>
                <w:color w:val="FFFFFF" w:themeColor="background1"/>
                <w:sz w:val="20"/>
                <w:szCs w:val="20"/>
              </w:rPr>
              <w:lastRenderedPageBreak/>
              <w:t>Periodo</w:t>
            </w:r>
          </w:p>
        </w:tc>
        <w:tc>
          <w:tcPr>
            <w:tcW w:w="0" w:type="auto"/>
            <w:tcBorders>
              <w:bottom w:val="nil"/>
            </w:tcBorders>
            <w:shd w:val="clear" w:color="auto" w:fill="4F81BD" w:themeFill="accent1"/>
            <w:vAlign w:val="center"/>
            <w:hideMark/>
          </w:tcPr>
          <w:p w14:paraId="79E9D2E0" w14:textId="77777777" w:rsidR="003A1574" w:rsidRPr="000625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6257F">
              <w:rPr>
                <w:rFonts w:ascii="Arial" w:hAnsi="Arial" w:cs="Arial"/>
                <w:b w:val="0"/>
                <w:bCs w:val="0"/>
                <w:color w:val="FFFFFF" w:themeColor="background1"/>
                <w:sz w:val="20"/>
                <w:szCs w:val="20"/>
              </w:rPr>
              <w:t xml:space="preserve">Factura </w:t>
            </w:r>
          </w:p>
        </w:tc>
        <w:tc>
          <w:tcPr>
            <w:tcW w:w="0" w:type="auto"/>
            <w:tcBorders>
              <w:bottom w:val="nil"/>
            </w:tcBorders>
            <w:shd w:val="clear" w:color="auto" w:fill="4F81BD" w:themeFill="accent1"/>
            <w:vAlign w:val="center"/>
            <w:hideMark/>
          </w:tcPr>
          <w:p w14:paraId="1A4BC181" w14:textId="77777777" w:rsidR="003A1574" w:rsidRPr="000625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6257F">
              <w:rPr>
                <w:rFonts w:ascii="Arial" w:hAnsi="Arial" w:cs="Arial"/>
                <w:b w:val="0"/>
                <w:bCs w:val="0"/>
                <w:color w:val="FFFFFF" w:themeColor="background1"/>
                <w:sz w:val="20"/>
                <w:szCs w:val="20"/>
              </w:rPr>
              <w:t xml:space="preserve">Radicado </w:t>
            </w:r>
          </w:p>
        </w:tc>
        <w:tc>
          <w:tcPr>
            <w:tcW w:w="2234" w:type="dxa"/>
            <w:tcBorders>
              <w:bottom w:val="nil"/>
            </w:tcBorders>
            <w:shd w:val="clear" w:color="auto" w:fill="4F81BD" w:themeFill="accent1"/>
            <w:vAlign w:val="center"/>
            <w:hideMark/>
          </w:tcPr>
          <w:p w14:paraId="674B3B84" w14:textId="77777777" w:rsidR="003A1574" w:rsidRPr="000625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6257F">
              <w:rPr>
                <w:rFonts w:ascii="Arial" w:hAnsi="Arial" w:cs="Arial"/>
                <w:b w:val="0"/>
                <w:bCs w:val="0"/>
                <w:color w:val="FFFFFF" w:themeColor="background1"/>
                <w:sz w:val="20"/>
                <w:szCs w:val="20"/>
              </w:rPr>
              <w:t xml:space="preserve">Fecha </w:t>
            </w:r>
          </w:p>
        </w:tc>
        <w:tc>
          <w:tcPr>
            <w:tcW w:w="996" w:type="dxa"/>
            <w:tcBorders>
              <w:bottom w:val="nil"/>
            </w:tcBorders>
            <w:shd w:val="clear" w:color="auto" w:fill="4F81BD" w:themeFill="accent1"/>
            <w:vAlign w:val="center"/>
            <w:hideMark/>
          </w:tcPr>
          <w:p w14:paraId="4C3725FF" w14:textId="77777777" w:rsidR="003A1574" w:rsidRPr="0006257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06257F">
              <w:rPr>
                <w:rFonts w:ascii="Arial" w:hAnsi="Arial" w:cs="Arial"/>
                <w:b w:val="0"/>
                <w:bCs w:val="0"/>
                <w:color w:val="FFFFFF" w:themeColor="background1"/>
                <w:sz w:val="20"/>
                <w:szCs w:val="20"/>
              </w:rPr>
              <w:t>Valor ($)</w:t>
            </w:r>
          </w:p>
        </w:tc>
      </w:tr>
      <w:tr w:rsidR="0006257F" w:rsidRPr="0006257F" w14:paraId="3EEE1A7D" w14:textId="77777777" w:rsidTr="008351DA">
        <w:trPr>
          <w:cantSplit/>
          <w:trHeight w:val="399"/>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nil"/>
              <w:right w:val="nil"/>
            </w:tcBorders>
            <w:vAlign w:val="center"/>
          </w:tcPr>
          <w:p w14:paraId="590CD0F2" w14:textId="17F45FF0" w:rsidR="0006257F" w:rsidRPr="0006257F" w:rsidRDefault="0006257F" w:rsidP="0006257F">
            <w:pPr>
              <w:widowControl w:val="0"/>
              <w:spacing w:before="120" w:after="120"/>
              <w:rPr>
                <w:rFonts w:ascii="Arial" w:hAnsi="Arial" w:cs="Arial"/>
                <w:b w:val="0"/>
                <w:bCs w:val="0"/>
                <w:color w:val="0F243E" w:themeColor="text2" w:themeShade="80"/>
                <w:sz w:val="20"/>
                <w:szCs w:val="20"/>
              </w:rPr>
            </w:pPr>
            <w:r w:rsidRPr="0006257F">
              <w:rPr>
                <w:rFonts w:ascii="Arial" w:hAnsi="Arial" w:cs="Arial"/>
                <w:color w:val="0F243E" w:themeColor="text2" w:themeShade="80"/>
                <w:sz w:val="20"/>
                <w:szCs w:val="20"/>
              </w:rPr>
              <w:t>Julio</w:t>
            </w:r>
          </w:p>
        </w:tc>
        <w:tc>
          <w:tcPr>
            <w:tcW w:w="0" w:type="auto"/>
            <w:tcBorders>
              <w:top w:val="nil"/>
              <w:left w:val="nil"/>
              <w:bottom w:val="nil"/>
              <w:right w:val="nil"/>
            </w:tcBorders>
            <w:vAlign w:val="center"/>
          </w:tcPr>
          <w:p w14:paraId="5BB8C6DA" w14:textId="3B42E32C" w:rsidR="0006257F" w:rsidRPr="0006257F" w:rsidRDefault="0006257F" w:rsidP="000625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992673472-54</w:t>
            </w:r>
          </w:p>
        </w:tc>
        <w:tc>
          <w:tcPr>
            <w:tcW w:w="0" w:type="auto"/>
            <w:tcBorders>
              <w:top w:val="nil"/>
              <w:left w:val="nil"/>
              <w:bottom w:val="nil"/>
              <w:right w:val="nil"/>
            </w:tcBorders>
            <w:vAlign w:val="center"/>
          </w:tcPr>
          <w:p w14:paraId="5AB18B76" w14:textId="1937C2AC"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3-2020-012055</w:t>
            </w:r>
          </w:p>
        </w:tc>
        <w:tc>
          <w:tcPr>
            <w:tcW w:w="2234" w:type="dxa"/>
            <w:tcBorders>
              <w:top w:val="nil"/>
              <w:left w:val="nil"/>
              <w:bottom w:val="nil"/>
              <w:right w:val="nil"/>
            </w:tcBorders>
            <w:vAlign w:val="center"/>
          </w:tcPr>
          <w:p w14:paraId="684007C7" w14:textId="667B8F7F" w:rsidR="0006257F" w:rsidRPr="0006257F" w:rsidRDefault="0006257F" w:rsidP="000625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12/08/2020</w:t>
            </w:r>
          </w:p>
        </w:tc>
        <w:tc>
          <w:tcPr>
            <w:tcW w:w="996" w:type="dxa"/>
            <w:tcBorders>
              <w:top w:val="nil"/>
              <w:left w:val="nil"/>
              <w:bottom w:val="nil"/>
              <w:right w:val="nil"/>
            </w:tcBorders>
            <w:noWrap/>
            <w:vAlign w:val="center"/>
          </w:tcPr>
          <w:p w14:paraId="7B775C4B" w14:textId="17608BD5"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567.559</w:t>
            </w:r>
          </w:p>
        </w:tc>
      </w:tr>
      <w:tr w:rsidR="0006257F" w:rsidRPr="0006257F" w14:paraId="1A01F5EE" w14:textId="77777777" w:rsidTr="008351DA">
        <w:trPr>
          <w:cantSplit/>
          <w:trHeight w:val="576"/>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nil"/>
              <w:right w:val="nil"/>
            </w:tcBorders>
            <w:vAlign w:val="center"/>
          </w:tcPr>
          <w:p w14:paraId="4F7B0394" w14:textId="2AD1A4D8" w:rsidR="0006257F" w:rsidRPr="0006257F" w:rsidRDefault="0006257F" w:rsidP="0006257F">
            <w:pPr>
              <w:widowControl w:val="0"/>
              <w:spacing w:before="120" w:after="120"/>
              <w:rPr>
                <w:rFonts w:ascii="Arial" w:hAnsi="Arial" w:cs="Arial"/>
                <w:b w:val="0"/>
                <w:bCs w:val="0"/>
                <w:color w:val="0F243E" w:themeColor="text2" w:themeShade="80"/>
                <w:sz w:val="20"/>
                <w:szCs w:val="20"/>
              </w:rPr>
            </w:pPr>
            <w:r w:rsidRPr="0006257F">
              <w:rPr>
                <w:rFonts w:ascii="Arial" w:hAnsi="Arial" w:cs="Arial"/>
                <w:color w:val="0F243E" w:themeColor="text2" w:themeShade="80"/>
                <w:sz w:val="20"/>
                <w:szCs w:val="20"/>
              </w:rPr>
              <w:t xml:space="preserve">Agosto </w:t>
            </w:r>
          </w:p>
        </w:tc>
        <w:tc>
          <w:tcPr>
            <w:tcW w:w="0" w:type="auto"/>
            <w:tcBorders>
              <w:top w:val="nil"/>
              <w:left w:val="nil"/>
              <w:bottom w:val="nil"/>
              <w:right w:val="nil"/>
            </w:tcBorders>
            <w:noWrap/>
            <w:vAlign w:val="center"/>
          </w:tcPr>
          <w:p w14:paraId="3D451A42" w14:textId="71DB59DD"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 xml:space="preserve">332796096-70 </w:t>
            </w:r>
          </w:p>
        </w:tc>
        <w:tc>
          <w:tcPr>
            <w:tcW w:w="0" w:type="auto"/>
            <w:tcBorders>
              <w:top w:val="nil"/>
              <w:left w:val="nil"/>
              <w:bottom w:val="nil"/>
              <w:right w:val="nil"/>
            </w:tcBorders>
            <w:noWrap/>
            <w:vAlign w:val="center"/>
          </w:tcPr>
          <w:p w14:paraId="1F0D397C" w14:textId="0EBB65C0"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3-2020-014396</w:t>
            </w:r>
          </w:p>
        </w:tc>
        <w:tc>
          <w:tcPr>
            <w:tcW w:w="2234" w:type="dxa"/>
            <w:tcBorders>
              <w:top w:val="nil"/>
              <w:left w:val="nil"/>
              <w:bottom w:val="nil"/>
              <w:right w:val="nil"/>
            </w:tcBorders>
            <w:vAlign w:val="center"/>
          </w:tcPr>
          <w:p w14:paraId="596305EA" w14:textId="658AF35B" w:rsidR="0006257F" w:rsidRPr="0006257F" w:rsidRDefault="0006257F" w:rsidP="000625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21/09/2020</w:t>
            </w:r>
          </w:p>
        </w:tc>
        <w:tc>
          <w:tcPr>
            <w:tcW w:w="996" w:type="dxa"/>
            <w:tcBorders>
              <w:top w:val="nil"/>
              <w:left w:val="nil"/>
              <w:bottom w:val="nil"/>
              <w:right w:val="nil"/>
            </w:tcBorders>
            <w:noWrap/>
            <w:vAlign w:val="center"/>
          </w:tcPr>
          <w:p w14:paraId="46E6C0DE" w14:textId="7F70F7D1" w:rsidR="0006257F" w:rsidRPr="0006257F" w:rsidRDefault="0006257F" w:rsidP="0006257F">
            <w:pPr>
              <w:widowControl w:val="0"/>
              <w:spacing w:before="120" w:after="12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567.559</w:t>
            </w:r>
          </w:p>
        </w:tc>
      </w:tr>
      <w:tr w:rsidR="0006257F" w:rsidRPr="0006257F" w14:paraId="74EA697C" w14:textId="77777777" w:rsidTr="00CD4B4D">
        <w:trPr>
          <w:cantSplit/>
          <w:jc w:val="center"/>
        </w:trPr>
        <w:tc>
          <w:tcPr>
            <w:cnfStyle w:val="001000000000" w:firstRow="0" w:lastRow="0" w:firstColumn="1" w:lastColumn="0" w:oddVBand="0" w:evenVBand="0" w:oddHBand="0" w:evenHBand="0" w:firstRowFirstColumn="0" w:firstRowLastColumn="0" w:lastRowFirstColumn="0" w:lastRowLastColumn="0"/>
            <w:tcW w:w="1626" w:type="dxa"/>
            <w:tcBorders>
              <w:top w:val="nil"/>
              <w:left w:val="nil"/>
              <w:bottom w:val="double" w:sz="4" w:space="0" w:color="4F81BD" w:themeColor="accent1"/>
              <w:right w:val="nil"/>
            </w:tcBorders>
            <w:vAlign w:val="center"/>
          </w:tcPr>
          <w:p w14:paraId="58446C6C" w14:textId="51CE5B4A" w:rsidR="0006257F" w:rsidRPr="0006257F" w:rsidRDefault="0006257F" w:rsidP="0006257F">
            <w:pPr>
              <w:widowControl w:val="0"/>
              <w:spacing w:before="120" w:after="120"/>
              <w:rPr>
                <w:rFonts w:ascii="Arial" w:hAnsi="Arial" w:cs="Arial"/>
                <w:b w:val="0"/>
                <w:bCs w:val="0"/>
                <w:color w:val="0F243E" w:themeColor="text2" w:themeShade="80"/>
                <w:sz w:val="20"/>
                <w:szCs w:val="20"/>
              </w:rPr>
            </w:pPr>
            <w:r w:rsidRPr="0006257F">
              <w:rPr>
                <w:rFonts w:ascii="Arial" w:hAnsi="Arial" w:cs="Arial"/>
                <w:color w:val="0F243E" w:themeColor="text2" w:themeShade="80"/>
                <w:sz w:val="20"/>
                <w:szCs w:val="20"/>
              </w:rPr>
              <w:t>Septiembre</w:t>
            </w:r>
          </w:p>
        </w:tc>
        <w:tc>
          <w:tcPr>
            <w:tcW w:w="0" w:type="auto"/>
            <w:tcBorders>
              <w:top w:val="nil"/>
              <w:left w:val="nil"/>
              <w:bottom w:val="double" w:sz="4" w:space="0" w:color="4F81BD" w:themeColor="accent1"/>
              <w:right w:val="nil"/>
            </w:tcBorders>
            <w:noWrap/>
            <w:vAlign w:val="center"/>
          </w:tcPr>
          <w:p w14:paraId="54005794" w14:textId="4D6D1C6C"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 xml:space="preserve">333745176 -78 </w:t>
            </w:r>
          </w:p>
        </w:tc>
        <w:tc>
          <w:tcPr>
            <w:tcW w:w="0" w:type="auto"/>
            <w:tcBorders>
              <w:top w:val="nil"/>
              <w:left w:val="nil"/>
              <w:bottom w:val="double" w:sz="4" w:space="0" w:color="4F81BD" w:themeColor="accent1"/>
              <w:right w:val="nil"/>
            </w:tcBorders>
            <w:noWrap/>
            <w:vAlign w:val="center"/>
          </w:tcPr>
          <w:p w14:paraId="2C2CBBA2" w14:textId="007409A3" w:rsidR="0006257F" w:rsidRPr="0006257F" w:rsidRDefault="0006257F" w:rsidP="0006257F">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3-2020-015331</w:t>
            </w:r>
          </w:p>
        </w:tc>
        <w:tc>
          <w:tcPr>
            <w:tcW w:w="2234" w:type="dxa"/>
            <w:tcBorders>
              <w:top w:val="nil"/>
              <w:left w:val="nil"/>
              <w:bottom w:val="double" w:sz="4" w:space="0" w:color="4F81BD" w:themeColor="accent1"/>
              <w:right w:val="nil"/>
            </w:tcBorders>
            <w:vAlign w:val="center"/>
          </w:tcPr>
          <w:p w14:paraId="4B26FAC9" w14:textId="3951AFE3" w:rsidR="0006257F" w:rsidRPr="0006257F" w:rsidRDefault="0006257F" w:rsidP="0006257F">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8/10/2020</w:t>
            </w:r>
          </w:p>
        </w:tc>
        <w:tc>
          <w:tcPr>
            <w:tcW w:w="996" w:type="dxa"/>
            <w:tcBorders>
              <w:top w:val="nil"/>
              <w:left w:val="nil"/>
              <w:bottom w:val="double" w:sz="4" w:space="0" w:color="4F81BD" w:themeColor="accent1"/>
              <w:right w:val="nil"/>
            </w:tcBorders>
            <w:noWrap/>
            <w:vAlign w:val="center"/>
          </w:tcPr>
          <w:p w14:paraId="316FCF0E" w14:textId="4D3DF37A" w:rsidR="0006257F" w:rsidRPr="0006257F" w:rsidRDefault="0006257F" w:rsidP="0006257F">
            <w:pPr>
              <w:pStyle w:val="Prrafodelista"/>
              <w:widowControl w:val="0"/>
              <w:spacing w:before="120" w:after="120"/>
              <w:ind w:left="57" w:right="-5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6257F">
              <w:rPr>
                <w:rFonts w:ascii="Arial" w:hAnsi="Arial" w:cs="Arial"/>
                <w:color w:val="0F243E" w:themeColor="text2" w:themeShade="80"/>
                <w:sz w:val="20"/>
                <w:szCs w:val="20"/>
              </w:rPr>
              <w:t>569.686</w:t>
            </w:r>
          </w:p>
        </w:tc>
      </w:tr>
    </w:tbl>
    <w:p w14:paraId="0435C9F5" w14:textId="3930F93B" w:rsidR="00BA7875" w:rsidRPr="00CA48AF" w:rsidRDefault="00BA7875" w:rsidP="003A1574">
      <w:pPr>
        <w:jc w:val="both"/>
        <w:rPr>
          <w:rFonts w:ascii="Arial" w:hAnsi="Arial" w:cs="Arial"/>
          <w:color w:val="000000"/>
          <w:sz w:val="22"/>
          <w:szCs w:val="22"/>
          <w:highlight w:val="yellow"/>
        </w:rPr>
      </w:pPr>
    </w:p>
    <w:p w14:paraId="14416B8E" w14:textId="3B9A2C8F" w:rsidR="00A01F64" w:rsidRPr="00531EE1" w:rsidRDefault="00612A7F" w:rsidP="003A1574">
      <w:pPr>
        <w:jc w:val="both"/>
        <w:rPr>
          <w:rFonts w:ascii="Arial" w:eastAsia="Arial" w:hAnsi="Arial" w:cs="Arial"/>
          <w:b/>
          <w:color w:val="000000"/>
          <w:sz w:val="22"/>
          <w:szCs w:val="22"/>
        </w:rPr>
      </w:pPr>
      <w:r w:rsidRPr="00531EE1">
        <w:rPr>
          <w:rFonts w:ascii="Arial" w:hAnsi="Arial" w:cs="Arial"/>
          <w:color w:val="000000"/>
          <w:sz w:val="22"/>
          <w:szCs w:val="22"/>
        </w:rPr>
        <w:t>Con base en el listado de reintegros aplicados</w:t>
      </w:r>
      <w:r w:rsidR="00236223" w:rsidRPr="00531EE1">
        <w:rPr>
          <w:rFonts w:ascii="Arial" w:hAnsi="Arial" w:cs="Arial"/>
          <w:color w:val="000000"/>
          <w:sz w:val="22"/>
          <w:szCs w:val="22"/>
        </w:rPr>
        <w:t xml:space="preserve"> con corte al </w:t>
      </w:r>
      <w:r w:rsidR="0006257F" w:rsidRPr="00531EE1">
        <w:rPr>
          <w:rFonts w:ascii="Arial" w:hAnsi="Arial" w:cs="Arial"/>
          <w:color w:val="000000"/>
          <w:sz w:val="22"/>
          <w:szCs w:val="22"/>
        </w:rPr>
        <w:t>30</w:t>
      </w:r>
      <w:r w:rsidR="00236223" w:rsidRPr="00531EE1">
        <w:rPr>
          <w:rFonts w:ascii="Arial" w:hAnsi="Arial" w:cs="Arial"/>
          <w:color w:val="000000"/>
          <w:sz w:val="22"/>
          <w:szCs w:val="22"/>
        </w:rPr>
        <w:t xml:space="preserve"> de </w:t>
      </w:r>
      <w:r w:rsidR="0006257F" w:rsidRPr="00531EE1">
        <w:rPr>
          <w:rFonts w:ascii="Arial" w:hAnsi="Arial" w:cs="Arial"/>
          <w:color w:val="000000"/>
          <w:sz w:val="22"/>
          <w:szCs w:val="22"/>
        </w:rPr>
        <w:t xml:space="preserve">noviembre </w:t>
      </w:r>
      <w:r w:rsidR="00236223" w:rsidRPr="00531EE1">
        <w:rPr>
          <w:rFonts w:ascii="Arial" w:hAnsi="Arial" w:cs="Arial"/>
          <w:color w:val="000000"/>
          <w:sz w:val="22"/>
          <w:szCs w:val="22"/>
        </w:rPr>
        <w:t>de 2020</w:t>
      </w:r>
      <w:r w:rsidRPr="00531EE1">
        <w:rPr>
          <w:rFonts w:ascii="Arial" w:hAnsi="Arial" w:cs="Arial"/>
          <w:color w:val="000000"/>
          <w:sz w:val="22"/>
          <w:szCs w:val="22"/>
        </w:rPr>
        <w:t xml:space="preserve"> remitid</w:t>
      </w:r>
      <w:r w:rsidR="00236223" w:rsidRPr="00531EE1">
        <w:rPr>
          <w:rFonts w:ascii="Arial" w:hAnsi="Arial" w:cs="Arial"/>
          <w:color w:val="000000"/>
          <w:sz w:val="22"/>
          <w:szCs w:val="22"/>
        </w:rPr>
        <w:t>o</w:t>
      </w:r>
      <w:r w:rsidRPr="00531EE1">
        <w:rPr>
          <w:rFonts w:ascii="Arial" w:hAnsi="Arial" w:cs="Arial"/>
          <w:color w:val="000000"/>
          <w:sz w:val="22"/>
          <w:szCs w:val="22"/>
        </w:rPr>
        <w:t xml:space="preserve"> por la Subdirección Financiera, </w:t>
      </w:r>
      <w:r w:rsidR="003A1574" w:rsidRPr="00531EE1">
        <w:rPr>
          <w:rFonts w:ascii="Arial" w:hAnsi="Arial" w:cs="Arial"/>
          <w:color w:val="000000"/>
          <w:sz w:val="22"/>
          <w:szCs w:val="22"/>
        </w:rPr>
        <w:t xml:space="preserve">se constató que el Contratista </w:t>
      </w:r>
      <w:r w:rsidR="0047334D" w:rsidRPr="00531EE1">
        <w:rPr>
          <w:rFonts w:ascii="Arial" w:hAnsi="Arial" w:cs="Arial"/>
          <w:color w:val="000000"/>
          <w:sz w:val="22"/>
          <w:szCs w:val="22"/>
        </w:rPr>
        <w:t xml:space="preserve">Unión Temporal COMBPCAM </w:t>
      </w:r>
      <w:r w:rsidR="008E5F5E" w:rsidRPr="00531EE1">
        <w:rPr>
          <w:rFonts w:ascii="Arial" w:hAnsi="Arial" w:cs="Arial"/>
          <w:color w:val="000000"/>
          <w:sz w:val="22"/>
          <w:szCs w:val="22"/>
        </w:rPr>
        <w:t xml:space="preserve">realizó los </w:t>
      </w:r>
      <w:r w:rsidR="003A1574" w:rsidRPr="00531EE1">
        <w:rPr>
          <w:rFonts w:ascii="Arial" w:hAnsi="Arial" w:cs="Arial"/>
          <w:color w:val="000000"/>
          <w:sz w:val="22"/>
          <w:szCs w:val="22"/>
        </w:rPr>
        <w:t>reintegros correspondientes al pago del servicio de telefonía fija RDS PRIS del SIIF</w:t>
      </w:r>
      <w:r w:rsidR="001410AC" w:rsidRPr="00531EE1">
        <w:rPr>
          <w:rFonts w:ascii="Arial" w:hAnsi="Arial" w:cs="Arial"/>
          <w:color w:val="000000"/>
          <w:sz w:val="22"/>
          <w:szCs w:val="22"/>
        </w:rPr>
        <w:t>,</w:t>
      </w:r>
      <w:r w:rsidR="00236223" w:rsidRPr="00531EE1">
        <w:rPr>
          <w:rFonts w:ascii="Arial" w:hAnsi="Arial" w:cs="Arial"/>
          <w:color w:val="000000"/>
          <w:sz w:val="22"/>
          <w:szCs w:val="22"/>
        </w:rPr>
        <w:t xml:space="preserve"> para lo</w:t>
      </w:r>
      <w:r w:rsidR="003C6EC3" w:rsidRPr="00531EE1">
        <w:rPr>
          <w:rFonts w:ascii="Arial" w:hAnsi="Arial" w:cs="Arial"/>
          <w:color w:val="000000"/>
          <w:sz w:val="22"/>
          <w:szCs w:val="22"/>
        </w:rPr>
        <w:t>s</w:t>
      </w:r>
      <w:r w:rsidR="00236223" w:rsidRPr="00531EE1">
        <w:rPr>
          <w:rFonts w:ascii="Arial" w:hAnsi="Arial" w:cs="Arial"/>
          <w:color w:val="000000"/>
          <w:sz w:val="22"/>
          <w:szCs w:val="22"/>
        </w:rPr>
        <w:t xml:space="preserve"> periodos</w:t>
      </w:r>
      <w:r w:rsidR="00531EE1" w:rsidRPr="00531EE1">
        <w:rPr>
          <w:rFonts w:ascii="Arial" w:hAnsi="Arial" w:cs="Arial"/>
          <w:color w:val="000000"/>
          <w:sz w:val="22"/>
          <w:szCs w:val="22"/>
        </w:rPr>
        <w:t xml:space="preserve"> de julio y agosto de 2020. Para el mes de septiembre de 2020, a la fecha de emisión de este informe el contratista no h</w:t>
      </w:r>
      <w:r w:rsidR="00531EE1">
        <w:rPr>
          <w:rFonts w:ascii="Arial" w:hAnsi="Arial" w:cs="Arial"/>
          <w:color w:val="000000"/>
          <w:sz w:val="22"/>
          <w:szCs w:val="22"/>
        </w:rPr>
        <w:t>abía e</w:t>
      </w:r>
      <w:r w:rsidR="00531EE1" w:rsidRPr="00531EE1">
        <w:rPr>
          <w:rFonts w:ascii="Arial" w:hAnsi="Arial" w:cs="Arial"/>
          <w:color w:val="000000"/>
          <w:sz w:val="22"/>
          <w:szCs w:val="22"/>
        </w:rPr>
        <w:t>fectuado el respectivo reintegro. Por tal motivo, en el próximo seguimiento la Oficina de Control Interno verificará sobre el particular.</w:t>
      </w:r>
      <w:r w:rsidRPr="00531EE1">
        <w:rPr>
          <w:rFonts w:ascii="Arial" w:hAnsi="Arial" w:cs="Arial"/>
          <w:color w:val="000000"/>
          <w:sz w:val="22"/>
          <w:szCs w:val="22"/>
        </w:rPr>
        <w:t xml:space="preserve"> </w:t>
      </w:r>
    </w:p>
    <w:p w14:paraId="65523027" w14:textId="77777777" w:rsidR="000518AD" w:rsidRPr="00531EE1" w:rsidRDefault="000518AD" w:rsidP="0097107A">
      <w:pPr>
        <w:jc w:val="both"/>
        <w:rPr>
          <w:rFonts w:ascii="Arial" w:hAnsi="Arial" w:cs="Arial"/>
          <w:color w:val="000000"/>
          <w:sz w:val="22"/>
          <w:szCs w:val="22"/>
        </w:rPr>
      </w:pPr>
    </w:p>
    <w:p w14:paraId="1C17DEEE" w14:textId="7F2E2C9E" w:rsidR="003F2257" w:rsidRPr="00240A17" w:rsidRDefault="003F2257" w:rsidP="003F2257">
      <w:pPr>
        <w:rPr>
          <w:rFonts w:ascii="Arial" w:hAnsi="Arial" w:cs="Arial"/>
          <w:color w:val="000000" w:themeColor="text1"/>
          <w:sz w:val="22"/>
          <w:szCs w:val="22"/>
        </w:rPr>
      </w:pPr>
    </w:p>
    <w:p w14:paraId="5FDD9D40" w14:textId="5B10A3CB" w:rsidR="003B61F5" w:rsidRPr="00240A17" w:rsidRDefault="008F68D9" w:rsidP="00D90499">
      <w:pPr>
        <w:pStyle w:val="Prrafodelista"/>
        <w:numPr>
          <w:ilvl w:val="0"/>
          <w:numId w:val="12"/>
        </w:numPr>
        <w:spacing w:after="200" w:line="276" w:lineRule="auto"/>
        <w:rPr>
          <w:rFonts w:ascii="Arial" w:eastAsia="Arial" w:hAnsi="Arial" w:cs="Arial"/>
          <w:b/>
          <w:color w:val="000000" w:themeColor="text1"/>
          <w:sz w:val="20"/>
          <w:szCs w:val="20"/>
        </w:rPr>
      </w:pPr>
      <w:r w:rsidRPr="00240A17">
        <w:rPr>
          <w:rFonts w:ascii="Arial" w:eastAsia="Arial" w:hAnsi="Arial" w:cs="Arial"/>
          <w:b/>
          <w:color w:val="000000" w:themeColor="text1"/>
          <w:sz w:val="22"/>
          <w:szCs w:val="22"/>
        </w:rPr>
        <w:t>SUSCRIPCIONES A PERIÓDICOS Y REVISTAS, PUBLICACIONES Y BASES DE DATOS</w:t>
      </w:r>
    </w:p>
    <w:p w14:paraId="77237FD9" w14:textId="4C384D52" w:rsidR="00312149" w:rsidRPr="00240A17" w:rsidRDefault="00D0397F" w:rsidP="001410AC">
      <w:pPr>
        <w:jc w:val="both"/>
        <w:rPr>
          <w:rFonts w:ascii="Arial" w:hAnsi="Arial" w:cs="Arial"/>
          <w:color w:val="000000" w:themeColor="text1"/>
          <w:sz w:val="22"/>
          <w:szCs w:val="22"/>
        </w:rPr>
      </w:pPr>
      <w:r w:rsidRPr="00240A17">
        <w:rPr>
          <w:rFonts w:ascii="Arial" w:hAnsi="Arial" w:cs="Arial"/>
          <w:color w:val="000000" w:themeColor="text1"/>
          <w:sz w:val="22"/>
          <w:szCs w:val="22"/>
        </w:rPr>
        <w:t>De acuerdo con la Directiva Pre</w:t>
      </w:r>
      <w:r w:rsidR="00312149" w:rsidRPr="00240A17">
        <w:rPr>
          <w:rFonts w:ascii="Arial" w:hAnsi="Arial" w:cs="Arial"/>
          <w:color w:val="000000" w:themeColor="text1"/>
          <w:sz w:val="22"/>
          <w:szCs w:val="22"/>
        </w:rPr>
        <w:t>sidencial 09 de 2018</w:t>
      </w:r>
      <w:r w:rsidR="001410AC" w:rsidRPr="00240A17">
        <w:rPr>
          <w:rFonts w:ascii="Arial" w:hAnsi="Arial" w:cs="Arial"/>
          <w:color w:val="000000" w:themeColor="text1"/>
          <w:sz w:val="22"/>
          <w:szCs w:val="22"/>
        </w:rPr>
        <w:t xml:space="preserve"> y el Decreto 1009 de 2020,</w:t>
      </w:r>
      <w:r w:rsidR="00997FE5" w:rsidRPr="00240A17">
        <w:rPr>
          <w:rFonts w:ascii="Arial" w:hAnsi="Arial" w:cs="Arial"/>
          <w:color w:val="000000" w:themeColor="text1"/>
          <w:sz w:val="22"/>
          <w:szCs w:val="22"/>
        </w:rPr>
        <w:t xml:space="preserve"> </w:t>
      </w:r>
      <w:r w:rsidR="00312149" w:rsidRPr="00240A17">
        <w:rPr>
          <w:rFonts w:ascii="Arial" w:hAnsi="Arial" w:cs="Arial"/>
          <w:color w:val="000000" w:themeColor="text1"/>
          <w:sz w:val="22"/>
          <w:szCs w:val="22"/>
        </w:rPr>
        <w:t xml:space="preserve">estableció </w:t>
      </w:r>
      <w:r w:rsidR="001410AC" w:rsidRPr="00240A17">
        <w:rPr>
          <w:rFonts w:ascii="Arial" w:hAnsi="Arial" w:cs="Arial"/>
          <w:color w:val="000000" w:themeColor="text1"/>
          <w:sz w:val="22"/>
          <w:szCs w:val="22"/>
        </w:rPr>
        <w:t>como directriz</w:t>
      </w:r>
      <w:r w:rsidRPr="00240A17">
        <w:rPr>
          <w:rFonts w:ascii="Arial" w:hAnsi="Arial" w:cs="Arial"/>
          <w:color w:val="000000" w:themeColor="text1"/>
          <w:sz w:val="22"/>
          <w:szCs w:val="22"/>
        </w:rPr>
        <w:t xml:space="preserve"> frente</w:t>
      </w:r>
      <w:r w:rsidR="007D1507" w:rsidRPr="00240A17">
        <w:rPr>
          <w:rFonts w:ascii="Arial" w:hAnsi="Arial" w:cs="Arial"/>
          <w:color w:val="000000" w:themeColor="text1"/>
          <w:sz w:val="22"/>
          <w:szCs w:val="22"/>
        </w:rPr>
        <w:t xml:space="preserve"> </w:t>
      </w:r>
      <w:r w:rsidR="001410AC" w:rsidRPr="00240A17">
        <w:rPr>
          <w:rFonts w:ascii="Arial" w:hAnsi="Arial" w:cs="Arial"/>
          <w:color w:val="000000" w:themeColor="text1"/>
          <w:sz w:val="22"/>
          <w:szCs w:val="22"/>
        </w:rPr>
        <w:t>a las medidas de austeridad que, «</w:t>
      </w:r>
      <w:r w:rsidR="00312149" w:rsidRPr="00240A17">
        <w:rPr>
          <w:rFonts w:ascii="Arial" w:hAnsi="Arial" w:cs="Arial"/>
          <w:color w:val="000000" w:themeColor="text1"/>
          <w:sz w:val="22"/>
          <w:szCs w:val="22"/>
        </w:rPr>
        <w:t>Las suscripciones a bases de datos electrónicas especializadas se efectuarán solamente cuando sea necesario. Las licencias se adquirirán en las cantidades suficientes para suplir las necesidades del servicio»</w:t>
      </w:r>
      <w:r w:rsidR="00997FE5" w:rsidRPr="00240A17">
        <w:rPr>
          <w:rFonts w:ascii="Arial" w:hAnsi="Arial" w:cs="Arial"/>
          <w:color w:val="000000" w:themeColor="text1"/>
          <w:sz w:val="22"/>
          <w:szCs w:val="22"/>
        </w:rPr>
        <w:t xml:space="preserve">. </w:t>
      </w:r>
    </w:p>
    <w:p w14:paraId="69B0FF40" w14:textId="77777777" w:rsidR="00B57B24" w:rsidRPr="00240A17" w:rsidRDefault="00B57B24" w:rsidP="00496850">
      <w:pPr>
        <w:jc w:val="both"/>
        <w:rPr>
          <w:rFonts w:ascii="Arial" w:hAnsi="Arial" w:cs="Arial"/>
          <w:color w:val="000000" w:themeColor="text1"/>
          <w:sz w:val="22"/>
          <w:szCs w:val="22"/>
        </w:rPr>
      </w:pPr>
    </w:p>
    <w:p w14:paraId="7566A060" w14:textId="0DC84DDB" w:rsidR="0023499B" w:rsidRPr="00240A17" w:rsidRDefault="0023499B" w:rsidP="00F162F7">
      <w:pPr>
        <w:jc w:val="both"/>
        <w:rPr>
          <w:rFonts w:ascii="Arial" w:hAnsi="Arial" w:cs="Arial"/>
          <w:color w:val="000000" w:themeColor="text1"/>
          <w:sz w:val="22"/>
          <w:szCs w:val="22"/>
        </w:rPr>
      </w:pPr>
      <w:r w:rsidRPr="00240A17">
        <w:rPr>
          <w:rFonts w:ascii="Arial" w:hAnsi="Arial" w:cs="Arial"/>
          <w:color w:val="000000" w:themeColor="text1"/>
          <w:sz w:val="22"/>
          <w:szCs w:val="22"/>
        </w:rPr>
        <w:t xml:space="preserve">Con </w:t>
      </w:r>
      <w:r w:rsidR="004C6BAC" w:rsidRPr="00240A17">
        <w:rPr>
          <w:rFonts w:ascii="Arial" w:hAnsi="Arial" w:cs="Arial"/>
          <w:color w:val="000000" w:themeColor="text1"/>
          <w:sz w:val="22"/>
          <w:szCs w:val="22"/>
        </w:rPr>
        <w:t>b</w:t>
      </w:r>
      <w:r w:rsidR="00E433E0" w:rsidRPr="00240A17">
        <w:rPr>
          <w:rFonts w:ascii="Arial" w:hAnsi="Arial" w:cs="Arial"/>
          <w:color w:val="000000" w:themeColor="text1"/>
          <w:sz w:val="22"/>
          <w:szCs w:val="22"/>
        </w:rPr>
        <w:t>ase en reporte de contratos</w:t>
      </w:r>
      <w:r w:rsidR="004C6BAC" w:rsidRPr="00240A17">
        <w:rPr>
          <w:rFonts w:ascii="Arial" w:hAnsi="Arial" w:cs="Arial"/>
          <w:color w:val="000000" w:themeColor="text1"/>
          <w:sz w:val="22"/>
          <w:szCs w:val="22"/>
        </w:rPr>
        <w:t xml:space="preserve"> vigentes a</w:t>
      </w:r>
      <w:r w:rsidR="00F136BD" w:rsidRPr="00240A17">
        <w:rPr>
          <w:rFonts w:ascii="Arial" w:hAnsi="Arial" w:cs="Arial"/>
          <w:color w:val="000000" w:themeColor="text1"/>
          <w:sz w:val="22"/>
          <w:szCs w:val="22"/>
        </w:rPr>
        <w:t xml:space="preserve"> 3</w:t>
      </w:r>
      <w:r w:rsidR="00733526" w:rsidRPr="00240A17">
        <w:rPr>
          <w:rFonts w:ascii="Arial" w:hAnsi="Arial" w:cs="Arial"/>
          <w:color w:val="000000" w:themeColor="text1"/>
          <w:sz w:val="22"/>
          <w:szCs w:val="22"/>
        </w:rPr>
        <w:t>0</w:t>
      </w:r>
      <w:r w:rsidR="00F136BD" w:rsidRPr="00240A17">
        <w:rPr>
          <w:rFonts w:ascii="Arial" w:hAnsi="Arial" w:cs="Arial"/>
          <w:color w:val="000000" w:themeColor="text1"/>
          <w:sz w:val="22"/>
          <w:szCs w:val="22"/>
        </w:rPr>
        <w:t xml:space="preserve"> de </w:t>
      </w:r>
      <w:r w:rsidR="00240A17">
        <w:rPr>
          <w:rFonts w:ascii="Arial" w:hAnsi="Arial" w:cs="Arial"/>
          <w:color w:val="000000" w:themeColor="text1"/>
          <w:sz w:val="22"/>
          <w:szCs w:val="22"/>
        </w:rPr>
        <w:t xml:space="preserve">septiembre </w:t>
      </w:r>
      <w:r w:rsidR="00F136BD" w:rsidRPr="00240A17">
        <w:rPr>
          <w:rFonts w:ascii="Arial" w:hAnsi="Arial" w:cs="Arial"/>
          <w:color w:val="000000" w:themeColor="text1"/>
          <w:sz w:val="22"/>
          <w:szCs w:val="22"/>
        </w:rPr>
        <w:t>de 2020</w:t>
      </w:r>
      <w:r w:rsidRPr="00240A17">
        <w:rPr>
          <w:rFonts w:ascii="Arial" w:hAnsi="Arial" w:cs="Arial"/>
          <w:color w:val="000000" w:themeColor="text1"/>
          <w:sz w:val="22"/>
          <w:szCs w:val="22"/>
        </w:rPr>
        <w:t xml:space="preserve">, </w:t>
      </w:r>
      <w:r w:rsidR="004C6BAC" w:rsidRPr="00240A17">
        <w:rPr>
          <w:rFonts w:ascii="Arial" w:hAnsi="Arial" w:cs="Arial"/>
          <w:color w:val="000000" w:themeColor="text1"/>
          <w:sz w:val="22"/>
          <w:szCs w:val="22"/>
        </w:rPr>
        <w:t xml:space="preserve">remitido por el Grupo de Contratos de la Dirección Administrativa, esta Oficina confirmó que, </w:t>
      </w:r>
      <w:r w:rsidR="00F546DB" w:rsidRPr="00240A17">
        <w:rPr>
          <w:rFonts w:ascii="Arial" w:hAnsi="Arial" w:cs="Arial"/>
          <w:color w:val="000000" w:themeColor="text1"/>
          <w:sz w:val="22"/>
          <w:szCs w:val="22"/>
        </w:rPr>
        <w:t>el Ministerio de Hacienda y C</w:t>
      </w:r>
      <w:r w:rsidRPr="00240A17">
        <w:rPr>
          <w:rFonts w:ascii="Arial" w:hAnsi="Arial" w:cs="Arial"/>
          <w:color w:val="000000" w:themeColor="text1"/>
          <w:sz w:val="22"/>
          <w:szCs w:val="22"/>
        </w:rPr>
        <w:t xml:space="preserve">rédito Público </w:t>
      </w:r>
      <w:r w:rsidR="004C6BAC" w:rsidRPr="00240A17">
        <w:rPr>
          <w:rFonts w:ascii="Arial" w:hAnsi="Arial" w:cs="Arial"/>
          <w:color w:val="000000" w:themeColor="text1"/>
          <w:sz w:val="22"/>
          <w:szCs w:val="22"/>
        </w:rPr>
        <w:t xml:space="preserve">a dicho corte </w:t>
      </w:r>
      <w:r w:rsidR="003D1FAB" w:rsidRPr="00240A17">
        <w:rPr>
          <w:rFonts w:ascii="Arial" w:hAnsi="Arial" w:cs="Arial"/>
          <w:color w:val="000000" w:themeColor="text1"/>
          <w:sz w:val="22"/>
          <w:szCs w:val="22"/>
        </w:rPr>
        <w:t>tenía s</w:t>
      </w:r>
      <w:r w:rsidR="004C6BAC" w:rsidRPr="00240A17">
        <w:rPr>
          <w:rFonts w:ascii="Arial" w:hAnsi="Arial" w:cs="Arial"/>
          <w:color w:val="000000" w:themeColor="text1"/>
          <w:sz w:val="22"/>
          <w:szCs w:val="22"/>
        </w:rPr>
        <w:t>uscritos las siguientes contrataciones referentes</w:t>
      </w:r>
      <w:r w:rsidRPr="00240A17">
        <w:rPr>
          <w:rFonts w:ascii="Arial" w:hAnsi="Arial" w:cs="Arial"/>
          <w:color w:val="000000" w:themeColor="text1"/>
          <w:sz w:val="22"/>
          <w:szCs w:val="22"/>
        </w:rPr>
        <w:t xml:space="preserve"> a suscripciones</w:t>
      </w:r>
      <w:r w:rsidR="00135128" w:rsidRPr="00240A17">
        <w:rPr>
          <w:rFonts w:ascii="Arial" w:hAnsi="Arial" w:cs="Arial"/>
          <w:color w:val="000000" w:themeColor="text1"/>
          <w:sz w:val="22"/>
          <w:szCs w:val="22"/>
        </w:rPr>
        <w:t xml:space="preserve"> a periódicos</w:t>
      </w:r>
      <w:r w:rsidR="0020305F" w:rsidRPr="00240A17">
        <w:rPr>
          <w:rFonts w:ascii="Arial" w:hAnsi="Arial" w:cs="Arial"/>
          <w:color w:val="000000" w:themeColor="text1"/>
          <w:sz w:val="22"/>
          <w:szCs w:val="22"/>
        </w:rPr>
        <w:t xml:space="preserve"> y </w:t>
      </w:r>
      <w:r w:rsidR="00135128" w:rsidRPr="00240A17">
        <w:rPr>
          <w:rFonts w:ascii="Arial" w:hAnsi="Arial" w:cs="Arial"/>
          <w:color w:val="000000" w:themeColor="text1"/>
          <w:sz w:val="22"/>
          <w:szCs w:val="22"/>
        </w:rPr>
        <w:t>bases de datos</w:t>
      </w:r>
      <w:r w:rsidR="0020305F" w:rsidRPr="00240A17">
        <w:rPr>
          <w:rFonts w:ascii="Arial" w:hAnsi="Arial" w:cs="Arial"/>
          <w:color w:val="000000" w:themeColor="text1"/>
          <w:sz w:val="22"/>
          <w:szCs w:val="22"/>
        </w:rPr>
        <w:t xml:space="preserve">: </w:t>
      </w:r>
      <w:r w:rsidR="00135128" w:rsidRPr="00240A17">
        <w:rPr>
          <w:rFonts w:ascii="Arial" w:hAnsi="Arial" w:cs="Arial"/>
          <w:color w:val="000000" w:themeColor="text1"/>
          <w:sz w:val="22"/>
          <w:szCs w:val="22"/>
        </w:rPr>
        <w:t xml:space="preserve"> </w:t>
      </w:r>
    </w:p>
    <w:p w14:paraId="20C03AAF" w14:textId="77777777" w:rsidR="00095F09" w:rsidRPr="00240A17" w:rsidRDefault="00095F09" w:rsidP="00F162F7">
      <w:pPr>
        <w:jc w:val="both"/>
        <w:rPr>
          <w:rFonts w:ascii="Arial" w:hAnsi="Arial" w:cs="Arial"/>
          <w:color w:val="000000" w:themeColor="text1"/>
          <w:sz w:val="22"/>
          <w:szCs w:val="22"/>
        </w:rPr>
      </w:pPr>
    </w:p>
    <w:tbl>
      <w:tblPr>
        <w:tblStyle w:val="Tabladecuadrcula1clara-nfasis1"/>
        <w:tblW w:w="0" w:type="auto"/>
        <w:tblLayout w:type="fixed"/>
        <w:tblLook w:val="04A0" w:firstRow="1" w:lastRow="0" w:firstColumn="1" w:lastColumn="0" w:noHBand="0" w:noVBand="1"/>
      </w:tblPr>
      <w:tblGrid>
        <w:gridCol w:w="1696"/>
        <w:gridCol w:w="1418"/>
        <w:gridCol w:w="1276"/>
        <w:gridCol w:w="1275"/>
        <w:gridCol w:w="1560"/>
        <w:gridCol w:w="2404"/>
      </w:tblGrid>
      <w:tr w:rsidR="00AC0B09" w:rsidRPr="00F34000" w14:paraId="0FBB0F54" w14:textId="77777777" w:rsidTr="004A774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shd w:val="clear" w:color="auto" w:fill="4F81BD" w:themeFill="accent1"/>
            <w:vAlign w:val="center"/>
            <w:hideMark/>
          </w:tcPr>
          <w:p w14:paraId="2284D2B5" w14:textId="77777777" w:rsidR="00970159" w:rsidRPr="00F34000" w:rsidRDefault="00970159" w:rsidP="00CD4B4D">
            <w:pPr>
              <w:widowControl w:val="0"/>
              <w:spacing w:before="80" w:after="80"/>
              <w:jc w:val="center"/>
              <w:rPr>
                <w:rFonts w:ascii="Arial" w:hAnsi="Arial" w:cs="Arial"/>
                <w:color w:val="FFFFFF"/>
                <w:sz w:val="20"/>
                <w:szCs w:val="20"/>
              </w:rPr>
            </w:pPr>
            <w:r w:rsidRPr="00F34000">
              <w:rPr>
                <w:rFonts w:ascii="Arial" w:hAnsi="Arial" w:cs="Arial"/>
                <w:color w:val="FFFFFF"/>
                <w:sz w:val="20"/>
                <w:szCs w:val="20"/>
              </w:rPr>
              <w:t xml:space="preserve">Contratista </w:t>
            </w:r>
          </w:p>
        </w:tc>
        <w:tc>
          <w:tcPr>
            <w:tcW w:w="1418" w:type="dxa"/>
            <w:shd w:val="clear" w:color="auto" w:fill="4F81BD" w:themeFill="accent1"/>
            <w:vAlign w:val="center"/>
            <w:hideMark/>
          </w:tcPr>
          <w:p w14:paraId="5C942D7D" w14:textId="77777777" w:rsidR="00970159" w:rsidRPr="00F34000"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34000">
              <w:rPr>
                <w:rFonts w:ascii="Arial" w:hAnsi="Arial" w:cs="Arial"/>
                <w:color w:val="FFFFFF"/>
                <w:sz w:val="20"/>
                <w:szCs w:val="20"/>
              </w:rPr>
              <w:t># Contrato</w:t>
            </w:r>
          </w:p>
        </w:tc>
        <w:tc>
          <w:tcPr>
            <w:tcW w:w="1276" w:type="dxa"/>
            <w:shd w:val="clear" w:color="auto" w:fill="4F81BD" w:themeFill="accent1"/>
            <w:vAlign w:val="center"/>
            <w:hideMark/>
          </w:tcPr>
          <w:p w14:paraId="3BA1F60B" w14:textId="42A21998" w:rsidR="00970159" w:rsidRPr="00F34000"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34000">
              <w:rPr>
                <w:rFonts w:ascii="Arial" w:hAnsi="Arial" w:cs="Arial"/>
                <w:color w:val="FFFFFF"/>
                <w:sz w:val="20"/>
                <w:szCs w:val="20"/>
              </w:rPr>
              <w:t>Fecha Inici</w:t>
            </w:r>
            <w:r w:rsidR="0076088F" w:rsidRPr="00F34000">
              <w:rPr>
                <w:rFonts w:ascii="Arial" w:hAnsi="Arial" w:cs="Arial"/>
                <w:color w:val="FFFFFF"/>
                <w:sz w:val="20"/>
                <w:szCs w:val="20"/>
              </w:rPr>
              <w:t>al</w:t>
            </w:r>
          </w:p>
        </w:tc>
        <w:tc>
          <w:tcPr>
            <w:tcW w:w="1275" w:type="dxa"/>
            <w:shd w:val="clear" w:color="auto" w:fill="4F81BD" w:themeFill="accent1"/>
            <w:vAlign w:val="center"/>
            <w:hideMark/>
          </w:tcPr>
          <w:p w14:paraId="4F68D179" w14:textId="77777777" w:rsidR="00970159" w:rsidRPr="00F34000"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34000">
              <w:rPr>
                <w:rFonts w:ascii="Arial" w:hAnsi="Arial" w:cs="Arial"/>
                <w:color w:val="FFFFFF"/>
                <w:sz w:val="20"/>
                <w:szCs w:val="20"/>
              </w:rPr>
              <w:t>Fecha Final</w:t>
            </w:r>
          </w:p>
        </w:tc>
        <w:tc>
          <w:tcPr>
            <w:tcW w:w="1560" w:type="dxa"/>
            <w:shd w:val="clear" w:color="auto" w:fill="4F81BD" w:themeFill="accent1"/>
            <w:vAlign w:val="center"/>
            <w:hideMark/>
          </w:tcPr>
          <w:p w14:paraId="0338E1C2" w14:textId="5DF28F46" w:rsidR="00970159" w:rsidRPr="00F34000"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34000">
              <w:rPr>
                <w:rFonts w:ascii="Arial" w:hAnsi="Arial" w:cs="Arial"/>
                <w:color w:val="FFFFFF"/>
                <w:sz w:val="20"/>
                <w:szCs w:val="20"/>
              </w:rPr>
              <w:t>Valor Contrato</w:t>
            </w:r>
            <w:r w:rsidR="0076088F" w:rsidRPr="00F34000">
              <w:rPr>
                <w:rFonts w:ascii="Arial" w:hAnsi="Arial" w:cs="Arial"/>
                <w:color w:val="FFFFFF"/>
                <w:sz w:val="20"/>
                <w:szCs w:val="20"/>
              </w:rPr>
              <w:t xml:space="preserve"> ($)</w:t>
            </w:r>
          </w:p>
        </w:tc>
        <w:tc>
          <w:tcPr>
            <w:tcW w:w="2404" w:type="dxa"/>
            <w:shd w:val="clear" w:color="auto" w:fill="4F81BD" w:themeFill="accent1"/>
            <w:vAlign w:val="center"/>
            <w:hideMark/>
          </w:tcPr>
          <w:p w14:paraId="383977F0" w14:textId="77777777" w:rsidR="00970159" w:rsidRPr="00F34000" w:rsidRDefault="00970159" w:rsidP="00CD4B4D">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34000">
              <w:rPr>
                <w:rFonts w:ascii="Arial" w:hAnsi="Arial" w:cs="Arial"/>
                <w:color w:val="FFFFFF"/>
                <w:sz w:val="20"/>
                <w:szCs w:val="20"/>
              </w:rPr>
              <w:t xml:space="preserve">Objeto del Contrato </w:t>
            </w:r>
          </w:p>
        </w:tc>
      </w:tr>
      <w:tr w:rsidR="00F34000" w:rsidRPr="00F34000" w14:paraId="356C8629" w14:textId="77777777" w:rsidTr="003041DC">
        <w:trPr>
          <w:cantSplit/>
          <w:trHeight w:val="205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E4C8537" w14:textId="38A7EC16" w:rsidR="00F34000" w:rsidRPr="00F34000" w:rsidRDefault="00F34000" w:rsidP="00F34000">
            <w:pPr>
              <w:widowControl w:val="0"/>
              <w:spacing w:before="80" w:after="8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FITCH SOLUTIONS INC</w:t>
            </w:r>
          </w:p>
        </w:tc>
        <w:tc>
          <w:tcPr>
            <w:tcW w:w="1418" w:type="dxa"/>
            <w:noWrap/>
            <w:vAlign w:val="center"/>
          </w:tcPr>
          <w:p w14:paraId="689F6526" w14:textId="1D18E26F"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3.330-2018</w:t>
            </w:r>
          </w:p>
        </w:tc>
        <w:tc>
          <w:tcPr>
            <w:tcW w:w="1276" w:type="dxa"/>
            <w:noWrap/>
            <w:vAlign w:val="center"/>
          </w:tcPr>
          <w:p w14:paraId="45F845EF" w14:textId="5EB37904"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1/11/2018</w:t>
            </w:r>
          </w:p>
        </w:tc>
        <w:tc>
          <w:tcPr>
            <w:tcW w:w="1275" w:type="dxa"/>
            <w:noWrap/>
            <w:vAlign w:val="center"/>
          </w:tcPr>
          <w:p w14:paraId="609FC793" w14:textId="26366D3D"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31/10/2022</w:t>
            </w:r>
          </w:p>
        </w:tc>
        <w:tc>
          <w:tcPr>
            <w:tcW w:w="1560" w:type="dxa"/>
            <w:vAlign w:val="center"/>
          </w:tcPr>
          <w:p w14:paraId="6CB845DD" w14:textId="4A104FC6" w:rsidR="00F34000" w:rsidRPr="00F34000" w:rsidRDefault="00F34000" w:rsidP="00F34000">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250.861.300 </w:t>
            </w:r>
          </w:p>
        </w:tc>
        <w:tc>
          <w:tcPr>
            <w:tcW w:w="2404" w:type="dxa"/>
            <w:vAlign w:val="center"/>
          </w:tcPr>
          <w:p w14:paraId="745D2BF7" w14:textId="20B2EB7E" w:rsidR="00F34000" w:rsidRPr="00F34000" w:rsidRDefault="00F34000" w:rsidP="00F3400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a la plataforma de FITCH SOLUTIONS, con destino a la Subdirección de Financiamiento Externo de la Nación </w:t>
            </w:r>
            <w:r>
              <w:rPr>
                <w:rFonts w:ascii="Arial" w:hAnsi="Arial" w:cs="Arial"/>
                <w:color w:val="0F243E" w:themeColor="text2" w:themeShade="80"/>
                <w:sz w:val="20"/>
                <w:szCs w:val="20"/>
              </w:rPr>
              <w:t>del MHCP</w:t>
            </w:r>
            <w:r w:rsidR="00A20CBA">
              <w:rPr>
                <w:rFonts w:ascii="Arial" w:hAnsi="Arial" w:cs="Arial"/>
                <w:color w:val="0F243E" w:themeColor="text2" w:themeShade="80"/>
                <w:sz w:val="20"/>
                <w:szCs w:val="20"/>
              </w:rPr>
              <w:t>.</w:t>
            </w:r>
          </w:p>
        </w:tc>
      </w:tr>
      <w:tr w:rsidR="00F34000" w:rsidRPr="00F34000" w14:paraId="30D14510" w14:textId="77777777" w:rsidTr="004A7741">
        <w:trPr>
          <w:trHeight w:val="2909"/>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3F5DC63" w14:textId="6A358A72" w:rsidR="00F34000" w:rsidRPr="006F1E68" w:rsidRDefault="00F34000" w:rsidP="00F34000">
            <w:pPr>
              <w:widowControl w:val="0"/>
              <w:spacing w:before="80" w:after="80"/>
              <w:jc w:val="center"/>
              <w:rPr>
                <w:rFonts w:ascii="Arial" w:hAnsi="Arial" w:cs="Arial"/>
                <w:color w:val="0F243E" w:themeColor="text2" w:themeShade="80"/>
                <w:sz w:val="20"/>
                <w:szCs w:val="20"/>
                <w:lang w:val="en-US"/>
              </w:rPr>
            </w:pPr>
            <w:r w:rsidRPr="006F1E68">
              <w:rPr>
                <w:rFonts w:ascii="Arial" w:hAnsi="Arial" w:cs="Arial"/>
                <w:color w:val="0F243E" w:themeColor="text2" w:themeShade="80"/>
                <w:sz w:val="20"/>
                <w:szCs w:val="20"/>
                <w:lang w:val="en-US"/>
              </w:rPr>
              <w:t>S&amp;P GLOBAL MARKET INTELIGENCE LLC</w:t>
            </w:r>
          </w:p>
        </w:tc>
        <w:tc>
          <w:tcPr>
            <w:tcW w:w="1418" w:type="dxa"/>
            <w:noWrap/>
            <w:vAlign w:val="center"/>
          </w:tcPr>
          <w:p w14:paraId="3A14C311" w14:textId="230D2749"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3.366-2018</w:t>
            </w:r>
          </w:p>
        </w:tc>
        <w:tc>
          <w:tcPr>
            <w:tcW w:w="1276" w:type="dxa"/>
            <w:noWrap/>
            <w:vAlign w:val="center"/>
          </w:tcPr>
          <w:p w14:paraId="498C3BD1" w14:textId="4AA8D643"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26/11/2018</w:t>
            </w:r>
          </w:p>
        </w:tc>
        <w:tc>
          <w:tcPr>
            <w:tcW w:w="1275" w:type="dxa"/>
            <w:noWrap/>
            <w:vAlign w:val="center"/>
          </w:tcPr>
          <w:p w14:paraId="23DF9632" w14:textId="4A30B1C3" w:rsidR="00F34000" w:rsidRPr="00F34000" w:rsidRDefault="00F34000" w:rsidP="00F3400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25/11/2022</w:t>
            </w:r>
          </w:p>
        </w:tc>
        <w:tc>
          <w:tcPr>
            <w:tcW w:w="1560" w:type="dxa"/>
            <w:vAlign w:val="center"/>
          </w:tcPr>
          <w:p w14:paraId="5391CAC3" w14:textId="6ED12F7A" w:rsidR="00F34000" w:rsidRPr="00F34000" w:rsidRDefault="00F34000" w:rsidP="00F34000">
            <w:pPr>
              <w:widowControl w:val="0"/>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369.472.291 </w:t>
            </w:r>
          </w:p>
        </w:tc>
        <w:tc>
          <w:tcPr>
            <w:tcW w:w="2404" w:type="dxa"/>
            <w:vAlign w:val="center"/>
          </w:tcPr>
          <w:p w14:paraId="1B1C8970" w14:textId="4E368597" w:rsidR="00F34000" w:rsidRPr="00F34000" w:rsidRDefault="00F34000" w:rsidP="00F3400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vía internet a la publicación denominada </w:t>
            </w:r>
            <w:r w:rsidR="00A20CBA" w:rsidRPr="00F34000">
              <w:rPr>
                <w:rFonts w:ascii="Arial" w:hAnsi="Arial" w:cs="Arial"/>
                <w:color w:val="0F243E" w:themeColor="text2" w:themeShade="80"/>
                <w:sz w:val="20"/>
                <w:szCs w:val="20"/>
              </w:rPr>
              <w:t xml:space="preserve">Standard And Poors Capital Iq-Rd Sovereings &amp; International </w:t>
            </w:r>
            <w:r w:rsidRPr="00F34000">
              <w:rPr>
                <w:rFonts w:ascii="Arial" w:hAnsi="Arial" w:cs="Arial"/>
                <w:color w:val="0F243E" w:themeColor="text2" w:themeShade="80"/>
                <w:sz w:val="20"/>
                <w:szCs w:val="20"/>
              </w:rPr>
              <w:t>con destino a la Dirección General de Crédito Público y Tesoro Nacional.</w:t>
            </w:r>
          </w:p>
        </w:tc>
      </w:tr>
      <w:tr w:rsidR="00F34000" w:rsidRPr="00F34000" w14:paraId="6432A9D8" w14:textId="77777777" w:rsidTr="004A7741">
        <w:tc>
          <w:tcPr>
            <w:cnfStyle w:val="001000000000" w:firstRow="0" w:lastRow="0" w:firstColumn="1" w:lastColumn="0" w:oddVBand="0" w:evenVBand="0" w:oddHBand="0" w:evenHBand="0" w:firstRowFirstColumn="0" w:firstRowLastColumn="0" w:lastRowFirstColumn="0" w:lastRowLastColumn="0"/>
            <w:tcW w:w="1696" w:type="dxa"/>
            <w:vAlign w:val="center"/>
          </w:tcPr>
          <w:p w14:paraId="1F63AE3C" w14:textId="49BF80AC"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lastRenderedPageBreak/>
              <w:t>Q&amp;C INGENIERIA S.A.S.</w:t>
            </w:r>
          </w:p>
        </w:tc>
        <w:tc>
          <w:tcPr>
            <w:tcW w:w="1418" w:type="dxa"/>
            <w:noWrap/>
            <w:vAlign w:val="center"/>
          </w:tcPr>
          <w:p w14:paraId="4E1FF762" w14:textId="52B83501"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3.407-2018</w:t>
            </w:r>
          </w:p>
        </w:tc>
        <w:tc>
          <w:tcPr>
            <w:tcW w:w="1276" w:type="dxa"/>
            <w:noWrap/>
            <w:vAlign w:val="center"/>
          </w:tcPr>
          <w:p w14:paraId="3B623E4C" w14:textId="7FD63E20"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18/12/2018</w:t>
            </w:r>
          </w:p>
        </w:tc>
        <w:tc>
          <w:tcPr>
            <w:tcW w:w="1275" w:type="dxa"/>
            <w:noWrap/>
            <w:vAlign w:val="center"/>
          </w:tcPr>
          <w:p w14:paraId="42FCBF54" w14:textId="591A5EDD"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9/12/2021</w:t>
            </w:r>
          </w:p>
        </w:tc>
        <w:tc>
          <w:tcPr>
            <w:tcW w:w="1560" w:type="dxa"/>
            <w:vAlign w:val="center"/>
          </w:tcPr>
          <w:p w14:paraId="7544CB8F" w14:textId="6A173F46"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694.836.763 </w:t>
            </w:r>
          </w:p>
        </w:tc>
        <w:tc>
          <w:tcPr>
            <w:tcW w:w="2404" w:type="dxa"/>
            <w:vAlign w:val="center"/>
          </w:tcPr>
          <w:p w14:paraId="6B42292E" w14:textId="1CAFD609"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Actualización del Licenciamiento del Software, Soporte y mantenimiento técnico de las soluciones de VPN SSL PULSE SECURE Para el SIIF Nación</w:t>
            </w:r>
            <w:r w:rsidR="00A20CBA">
              <w:rPr>
                <w:rFonts w:ascii="Arial" w:hAnsi="Arial" w:cs="Arial"/>
                <w:color w:val="0F243E" w:themeColor="text2" w:themeShade="80"/>
                <w:sz w:val="20"/>
                <w:szCs w:val="20"/>
              </w:rPr>
              <w:t>.</w:t>
            </w:r>
          </w:p>
        </w:tc>
      </w:tr>
      <w:tr w:rsidR="00F34000" w:rsidRPr="00F34000" w14:paraId="2A4C788A" w14:textId="77777777" w:rsidTr="004A7741">
        <w:trPr>
          <w:trHeight w:val="125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6AA9F1C" w14:textId="317F61EA"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PC MICROS SAS</w:t>
            </w:r>
          </w:p>
        </w:tc>
        <w:tc>
          <w:tcPr>
            <w:tcW w:w="1418" w:type="dxa"/>
            <w:noWrap/>
            <w:vAlign w:val="center"/>
          </w:tcPr>
          <w:p w14:paraId="5AA6AE44" w14:textId="7EDC1B2E"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2.018-2018</w:t>
            </w:r>
          </w:p>
        </w:tc>
        <w:tc>
          <w:tcPr>
            <w:tcW w:w="1276" w:type="dxa"/>
            <w:noWrap/>
            <w:vAlign w:val="center"/>
          </w:tcPr>
          <w:p w14:paraId="47785047" w14:textId="5D0BB75C"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20/12/2018</w:t>
            </w:r>
          </w:p>
        </w:tc>
        <w:tc>
          <w:tcPr>
            <w:tcW w:w="1275" w:type="dxa"/>
            <w:noWrap/>
            <w:vAlign w:val="center"/>
          </w:tcPr>
          <w:p w14:paraId="6DAC8B02" w14:textId="258623CF"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30/12/2020</w:t>
            </w:r>
          </w:p>
        </w:tc>
        <w:tc>
          <w:tcPr>
            <w:tcW w:w="1560" w:type="dxa"/>
            <w:vAlign w:val="center"/>
          </w:tcPr>
          <w:p w14:paraId="0F5DB60E" w14:textId="18E34643"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288.790.000 </w:t>
            </w:r>
          </w:p>
        </w:tc>
        <w:tc>
          <w:tcPr>
            <w:tcW w:w="2404" w:type="dxa"/>
            <w:vAlign w:val="center"/>
          </w:tcPr>
          <w:p w14:paraId="191DE0F9" w14:textId="13D16264"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Contratar la suscripción, actualización y renovación de la plataforma de antivirus MCAFEE.</w:t>
            </w:r>
          </w:p>
        </w:tc>
      </w:tr>
      <w:tr w:rsidR="00F34000" w:rsidRPr="00F34000" w14:paraId="06C1F04B" w14:textId="77777777" w:rsidTr="004A7741">
        <w:tc>
          <w:tcPr>
            <w:cnfStyle w:val="001000000000" w:firstRow="0" w:lastRow="0" w:firstColumn="1" w:lastColumn="0" w:oddVBand="0" w:evenVBand="0" w:oddHBand="0" w:evenHBand="0" w:firstRowFirstColumn="0" w:firstRowLastColumn="0" w:lastRowFirstColumn="0" w:lastRowLastColumn="0"/>
            <w:tcW w:w="1696" w:type="dxa"/>
            <w:vAlign w:val="center"/>
          </w:tcPr>
          <w:p w14:paraId="27E5E7F5" w14:textId="62B859E9"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MOODYS ANALYTICS</w:t>
            </w:r>
          </w:p>
        </w:tc>
        <w:tc>
          <w:tcPr>
            <w:tcW w:w="1418" w:type="dxa"/>
            <w:noWrap/>
            <w:vAlign w:val="center"/>
          </w:tcPr>
          <w:p w14:paraId="3A007D31" w14:textId="555E39B4"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3.221-2019</w:t>
            </w:r>
          </w:p>
        </w:tc>
        <w:tc>
          <w:tcPr>
            <w:tcW w:w="1276" w:type="dxa"/>
            <w:noWrap/>
            <w:vAlign w:val="center"/>
          </w:tcPr>
          <w:p w14:paraId="3FCF9CD0" w14:textId="1AD8841C"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9/04/2019</w:t>
            </w:r>
          </w:p>
        </w:tc>
        <w:tc>
          <w:tcPr>
            <w:tcW w:w="1275" w:type="dxa"/>
            <w:noWrap/>
            <w:vAlign w:val="center"/>
          </w:tcPr>
          <w:p w14:paraId="1ABFB381" w14:textId="7F50F837"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8/04/2022</w:t>
            </w:r>
          </w:p>
        </w:tc>
        <w:tc>
          <w:tcPr>
            <w:tcW w:w="1560" w:type="dxa"/>
            <w:noWrap/>
            <w:vAlign w:val="center"/>
          </w:tcPr>
          <w:p w14:paraId="47560A78" w14:textId="6B8B1A4D"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233.914.933 </w:t>
            </w:r>
          </w:p>
        </w:tc>
        <w:tc>
          <w:tcPr>
            <w:tcW w:w="2404" w:type="dxa"/>
            <w:vAlign w:val="center"/>
          </w:tcPr>
          <w:p w14:paraId="4ADC76AF" w14:textId="0D88B433"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para acceder vía internet al servicio denominado </w:t>
            </w:r>
            <w:r w:rsidR="00A20CBA" w:rsidRPr="00F34000">
              <w:rPr>
                <w:rFonts w:ascii="Arial" w:hAnsi="Arial" w:cs="Arial"/>
                <w:color w:val="0F243E" w:themeColor="text2" w:themeShade="80"/>
                <w:sz w:val="20"/>
                <w:szCs w:val="20"/>
              </w:rPr>
              <w:t>Creditview</w:t>
            </w:r>
            <w:r w:rsidR="00A20CBA">
              <w:rPr>
                <w:rFonts w:ascii="Arial" w:hAnsi="Arial" w:cs="Arial"/>
                <w:color w:val="0F243E" w:themeColor="text2" w:themeShade="80"/>
                <w:sz w:val="20"/>
                <w:szCs w:val="20"/>
              </w:rPr>
              <w:t xml:space="preserve"> </w:t>
            </w:r>
            <w:r w:rsidR="00A20CBA" w:rsidRPr="00F34000">
              <w:rPr>
                <w:rFonts w:ascii="Arial" w:hAnsi="Arial" w:cs="Arial"/>
                <w:color w:val="0F243E" w:themeColor="text2" w:themeShade="80"/>
                <w:sz w:val="20"/>
                <w:szCs w:val="20"/>
              </w:rPr>
              <w:t xml:space="preserve">Sovereign Global </w:t>
            </w:r>
            <w:r w:rsidRPr="00F34000">
              <w:rPr>
                <w:rFonts w:ascii="Arial" w:hAnsi="Arial" w:cs="Arial"/>
                <w:color w:val="0F243E" w:themeColor="text2" w:themeShade="80"/>
                <w:sz w:val="20"/>
                <w:szCs w:val="20"/>
              </w:rPr>
              <w:t xml:space="preserve">de la plataforma </w:t>
            </w:r>
            <w:r w:rsidR="00A20CBA" w:rsidRPr="00F34000">
              <w:rPr>
                <w:rFonts w:ascii="Arial" w:hAnsi="Arial" w:cs="Arial"/>
                <w:color w:val="0F243E" w:themeColor="text2" w:themeShade="80"/>
                <w:sz w:val="20"/>
                <w:szCs w:val="20"/>
              </w:rPr>
              <w:t>Moodys Analytics</w:t>
            </w:r>
            <w:r w:rsidRPr="00F34000">
              <w:rPr>
                <w:rFonts w:ascii="Arial" w:hAnsi="Arial" w:cs="Arial"/>
                <w:color w:val="0F243E" w:themeColor="text2" w:themeShade="80"/>
                <w:sz w:val="20"/>
                <w:szCs w:val="20"/>
              </w:rPr>
              <w:t>, con destino a la Dirección General de Crédito Público y Tesoro Nacional.</w:t>
            </w:r>
          </w:p>
        </w:tc>
      </w:tr>
      <w:tr w:rsidR="00F34000" w:rsidRPr="00F34000" w14:paraId="21EEB6A6" w14:textId="77777777" w:rsidTr="00D7446B">
        <w:trPr>
          <w:trHeight w:val="190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2B915EE" w14:textId="6A42BE4F"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POINTMIND S A S</w:t>
            </w:r>
          </w:p>
        </w:tc>
        <w:tc>
          <w:tcPr>
            <w:tcW w:w="1418" w:type="dxa"/>
            <w:noWrap/>
            <w:vAlign w:val="center"/>
          </w:tcPr>
          <w:p w14:paraId="218B3676" w14:textId="1D8BDB8E"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3.259-2019</w:t>
            </w:r>
          </w:p>
        </w:tc>
        <w:tc>
          <w:tcPr>
            <w:tcW w:w="1276" w:type="dxa"/>
            <w:noWrap/>
            <w:vAlign w:val="center"/>
          </w:tcPr>
          <w:p w14:paraId="74B50F07" w14:textId="19729DEC"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13/06/2019</w:t>
            </w:r>
          </w:p>
        </w:tc>
        <w:tc>
          <w:tcPr>
            <w:tcW w:w="1275" w:type="dxa"/>
            <w:noWrap/>
            <w:vAlign w:val="center"/>
          </w:tcPr>
          <w:p w14:paraId="610E684B" w14:textId="5D211736"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12/06/2020</w:t>
            </w:r>
          </w:p>
        </w:tc>
        <w:tc>
          <w:tcPr>
            <w:tcW w:w="1560" w:type="dxa"/>
            <w:noWrap/>
            <w:vAlign w:val="center"/>
          </w:tcPr>
          <w:p w14:paraId="00C3DCB1" w14:textId="527CDAAE"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28.167.000 </w:t>
            </w:r>
          </w:p>
        </w:tc>
        <w:tc>
          <w:tcPr>
            <w:tcW w:w="2404" w:type="dxa"/>
            <w:vAlign w:val="center"/>
          </w:tcPr>
          <w:p w14:paraId="74F624CD" w14:textId="4BE77A06"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a los servicios </w:t>
            </w:r>
            <w:r w:rsidR="00A20CBA" w:rsidRPr="00F34000">
              <w:rPr>
                <w:rFonts w:ascii="Arial" w:hAnsi="Arial" w:cs="Arial"/>
                <w:color w:val="0F243E" w:themeColor="text2" w:themeShade="80"/>
                <w:sz w:val="20"/>
                <w:szCs w:val="20"/>
              </w:rPr>
              <w:t xml:space="preserve">Oracle Linux Premier Limited Support </w:t>
            </w:r>
            <w:r w:rsidR="00A20CBA">
              <w:rPr>
                <w:rFonts w:ascii="Arial" w:hAnsi="Arial" w:cs="Arial"/>
                <w:color w:val="0F243E" w:themeColor="text2" w:themeShade="80"/>
                <w:sz w:val="20"/>
                <w:szCs w:val="20"/>
              </w:rPr>
              <w:t>y</w:t>
            </w:r>
            <w:r w:rsidR="00A20CBA" w:rsidRPr="00F34000">
              <w:rPr>
                <w:rFonts w:ascii="Arial" w:hAnsi="Arial" w:cs="Arial"/>
                <w:color w:val="0F243E" w:themeColor="text2" w:themeShade="80"/>
                <w:sz w:val="20"/>
                <w:szCs w:val="20"/>
              </w:rPr>
              <w:t xml:space="preserve"> Oracle V</w:t>
            </w:r>
            <w:r w:rsidR="0091275D">
              <w:rPr>
                <w:rFonts w:ascii="Arial" w:hAnsi="Arial" w:cs="Arial"/>
                <w:color w:val="0F243E" w:themeColor="text2" w:themeShade="80"/>
                <w:sz w:val="20"/>
                <w:szCs w:val="20"/>
              </w:rPr>
              <w:t>M</w:t>
            </w:r>
            <w:r w:rsidR="00A20CBA" w:rsidRPr="00F34000">
              <w:rPr>
                <w:rFonts w:ascii="Arial" w:hAnsi="Arial" w:cs="Arial"/>
                <w:color w:val="0F243E" w:themeColor="text2" w:themeShade="80"/>
                <w:sz w:val="20"/>
                <w:szCs w:val="20"/>
              </w:rPr>
              <w:t xml:space="preserve"> Premier Limited Support</w:t>
            </w:r>
            <w:r w:rsidRPr="00F34000">
              <w:rPr>
                <w:rFonts w:ascii="Arial" w:hAnsi="Arial" w:cs="Arial"/>
                <w:color w:val="0F243E" w:themeColor="text2" w:themeShade="80"/>
                <w:sz w:val="20"/>
                <w:szCs w:val="20"/>
              </w:rPr>
              <w:t>, para el Ministerio de Hacienda y Crédito Público</w:t>
            </w:r>
          </w:p>
        </w:tc>
      </w:tr>
      <w:tr w:rsidR="00F34000" w:rsidRPr="00F34000" w14:paraId="30C2FB05" w14:textId="77777777" w:rsidTr="004A7741">
        <w:tc>
          <w:tcPr>
            <w:cnfStyle w:val="001000000000" w:firstRow="0" w:lastRow="0" w:firstColumn="1" w:lastColumn="0" w:oddVBand="0" w:evenVBand="0" w:oddHBand="0" w:evenHBand="0" w:firstRowFirstColumn="0" w:firstRowLastColumn="0" w:lastRowFirstColumn="0" w:lastRowLastColumn="0"/>
            <w:tcW w:w="1696" w:type="dxa"/>
            <w:vAlign w:val="center"/>
          </w:tcPr>
          <w:p w14:paraId="5DE1CC27" w14:textId="22E2668C"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BIBLIOWEB SAS</w:t>
            </w:r>
          </w:p>
        </w:tc>
        <w:tc>
          <w:tcPr>
            <w:tcW w:w="1418" w:type="dxa"/>
            <w:noWrap/>
            <w:vAlign w:val="center"/>
          </w:tcPr>
          <w:p w14:paraId="3A61E9CE" w14:textId="6284C806"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3.303-2019</w:t>
            </w:r>
          </w:p>
        </w:tc>
        <w:tc>
          <w:tcPr>
            <w:tcW w:w="1276" w:type="dxa"/>
            <w:noWrap/>
            <w:vAlign w:val="center"/>
          </w:tcPr>
          <w:p w14:paraId="5953646B" w14:textId="1AFA6CBE"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26/09/2019</w:t>
            </w:r>
          </w:p>
        </w:tc>
        <w:tc>
          <w:tcPr>
            <w:tcW w:w="1275" w:type="dxa"/>
            <w:noWrap/>
            <w:vAlign w:val="center"/>
          </w:tcPr>
          <w:p w14:paraId="6F403BE1" w14:textId="142A7158"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30/06/2021</w:t>
            </w:r>
          </w:p>
        </w:tc>
        <w:tc>
          <w:tcPr>
            <w:tcW w:w="1560" w:type="dxa"/>
            <w:noWrap/>
            <w:vAlign w:val="center"/>
          </w:tcPr>
          <w:p w14:paraId="0E460CDE" w14:textId="1ADE35D5"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29.834.000 </w:t>
            </w:r>
          </w:p>
        </w:tc>
        <w:tc>
          <w:tcPr>
            <w:tcW w:w="2404" w:type="dxa"/>
            <w:vAlign w:val="center"/>
          </w:tcPr>
          <w:p w14:paraId="30686A4E" w14:textId="463BE879"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Suscripción de software en la nube de internet y su soporte, para la gestión del catálogo de la biblioteca del Ministerio de Hacienda y Crédito Público</w:t>
            </w:r>
          </w:p>
        </w:tc>
      </w:tr>
      <w:tr w:rsidR="00F34000" w:rsidRPr="00F34000" w14:paraId="2706378C" w14:textId="77777777" w:rsidTr="00D7446B">
        <w:trPr>
          <w:trHeight w:val="132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527AC65" w14:textId="4B930CD9"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PRIMERAPAGINA COLOMBIA S.A.S</w:t>
            </w:r>
          </w:p>
        </w:tc>
        <w:tc>
          <w:tcPr>
            <w:tcW w:w="1418" w:type="dxa"/>
            <w:vAlign w:val="center"/>
          </w:tcPr>
          <w:p w14:paraId="2E0D58B0" w14:textId="6360B340"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3.325-2019</w:t>
            </w:r>
          </w:p>
        </w:tc>
        <w:tc>
          <w:tcPr>
            <w:tcW w:w="1276" w:type="dxa"/>
            <w:vAlign w:val="center"/>
          </w:tcPr>
          <w:p w14:paraId="5110220A" w14:textId="0FC996F6"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1/11/2019</w:t>
            </w:r>
          </w:p>
        </w:tc>
        <w:tc>
          <w:tcPr>
            <w:tcW w:w="1275" w:type="dxa"/>
            <w:noWrap/>
            <w:vAlign w:val="center"/>
          </w:tcPr>
          <w:p w14:paraId="72F6CC1F" w14:textId="43B126BF"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31/10/2020</w:t>
            </w:r>
          </w:p>
        </w:tc>
        <w:tc>
          <w:tcPr>
            <w:tcW w:w="1560" w:type="dxa"/>
            <w:vAlign w:val="center"/>
          </w:tcPr>
          <w:p w14:paraId="0101B016" w14:textId="7A6C2DAF"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6.479.700 </w:t>
            </w:r>
          </w:p>
        </w:tc>
        <w:tc>
          <w:tcPr>
            <w:tcW w:w="2404" w:type="dxa"/>
            <w:vAlign w:val="center"/>
          </w:tcPr>
          <w:p w14:paraId="38CCE1FB" w14:textId="68B49F96"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Suscripción del servicio de reportes de los indicadores que mueven los mercados financieros y bursátiles.</w:t>
            </w:r>
          </w:p>
        </w:tc>
      </w:tr>
      <w:tr w:rsidR="00F34000" w:rsidRPr="00F34000" w14:paraId="47C7E2EA" w14:textId="77777777" w:rsidTr="00BF351A">
        <w:trPr>
          <w:trHeight w:val="1581"/>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48DC13D" w14:textId="745B3680"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BIM LATINOAMERICA SAS</w:t>
            </w:r>
          </w:p>
        </w:tc>
        <w:tc>
          <w:tcPr>
            <w:tcW w:w="1418" w:type="dxa"/>
            <w:vAlign w:val="center"/>
          </w:tcPr>
          <w:p w14:paraId="3D3B10A9" w14:textId="6A46B3C0"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2.008-2019</w:t>
            </w:r>
          </w:p>
        </w:tc>
        <w:tc>
          <w:tcPr>
            <w:tcW w:w="1276" w:type="dxa"/>
            <w:noWrap/>
            <w:vAlign w:val="center"/>
          </w:tcPr>
          <w:p w14:paraId="1DFAF285" w14:textId="356AB247"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7/11/2019</w:t>
            </w:r>
          </w:p>
        </w:tc>
        <w:tc>
          <w:tcPr>
            <w:tcW w:w="1275" w:type="dxa"/>
            <w:noWrap/>
            <w:vAlign w:val="center"/>
          </w:tcPr>
          <w:p w14:paraId="3F36AAF6" w14:textId="59462C5A"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6/11/2020</w:t>
            </w:r>
          </w:p>
        </w:tc>
        <w:tc>
          <w:tcPr>
            <w:tcW w:w="1560" w:type="dxa"/>
            <w:vAlign w:val="center"/>
          </w:tcPr>
          <w:p w14:paraId="2F49869F" w14:textId="232186DD"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42.249.245 </w:t>
            </w:r>
          </w:p>
        </w:tc>
        <w:tc>
          <w:tcPr>
            <w:tcW w:w="2404" w:type="dxa"/>
            <w:vAlign w:val="center"/>
          </w:tcPr>
          <w:p w14:paraId="32BE40C7" w14:textId="70AEF6F9"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para el licenciamiento de los productos de </w:t>
            </w:r>
            <w:r w:rsidR="00A20CBA" w:rsidRPr="00F34000">
              <w:rPr>
                <w:rFonts w:ascii="Arial" w:hAnsi="Arial" w:cs="Arial"/>
                <w:color w:val="0F243E" w:themeColor="text2" w:themeShade="80"/>
                <w:sz w:val="20"/>
                <w:szCs w:val="20"/>
              </w:rPr>
              <w:t>Autodesk</w:t>
            </w:r>
            <w:r w:rsidRPr="00F34000">
              <w:rPr>
                <w:rFonts w:ascii="Arial" w:hAnsi="Arial" w:cs="Arial"/>
                <w:color w:val="0F243E" w:themeColor="text2" w:themeShade="80"/>
                <w:sz w:val="20"/>
                <w:szCs w:val="20"/>
              </w:rPr>
              <w:t xml:space="preserve"> que incluye 4 licencias en red multiusuario</w:t>
            </w:r>
            <w:r w:rsidR="00A20CBA">
              <w:rPr>
                <w:rFonts w:ascii="Arial" w:hAnsi="Arial" w:cs="Arial"/>
                <w:color w:val="0F243E" w:themeColor="text2" w:themeShade="80"/>
                <w:sz w:val="20"/>
                <w:szCs w:val="20"/>
              </w:rPr>
              <w:t>.</w:t>
            </w:r>
            <w:r w:rsidRPr="00F34000">
              <w:rPr>
                <w:rFonts w:ascii="Arial" w:hAnsi="Arial" w:cs="Arial"/>
                <w:color w:val="0F243E" w:themeColor="text2" w:themeShade="80"/>
                <w:sz w:val="20"/>
                <w:szCs w:val="20"/>
              </w:rPr>
              <w:t xml:space="preserve"> </w:t>
            </w:r>
          </w:p>
        </w:tc>
      </w:tr>
      <w:tr w:rsidR="00F34000" w:rsidRPr="00F34000" w14:paraId="61ACF4CD" w14:textId="77777777" w:rsidTr="004A7741">
        <w:tc>
          <w:tcPr>
            <w:cnfStyle w:val="001000000000" w:firstRow="0" w:lastRow="0" w:firstColumn="1" w:lastColumn="0" w:oddVBand="0" w:evenVBand="0" w:oddHBand="0" w:evenHBand="0" w:firstRowFirstColumn="0" w:firstRowLastColumn="0" w:lastRowFirstColumn="0" w:lastRowLastColumn="0"/>
            <w:tcW w:w="1696" w:type="dxa"/>
            <w:vAlign w:val="center"/>
          </w:tcPr>
          <w:p w14:paraId="5A5915EE" w14:textId="75D04E89" w:rsidR="00F34000" w:rsidRPr="00F34000" w:rsidRDefault="00F34000" w:rsidP="00D7446B">
            <w:pPr>
              <w:widowControl w:val="0"/>
              <w:spacing w:before="60" w:after="6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lastRenderedPageBreak/>
              <w:t>IMPRENTA NACIONAL DE COLOMBIA</w:t>
            </w:r>
          </w:p>
        </w:tc>
        <w:tc>
          <w:tcPr>
            <w:tcW w:w="1418" w:type="dxa"/>
            <w:vAlign w:val="center"/>
          </w:tcPr>
          <w:p w14:paraId="26AB2D05" w14:textId="5361D834"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7.016-2019</w:t>
            </w:r>
          </w:p>
        </w:tc>
        <w:tc>
          <w:tcPr>
            <w:tcW w:w="1276" w:type="dxa"/>
            <w:noWrap/>
            <w:vAlign w:val="center"/>
          </w:tcPr>
          <w:p w14:paraId="0FEADF54" w14:textId="6BB0153C"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3/12/2019</w:t>
            </w:r>
          </w:p>
        </w:tc>
        <w:tc>
          <w:tcPr>
            <w:tcW w:w="1275" w:type="dxa"/>
            <w:noWrap/>
            <w:vAlign w:val="center"/>
          </w:tcPr>
          <w:p w14:paraId="40864A12" w14:textId="5D2B9089" w:rsidR="00F34000" w:rsidRPr="00F34000" w:rsidRDefault="00F34000" w:rsidP="00D7446B">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2/12/2020</w:t>
            </w:r>
          </w:p>
        </w:tc>
        <w:tc>
          <w:tcPr>
            <w:tcW w:w="1560" w:type="dxa"/>
            <w:vAlign w:val="center"/>
          </w:tcPr>
          <w:p w14:paraId="7AD462FC" w14:textId="583FA287" w:rsidR="00F34000" w:rsidRPr="00F34000" w:rsidRDefault="00F34000" w:rsidP="00D7446B">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  230.300 </w:t>
            </w:r>
          </w:p>
        </w:tc>
        <w:tc>
          <w:tcPr>
            <w:tcW w:w="2404" w:type="dxa"/>
            <w:vAlign w:val="center"/>
          </w:tcPr>
          <w:p w14:paraId="40E66491" w14:textId="2F674EB8" w:rsidR="00F34000" w:rsidRPr="00F34000" w:rsidRDefault="00F34000" w:rsidP="00D7446B">
            <w:pPr>
              <w:widowControl w:val="0"/>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Suscripción electrónica al diario oficial publicado por la Imprenta Nacional de Colombia.</w:t>
            </w:r>
          </w:p>
        </w:tc>
      </w:tr>
      <w:tr w:rsidR="00F34000" w:rsidRPr="00F34000" w14:paraId="34EAC3A0" w14:textId="77777777" w:rsidTr="00BF351A">
        <w:trPr>
          <w:trHeight w:val="162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3384C6A" w14:textId="2943B366"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XSYSTEM LTDA</w:t>
            </w:r>
          </w:p>
        </w:tc>
        <w:tc>
          <w:tcPr>
            <w:tcW w:w="1418" w:type="dxa"/>
            <w:noWrap/>
            <w:vAlign w:val="center"/>
          </w:tcPr>
          <w:p w14:paraId="61D86695" w14:textId="25461FA1"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2.017-2019</w:t>
            </w:r>
          </w:p>
        </w:tc>
        <w:tc>
          <w:tcPr>
            <w:tcW w:w="1276" w:type="dxa"/>
            <w:noWrap/>
            <w:vAlign w:val="center"/>
          </w:tcPr>
          <w:p w14:paraId="45E4476F" w14:textId="0E383996"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26/12/2019</w:t>
            </w:r>
          </w:p>
        </w:tc>
        <w:tc>
          <w:tcPr>
            <w:tcW w:w="1275" w:type="dxa"/>
            <w:noWrap/>
            <w:vAlign w:val="center"/>
          </w:tcPr>
          <w:p w14:paraId="619536FA" w14:textId="1E05D7A8"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25/12/2020</w:t>
            </w:r>
          </w:p>
        </w:tc>
        <w:tc>
          <w:tcPr>
            <w:tcW w:w="1560" w:type="dxa"/>
            <w:noWrap/>
            <w:vAlign w:val="center"/>
          </w:tcPr>
          <w:p w14:paraId="346B03DD" w14:textId="1C4AF182"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71.638.547 </w:t>
            </w:r>
          </w:p>
        </w:tc>
        <w:tc>
          <w:tcPr>
            <w:tcW w:w="2404" w:type="dxa"/>
            <w:vAlign w:val="center"/>
          </w:tcPr>
          <w:p w14:paraId="08801679" w14:textId="1F060C4A" w:rsidR="00F34000" w:rsidRPr="00F34000" w:rsidRDefault="00F34000" w:rsidP="00D7446B">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Renovación y suscripción de licencias </w:t>
            </w:r>
            <w:r w:rsidR="00A20CBA" w:rsidRPr="00F34000">
              <w:rPr>
                <w:rFonts w:ascii="Arial" w:hAnsi="Arial" w:cs="Arial"/>
                <w:color w:val="0F243E" w:themeColor="text2" w:themeShade="80"/>
                <w:sz w:val="20"/>
                <w:szCs w:val="20"/>
              </w:rPr>
              <w:t>Adobe</w:t>
            </w:r>
            <w:r w:rsidRPr="00F34000">
              <w:rPr>
                <w:rFonts w:ascii="Arial" w:hAnsi="Arial" w:cs="Arial"/>
                <w:color w:val="0F243E" w:themeColor="text2" w:themeShade="80"/>
                <w:sz w:val="20"/>
                <w:szCs w:val="20"/>
              </w:rPr>
              <w:t xml:space="preserve"> para el Ministerio de Hacienda y Crédito Público.</w:t>
            </w:r>
          </w:p>
        </w:tc>
      </w:tr>
      <w:tr w:rsidR="00F34000" w:rsidRPr="00F34000" w14:paraId="3737E874" w14:textId="77777777" w:rsidTr="00BF351A">
        <w:trPr>
          <w:cantSplit/>
          <w:trHeight w:val="2966"/>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CB7A07" w14:textId="46011BD3"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FUNDACION PARA EDUCACION SUPERIOR Y EL DESARROLLO FEDESARROLLO</w:t>
            </w:r>
          </w:p>
        </w:tc>
        <w:tc>
          <w:tcPr>
            <w:tcW w:w="1418" w:type="dxa"/>
            <w:noWrap/>
            <w:vAlign w:val="center"/>
          </w:tcPr>
          <w:p w14:paraId="4F15389B" w14:textId="33955A73"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2.001-2020</w:t>
            </w:r>
          </w:p>
        </w:tc>
        <w:tc>
          <w:tcPr>
            <w:tcW w:w="1276" w:type="dxa"/>
            <w:noWrap/>
            <w:vAlign w:val="center"/>
          </w:tcPr>
          <w:p w14:paraId="7C2978E2" w14:textId="03BBBDBB"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24/03/2020</w:t>
            </w:r>
          </w:p>
        </w:tc>
        <w:tc>
          <w:tcPr>
            <w:tcW w:w="1275" w:type="dxa"/>
            <w:noWrap/>
            <w:vAlign w:val="center"/>
          </w:tcPr>
          <w:p w14:paraId="5E0F697D" w14:textId="546A5B24"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31/12/2020</w:t>
            </w:r>
          </w:p>
        </w:tc>
        <w:tc>
          <w:tcPr>
            <w:tcW w:w="1560" w:type="dxa"/>
            <w:noWrap/>
            <w:vAlign w:val="center"/>
          </w:tcPr>
          <w:p w14:paraId="104ED620" w14:textId="021FC140"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33.021.923 </w:t>
            </w:r>
          </w:p>
        </w:tc>
        <w:tc>
          <w:tcPr>
            <w:tcW w:w="2404" w:type="dxa"/>
            <w:vAlign w:val="center"/>
          </w:tcPr>
          <w:p w14:paraId="3B794AD0" w14:textId="65059025" w:rsidR="00F34000" w:rsidRPr="00F34000" w:rsidRDefault="00F34000" w:rsidP="00D7446B">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Suscripción a las publicaciones </w:t>
            </w:r>
            <w:r w:rsidRPr="00F34000">
              <w:rPr>
                <w:rFonts w:ascii="Arial" w:hAnsi="Arial" w:cs="Arial"/>
                <w:i/>
                <w:iCs/>
                <w:color w:val="0F243E" w:themeColor="text2" w:themeShade="80"/>
                <w:sz w:val="20"/>
                <w:szCs w:val="20"/>
              </w:rPr>
              <w:t xml:space="preserve">Encuesta de opinión empresarial - </w:t>
            </w:r>
            <w:r>
              <w:rPr>
                <w:rFonts w:ascii="Arial" w:hAnsi="Arial" w:cs="Arial"/>
                <w:i/>
                <w:iCs/>
                <w:color w:val="0F243E" w:themeColor="text2" w:themeShade="80"/>
                <w:sz w:val="20"/>
                <w:szCs w:val="20"/>
              </w:rPr>
              <w:t>EOE</w:t>
            </w:r>
            <w:r w:rsidRPr="00F34000">
              <w:rPr>
                <w:rFonts w:ascii="Arial" w:hAnsi="Arial" w:cs="Arial"/>
                <w:i/>
                <w:iCs/>
                <w:color w:val="0F243E" w:themeColor="text2" w:themeShade="80"/>
                <w:sz w:val="20"/>
                <w:szCs w:val="20"/>
              </w:rPr>
              <w:t xml:space="preserve"> y encuesta de opinión del consumidor - </w:t>
            </w:r>
            <w:r>
              <w:rPr>
                <w:rFonts w:ascii="Arial" w:hAnsi="Arial" w:cs="Arial"/>
                <w:i/>
                <w:iCs/>
                <w:color w:val="0F243E" w:themeColor="text2" w:themeShade="80"/>
                <w:sz w:val="20"/>
                <w:szCs w:val="20"/>
              </w:rPr>
              <w:t>EOC</w:t>
            </w:r>
            <w:r w:rsidRPr="00F34000">
              <w:rPr>
                <w:rFonts w:ascii="Arial" w:hAnsi="Arial" w:cs="Arial"/>
                <w:i/>
                <w:iCs/>
                <w:color w:val="0F243E" w:themeColor="text2" w:themeShade="80"/>
                <w:sz w:val="20"/>
                <w:szCs w:val="20"/>
              </w:rPr>
              <w:t xml:space="preserve"> de </w:t>
            </w:r>
            <w:r>
              <w:rPr>
                <w:rFonts w:ascii="Arial" w:hAnsi="Arial" w:cs="Arial"/>
                <w:i/>
                <w:iCs/>
                <w:color w:val="0F243E" w:themeColor="text2" w:themeShade="80"/>
                <w:sz w:val="20"/>
                <w:szCs w:val="20"/>
              </w:rPr>
              <w:t>F</w:t>
            </w:r>
            <w:r w:rsidRPr="00F34000">
              <w:rPr>
                <w:rFonts w:ascii="Arial" w:hAnsi="Arial" w:cs="Arial"/>
                <w:i/>
                <w:iCs/>
                <w:color w:val="0F243E" w:themeColor="text2" w:themeShade="80"/>
                <w:sz w:val="20"/>
                <w:szCs w:val="20"/>
              </w:rPr>
              <w:t>edesarrollo,</w:t>
            </w:r>
            <w:r w:rsidRPr="00F34000">
              <w:rPr>
                <w:rFonts w:ascii="Arial" w:hAnsi="Arial" w:cs="Arial"/>
                <w:color w:val="0F243E" w:themeColor="text2" w:themeShade="80"/>
                <w:sz w:val="20"/>
                <w:szCs w:val="20"/>
              </w:rPr>
              <w:t xml:space="preserve"> en CD y por correo electrónico, con destino a la Dirección General de Política Macroeconómica.</w:t>
            </w:r>
          </w:p>
        </w:tc>
      </w:tr>
      <w:tr w:rsidR="00F34000" w:rsidRPr="00F34000" w14:paraId="6AE67A30" w14:textId="77777777" w:rsidTr="00BF351A">
        <w:trPr>
          <w:cantSplit/>
          <w:trHeight w:val="156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5EB3E25" w14:textId="61C3CBFB"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COMUNICAN S.A</w:t>
            </w:r>
          </w:p>
        </w:tc>
        <w:tc>
          <w:tcPr>
            <w:tcW w:w="1418" w:type="dxa"/>
            <w:noWrap/>
            <w:vAlign w:val="center"/>
          </w:tcPr>
          <w:p w14:paraId="5CBC0847" w14:textId="2F754AA1"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2.004-2020</w:t>
            </w:r>
          </w:p>
        </w:tc>
        <w:tc>
          <w:tcPr>
            <w:tcW w:w="1276" w:type="dxa"/>
            <w:noWrap/>
            <w:vAlign w:val="center"/>
          </w:tcPr>
          <w:p w14:paraId="349668EE" w14:textId="41BCD24A"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28/05/2020</w:t>
            </w:r>
          </w:p>
        </w:tc>
        <w:tc>
          <w:tcPr>
            <w:tcW w:w="1275" w:type="dxa"/>
            <w:noWrap/>
            <w:vAlign w:val="center"/>
          </w:tcPr>
          <w:p w14:paraId="094443D6" w14:textId="03DC2585"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27/05/2021</w:t>
            </w:r>
          </w:p>
        </w:tc>
        <w:tc>
          <w:tcPr>
            <w:tcW w:w="1560" w:type="dxa"/>
            <w:noWrap/>
            <w:vAlign w:val="center"/>
          </w:tcPr>
          <w:p w14:paraId="1AEB2643" w14:textId="1745707F"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435.000 </w:t>
            </w:r>
          </w:p>
        </w:tc>
        <w:tc>
          <w:tcPr>
            <w:tcW w:w="2404" w:type="dxa"/>
            <w:vAlign w:val="center"/>
          </w:tcPr>
          <w:p w14:paraId="4A2790B0" w14:textId="0A450C0D" w:rsidR="00F34000" w:rsidRPr="00F34000" w:rsidRDefault="00F34000" w:rsidP="00D7446B">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Adquirir una suscripción al diario el espectador con destino al despacho del señor Ministro </w:t>
            </w:r>
            <w:r>
              <w:rPr>
                <w:rFonts w:ascii="Arial" w:hAnsi="Arial" w:cs="Arial"/>
                <w:color w:val="0F243E" w:themeColor="text2" w:themeShade="80"/>
                <w:sz w:val="20"/>
                <w:szCs w:val="20"/>
              </w:rPr>
              <w:t>del MHCP.</w:t>
            </w:r>
          </w:p>
        </w:tc>
      </w:tr>
      <w:tr w:rsidR="00F34000" w:rsidRPr="00F34000" w14:paraId="6F31C1D2" w14:textId="77777777" w:rsidTr="00BF351A">
        <w:trPr>
          <w:cantSplit/>
          <w:trHeight w:val="154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9EDE98B" w14:textId="64793FD4"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BUSINESSMIND COLOMBIA S.A.</w:t>
            </w:r>
          </w:p>
        </w:tc>
        <w:tc>
          <w:tcPr>
            <w:tcW w:w="1418" w:type="dxa"/>
            <w:noWrap/>
            <w:vAlign w:val="center"/>
          </w:tcPr>
          <w:p w14:paraId="572533F0" w14:textId="1A929962"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3.214-2020</w:t>
            </w:r>
          </w:p>
        </w:tc>
        <w:tc>
          <w:tcPr>
            <w:tcW w:w="1276" w:type="dxa"/>
            <w:noWrap/>
            <w:vAlign w:val="center"/>
          </w:tcPr>
          <w:p w14:paraId="4946721A" w14:textId="051317A0"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13/06/2020</w:t>
            </w:r>
          </w:p>
        </w:tc>
        <w:tc>
          <w:tcPr>
            <w:tcW w:w="1275" w:type="dxa"/>
            <w:noWrap/>
            <w:vAlign w:val="center"/>
          </w:tcPr>
          <w:p w14:paraId="2E942936" w14:textId="487E127E"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12/06/2021</w:t>
            </w:r>
          </w:p>
        </w:tc>
        <w:tc>
          <w:tcPr>
            <w:tcW w:w="1560" w:type="dxa"/>
            <w:noWrap/>
            <w:vAlign w:val="center"/>
          </w:tcPr>
          <w:p w14:paraId="04FDC753" w14:textId="176A0985"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    27.281.002 </w:t>
            </w:r>
          </w:p>
        </w:tc>
        <w:tc>
          <w:tcPr>
            <w:tcW w:w="2404" w:type="dxa"/>
            <w:vAlign w:val="center"/>
          </w:tcPr>
          <w:p w14:paraId="16D4724D" w14:textId="7E107CB8" w:rsidR="00F34000" w:rsidRPr="00F34000" w:rsidRDefault="00F34000" w:rsidP="00D7446B">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Contratar la suscripción a los servicios </w:t>
            </w:r>
            <w:r w:rsidR="00A20CBA" w:rsidRPr="00F34000">
              <w:rPr>
                <w:rFonts w:ascii="Arial" w:hAnsi="Arial" w:cs="Arial"/>
                <w:color w:val="0F243E" w:themeColor="text2" w:themeShade="80"/>
                <w:sz w:val="20"/>
                <w:szCs w:val="20"/>
              </w:rPr>
              <w:t xml:space="preserve">Oracle Linux Premier Limited Support </w:t>
            </w:r>
            <w:r w:rsidR="001171D6">
              <w:rPr>
                <w:rFonts w:ascii="Arial" w:hAnsi="Arial" w:cs="Arial"/>
                <w:color w:val="0F243E" w:themeColor="text2" w:themeShade="80"/>
                <w:sz w:val="20"/>
                <w:szCs w:val="20"/>
              </w:rPr>
              <w:t xml:space="preserve">y </w:t>
            </w:r>
            <w:r w:rsidR="00A20CBA" w:rsidRPr="00F34000">
              <w:rPr>
                <w:rFonts w:ascii="Arial" w:hAnsi="Arial" w:cs="Arial"/>
                <w:color w:val="0F243E" w:themeColor="text2" w:themeShade="80"/>
                <w:sz w:val="20"/>
                <w:szCs w:val="20"/>
              </w:rPr>
              <w:t>Oracle Vm Premier Limited Support</w:t>
            </w:r>
            <w:r w:rsidRPr="00F34000">
              <w:rPr>
                <w:rFonts w:ascii="Arial" w:hAnsi="Arial" w:cs="Arial"/>
                <w:color w:val="0F243E" w:themeColor="text2" w:themeShade="80"/>
                <w:sz w:val="20"/>
                <w:szCs w:val="20"/>
              </w:rPr>
              <w:t>.</w:t>
            </w:r>
          </w:p>
        </w:tc>
      </w:tr>
      <w:tr w:rsidR="00F34000" w:rsidRPr="00F34000" w14:paraId="56499338" w14:textId="77777777" w:rsidTr="0044572E">
        <w:trPr>
          <w:cantSplit/>
          <w:trHeight w:val="153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862CD64" w14:textId="39A31160"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CASA EDITORIAL EL TIEMPO S.A.</w:t>
            </w:r>
          </w:p>
        </w:tc>
        <w:tc>
          <w:tcPr>
            <w:tcW w:w="1418" w:type="dxa"/>
            <w:noWrap/>
            <w:vAlign w:val="center"/>
          </w:tcPr>
          <w:p w14:paraId="016E6580" w14:textId="3FDE5722"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2.005-2020</w:t>
            </w:r>
          </w:p>
        </w:tc>
        <w:tc>
          <w:tcPr>
            <w:tcW w:w="1276" w:type="dxa"/>
            <w:noWrap/>
            <w:vAlign w:val="center"/>
          </w:tcPr>
          <w:p w14:paraId="03388FD5" w14:textId="4FC18339"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18/06/2020</w:t>
            </w:r>
          </w:p>
        </w:tc>
        <w:tc>
          <w:tcPr>
            <w:tcW w:w="1275" w:type="dxa"/>
            <w:noWrap/>
            <w:vAlign w:val="center"/>
          </w:tcPr>
          <w:p w14:paraId="2BF297ED" w14:textId="4DD413AC"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17/06/2021</w:t>
            </w:r>
          </w:p>
        </w:tc>
        <w:tc>
          <w:tcPr>
            <w:tcW w:w="1560" w:type="dxa"/>
            <w:noWrap/>
            <w:vAlign w:val="center"/>
          </w:tcPr>
          <w:p w14:paraId="14BB3142" w14:textId="59FBECB6"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729.800 </w:t>
            </w:r>
          </w:p>
        </w:tc>
        <w:tc>
          <w:tcPr>
            <w:tcW w:w="2404" w:type="dxa"/>
            <w:vAlign w:val="center"/>
          </w:tcPr>
          <w:p w14:paraId="6C5D671C" w14:textId="5C3D2CEE" w:rsidR="00F34000" w:rsidRPr="00F34000" w:rsidRDefault="00F34000" w:rsidP="00D7446B">
            <w:pPr>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Adquirir una suscripción al diario el tiempo y al diario portafolio, con destino al despacho del señor Ministro del </w:t>
            </w:r>
            <w:r>
              <w:rPr>
                <w:rFonts w:ascii="Arial" w:hAnsi="Arial" w:cs="Arial"/>
                <w:color w:val="0F243E" w:themeColor="text2" w:themeShade="80"/>
                <w:sz w:val="20"/>
                <w:szCs w:val="20"/>
              </w:rPr>
              <w:t>MHCP.</w:t>
            </w:r>
          </w:p>
        </w:tc>
      </w:tr>
      <w:tr w:rsidR="00F34000" w:rsidRPr="00F34000" w14:paraId="0FD107B1" w14:textId="77777777" w:rsidTr="004A7741">
        <w:trPr>
          <w:cantSplit/>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AF7F1CE" w14:textId="023766A1" w:rsidR="00F34000" w:rsidRPr="00F34000" w:rsidRDefault="00F34000" w:rsidP="00D7446B">
            <w:pPr>
              <w:widowControl w:val="0"/>
              <w:spacing w:before="60" w:after="40"/>
              <w:jc w:val="center"/>
              <w:rPr>
                <w:rFonts w:ascii="Arial" w:hAnsi="Arial" w:cs="Arial"/>
                <w:color w:val="0F243E" w:themeColor="text2" w:themeShade="80"/>
                <w:sz w:val="20"/>
                <w:szCs w:val="20"/>
              </w:rPr>
            </w:pPr>
            <w:r w:rsidRPr="00F34000">
              <w:rPr>
                <w:rFonts w:ascii="Arial" w:hAnsi="Arial" w:cs="Arial"/>
                <w:color w:val="0F243E" w:themeColor="text2" w:themeShade="80"/>
                <w:sz w:val="20"/>
                <w:szCs w:val="20"/>
              </w:rPr>
              <w:t>BLOOMBERG FINANCE L.P.</w:t>
            </w:r>
          </w:p>
        </w:tc>
        <w:tc>
          <w:tcPr>
            <w:tcW w:w="1418" w:type="dxa"/>
            <w:noWrap/>
            <w:vAlign w:val="center"/>
          </w:tcPr>
          <w:p w14:paraId="450450C4" w14:textId="2268E4D0"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3.246-2020</w:t>
            </w:r>
          </w:p>
        </w:tc>
        <w:tc>
          <w:tcPr>
            <w:tcW w:w="1276" w:type="dxa"/>
            <w:noWrap/>
            <w:vAlign w:val="center"/>
          </w:tcPr>
          <w:p w14:paraId="519B3C74" w14:textId="2D1ECD7E"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6/07/2020</w:t>
            </w:r>
          </w:p>
        </w:tc>
        <w:tc>
          <w:tcPr>
            <w:tcW w:w="1275" w:type="dxa"/>
            <w:noWrap/>
            <w:vAlign w:val="center"/>
          </w:tcPr>
          <w:p w14:paraId="4B6B1265" w14:textId="11BE21A9" w:rsidR="00F34000" w:rsidRPr="00F34000" w:rsidRDefault="00F34000" w:rsidP="00D7446B">
            <w:pPr>
              <w:widowControl w:val="0"/>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31/08/2021</w:t>
            </w:r>
          </w:p>
        </w:tc>
        <w:tc>
          <w:tcPr>
            <w:tcW w:w="1560" w:type="dxa"/>
            <w:noWrap/>
            <w:vAlign w:val="center"/>
          </w:tcPr>
          <w:p w14:paraId="65AD87E1" w14:textId="30B4E134" w:rsidR="00F34000" w:rsidRPr="00F34000" w:rsidRDefault="00F34000" w:rsidP="00D7446B">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 xml:space="preserve">60.231.600 </w:t>
            </w:r>
          </w:p>
        </w:tc>
        <w:tc>
          <w:tcPr>
            <w:tcW w:w="2404" w:type="dxa"/>
            <w:vAlign w:val="center"/>
          </w:tcPr>
          <w:p w14:paraId="4D429EC0" w14:textId="07901ECF" w:rsidR="00F34000" w:rsidRPr="00F34000" w:rsidRDefault="00F34000" w:rsidP="00D7446B">
            <w:pPr>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F34000">
              <w:rPr>
                <w:rFonts w:ascii="Arial" w:hAnsi="Arial" w:cs="Arial"/>
                <w:color w:val="0F243E" w:themeColor="text2" w:themeShade="80"/>
                <w:sz w:val="20"/>
                <w:szCs w:val="20"/>
              </w:rPr>
              <w:t>Acceso a la Información de Datos Licenciados Contenidos en la Solución Data License para los funcionarios de la Dirección General de Crédito Público Nacional.</w:t>
            </w:r>
          </w:p>
        </w:tc>
      </w:tr>
    </w:tbl>
    <w:p w14:paraId="33CEBA27" w14:textId="076C21A8" w:rsidR="00257240" w:rsidRPr="00C7012F" w:rsidRDefault="00257240" w:rsidP="00F22358">
      <w:pPr>
        <w:jc w:val="both"/>
        <w:rPr>
          <w:rFonts w:ascii="Arial" w:hAnsi="Arial" w:cs="Arial"/>
          <w:color w:val="000000" w:themeColor="text1"/>
          <w:sz w:val="22"/>
          <w:szCs w:val="22"/>
        </w:rPr>
      </w:pPr>
      <w:r w:rsidRPr="00C7012F">
        <w:rPr>
          <w:rFonts w:ascii="Arial" w:hAnsi="Arial" w:cs="Arial"/>
          <w:color w:val="000000" w:themeColor="text1"/>
          <w:sz w:val="22"/>
          <w:szCs w:val="22"/>
        </w:rPr>
        <w:lastRenderedPageBreak/>
        <w:t>Conforme a los valores de los contratos suscritos</w:t>
      </w:r>
      <w:r w:rsidR="00BF351A">
        <w:rPr>
          <w:rFonts w:ascii="Arial" w:hAnsi="Arial" w:cs="Arial"/>
          <w:color w:val="000000" w:themeColor="text1"/>
          <w:sz w:val="22"/>
          <w:szCs w:val="22"/>
        </w:rPr>
        <w:t>,</w:t>
      </w:r>
      <w:r w:rsidRPr="00C7012F">
        <w:rPr>
          <w:rFonts w:ascii="Arial" w:hAnsi="Arial" w:cs="Arial"/>
          <w:color w:val="000000" w:themeColor="text1"/>
          <w:sz w:val="22"/>
          <w:szCs w:val="22"/>
        </w:rPr>
        <w:t xml:space="preserve"> correspondientes a </w:t>
      </w:r>
      <w:r w:rsidR="00BF351A">
        <w:rPr>
          <w:rFonts w:ascii="Arial" w:hAnsi="Arial" w:cs="Arial"/>
          <w:color w:val="000000" w:themeColor="text1"/>
          <w:sz w:val="22"/>
          <w:szCs w:val="22"/>
        </w:rPr>
        <w:t xml:space="preserve">las </w:t>
      </w:r>
      <w:r w:rsidRPr="00C7012F">
        <w:rPr>
          <w:rFonts w:ascii="Arial" w:hAnsi="Arial" w:cs="Arial"/>
          <w:color w:val="000000" w:themeColor="text1"/>
          <w:sz w:val="22"/>
          <w:szCs w:val="22"/>
        </w:rPr>
        <w:t>suscripciones a periódicos,</w:t>
      </w:r>
      <w:r w:rsidR="00BF351A">
        <w:rPr>
          <w:rFonts w:ascii="Arial" w:hAnsi="Arial" w:cs="Arial"/>
          <w:color w:val="000000" w:themeColor="text1"/>
          <w:sz w:val="22"/>
          <w:szCs w:val="22"/>
        </w:rPr>
        <w:t xml:space="preserve"> </w:t>
      </w:r>
      <w:r w:rsidRPr="00C7012F">
        <w:rPr>
          <w:rFonts w:ascii="Arial" w:hAnsi="Arial" w:cs="Arial"/>
          <w:color w:val="000000" w:themeColor="text1"/>
          <w:sz w:val="22"/>
          <w:szCs w:val="22"/>
        </w:rPr>
        <w:t>bases de datos electrónicas y licencias con corte a 30 de septiembre de 2020 y 2019, se establecieron las respectivas variaciones, observando un</w:t>
      </w:r>
      <w:r w:rsidR="00BF351A">
        <w:rPr>
          <w:rFonts w:ascii="Arial" w:hAnsi="Arial" w:cs="Arial"/>
          <w:color w:val="000000" w:themeColor="text1"/>
          <w:sz w:val="22"/>
          <w:szCs w:val="22"/>
        </w:rPr>
        <w:t xml:space="preserve">a </w:t>
      </w:r>
      <w:r w:rsidR="00BF351A" w:rsidRPr="00D7446B">
        <w:rPr>
          <w:rFonts w:ascii="Arial" w:hAnsi="Arial" w:cs="Arial"/>
          <w:b/>
          <w:bCs/>
          <w:color w:val="000000" w:themeColor="text1"/>
          <w:sz w:val="22"/>
          <w:szCs w:val="22"/>
        </w:rPr>
        <w:t>reducción</w:t>
      </w:r>
      <w:r w:rsidR="00BF351A">
        <w:rPr>
          <w:rFonts w:ascii="Arial" w:hAnsi="Arial" w:cs="Arial"/>
          <w:color w:val="000000" w:themeColor="text1"/>
          <w:sz w:val="22"/>
          <w:szCs w:val="22"/>
        </w:rPr>
        <w:t xml:space="preserve"> del 19</w:t>
      </w:r>
      <w:r w:rsidRPr="00C7012F">
        <w:rPr>
          <w:rFonts w:ascii="Arial" w:hAnsi="Arial" w:cs="Arial"/>
          <w:color w:val="000000" w:themeColor="text1"/>
          <w:sz w:val="22"/>
          <w:szCs w:val="22"/>
        </w:rPr>
        <w:t>%.</w:t>
      </w:r>
    </w:p>
    <w:p w14:paraId="11AA551F" w14:textId="4E9034CB" w:rsidR="00257240" w:rsidRDefault="00257240" w:rsidP="00F22358">
      <w:pPr>
        <w:jc w:val="both"/>
        <w:rPr>
          <w:rFonts w:ascii="Arial" w:hAnsi="Arial" w:cs="Arial"/>
          <w:color w:val="000000"/>
          <w:sz w:val="22"/>
          <w:szCs w:val="22"/>
        </w:rPr>
      </w:pPr>
    </w:p>
    <w:tbl>
      <w:tblPr>
        <w:tblStyle w:val="Tabladecuadrcula1clara-nfasis1"/>
        <w:tblW w:w="6946" w:type="dxa"/>
        <w:jc w:val="center"/>
        <w:tblLook w:val="04A0" w:firstRow="1" w:lastRow="0" w:firstColumn="1" w:lastColumn="0" w:noHBand="0" w:noVBand="1"/>
      </w:tblPr>
      <w:tblGrid>
        <w:gridCol w:w="4253"/>
        <w:gridCol w:w="2693"/>
      </w:tblGrid>
      <w:tr w:rsidR="00257240" w:rsidRPr="00257240" w14:paraId="6405E0C9" w14:textId="77777777" w:rsidTr="003D456A">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4F81BD" w:themeFill="accent1"/>
            <w:noWrap/>
            <w:hideMark/>
          </w:tcPr>
          <w:p w14:paraId="44543A57" w14:textId="34D19B96" w:rsidR="00257240" w:rsidRPr="00257240" w:rsidRDefault="00257240" w:rsidP="003041DC">
            <w:pPr>
              <w:spacing w:before="120" w:after="120"/>
              <w:jc w:val="center"/>
              <w:rPr>
                <w:rFonts w:ascii="Arial" w:hAnsi="Arial" w:cs="Arial"/>
                <w:color w:val="FFFFFF" w:themeColor="background1"/>
                <w:sz w:val="20"/>
                <w:szCs w:val="20"/>
              </w:rPr>
            </w:pPr>
            <w:r w:rsidRPr="00257240">
              <w:rPr>
                <w:rFonts w:ascii="Arial" w:hAnsi="Arial" w:cs="Arial"/>
                <w:color w:val="FFFFFF" w:themeColor="background1"/>
                <w:sz w:val="20"/>
                <w:szCs w:val="20"/>
              </w:rPr>
              <w:t>Suscripciones</w:t>
            </w:r>
            <w:r w:rsidR="00930972">
              <w:rPr>
                <w:rFonts w:ascii="Arial" w:hAnsi="Arial" w:cs="Arial"/>
                <w:color w:val="FFFFFF" w:themeColor="background1"/>
                <w:sz w:val="20"/>
                <w:szCs w:val="20"/>
              </w:rPr>
              <w:t xml:space="preserve"> Vigentes</w:t>
            </w:r>
          </w:p>
        </w:tc>
        <w:tc>
          <w:tcPr>
            <w:tcW w:w="2693" w:type="dxa"/>
            <w:shd w:val="clear" w:color="auto" w:fill="4F81BD" w:themeFill="accent1"/>
            <w:noWrap/>
            <w:hideMark/>
          </w:tcPr>
          <w:p w14:paraId="6E4EE721" w14:textId="77777777" w:rsidR="00257240" w:rsidRPr="00257240" w:rsidRDefault="00257240" w:rsidP="003041DC">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257240">
              <w:rPr>
                <w:rFonts w:ascii="Arial" w:hAnsi="Arial" w:cs="Arial"/>
                <w:color w:val="FFFFFF" w:themeColor="background1"/>
                <w:sz w:val="20"/>
                <w:szCs w:val="20"/>
              </w:rPr>
              <w:t>Valor ($)</w:t>
            </w:r>
          </w:p>
        </w:tc>
      </w:tr>
      <w:tr w:rsidR="00BF351A" w:rsidRPr="00257240" w14:paraId="0711492F" w14:textId="77777777" w:rsidTr="001966EF">
        <w:trPr>
          <w:trHeight w:val="401"/>
          <w:jc w:val="center"/>
        </w:trPr>
        <w:tc>
          <w:tcPr>
            <w:cnfStyle w:val="001000000000" w:firstRow="0" w:lastRow="0" w:firstColumn="1" w:lastColumn="0" w:oddVBand="0" w:evenVBand="0" w:oddHBand="0" w:evenHBand="0" w:firstRowFirstColumn="0" w:firstRowLastColumn="0" w:lastRowFirstColumn="0" w:lastRowLastColumn="0"/>
            <w:tcW w:w="4253" w:type="dxa"/>
            <w:noWrap/>
            <w:hideMark/>
          </w:tcPr>
          <w:p w14:paraId="508D6C57" w14:textId="13896CFF" w:rsidR="00BF351A" w:rsidRPr="00257240" w:rsidRDefault="00BF351A" w:rsidP="00BF351A">
            <w:pPr>
              <w:spacing w:before="120" w:after="120"/>
              <w:rPr>
                <w:rFonts w:ascii="Arial" w:hAnsi="Arial" w:cs="Arial"/>
                <w:color w:val="0F243E" w:themeColor="text2" w:themeShade="80"/>
                <w:sz w:val="20"/>
                <w:szCs w:val="20"/>
              </w:rPr>
            </w:pPr>
            <w:r>
              <w:rPr>
                <w:rFonts w:ascii="Arial" w:hAnsi="Arial" w:cs="Arial"/>
                <w:color w:val="0F243E" w:themeColor="text2" w:themeShade="80"/>
                <w:sz w:val="20"/>
                <w:szCs w:val="20"/>
              </w:rPr>
              <w:t>30 de septiembre de 2020</w:t>
            </w:r>
          </w:p>
        </w:tc>
        <w:tc>
          <w:tcPr>
            <w:tcW w:w="2693" w:type="dxa"/>
            <w:noWrap/>
            <w:vAlign w:val="bottom"/>
            <w:hideMark/>
          </w:tcPr>
          <w:p w14:paraId="5C821FF8" w14:textId="152AA43C" w:rsidR="00BF351A" w:rsidRPr="00BF351A" w:rsidRDefault="00BF351A" w:rsidP="00BF351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351A">
              <w:rPr>
                <w:rFonts w:ascii="Arial" w:hAnsi="Arial" w:cs="Arial"/>
                <w:color w:val="000000"/>
                <w:sz w:val="20"/>
                <w:szCs w:val="20"/>
              </w:rPr>
              <w:t xml:space="preserve">   2.138.173.404 </w:t>
            </w:r>
          </w:p>
        </w:tc>
      </w:tr>
      <w:tr w:rsidR="00BF351A" w:rsidRPr="00257240" w14:paraId="06DCBC5B" w14:textId="77777777" w:rsidTr="001966EF">
        <w:trPr>
          <w:trHeight w:val="343"/>
          <w:jc w:val="center"/>
        </w:trPr>
        <w:tc>
          <w:tcPr>
            <w:cnfStyle w:val="001000000000" w:firstRow="0" w:lastRow="0" w:firstColumn="1" w:lastColumn="0" w:oddVBand="0" w:evenVBand="0" w:oddHBand="0" w:evenHBand="0" w:firstRowFirstColumn="0" w:firstRowLastColumn="0" w:lastRowFirstColumn="0" w:lastRowLastColumn="0"/>
            <w:tcW w:w="4253" w:type="dxa"/>
            <w:noWrap/>
            <w:hideMark/>
          </w:tcPr>
          <w:p w14:paraId="3D314C9E" w14:textId="628D6CC7" w:rsidR="00BF351A" w:rsidRPr="00257240" w:rsidRDefault="00BF351A" w:rsidP="00BF351A">
            <w:pPr>
              <w:spacing w:before="120" w:after="120"/>
              <w:rPr>
                <w:rFonts w:ascii="Arial" w:hAnsi="Arial" w:cs="Arial"/>
                <w:color w:val="0F243E" w:themeColor="text2" w:themeShade="80"/>
                <w:sz w:val="20"/>
                <w:szCs w:val="20"/>
              </w:rPr>
            </w:pPr>
            <w:r>
              <w:rPr>
                <w:rFonts w:ascii="Arial" w:hAnsi="Arial" w:cs="Arial"/>
                <w:color w:val="0F243E" w:themeColor="text2" w:themeShade="80"/>
                <w:sz w:val="20"/>
                <w:szCs w:val="20"/>
              </w:rPr>
              <w:t>30 de septiembre de 2019</w:t>
            </w:r>
          </w:p>
        </w:tc>
        <w:tc>
          <w:tcPr>
            <w:tcW w:w="2693" w:type="dxa"/>
            <w:noWrap/>
            <w:vAlign w:val="bottom"/>
            <w:hideMark/>
          </w:tcPr>
          <w:p w14:paraId="27551A3F" w14:textId="1EBC4C64" w:rsidR="00BF351A" w:rsidRPr="00BF351A" w:rsidRDefault="00BF351A" w:rsidP="00BF351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F351A">
              <w:rPr>
                <w:rFonts w:ascii="Arial" w:hAnsi="Arial" w:cs="Arial"/>
                <w:color w:val="000000"/>
                <w:sz w:val="20"/>
                <w:szCs w:val="20"/>
              </w:rPr>
              <w:t xml:space="preserve">   2.643.460.699 </w:t>
            </w:r>
          </w:p>
        </w:tc>
      </w:tr>
      <w:tr w:rsidR="00BF351A" w:rsidRPr="00257240" w14:paraId="20BEAA39" w14:textId="77777777" w:rsidTr="001966EF">
        <w:trPr>
          <w:trHeight w:val="421"/>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4F81BD" w:themeFill="accent1"/>
            <w:noWrap/>
            <w:hideMark/>
          </w:tcPr>
          <w:p w14:paraId="5D329DE3" w14:textId="77777777" w:rsidR="00BF351A" w:rsidRPr="00257240" w:rsidRDefault="00BF351A" w:rsidP="00BF351A">
            <w:pPr>
              <w:spacing w:before="120" w:after="120"/>
              <w:jc w:val="center"/>
              <w:rPr>
                <w:rFonts w:ascii="Arial" w:hAnsi="Arial" w:cs="Arial"/>
                <w:color w:val="FFFFFF" w:themeColor="background1"/>
                <w:sz w:val="20"/>
                <w:szCs w:val="20"/>
              </w:rPr>
            </w:pPr>
            <w:r w:rsidRPr="00257240">
              <w:rPr>
                <w:rFonts w:ascii="Arial" w:hAnsi="Arial" w:cs="Arial"/>
                <w:color w:val="FFFFFF" w:themeColor="background1"/>
                <w:sz w:val="20"/>
                <w:szCs w:val="20"/>
              </w:rPr>
              <w:t>Variación Absoluta</w:t>
            </w:r>
          </w:p>
        </w:tc>
        <w:tc>
          <w:tcPr>
            <w:tcW w:w="2693" w:type="dxa"/>
            <w:shd w:val="clear" w:color="auto" w:fill="4F81BD" w:themeFill="accent1"/>
            <w:noWrap/>
            <w:vAlign w:val="bottom"/>
            <w:hideMark/>
          </w:tcPr>
          <w:p w14:paraId="79DFFB75" w14:textId="264A6827" w:rsidR="00BF351A" w:rsidRPr="00BF351A" w:rsidRDefault="00BF351A" w:rsidP="00BF351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BF351A">
              <w:rPr>
                <w:rFonts w:ascii="Arial" w:hAnsi="Arial" w:cs="Arial"/>
                <w:b/>
                <w:bCs/>
                <w:color w:val="FFFFFF" w:themeColor="background1"/>
                <w:sz w:val="20"/>
                <w:szCs w:val="20"/>
              </w:rPr>
              <w:t>505.287.295</w:t>
            </w:r>
            <w:r>
              <w:rPr>
                <w:rFonts w:ascii="Arial" w:hAnsi="Arial" w:cs="Arial"/>
                <w:b/>
                <w:bCs/>
                <w:color w:val="FFFFFF" w:themeColor="background1"/>
                <w:sz w:val="20"/>
                <w:szCs w:val="20"/>
              </w:rPr>
              <w:t>)</w:t>
            </w:r>
            <w:r w:rsidRPr="00BF351A">
              <w:rPr>
                <w:rFonts w:ascii="Arial" w:hAnsi="Arial" w:cs="Arial"/>
                <w:b/>
                <w:bCs/>
                <w:color w:val="FFFFFF" w:themeColor="background1"/>
                <w:sz w:val="20"/>
                <w:szCs w:val="20"/>
              </w:rPr>
              <w:t xml:space="preserve"> </w:t>
            </w:r>
          </w:p>
        </w:tc>
      </w:tr>
      <w:tr w:rsidR="00BF351A" w:rsidRPr="00257240" w14:paraId="7C393F86" w14:textId="77777777" w:rsidTr="001966EF">
        <w:trPr>
          <w:trHeight w:val="300"/>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4F81BD" w:themeFill="accent1"/>
            <w:noWrap/>
            <w:hideMark/>
          </w:tcPr>
          <w:p w14:paraId="4D9503C7" w14:textId="77777777" w:rsidR="00BF351A" w:rsidRPr="00257240" w:rsidRDefault="00BF351A" w:rsidP="00BF351A">
            <w:pPr>
              <w:spacing w:before="120" w:after="120"/>
              <w:jc w:val="center"/>
              <w:rPr>
                <w:rFonts w:ascii="Arial" w:hAnsi="Arial" w:cs="Arial"/>
                <w:color w:val="FFFFFF" w:themeColor="background1"/>
                <w:sz w:val="20"/>
                <w:szCs w:val="20"/>
              </w:rPr>
            </w:pPr>
            <w:r w:rsidRPr="00257240">
              <w:rPr>
                <w:rFonts w:ascii="Arial" w:hAnsi="Arial" w:cs="Arial"/>
                <w:color w:val="FFFFFF" w:themeColor="background1"/>
                <w:sz w:val="20"/>
                <w:szCs w:val="20"/>
              </w:rPr>
              <w:t>Variación Relativa</w:t>
            </w:r>
          </w:p>
        </w:tc>
        <w:tc>
          <w:tcPr>
            <w:tcW w:w="2693" w:type="dxa"/>
            <w:shd w:val="clear" w:color="auto" w:fill="4F81BD" w:themeFill="accent1"/>
            <w:noWrap/>
            <w:vAlign w:val="bottom"/>
            <w:hideMark/>
          </w:tcPr>
          <w:p w14:paraId="68BED689" w14:textId="41D6AE6C" w:rsidR="00BF351A" w:rsidRPr="00BF351A" w:rsidRDefault="00BF351A" w:rsidP="00BF351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Pr>
                <w:rFonts w:ascii="Arial" w:hAnsi="Arial" w:cs="Arial"/>
                <w:b/>
                <w:bCs/>
                <w:color w:val="FFFFFF" w:themeColor="background1"/>
                <w:sz w:val="20"/>
                <w:szCs w:val="20"/>
              </w:rPr>
              <w:t>(</w:t>
            </w:r>
            <w:r w:rsidRPr="00BF351A">
              <w:rPr>
                <w:rFonts w:ascii="Arial" w:hAnsi="Arial" w:cs="Arial"/>
                <w:b/>
                <w:bCs/>
                <w:color w:val="FFFFFF" w:themeColor="background1"/>
                <w:sz w:val="20"/>
                <w:szCs w:val="20"/>
              </w:rPr>
              <w:t>19%</w:t>
            </w:r>
            <w:r>
              <w:rPr>
                <w:rFonts w:ascii="Arial" w:hAnsi="Arial" w:cs="Arial"/>
                <w:b/>
                <w:bCs/>
                <w:color w:val="FFFFFF" w:themeColor="background1"/>
                <w:sz w:val="20"/>
                <w:szCs w:val="20"/>
              </w:rPr>
              <w:t>)</w:t>
            </w:r>
          </w:p>
        </w:tc>
      </w:tr>
    </w:tbl>
    <w:p w14:paraId="0D4621DF" w14:textId="77777777" w:rsidR="00257240" w:rsidRDefault="00257240" w:rsidP="00F22358">
      <w:pPr>
        <w:jc w:val="both"/>
        <w:rPr>
          <w:rFonts w:ascii="Arial" w:hAnsi="Arial" w:cs="Arial"/>
          <w:color w:val="000000"/>
          <w:sz w:val="22"/>
          <w:szCs w:val="22"/>
        </w:rPr>
      </w:pPr>
    </w:p>
    <w:p w14:paraId="475289A0" w14:textId="791937E4" w:rsidR="003D456A" w:rsidRDefault="003D456A" w:rsidP="00F22358">
      <w:pPr>
        <w:jc w:val="both"/>
        <w:rPr>
          <w:rFonts w:ascii="Arial" w:hAnsi="Arial" w:cs="Arial"/>
          <w:color w:val="000000"/>
          <w:sz w:val="22"/>
          <w:szCs w:val="22"/>
        </w:rPr>
      </w:pPr>
    </w:p>
    <w:p w14:paraId="09B1FA2E" w14:textId="5515FB32" w:rsidR="00D91B38" w:rsidRPr="00965A0B" w:rsidRDefault="00904422" w:rsidP="00F22358">
      <w:pPr>
        <w:jc w:val="both"/>
        <w:rPr>
          <w:rFonts w:ascii="Arial" w:hAnsi="Arial" w:cs="Arial"/>
          <w:color w:val="000000"/>
          <w:sz w:val="22"/>
          <w:szCs w:val="22"/>
        </w:rPr>
      </w:pPr>
      <w:r w:rsidRPr="00965A0B">
        <w:rPr>
          <w:rFonts w:ascii="Arial" w:hAnsi="Arial" w:cs="Arial"/>
          <w:color w:val="000000"/>
          <w:sz w:val="22"/>
          <w:szCs w:val="22"/>
        </w:rPr>
        <w:t xml:space="preserve">De acuerdo con la verificación efectuada a los estudios previos de los contratos antes relacionados, </w:t>
      </w:r>
      <w:r w:rsidR="00C51803" w:rsidRPr="00965A0B">
        <w:rPr>
          <w:rFonts w:ascii="Arial" w:hAnsi="Arial" w:cs="Arial"/>
          <w:color w:val="000000"/>
          <w:sz w:val="22"/>
          <w:szCs w:val="22"/>
        </w:rPr>
        <w:t xml:space="preserve">se concluye </w:t>
      </w:r>
      <w:r w:rsidR="002262B8" w:rsidRPr="00965A0B">
        <w:rPr>
          <w:rFonts w:ascii="Arial" w:hAnsi="Arial" w:cs="Arial"/>
          <w:color w:val="000000"/>
          <w:sz w:val="22"/>
          <w:szCs w:val="22"/>
        </w:rPr>
        <w:t>que,</w:t>
      </w:r>
      <w:r w:rsidR="004E1E28" w:rsidRPr="00965A0B">
        <w:rPr>
          <w:rFonts w:ascii="Arial" w:hAnsi="Arial" w:cs="Arial"/>
          <w:color w:val="000000"/>
          <w:sz w:val="22"/>
          <w:szCs w:val="22"/>
        </w:rPr>
        <w:t xml:space="preserve"> d</w:t>
      </w:r>
      <w:r w:rsidR="00C51803" w:rsidRPr="00965A0B">
        <w:rPr>
          <w:rFonts w:ascii="Arial" w:hAnsi="Arial" w:cs="Arial"/>
          <w:color w:val="000000"/>
          <w:sz w:val="22"/>
          <w:szCs w:val="22"/>
        </w:rPr>
        <w:t>ebido a la</w:t>
      </w:r>
      <w:r w:rsidR="004E1E28" w:rsidRPr="00965A0B">
        <w:rPr>
          <w:rFonts w:ascii="Arial" w:hAnsi="Arial" w:cs="Arial"/>
          <w:color w:val="000000"/>
          <w:sz w:val="22"/>
          <w:szCs w:val="22"/>
        </w:rPr>
        <w:t>s</w:t>
      </w:r>
      <w:r w:rsidR="00C51803" w:rsidRPr="00965A0B">
        <w:rPr>
          <w:rFonts w:ascii="Arial" w:hAnsi="Arial" w:cs="Arial"/>
          <w:color w:val="000000"/>
          <w:sz w:val="22"/>
          <w:szCs w:val="22"/>
        </w:rPr>
        <w:t xml:space="preserve"> </w:t>
      </w:r>
      <w:r w:rsidR="004E1E28" w:rsidRPr="00965A0B">
        <w:rPr>
          <w:rFonts w:ascii="Arial" w:hAnsi="Arial" w:cs="Arial"/>
          <w:color w:val="000000"/>
          <w:sz w:val="22"/>
          <w:szCs w:val="22"/>
        </w:rPr>
        <w:t>necesidades del</w:t>
      </w:r>
      <w:r w:rsidR="00C51803" w:rsidRPr="00965A0B">
        <w:rPr>
          <w:rFonts w:ascii="Arial" w:hAnsi="Arial" w:cs="Arial"/>
          <w:color w:val="000000"/>
          <w:sz w:val="22"/>
          <w:szCs w:val="22"/>
        </w:rPr>
        <w:t xml:space="preserve"> servicio </w:t>
      </w:r>
      <w:r w:rsidR="004E1E28" w:rsidRPr="00965A0B">
        <w:rPr>
          <w:rFonts w:ascii="Arial" w:hAnsi="Arial" w:cs="Arial"/>
          <w:color w:val="000000"/>
          <w:sz w:val="22"/>
          <w:szCs w:val="22"/>
        </w:rPr>
        <w:t xml:space="preserve">propias </w:t>
      </w:r>
      <w:r w:rsidR="00513EA1" w:rsidRPr="00965A0B">
        <w:rPr>
          <w:rFonts w:ascii="Arial" w:hAnsi="Arial" w:cs="Arial"/>
          <w:color w:val="000000"/>
          <w:sz w:val="22"/>
          <w:szCs w:val="22"/>
        </w:rPr>
        <w:t>de las funciones asignadas a este Ministeri</w:t>
      </w:r>
      <w:r w:rsidR="00CC7DA7" w:rsidRPr="00965A0B">
        <w:rPr>
          <w:rFonts w:ascii="Arial" w:hAnsi="Arial" w:cs="Arial"/>
          <w:color w:val="000000"/>
          <w:sz w:val="22"/>
          <w:szCs w:val="22"/>
        </w:rPr>
        <w:t>o</w:t>
      </w:r>
      <w:r w:rsidR="00D91B38" w:rsidRPr="00965A0B">
        <w:rPr>
          <w:rFonts w:ascii="Arial" w:hAnsi="Arial" w:cs="Arial"/>
          <w:color w:val="000000"/>
          <w:sz w:val="22"/>
          <w:szCs w:val="22"/>
        </w:rPr>
        <w:t xml:space="preserve">, </w:t>
      </w:r>
      <w:r w:rsidR="003D1FAB" w:rsidRPr="00965A0B">
        <w:rPr>
          <w:rFonts w:ascii="Arial" w:hAnsi="Arial" w:cs="Arial"/>
          <w:color w:val="000000"/>
          <w:sz w:val="22"/>
          <w:szCs w:val="22"/>
        </w:rPr>
        <w:t xml:space="preserve">se contrataron </w:t>
      </w:r>
      <w:r w:rsidR="00E313EB" w:rsidRPr="00965A0B">
        <w:rPr>
          <w:rFonts w:ascii="Arial" w:hAnsi="Arial" w:cs="Arial"/>
          <w:color w:val="000000"/>
          <w:sz w:val="22"/>
          <w:szCs w:val="22"/>
        </w:rPr>
        <w:t xml:space="preserve">las </w:t>
      </w:r>
      <w:r w:rsidR="003D1FAB" w:rsidRPr="00965A0B">
        <w:rPr>
          <w:rFonts w:ascii="Arial" w:hAnsi="Arial" w:cs="Arial"/>
          <w:color w:val="000000"/>
          <w:sz w:val="22"/>
          <w:szCs w:val="22"/>
        </w:rPr>
        <w:t xml:space="preserve">suscripciones </w:t>
      </w:r>
      <w:r w:rsidR="00E313EB" w:rsidRPr="00965A0B">
        <w:rPr>
          <w:rFonts w:ascii="Arial" w:hAnsi="Arial" w:cs="Arial"/>
          <w:color w:val="000000"/>
          <w:sz w:val="22"/>
          <w:szCs w:val="22"/>
        </w:rPr>
        <w:t>a periódicos</w:t>
      </w:r>
      <w:r w:rsidR="00DB74FB">
        <w:rPr>
          <w:rFonts w:ascii="Arial" w:hAnsi="Arial" w:cs="Arial"/>
          <w:color w:val="000000"/>
          <w:sz w:val="22"/>
          <w:szCs w:val="22"/>
        </w:rPr>
        <w:t xml:space="preserve">, </w:t>
      </w:r>
      <w:r w:rsidR="00E313EB" w:rsidRPr="00965A0B">
        <w:rPr>
          <w:rFonts w:ascii="Arial" w:hAnsi="Arial" w:cs="Arial"/>
          <w:color w:val="000000"/>
          <w:sz w:val="22"/>
          <w:szCs w:val="22"/>
        </w:rPr>
        <w:t>bases de datos</w:t>
      </w:r>
      <w:r w:rsidR="00DB74FB">
        <w:rPr>
          <w:rFonts w:ascii="Arial" w:hAnsi="Arial" w:cs="Arial"/>
          <w:color w:val="000000"/>
          <w:sz w:val="22"/>
          <w:szCs w:val="22"/>
        </w:rPr>
        <w:t xml:space="preserve"> y licencias</w:t>
      </w:r>
      <w:r w:rsidR="00E313EB" w:rsidRPr="00965A0B">
        <w:rPr>
          <w:rFonts w:ascii="Arial" w:hAnsi="Arial" w:cs="Arial"/>
          <w:color w:val="000000"/>
          <w:sz w:val="22"/>
          <w:szCs w:val="22"/>
        </w:rPr>
        <w:t xml:space="preserve"> </w:t>
      </w:r>
      <w:r w:rsidR="003D1FAB" w:rsidRPr="00965A0B">
        <w:rPr>
          <w:rFonts w:ascii="Arial" w:hAnsi="Arial" w:cs="Arial"/>
          <w:color w:val="000000"/>
          <w:sz w:val="22"/>
          <w:szCs w:val="22"/>
        </w:rPr>
        <w:t>antes mencionadas</w:t>
      </w:r>
      <w:r w:rsidRPr="00965A0B">
        <w:rPr>
          <w:rFonts w:ascii="Arial" w:hAnsi="Arial" w:cs="Arial"/>
          <w:color w:val="000000"/>
          <w:sz w:val="22"/>
          <w:szCs w:val="22"/>
        </w:rPr>
        <w:t>,</w:t>
      </w:r>
      <w:r w:rsidR="009D1A10" w:rsidRPr="00965A0B">
        <w:rPr>
          <w:rFonts w:ascii="Arial" w:hAnsi="Arial" w:cs="Arial"/>
          <w:color w:val="000000"/>
          <w:sz w:val="22"/>
          <w:szCs w:val="22"/>
        </w:rPr>
        <w:t xml:space="preserve"> acorde con los lin</w:t>
      </w:r>
      <w:r w:rsidR="004A1CDB" w:rsidRPr="00965A0B">
        <w:rPr>
          <w:rFonts w:ascii="Arial" w:hAnsi="Arial" w:cs="Arial"/>
          <w:color w:val="000000"/>
          <w:sz w:val="22"/>
          <w:szCs w:val="22"/>
        </w:rPr>
        <w:t>e</w:t>
      </w:r>
      <w:r w:rsidR="009D1A10" w:rsidRPr="00965A0B">
        <w:rPr>
          <w:rFonts w:ascii="Arial" w:hAnsi="Arial" w:cs="Arial"/>
          <w:color w:val="000000"/>
          <w:sz w:val="22"/>
          <w:szCs w:val="22"/>
        </w:rPr>
        <w:t xml:space="preserve">amientos dados en la </w:t>
      </w:r>
      <w:r w:rsidR="003E09E8" w:rsidRPr="00965A0B">
        <w:rPr>
          <w:rFonts w:ascii="Arial" w:hAnsi="Arial" w:cs="Arial"/>
          <w:color w:val="000000"/>
          <w:sz w:val="22"/>
          <w:szCs w:val="22"/>
        </w:rPr>
        <w:t>Ley.</w:t>
      </w:r>
      <w:r w:rsidR="00B30488" w:rsidRPr="00965A0B">
        <w:rPr>
          <w:rFonts w:ascii="Arial" w:hAnsi="Arial" w:cs="Arial"/>
          <w:color w:val="000000"/>
          <w:sz w:val="22"/>
          <w:szCs w:val="22"/>
        </w:rPr>
        <w:t xml:space="preserve"> </w:t>
      </w:r>
    </w:p>
    <w:p w14:paraId="7DDFC7B2" w14:textId="30C28AF9" w:rsidR="00640F84" w:rsidRPr="00CA48AF" w:rsidRDefault="00640F84" w:rsidP="00F22358">
      <w:pPr>
        <w:jc w:val="both"/>
        <w:rPr>
          <w:rFonts w:ascii="Arial" w:hAnsi="Arial" w:cs="Arial"/>
          <w:color w:val="000000"/>
          <w:sz w:val="22"/>
          <w:szCs w:val="22"/>
          <w:highlight w:val="yellow"/>
        </w:rPr>
      </w:pPr>
    </w:p>
    <w:p w14:paraId="325A3F56" w14:textId="77777777" w:rsidR="00640F84" w:rsidRPr="006C7E17" w:rsidRDefault="00640F84" w:rsidP="00F22358">
      <w:pPr>
        <w:jc w:val="both"/>
        <w:rPr>
          <w:rFonts w:ascii="Arial" w:hAnsi="Arial" w:cs="Arial"/>
          <w:color w:val="000000"/>
          <w:sz w:val="22"/>
          <w:szCs w:val="22"/>
        </w:rPr>
      </w:pPr>
    </w:p>
    <w:p w14:paraId="77AC06E1" w14:textId="166BB39B" w:rsidR="00B20E93" w:rsidRPr="006C7E17" w:rsidRDefault="00B20E93" w:rsidP="00D90499">
      <w:pPr>
        <w:pStyle w:val="Prrafodelista"/>
        <w:numPr>
          <w:ilvl w:val="0"/>
          <w:numId w:val="12"/>
        </w:numPr>
        <w:rPr>
          <w:rFonts w:ascii="Arial" w:hAnsi="Arial" w:cs="Arial"/>
          <w:b/>
          <w:bCs/>
          <w:color w:val="000000" w:themeColor="text1"/>
        </w:rPr>
      </w:pPr>
      <w:r w:rsidRPr="006C7E17">
        <w:rPr>
          <w:rFonts w:ascii="Arial" w:hAnsi="Arial" w:cs="Arial"/>
          <w:b/>
          <w:bCs/>
          <w:color w:val="000000" w:themeColor="text1"/>
        </w:rPr>
        <w:t>AUSTERIDAD EN EVENTOS Y REGALOS CORPORATIVOS</w:t>
      </w:r>
    </w:p>
    <w:p w14:paraId="3AF310A1" w14:textId="4A07E8A3" w:rsidR="000A5E6A" w:rsidRPr="006C7E17" w:rsidRDefault="000A5E6A" w:rsidP="003D456A">
      <w:pPr>
        <w:jc w:val="both"/>
        <w:rPr>
          <w:rFonts w:ascii="Arial" w:hAnsi="Arial" w:cs="Arial"/>
          <w:color w:val="000000"/>
        </w:rPr>
      </w:pPr>
    </w:p>
    <w:p w14:paraId="2C74A17D" w14:textId="32717853" w:rsidR="00B20E93" w:rsidRPr="006C7E17" w:rsidRDefault="002A16C5" w:rsidP="003D456A">
      <w:pPr>
        <w:jc w:val="both"/>
        <w:rPr>
          <w:rFonts w:ascii="Arial" w:hAnsi="Arial" w:cs="Arial"/>
          <w:color w:val="000000" w:themeColor="text1"/>
          <w:sz w:val="22"/>
          <w:szCs w:val="22"/>
        </w:rPr>
      </w:pPr>
      <w:r w:rsidRPr="006C7E17">
        <w:rPr>
          <w:rFonts w:ascii="Arial" w:hAnsi="Arial" w:cs="Arial"/>
          <w:color w:val="000000" w:themeColor="text1"/>
          <w:sz w:val="22"/>
          <w:szCs w:val="22"/>
        </w:rPr>
        <w:t>Conforme a la Directiva Presidencial 09 de 2018</w:t>
      </w:r>
      <w:r w:rsidR="008D40BD" w:rsidRPr="006C7E17">
        <w:rPr>
          <w:rFonts w:ascii="Arial" w:hAnsi="Arial" w:cs="Arial"/>
          <w:color w:val="000000" w:themeColor="text1"/>
          <w:sz w:val="22"/>
          <w:szCs w:val="22"/>
        </w:rPr>
        <w:t xml:space="preserve"> y el Decreto 1009 de 2020, se establecieron </w:t>
      </w:r>
      <w:r w:rsidRPr="006C7E17">
        <w:rPr>
          <w:rFonts w:ascii="Arial" w:hAnsi="Arial" w:cs="Arial"/>
          <w:color w:val="000000" w:themeColor="text1"/>
          <w:sz w:val="22"/>
          <w:szCs w:val="22"/>
        </w:rPr>
        <w:t>l</w:t>
      </w:r>
      <w:r w:rsidR="008D40BD" w:rsidRPr="006C7E17">
        <w:rPr>
          <w:rFonts w:ascii="Arial" w:hAnsi="Arial" w:cs="Arial"/>
          <w:color w:val="000000" w:themeColor="text1"/>
          <w:sz w:val="22"/>
          <w:szCs w:val="22"/>
        </w:rPr>
        <w:t>as siguientes directrices</w:t>
      </w:r>
      <w:r w:rsidRPr="006C7E17">
        <w:rPr>
          <w:rFonts w:ascii="Arial" w:hAnsi="Arial" w:cs="Arial"/>
          <w:color w:val="000000" w:themeColor="text1"/>
          <w:sz w:val="22"/>
          <w:szCs w:val="22"/>
        </w:rPr>
        <w:t xml:space="preserve">: </w:t>
      </w:r>
    </w:p>
    <w:p w14:paraId="4D9BFED9" w14:textId="748CACC3" w:rsidR="002A16C5" w:rsidRPr="006C7E17" w:rsidRDefault="002A16C5" w:rsidP="003D456A">
      <w:pPr>
        <w:jc w:val="both"/>
        <w:rPr>
          <w:rFonts w:ascii="Arial" w:hAnsi="Arial" w:cs="Arial"/>
          <w:color w:val="000000" w:themeColor="text1"/>
          <w:sz w:val="22"/>
          <w:szCs w:val="22"/>
        </w:rPr>
      </w:pPr>
    </w:p>
    <w:p w14:paraId="681F1463" w14:textId="69EB7ADA" w:rsidR="002A16C5" w:rsidRPr="006C7E17" w:rsidRDefault="002A16C5" w:rsidP="003D456A">
      <w:pPr>
        <w:pStyle w:val="Prrafodelista"/>
        <w:numPr>
          <w:ilvl w:val="0"/>
          <w:numId w:val="36"/>
        </w:numPr>
        <w:ind w:left="360"/>
        <w:contextualSpacing w:val="0"/>
        <w:rPr>
          <w:rFonts w:ascii="Arial" w:hAnsi="Arial" w:cs="Arial"/>
          <w:color w:val="000000" w:themeColor="text1"/>
          <w:sz w:val="22"/>
          <w:szCs w:val="22"/>
        </w:rPr>
      </w:pPr>
      <w:r w:rsidRPr="006C7E17">
        <w:rPr>
          <w:rFonts w:ascii="Arial" w:hAnsi="Arial" w:cs="Arial"/>
          <w:color w:val="000000" w:themeColor="text1"/>
          <w:sz w:val="22"/>
          <w:szCs w:val="22"/>
        </w:rPr>
        <w:t>Está prohibida la realización de recepciones, fiestas, agasajos o conmemoraciones de las entidades con cargo a los recursos del Tesoro Nacional (…).</w:t>
      </w:r>
    </w:p>
    <w:p w14:paraId="3307E1D7" w14:textId="506FB83E" w:rsidR="002A16C5" w:rsidRPr="006C7E17" w:rsidRDefault="002A16C5" w:rsidP="003D456A">
      <w:pPr>
        <w:jc w:val="both"/>
        <w:rPr>
          <w:rFonts w:ascii="Arial" w:hAnsi="Arial" w:cs="Arial"/>
          <w:color w:val="000000" w:themeColor="text1"/>
          <w:sz w:val="22"/>
          <w:szCs w:val="22"/>
        </w:rPr>
      </w:pPr>
    </w:p>
    <w:p w14:paraId="68FBF2C5" w14:textId="7659755D" w:rsidR="002A16C5" w:rsidRPr="006C7E17" w:rsidRDefault="002A16C5" w:rsidP="003D456A">
      <w:pPr>
        <w:pStyle w:val="Prrafodelista"/>
        <w:numPr>
          <w:ilvl w:val="0"/>
          <w:numId w:val="36"/>
        </w:numPr>
        <w:ind w:left="360"/>
        <w:contextualSpacing w:val="0"/>
        <w:rPr>
          <w:rFonts w:ascii="Arial" w:hAnsi="Arial" w:cs="Arial"/>
          <w:color w:val="000000" w:themeColor="text1"/>
          <w:sz w:val="22"/>
          <w:szCs w:val="22"/>
        </w:rPr>
      </w:pPr>
      <w:r w:rsidRPr="006C7E17">
        <w:rPr>
          <w:rFonts w:ascii="Arial" w:hAnsi="Arial" w:cs="Arial"/>
          <w:color w:val="000000" w:themeColor="text1"/>
          <w:sz w:val="22"/>
          <w:szCs w:val="22"/>
        </w:rPr>
        <w:t xml:space="preserve">No se financiarán regalos corporativos ni artículos promocionales o de mercadeo por parte de las entidades de la rama ejecutiva del orden nacional, salvo el caso de las empresas públicas que compitan con empresas del sector privado.  </w:t>
      </w:r>
    </w:p>
    <w:p w14:paraId="442C68E3" w14:textId="76C0B776" w:rsidR="002A16C5" w:rsidRPr="006C7E17" w:rsidRDefault="002A16C5" w:rsidP="003D456A">
      <w:pPr>
        <w:jc w:val="both"/>
        <w:rPr>
          <w:rFonts w:ascii="Arial" w:hAnsi="Arial" w:cs="Arial"/>
          <w:color w:val="000000" w:themeColor="text1"/>
          <w:sz w:val="22"/>
          <w:szCs w:val="22"/>
        </w:rPr>
      </w:pPr>
    </w:p>
    <w:p w14:paraId="576E096D" w14:textId="5C026D80" w:rsidR="002A16C5" w:rsidRPr="006C7E17" w:rsidRDefault="004D7A27" w:rsidP="003D456A">
      <w:pPr>
        <w:jc w:val="both"/>
        <w:rPr>
          <w:rFonts w:ascii="Arial" w:hAnsi="Arial" w:cs="Arial"/>
          <w:color w:val="000000" w:themeColor="text1"/>
          <w:sz w:val="22"/>
          <w:szCs w:val="22"/>
        </w:rPr>
      </w:pPr>
      <w:r w:rsidRPr="006C7E17">
        <w:rPr>
          <w:rFonts w:ascii="Arial" w:hAnsi="Arial" w:cs="Arial"/>
          <w:color w:val="000000" w:themeColor="text1"/>
          <w:sz w:val="22"/>
          <w:szCs w:val="22"/>
        </w:rPr>
        <w:t>Frente a lo anterior, se consult</w:t>
      </w:r>
      <w:r w:rsidR="005E61F4" w:rsidRPr="006C7E17">
        <w:rPr>
          <w:rFonts w:ascii="Arial" w:hAnsi="Arial" w:cs="Arial"/>
          <w:color w:val="000000" w:themeColor="text1"/>
          <w:sz w:val="22"/>
          <w:szCs w:val="22"/>
        </w:rPr>
        <w:t xml:space="preserve">aron </w:t>
      </w:r>
      <w:r w:rsidRPr="006C7E17">
        <w:rPr>
          <w:rFonts w:ascii="Arial" w:hAnsi="Arial" w:cs="Arial"/>
          <w:color w:val="000000" w:themeColor="text1"/>
          <w:sz w:val="22"/>
          <w:szCs w:val="22"/>
        </w:rPr>
        <w:t xml:space="preserve">las obligaciones registradas en el SIIF para el </w:t>
      </w:r>
      <w:r w:rsidR="006C7E17">
        <w:rPr>
          <w:rFonts w:ascii="Arial" w:hAnsi="Arial" w:cs="Arial"/>
          <w:color w:val="000000" w:themeColor="text1"/>
          <w:sz w:val="22"/>
          <w:szCs w:val="22"/>
        </w:rPr>
        <w:t xml:space="preserve">tercer </w:t>
      </w:r>
      <w:r w:rsidRPr="006C7E17">
        <w:rPr>
          <w:rFonts w:ascii="Arial" w:hAnsi="Arial" w:cs="Arial"/>
          <w:color w:val="000000" w:themeColor="text1"/>
          <w:sz w:val="22"/>
          <w:szCs w:val="22"/>
        </w:rPr>
        <w:t>trimestre de 2020</w:t>
      </w:r>
      <w:r w:rsidR="0044572E">
        <w:rPr>
          <w:rFonts w:ascii="Arial" w:hAnsi="Arial" w:cs="Arial"/>
          <w:color w:val="000000" w:themeColor="text1"/>
          <w:sz w:val="22"/>
          <w:szCs w:val="22"/>
        </w:rPr>
        <w:t>, a</w:t>
      </w:r>
      <w:r w:rsidRPr="006C7E17">
        <w:rPr>
          <w:rFonts w:ascii="Arial" w:hAnsi="Arial" w:cs="Arial"/>
          <w:color w:val="000000" w:themeColor="text1"/>
          <w:sz w:val="22"/>
          <w:szCs w:val="22"/>
        </w:rPr>
        <w:t>sí como, las contrataciones vigentes a 3</w:t>
      </w:r>
      <w:r w:rsidR="00CB7B30" w:rsidRPr="006C7E17">
        <w:rPr>
          <w:rFonts w:ascii="Arial" w:hAnsi="Arial" w:cs="Arial"/>
          <w:color w:val="000000" w:themeColor="text1"/>
          <w:sz w:val="22"/>
          <w:szCs w:val="22"/>
        </w:rPr>
        <w:t>0</w:t>
      </w:r>
      <w:r w:rsidRPr="006C7E17">
        <w:rPr>
          <w:rFonts w:ascii="Arial" w:hAnsi="Arial" w:cs="Arial"/>
          <w:color w:val="000000" w:themeColor="text1"/>
          <w:sz w:val="22"/>
          <w:szCs w:val="22"/>
        </w:rPr>
        <w:t xml:space="preserve"> de </w:t>
      </w:r>
      <w:r w:rsidR="00E912BF">
        <w:rPr>
          <w:rFonts w:ascii="Arial" w:hAnsi="Arial" w:cs="Arial"/>
          <w:color w:val="000000" w:themeColor="text1"/>
          <w:sz w:val="22"/>
          <w:szCs w:val="22"/>
        </w:rPr>
        <w:t xml:space="preserve">septiembre </w:t>
      </w:r>
      <w:r w:rsidRPr="006C7E17">
        <w:rPr>
          <w:rFonts w:ascii="Arial" w:hAnsi="Arial" w:cs="Arial"/>
          <w:color w:val="000000" w:themeColor="text1"/>
          <w:sz w:val="22"/>
          <w:szCs w:val="22"/>
        </w:rPr>
        <w:t>de 2020</w:t>
      </w:r>
      <w:r w:rsidR="0044572E">
        <w:rPr>
          <w:rFonts w:ascii="Arial" w:hAnsi="Arial" w:cs="Arial"/>
          <w:color w:val="000000" w:themeColor="text1"/>
          <w:sz w:val="22"/>
          <w:szCs w:val="22"/>
        </w:rPr>
        <w:t xml:space="preserve"> </w:t>
      </w:r>
      <w:r w:rsidRPr="006C7E17">
        <w:rPr>
          <w:rFonts w:ascii="Arial" w:hAnsi="Arial" w:cs="Arial"/>
          <w:color w:val="000000" w:themeColor="text1"/>
          <w:sz w:val="22"/>
          <w:szCs w:val="22"/>
        </w:rPr>
        <w:t xml:space="preserve">evidenciando que, el Ministerio de Hacienda y Crédito Público en el periodo objeto de verificación </w:t>
      </w:r>
      <w:r w:rsidRPr="006C7E17">
        <w:rPr>
          <w:rFonts w:ascii="Arial" w:hAnsi="Arial" w:cs="Arial"/>
          <w:b/>
          <w:bCs/>
          <w:color w:val="000000" w:themeColor="text1"/>
          <w:sz w:val="22"/>
          <w:szCs w:val="22"/>
        </w:rPr>
        <w:t>no realizó erogaciones</w:t>
      </w:r>
      <w:r w:rsidRPr="006C7E17">
        <w:rPr>
          <w:rFonts w:ascii="Arial" w:hAnsi="Arial" w:cs="Arial"/>
          <w:color w:val="000000" w:themeColor="text1"/>
          <w:sz w:val="22"/>
          <w:szCs w:val="22"/>
        </w:rPr>
        <w:t xml:space="preserve"> del Presupuesto General de la Nación p</w:t>
      </w:r>
      <w:r w:rsidR="005E61F4" w:rsidRPr="006C7E17">
        <w:rPr>
          <w:rFonts w:ascii="Arial" w:hAnsi="Arial" w:cs="Arial"/>
          <w:color w:val="000000" w:themeColor="text1"/>
          <w:sz w:val="22"/>
          <w:szCs w:val="22"/>
        </w:rPr>
        <w:t>ara l</w:t>
      </w:r>
      <w:r w:rsidRPr="006C7E17">
        <w:rPr>
          <w:rFonts w:ascii="Arial" w:hAnsi="Arial" w:cs="Arial"/>
          <w:color w:val="000000" w:themeColor="text1"/>
          <w:sz w:val="22"/>
          <w:szCs w:val="22"/>
        </w:rPr>
        <w:t>os conceptos antes mencionados</w:t>
      </w:r>
      <w:r w:rsidR="005E61F4" w:rsidRPr="006C7E17">
        <w:rPr>
          <w:rFonts w:ascii="Arial" w:hAnsi="Arial" w:cs="Arial"/>
          <w:color w:val="000000" w:themeColor="text1"/>
          <w:sz w:val="22"/>
          <w:szCs w:val="22"/>
        </w:rPr>
        <w:t xml:space="preserve"> según la Directiva 09 de 2018</w:t>
      </w:r>
      <w:r w:rsidR="00CB7B30" w:rsidRPr="006C7E17">
        <w:rPr>
          <w:rFonts w:ascii="Arial" w:hAnsi="Arial" w:cs="Arial"/>
          <w:color w:val="000000" w:themeColor="text1"/>
          <w:sz w:val="22"/>
          <w:szCs w:val="22"/>
        </w:rPr>
        <w:t xml:space="preserve"> y el Decreto 1009 de 2020. </w:t>
      </w:r>
    </w:p>
    <w:p w14:paraId="2E7E50E5" w14:textId="45599664" w:rsidR="00353FD8" w:rsidRPr="006C7E17" w:rsidRDefault="00353FD8" w:rsidP="003D456A">
      <w:pPr>
        <w:jc w:val="both"/>
        <w:rPr>
          <w:rFonts w:ascii="Arial" w:hAnsi="Arial" w:cs="Arial"/>
          <w:color w:val="000000" w:themeColor="text1"/>
          <w:sz w:val="22"/>
          <w:szCs w:val="22"/>
        </w:rPr>
      </w:pPr>
    </w:p>
    <w:p w14:paraId="2EDFB7B1" w14:textId="44769E82" w:rsidR="003D456A" w:rsidRDefault="003D456A" w:rsidP="00F22358">
      <w:pPr>
        <w:jc w:val="both"/>
        <w:rPr>
          <w:rFonts w:ascii="Arial" w:hAnsi="Arial" w:cs="Arial"/>
          <w:color w:val="000000" w:themeColor="text1"/>
          <w:sz w:val="22"/>
          <w:szCs w:val="22"/>
        </w:rPr>
      </w:pPr>
    </w:p>
    <w:p w14:paraId="15ABC3D6" w14:textId="77777777" w:rsidR="003D456A" w:rsidRPr="00603D89" w:rsidRDefault="003D456A" w:rsidP="00F22358">
      <w:pPr>
        <w:jc w:val="both"/>
        <w:rPr>
          <w:rFonts w:ascii="Arial" w:hAnsi="Arial" w:cs="Arial"/>
          <w:color w:val="000000" w:themeColor="text1"/>
          <w:sz w:val="22"/>
          <w:szCs w:val="22"/>
        </w:rPr>
      </w:pPr>
    </w:p>
    <w:p w14:paraId="1B664DD8" w14:textId="79849DB7" w:rsidR="00353FD8" w:rsidRPr="003D456A" w:rsidRDefault="002867B1" w:rsidP="00353FD8">
      <w:pPr>
        <w:pStyle w:val="Prrafodelista"/>
        <w:numPr>
          <w:ilvl w:val="0"/>
          <w:numId w:val="12"/>
        </w:numPr>
        <w:rPr>
          <w:rFonts w:ascii="Arial" w:hAnsi="Arial" w:cs="Arial"/>
          <w:b/>
          <w:bCs/>
          <w:color w:val="000000" w:themeColor="text1"/>
        </w:rPr>
      </w:pPr>
      <w:r w:rsidRPr="00603D89">
        <w:rPr>
          <w:rFonts w:ascii="Arial" w:hAnsi="Arial" w:cs="Arial"/>
          <w:color w:val="000000" w:themeColor="text1"/>
          <w:sz w:val="22"/>
          <w:szCs w:val="22"/>
        </w:rPr>
        <w:t xml:space="preserve"> </w:t>
      </w:r>
      <w:r w:rsidRPr="00603D89">
        <w:rPr>
          <w:rFonts w:ascii="Arial" w:eastAsia="Times New Roman" w:hAnsi="Arial" w:cs="Arial"/>
          <w:b/>
          <w:bCs/>
          <w:color w:val="000000"/>
          <w:lang w:eastAsia="es-CO"/>
        </w:rPr>
        <w:t>MANTENIMIENTO DE BIENES INMUEBLES, CAMBIO DE SEDE Y ADQUISICIÓN DE BIENES MUEBLES</w:t>
      </w:r>
    </w:p>
    <w:p w14:paraId="6FA35F6D" w14:textId="77777777" w:rsidR="003D456A" w:rsidRPr="00603D89" w:rsidRDefault="003D456A" w:rsidP="003D456A">
      <w:pPr>
        <w:pStyle w:val="Prrafodelista"/>
        <w:ind w:left="360"/>
        <w:rPr>
          <w:rFonts w:ascii="Arial" w:hAnsi="Arial" w:cs="Arial"/>
          <w:b/>
          <w:bCs/>
          <w:color w:val="000000" w:themeColor="text1"/>
        </w:rPr>
      </w:pPr>
    </w:p>
    <w:p w14:paraId="685AAFE6" w14:textId="0F708D8F" w:rsidR="00B20E93" w:rsidRPr="00603D89" w:rsidRDefault="00B20E93" w:rsidP="009559F9">
      <w:pPr>
        <w:spacing w:line="168" w:lineRule="auto"/>
        <w:jc w:val="both"/>
        <w:rPr>
          <w:rFonts w:ascii="Arial" w:hAnsi="Arial" w:cs="Arial"/>
          <w:color w:val="000000"/>
        </w:rPr>
      </w:pPr>
    </w:p>
    <w:p w14:paraId="6BF35CF8" w14:textId="6990D2CE" w:rsidR="002867B1" w:rsidRDefault="002867B1" w:rsidP="002867B1">
      <w:pPr>
        <w:jc w:val="both"/>
        <w:rPr>
          <w:rFonts w:ascii="Arial" w:hAnsi="Arial" w:cs="Arial"/>
          <w:color w:val="000000"/>
          <w:sz w:val="22"/>
          <w:szCs w:val="22"/>
        </w:rPr>
      </w:pPr>
      <w:r w:rsidRPr="00603D89">
        <w:rPr>
          <w:rFonts w:ascii="Arial" w:hAnsi="Arial" w:cs="Arial"/>
          <w:color w:val="000000"/>
          <w:sz w:val="22"/>
          <w:szCs w:val="22"/>
        </w:rPr>
        <w:t xml:space="preserve">De conformidad con lo establecido en el artículo 5° del Decreto 1009 de 2020, las entidades que hacen parte del Presupuesto General de la Nación deben abstenerse de los siguientes aspectos, para los cuales la Oficina de Control Interno efectuó el respectivo seguimiento: </w:t>
      </w:r>
    </w:p>
    <w:p w14:paraId="73F40C90" w14:textId="77777777" w:rsidR="003D456A" w:rsidRDefault="003D456A" w:rsidP="002867B1">
      <w:pPr>
        <w:jc w:val="both"/>
        <w:rPr>
          <w:rFonts w:ascii="Arial" w:hAnsi="Arial" w:cs="Arial"/>
          <w:color w:val="000000"/>
          <w:sz w:val="22"/>
          <w:szCs w:val="22"/>
        </w:rPr>
      </w:pPr>
    </w:p>
    <w:p w14:paraId="65A26B26" w14:textId="22F57117" w:rsidR="003D456A" w:rsidRDefault="003D456A" w:rsidP="002867B1">
      <w:pPr>
        <w:jc w:val="both"/>
        <w:rPr>
          <w:rFonts w:ascii="Arial" w:hAnsi="Arial" w:cs="Arial"/>
          <w:color w:val="000000"/>
          <w:sz w:val="22"/>
          <w:szCs w:val="22"/>
        </w:rPr>
      </w:pPr>
    </w:p>
    <w:tbl>
      <w:tblPr>
        <w:tblStyle w:val="Tabladecuadrcula1clara-nfasis1"/>
        <w:tblW w:w="0" w:type="auto"/>
        <w:tblLook w:val="04A0" w:firstRow="1" w:lastRow="0" w:firstColumn="1" w:lastColumn="0" w:noHBand="0" w:noVBand="1"/>
      </w:tblPr>
      <w:tblGrid>
        <w:gridCol w:w="4909"/>
        <w:gridCol w:w="4720"/>
      </w:tblGrid>
      <w:tr w:rsidR="007252AB" w:rsidRPr="00603D89" w14:paraId="071978CD" w14:textId="77777777" w:rsidTr="003D456A">
        <w:trPr>
          <w:cnfStyle w:val="100000000000" w:firstRow="1" w:lastRow="0" w:firstColumn="0" w:lastColumn="0" w:oddVBand="0" w:evenVBand="0" w:oddHBand="0" w:evenHBand="0" w:firstRowFirstColumn="0" w:firstRowLastColumn="0" w:lastRowFirstColumn="0" w:lastRowLastColumn="0"/>
          <w:cantSplit/>
          <w:trHeight w:val="412"/>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3D88E2A5" w14:textId="77777777" w:rsidR="007252AB" w:rsidRPr="00603D89" w:rsidRDefault="007252AB" w:rsidP="003D456A">
            <w:pPr>
              <w:spacing w:before="100" w:after="100"/>
              <w:jc w:val="center"/>
              <w:rPr>
                <w:rFonts w:ascii="Arial" w:hAnsi="Arial" w:cs="Arial"/>
                <w:color w:val="FFFFFF" w:themeColor="background1"/>
                <w:sz w:val="20"/>
                <w:szCs w:val="20"/>
              </w:rPr>
            </w:pPr>
            <w:r w:rsidRPr="00603D89">
              <w:rPr>
                <w:rFonts w:ascii="Arial" w:hAnsi="Arial" w:cs="Arial"/>
                <w:color w:val="FFFFFF" w:themeColor="background1"/>
                <w:sz w:val="20"/>
                <w:szCs w:val="20"/>
              </w:rPr>
              <w:lastRenderedPageBreak/>
              <w:t>Artículo 5° Decreto 1009 de 2020</w:t>
            </w:r>
          </w:p>
        </w:tc>
        <w:tc>
          <w:tcPr>
            <w:tcW w:w="0" w:type="auto"/>
            <w:shd w:val="clear" w:color="auto" w:fill="4F81BD" w:themeFill="accent1"/>
            <w:vAlign w:val="center"/>
            <w:hideMark/>
          </w:tcPr>
          <w:p w14:paraId="476BA158" w14:textId="7F5CBE72" w:rsidR="007252AB" w:rsidRPr="00603D89" w:rsidRDefault="007252AB" w:rsidP="003D456A">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603D89">
              <w:rPr>
                <w:rFonts w:ascii="Arial" w:hAnsi="Arial" w:cs="Arial"/>
                <w:color w:val="FFFFFF" w:themeColor="background1"/>
                <w:sz w:val="20"/>
                <w:szCs w:val="20"/>
              </w:rPr>
              <w:t>Seguimiento Oficina de Control Interno</w:t>
            </w:r>
          </w:p>
        </w:tc>
      </w:tr>
      <w:tr w:rsidR="007252AB" w:rsidRPr="00603D89" w14:paraId="52DCFFE0" w14:textId="77777777" w:rsidTr="003D456A">
        <w:trPr>
          <w:cantSplit/>
          <w:trHeight w:val="718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BFD0D" w14:textId="77777777" w:rsidR="007252AB" w:rsidRPr="00E94B84" w:rsidRDefault="007252AB" w:rsidP="003D456A">
            <w:pPr>
              <w:spacing w:before="100" w:after="100"/>
              <w:jc w:val="both"/>
              <w:rPr>
                <w:rFonts w:ascii="Arial" w:hAnsi="Arial" w:cs="Arial"/>
                <w:color w:val="0F243E" w:themeColor="text2" w:themeShade="80"/>
                <w:sz w:val="20"/>
                <w:szCs w:val="20"/>
              </w:rPr>
            </w:pPr>
            <w:r w:rsidRPr="00E94B84">
              <w:rPr>
                <w:rFonts w:ascii="Arial" w:hAnsi="Arial" w:cs="Arial"/>
                <w:color w:val="0F243E" w:themeColor="text2" w:themeShade="80"/>
                <w:sz w:val="20"/>
                <w:szCs w:val="20"/>
              </w:rPr>
              <w:t>Iniciar cualquier tipo de contratación que implique mejoras suntuarias, tales como el embellecimiento, el ornato o la instalación o adecuación de acabados estéticos de bienes inmuebles.</w:t>
            </w:r>
          </w:p>
        </w:tc>
        <w:tc>
          <w:tcPr>
            <w:tcW w:w="0" w:type="auto"/>
            <w:vAlign w:val="center"/>
            <w:hideMark/>
          </w:tcPr>
          <w:p w14:paraId="1118449B" w14:textId="77777777" w:rsidR="0000293A" w:rsidRPr="00E94B84" w:rsidRDefault="007252AB"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Al respecto, la Subdirección de Servicios informó que los mantenimientos de bienes inmuebles que se han efectuado corresponden a la necesidad de mantener en condiciones de habitabilidad y seguridad del Edificio San Agustín, teniendo en cuenta que, es una sede con más de 80 años de construcción. </w:t>
            </w:r>
          </w:p>
          <w:p w14:paraId="611451C1" w14:textId="77777777" w:rsidR="0000293A" w:rsidRPr="00E94B84" w:rsidRDefault="0000293A"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5A202B8C" w14:textId="463E4717" w:rsidR="00603D89" w:rsidRPr="00E94B84" w:rsidRDefault="000D4A2E"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Con base en la información remitida por la Subdirección de Servicios y el Grupo de Contratos, l</w:t>
            </w:r>
            <w:r w:rsidR="0000293A" w:rsidRPr="00E94B84">
              <w:rPr>
                <w:rFonts w:ascii="Arial" w:hAnsi="Arial" w:cs="Arial"/>
                <w:color w:val="0F243E" w:themeColor="text2" w:themeShade="80"/>
                <w:sz w:val="20"/>
                <w:szCs w:val="20"/>
              </w:rPr>
              <w:t>a</w:t>
            </w:r>
            <w:r w:rsidR="00603D89" w:rsidRPr="00E94B84">
              <w:rPr>
                <w:rFonts w:ascii="Arial" w:hAnsi="Arial" w:cs="Arial"/>
                <w:color w:val="0F243E" w:themeColor="text2" w:themeShade="80"/>
                <w:sz w:val="20"/>
                <w:szCs w:val="20"/>
              </w:rPr>
              <w:t xml:space="preserve"> Oficina de Control Interno </w:t>
            </w:r>
            <w:r w:rsidRPr="00E94B84">
              <w:rPr>
                <w:rFonts w:ascii="Arial" w:hAnsi="Arial" w:cs="Arial"/>
                <w:color w:val="0F243E" w:themeColor="text2" w:themeShade="80"/>
                <w:sz w:val="20"/>
                <w:szCs w:val="20"/>
              </w:rPr>
              <w:t>confirmó q</w:t>
            </w:r>
            <w:r w:rsidR="00603D89" w:rsidRPr="00E94B84">
              <w:rPr>
                <w:rFonts w:ascii="Arial" w:hAnsi="Arial" w:cs="Arial"/>
                <w:color w:val="0F243E" w:themeColor="text2" w:themeShade="80"/>
                <w:sz w:val="20"/>
                <w:szCs w:val="20"/>
              </w:rPr>
              <w:t>ue, con corte a 30 de septiembre de 2020</w:t>
            </w:r>
            <w:r w:rsidRPr="00E94B84">
              <w:rPr>
                <w:rFonts w:ascii="Arial" w:hAnsi="Arial" w:cs="Arial"/>
                <w:color w:val="0F243E" w:themeColor="text2" w:themeShade="80"/>
                <w:sz w:val="20"/>
                <w:szCs w:val="20"/>
              </w:rPr>
              <w:t xml:space="preserve"> </w:t>
            </w:r>
            <w:r w:rsidR="00603D89" w:rsidRPr="00E94B84">
              <w:rPr>
                <w:rFonts w:ascii="Arial" w:hAnsi="Arial" w:cs="Arial"/>
                <w:color w:val="0F243E" w:themeColor="text2" w:themeShade="80"/>
                <w:sz w:val="20"/>
                <w:szCs w:val="20"/>
              </w:rPr>
              <w:t>el MHCP t</w:t>
            </w:r>
            <w:r w:rsidR="0000293A" w:rsidRPr="00E94B84">
              <w:rPr>
                <w:rFonts w:ascii="Arial" w:hAnsi="Arial" w:cs="Arial"/>
                <w:color w:val="0F243E" w:themeColor="text2" w:themeShade="80"/>
                <w:sz w:val="20"/>
                <w:szCs w:val="20"/>
              </w:rPr>
              <w:t>enía</w:t>
            </w:r>
            <w:r w:rsidR="00603D89" w:rsidRPr="00E94B84">
              <w:rPr>
                <w:rFonts w:ascii="Arial" w:hAnsi="Arial" w:cs="Arial"/>
                <w:color w:val="0F243E" w:themeColor="text2" w:themeShade="80"/>
                <w:sz w:val="20"/>
                <w:szCs w:val="20"/>
              </w:rPr>
              <w:t xml:space="preserve"> vigentes 12 contratos que respaldan los mantenimientos </w:t>
            </w:r>
            <w:r w:rsidRPr="00E94B84">
              <w:rPr>
                <w:rFonts w:ascii="Arial" w:hAnsi="Arial" w:cs="Arial"/>
                <w:color w:val="0F243E" w:themeColor="text2" w:themeShade="80"/>
                <w:sz w:val="20"/>
                <w:szCs w:val="20"/>
              </w:rPr>
              <w:t xml:space="preserve">de </w:t>
            </w:r>
            <w:r w:rsidR="00603D89" w:rsidRPr="00E94B84">
              <w:rPr>
                <w:rFonts w:ascii="Arial" w:hAnsi="Arial" w:cs="Arial"/>
                <w:color w:val="0F243E" w:themeColor="text2" w:themeShade="80"/>
                <w:sz w:val="20"/>
                <w:szCs w:val="20"/>
              </w:rPr>
              <w:t>ascensores, plantas eléctricas, subestación eléctrica,  equipo de bombeo, equipo de ventilación, sistema de seguridad física y planta potabilizadora de aguas lluvias</w:t>
            </w:r>
            <w:r w:rsidR="0000293A" w:rsidRPr="00E94B84">
              <w:rPr>
                <w:rFonts w:ascii="Arial" w:hAnsi="Arial" w:cs="Arial"/>
                <w:color w:val="0F243E" w:themeColor="text2" w:themeShade="80"/>
                <w:sz w:val="20"/>
                <w:szCs w:val="20"/>
              </w:rPr>
              <w:t xml:space="preserve">, siendo estos mantenimientos requeridos para el adecuado funcionamiento de las instalaciones de esta Entidad. </w:t>
            </w:r>
            <w:r w:rsidR="00603D89" w:rsidRPr="00E94B84">
              <w:rPr>
                <w:rFonts w:ascii="Arial" w:hAnsi="Arial" w:cs="Arial"/>
                <w:color w:val="0F243E" w:themeColor="text2" w:themeShade="80"/>
                <w:sz w:val="20"/>
                <w:szCs w:val="20"/>
              </w:rPr>
              <w:t xml:space="preserve"> </w:t>
            </w:r>
          </w:p>
          <w:p w14:paraId="5367DED9" w14:textId="72D463A6" w:rsidR="007252AB" w:rsidRPr="00E94B84" w:rsidRDefault="00603D89"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 </w:t>
            </w:r>
            <w:r w:rsidR="007252AB" w:rsidRPr="00E94B84">
              <w:rPr>
                <w:rFonts w:ascii="Arial" w:hAnsi="Arial" w:cs="Arial"/>
                <w:color w:val="0F243E" w:themeColor="text2" w:themeShade="80"/>
                <w:sz w:val="20"/>
                <w:szCs w:val="20"/>
              </w:rPr>
              <w:br/>
              <w:t xml:space="preserve">Así mismo, la Subdirección de Servicios comentó que, como consecuencia de la priorización de recursos de inversión decretada por el Gobierno Nacional con ocasión a la emergencia sanitaria derivada del COVID-19, esta entidad aplazó el proyecto de adecuación del segundo piso del Edificio San Agustín, liberando los recursos que estaban apropiados para tal fin. </w:t>
            </w:r>
          </w:p>
        </w:tc>
      </w:tr>
      <w:tr w:rsidR="007252AB" w:rsidRPr="00603D89" w14:paraId="36D4A5FC" w14:textId="77777777" w:rsidTr="003D456A">
        <w:trPr>
          <w:cantSplit/>
          <w:trHeight w:val="25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3511470" w14:textId="77777777" w:rsidR="007252AB" w:rsidRPr="00E94B84" w:rsidRDefault="007252AB" w:rsidP="003D456A">
            <w:pPr>
              <w:spacing w:before="100" w:after="100"/>
              <w:jc w:val="both"/>
              <w:rPr>
                <w:rFonts w:ascii="Arial" w:hAnsi="Arial" w:cs="Arial"/>
                <w:color w:val="0F243E" w:themeColor="text2" w:themeShade="80"/>
                <w:sz w:val="20"/>
                <w:szCs w:val="20"/>
              </w:rPr>
            </w:pPr>
            <w:r w:rsidRPr="00E94B84">
              <w:rPr>
                <w:rFonts w:ascii="Arial" w:hAnsi="Arial" w:cs="Arial"/>
                <w:color w:val="0F243E" w:themeColor="text2" w:themeShade="80"/>
                <w:sz w:val="20"/>
                <w:szCs w:val="20"/>
              </w:rPr>
              <w:t>Hacer cambio de sede, lo cual únicamente procederá en uno de los siguientes eventos: i) no genere impacto presupuestal; ii) la necesidad haga inaplazable la construcción de la sede; o iii) en el evento que la edificación ocupada ponga en riesgo la seguridad del personal o no brinde las condiciones laborales adecuadas de conformidad con las normas establecidas en el Sistema de Gestión de Seguridad y Salud en el Trabajo - SGSST.</w:t>
            </w:r>
          </w:p>
        </w:tc>
        <w:tc>
          <w:tcPr>
            <w:tcW w:w="0" w:type="auto"/>
            <w:vAlign w:val="center"/>
            <w:hideMark/>
          </w:tcPr>
          <w:p w14:paraId="5889BAEB" w14:textId="49BAEF31" w:rsidR="007252AB" w:rsidRPr="00E94B84" w:rsidRDefault="007252AB"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El Ministerio de Hacienda y Crédito Público cuenta con </w:t>
            </w:r>
            <w:r w:rsidR="00D91AB2" w:rsidRPr="00E94B84">
              <w:rPr>
                <w:rFonts w:ascii="Arial" w:hAnsi="Arial" w:cs="Arial"/>
                <w:color w:val="0F243E" w:themeColor="text2" w:themeShade="80"/>
                <w:sz w:val="20"/>
                <w:szCs w:val="20"/>
              </w:rPr>
              <w:t xml:space="preserve">dos </w:t>
            </w:r>
            <w:r w:rsidR="00E433E0" w:rsidRPr="00E94B84">
              <w:rPr>
                <w:rFonts w:ascii="Arial" w:hAnsi="Arial" w:cs="Arial"/>
                <w:color w:val="0F243E" w:themeColor="text2" w:themeShade="80"/>
                <w:sz w:val="20"/>
                <w:szCs w:val="20"/>
              </w:rPr>
              <w:t xml:space="preserve">sedes propias: </w:t>
            </w:r>
            <w:r w:rsidRPr="00E94B84">
              <w:rPr>
                <w:rFonts w:ascii="Arial" w:hAnsi="Arial" w:cs="Arial"/>
                <w:color w:val="0F243E" w:themeColor="text2" w:themeShade="80"/>
                <w:sz w:val="20"/>
                <w:szCs w:val="20"/>
              </w:rPr>
              <w:t xml:space="preserve">Edificio San Agustín y Casas de Santa Bárbara. Es </w:t>
            </w:r>
            <w:r w:rsidR="00D91AB2" w:rsidRPr="00E94B84">
              <w:rPr>
                <w:rFonts w:ascii="Arial" w:hAnsi="Arial" w:cs="Arial"/>
                <w:color w:val="0F243E" w:themeColor="text2" w:themeShade="80"/>
                <w:sz w:val="20"/>
                <w:szCs w:val="20"/>
              </w:rPr>
              <w:t>importante</w:t>
            </w:r>
            <w:r w:rsidRPr="00E94B84">
              <w:rPr>
                <w:rFonts w:ascii="Arial" w:hAnsi="Arial" w:cs="Arial"/>
                <w:color w:val="0F243E" w:themeColor="text2" w:themeShade="80"/>
                <w:sz w:val="20"/>
                <w:szCs w:val="20"/>
              </w:rPr>
              <w:t xml:space="preserve"> mencionar que, esta Entidad </w:t>
            </w:r>
            <w:r w:rsidR="00D91AB2" w:rsidRPr="00E94B84">
              <w:rPr>
                <w:rFonts w:ascii="Arial" w:hAnsi="Arial" w:cs="Arial"/>
                <w:color w:val="0F243E" w:themeColor="text2" w:themeShade="80"/>
                <w:sz w:val="20"/>
                <w:szCs w:val="20"/>
              </w:rPr>
              <w:t xml:space="preserve">implementó la modalidad de trabajo en casa desde el 20 de marzo de 2020 y se mantuvo durante </w:t>
            </w:r>
            <w:r w:rsidR="0000293A" w:rsidRPr="00E94B84">
              <w:rPr>
                <w:rFonts w:ascii="Arial" w:hAnsi="Arial" w:cs="Arial"/>
                <w:color w:val="0F243E" w:themeColor="text2" w:themeShade="80"/>
                <w:sz w:val="20"/>
                <w:szCs w:val="20"/>
              </w:rPr>
              <w:t xml:space="preserve">tercer </w:t>
            </w:r>
            <w:r w:rsidR="00D91AB2" w:rsidRPr="00E94B84">
              <w:rPr>
                <w:rFonts w:ascii="Arial" w:hAnsi="Arial" w:cs="Arial"/>
                <w:color w:val="0F243E" w:themeColor="text2" w:themeShade="80"/>
                <w:sz w:val="20"/>
                <w:szCs w:val="20"/>
              </w:rPr>
              <w:t>trimestre de 2020</w:t>
            </w:r>
            <w:r w:rsidR="00F80151" w:rsidRPr="00E94B84">
              <w:rPr>
                <w:rFonts w:ascii="Arial" w:hAnsi="Arial" w:cs="Arial"/>
                <w:color w:val="0F243E" w:themeColor="text2" w:themeShade="80"/>
                <w:sz w:val="20"/>
                <w:szCs w:val="20"/>
              </w:rPr>
              <w:t xml:space="preserve"> en virtud de </w:t>
            </w:r>
            <w:r w:rsidR="00926B87" w:rsidRPr="00E94B84">
              <w:rPr>
                <w:rFonts w:ascii="Arial" w:hAnsi="Arial" w:cs="Arial"/>
                <w:color w:val="0F243E" w:themeColor="text2" w:themeShade="80"/>
                <w:sz w:val="20"/>
                <w:szCs w:val="20"/>
              </w:rPr>
              <w:t xml:space="preserve">las </w:t>
            </w:r>
            <w:r w:rsidRPr="00E94B84">
              <w:rPr>
                <w:rFonts w:ascii="Arial" w:hAnsi="Arial" w:cs="Arial"/>
                <w:color w:val="0F243E" w:themeColor="text2" w:themeShade="80"/>
                <w:sz w:val="20"/>
                <w:szCs w:val="20"/>
              </w:rPr>
              <w:t xml:space="preserve">medidas impartidas por el Gobierno Nacional </w:t>
            </w:r>
            <w:r w:rsidR="00F80151" w:rsidRPr="00E94B84">
              <w:rPr>
                <w:rFonts w:ascii="Arial" w:hAnsi="Arial" w:cs="Arial"/>
                <w:color w:val="0F243E" w:themeColor="text2" w:themeShade="80"/>
                <w:sz w:val="20"/>
                <w:szCs w:val="20"/>
              </w:rPr>
              <w:t>con ocasión a la emergencia sanitaria</w:t>
            </w:r>
            <w:r w:rsidRPr="00E94B84">
              <w:rPr>
                <w:rFonts w:ascii="Arial" w:hAnsi="Arial" w:cs="Arial"/>
                <w:color w:val="0F243E" w:themeColor="text2" w:themeShade="80"/>
                <w:sz w:val="20"/>
                <w:szCs w:val="20"/>
              </w:rPr>
              <w:t xml:space="preserve"> </w:t>
            </w:r>
            <w:r w:rsidR="0035312F" w:rsidRPr="00E94B84">
              <w:rPr>
                <w:rFonts w:ascii="Arial" w:hAnsi="Arial" w:cs="Arial"/>
                <w:color w:val="0F243E" w:themeColor="text2" w:themeShade="80"/>
                <w:sz w:val="20"/>
                <w:szCs w:val="20"/>
              </w:rPr>
              <w:t xml:space="preserve">generada por el </w:t>
            </w:r>
            <w:r w:rsidRPr="00E94B84">
              <w:rPr>
                <w:rFonts w:ascii="Arial" w:hAnsi="Arial" w:cs="Arial"/>
                <w:color w:val="0F243E" w:themeColor="text2" w:themeShade="80"/>
                <w:sz w:val="20"/>
                <w:szCs w:val="20"/>
              </w:rPr>
              <w:t>COVID-19</w:t>
            </w:r>
            <w:r w:rsidR="00926B87" w:rsidRPr="00E94B84">
              <w:rPr>
                <w:rFonts w:ascii="Arial" w:hAnsi="Arial" w:cs="Arial"/>
                <w:color w:val="0F243E" w:themeColor="text2" w:themeShade="80"/>
                <w:sz w:val="20"/>
                <w:szCs w:val="20"/>
              </w:rPr>
              <w:t>.</w:t>
            </w:r>
            <w:r w:rsidRPr="00E94B84">
              <w:rPr>
                <w:rFonts w:ascii="Arial" w:hAnsi="Arial" w:cs="Arial"/>
                <w:color w:val="0F243E" w:themeColor="text2" w:themeShade="80"/>
                <w:sz w:val="20"/>
                <w:szCs w:val="20"/>
              </w:rPr>
              <w:t xml:space="preserve"> </w:t>
            </w:r>
          </w:p>
        </w:tc>
      </w:tr>
      <w:tr w:rsidR="007252AB" w:rsidRPr="00CA48AF" w14:paraId="4DD12F97" w14:textId="77777777" w:rsidTr="003D456A">
        <w:trPr>
          <w:cantSplit/>
          <w:trHeight w:val="263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F09283" w14:textId="77777777" w:rsidR="007252AB" w:rsidRPr="00E94B84" w:rsidRDefault="007252AB" w:rsidP="003D456A">
            <w:pPr>
              <w:spacing w:before="100" w:after="100"/>
              <w:jc w:val="both"/>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Adquirir bienes muebles tales como neveras, televisores, equipos audiovisuales, video </w:t>
            </w:r>
            <w:proofErr w:type="spellStart"/>
            <w:r w:rsidRPr="00E94B84">
              <w:rPr>
                <w:rFonts w:ascii="Arial" w:hAnsi="Arial" w:cs="Arial"/>
                <w:color w:val="0F243E" w:themeColor="text2" w:themeShade="80"/>
                <w:sz w:val="20"/>
                <w:szCs w:val="20"/>
              </w:rPr>
              <w:t>beam</w:t>
            </w:r>
            <w:proofErr w:type="spellEnd"/>
            <w:r w:rsidRPr="00E94B84">
              <w:rPr>
                <w:rFonts w:ascii="Arial" w:hAnsi="Arial" w:cs="Arial"/>
                <w:color w:val="0F243E" w:themeColor="text2" w:themeShade="80"/>
                <w:sz w:val="20"/>
                <w:szCs w:val="20"/>
              </w:rPr>
              <w:t xml:space="preserve">, computadores portátiles, tableros interactivos, calentadores, hornos, salvo que los mismos sean necesarios para el normal funcionamiento de las entidades, sus dependencias, o la adecuada prestación del servicio, previa justificación. </w:t>
            </w:r>
          </w:p>
        </w:tc>
        <w:tc>
          <w:tcPr>
            <w:tcW w:w="0" w:type="auto"/>
            <w:vAlign w:val="center"/>
            <w:hideMark/>
          </w:tcPr>
          <w:p w14:paraId="26315687" w14:textId="39972C6B" w:rsidR="007252AB" w:rsidRPr="00E94B84" w:rsidRDefault="007252AB" w:rsidP="003D456A">
            <w:pPr>
              <w:spacing w:before="100"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De acuerdo con la revisión al Plan Anual de Adquisiciones de la vigencia 2020 del Ministerio de Hacienda y Crédito Público, no contempló la adquisición de bienes a los que hace referencia el presente artículo. De igual forma, se consult</w:t>
            </w:r>
            <w:r w:rsidR="00833331" w:rsidRPr="00E94B84">
              <w:rPr>
                <w:rFonts w:ascii="Arial" w:hAnsi="Arial" w:cs="Arial"/>
                <w:color w:val="0F243E" w:themeColor="text2" w:themeShade="80"/>
                <w:sz w:val="20"/>
                <w:szCs w:val="20"/>
              </w:rPr>
              <w:t>aron</w:t>
            </w:r>
            <w:r w:rsidRPr="00E94B84">
              <w:rPr>
                <w:rFonts w:ascii="Arial" w:hAnsi="Arial" w:cs="Arial"/>
                <w:color w:val="0F243E" w:themeColor="text2" w:themeShade="80"/>
                <w:sz w:val="20"/>
                <w:szCs w:val="20"/>
              </w:rPr>
              <w:t xml:space="preserve"> la</w:t>
            </w:r>
            <w:r w:rsidR="00833331" w:rsidRPr="00E94B84">
              <w:rPr>
                <w:rFonts w:ascii="Arial" w:hAnsi="Arial" w:cs="Arial"/>
                <w:color w:val="0F243E" w:themeColor="text2" w:themeShade="80"/>
                <w:sz w:val="20"/>
                <w:szCs w:val="20"/>
              </w:rPr>
              <w:t>s</w:t>
            </w:r>
            <w:r w:rsidRPr="00E94B84">
              <w:rPr>
                <w:rFonts w:ascii="Arial" w:hAnsi="Arial" w:cs="Arial"/>
                <w:color w:val="0F243E" w:themeColor="text2" w:themeShade="80"/>
                <w:sz w:val="20"/>
                <w:szCs w:val="20"/>
              </w:rPr>
              <w:t xml:space="preserve"> obligaciones registradas en el SIIF durante el </w:t>
            </w:r>
            <w:r w:rsidR="0000293A" w:rsidRPr="00E94B84">
              <w:rPr>
                <w:rFonts w:ascii="Arial" w:hAnsi="Arial" w:cs="Arial"/>
                <w:color w:val="0F243E" w:themeColor="text2" w:themeShade="80"/>
                <w:sz w:val="20"/>
                <w:szCs w:val="20"/>
              </w:rPr>
              <w:t>tercer trimestre</w:t>
            </w:r>
            <w:r w:rsidRPr="00E94B84">
              <w:rPr>
                <w:rFonts w:ascii="Arial" w:hAnsi="Arial" w:cs="Arial"/>
                <w:color w:val="0F243E" w:themeColor="text2" w:themeShade="80"/>
                <w:sz w:val="20"/>
                <w:szCs w:val="20"/>
              </w:rPr>
              <w:t xml:space="preserve"> de 2020, constatando que, no se </w:t>
            </w:r>
            <w:r w:rsidR="00743E09" w:rsidRPr="00E94B84">
              <w:rPr>
                <w:rFonts w:ascii="Arial" w:hAnsi="Arial" w:cs="Arial"/>
                <w:color w:val="0F243E" w:themeColor="text2" w:themeShade="80"/>
                <w:sz w:val="20"/>
                <w:szCs w:val="20"/>
              </w:rPr>
              <w:t>efectuaron</w:t>
            </w:r>
            <w:r w:rsidRPr="00E94B84">
              <w:rPr>
                <w:rFonts w:ascii="Arial" w:hAnsi="Arial" w:cs="Arial"/>
                <w:color w:val="0F243E" w:themeColor="text2" w:themeShade="80"/>
                <w:sz w:val="20"/>
                <w:szCs w:val="20"/>
              </w:rPr>
              <w:t xml:space="preserve"> gastos por</w:t>
            </w:r>
            <w:r w:rsidR="00770B9F" w:rsidRPr="00E94B84">
              <w:rPr>
                <w:rFonts w:ascii="Arial" w:hAnsi="Arial" w:cs="Arial"/>
                <w:color w:val="0F243E" w:themeColor="text2" w:themeShade="80"/>
                <w:sz w:val="20"/>
                <w:szCs w:val="20"/>
              </w:rPr>
              <w:t xml:space="preserve"> adquisición de </w:t>
            </w:r>
            <w:r w:rsidRPr="00E94B84">
              <w:rPr>
                <w:rFonts w:ascii="Arial" w:hAnsi="Arial" w:cs="Arial"/>
                <w:color w:val="0F243E" w:themeColor="text2" w:themeShade="80"/>
                <w:sz w:val="20"/>
                <w:szCs w:val="20"/>
              </w:rPr>
              <w:t xml:space="preserve">bienes muebles que indica el artículo 5° del Decreto 1009 de 2020. </w:t>
            </w:r>
          </w:p>
        </w:tc>
      </w:tr>
    </w:tbl>
    <w:p w14:paraId="26D5CEAA" w14:textId="77777777" w:rsidR="006C7E17" w:rsidRPr="00CA48AF" w:rsidRDefault="006C7E17" w:rsidP="002867B1">
      <w:pPr>
        <w:jc w:val="both"/>
        <w:rPr>
          <w:rFonts w:ascii="Arial" w:hAnsi="Arial" w:cs="Arial"/>
          <w:color w:val="000000"/>
          <w:sz w:val="22"/>
          <w:szCs w:val="22"/>
          <w:highlight w:val="yellow"/>
        </w:rPr>
      </w:pPr>
    </w:p>
    <w:p w14:paraId="16444FF9" w14:textId="498AEAD2" w:rsidR="006F5242" w:rsidRPr="00CF472C" w:rsidRDefault="006F5242" w:rsidP="00D90499">
      <w:pPr>
        <w:pStyle w:val="Prrafodelista"/>
        <w:numPr>
          <w:ilvl w:val="0"/>
          <w:numId w:val="12"/>
        </w:numPr>
        <w:contextualSpacing w:val="0"/>
        <w:rPr>
          <w:rFonts w:ascii="Arial" w:hAnsi="Arial" w:cs="Arial"/>
          <w:color w:val="000000" w:themeColor="text1"/>
        </w:rPr>
      </w:pPr>
      <w:r w:rsidRPr="00CF472C">
        <w:rPr>
          <w:rFonts w:ascii="Arial" w:hAnsi="Arial" w:cs="Arial"/>
          <w:b/>
          <w:color w:val="000000" w:themeColor="text1"/>
        </w:rPr>
        <w:lastRenderedPageBreak/>
        <w:t xml:space="preserve">SOSTENIBLIDAD AMBIENTAL </w:t>
      </w:r>
    </w:p>
    <w:p w14:paraId="275393A5" w14:textId="77777777" w:rsidR="003D0275" w:rsidRPr="00CF472C" w:rsidRDefault="003D0275" w:rsidP="003D0275">
      <w:pPr>
        <w:pStyle w:val="Prrafodelista"/>
        <w:ind w:left="0"/>
        <w:contextualSpacing w:val="0"/>
        <w:rPr>
          <w:rFonts w:ascii="Arial" w:hAnsi="Arial" w:cs="Arial"/>
          <w:color w:val="000000" w:themeColor="text1"/>
          <w:sz w:val="22"/>
          <w:szCs w:val="22"/>
        </w:rPr>
      </w:pPr>
    </w:p>
    <w:p w14:paraId="62892455" w14:textId="12A793BE" w:rsidR="00050061" w:rsidRPr="00CF472C" w:rsidRDefault="008B116A" w:rsidP="00023DBB">
      <w:pPr>
        <w:pStyle w:val="Prrafodelista"/>
        <w:ind w:left="0"/>
        <w:contextualSpacing w:val="0"/>
        <w:rPr>
          <w:rFonts w:ascii="Arial" w:hAnsi="Arial" w:cs="Arial"/>
          <w:color w:val="000000" w:themeColor="text1"/>
          <w:sz w:val="22"/>
          <w:szCs w:val="22"/>
        </w:rPr>
      </w:pPr>
      <w:r w:rsidRPr="00CF472C">
        <w:rPr>
          <w:rFonts w:ascii="Arial" w:hAnsi="Arial" w:cs="Arial"/>
          <w:color w:val="000000" w:themeColor="text1"/>
          <w:sz w:val="22"/>
          <w:szCs w:val="22"/>
        </w:rPr>
        <w:t>D</w:t>
      </w:r>
      <w:r w:rsidR="00023DBB" w:rsidRPr="00CF472C">
        <w:rPr>
          <w:rFonts w:ascii="Arial" w:hAnsi="Arial" w:cs="Arial"/>
          <w:color w:val="000000" w:themeColor="text1"/>
          <w:sz w:val="22"/>
          <w:szCs w:val="22"/>
        </w:rPr>
        <w:t xml:space="preserve">e acuerdo </w:t>
      </w:r>
      <w:r w:rsidR="004F2916" w:rsidRPr="00CF472C">
        <w:rPr>
          <w:rFonts w:ascii="Arial" w:hAnsi="Arial" w:cs="Arial"/>
          <w:color w:val="000000" w:themeColor="text1"/>
          <w:sz w:val="22"/>
          <w:szCs w:val="22"/>
        </w:rPr>
        <w:t xml:space="preserve">con </w:t>
      </w:r>
      <w:r w:rsidRPr="00CF472C">
        <w:rPr>
          <w:rFonts w:ascii="Arial" w:hAnsi="Arial" w:cs="Arial"/>
          <w:color w:val="000000" w:themeColor="text1"/>
          <w:sz w:val="22"/>
          <w:szCs w:val="22"/>
        </w:rPr>
        <w:t>lo señalado</w:t>
      </w:r>
      <w:r w:rsidR="00023DBB" w:rsidRPr="00CF472C">
        <w:rPr>
          <w:rFonts w:ascii="Arial" w:hAnsi="Arial" w:cs="Arial"/>
          <w:color w:val="000000" w:themeColor="text1"/>
          <w:sz w:val="22"/>
          <w:szCs w:val="22"/>
        </w:rPr>
        <w:t xml:space="preserve"> en el numeral 9 de </w:t>
      </w:r>
      <w:r w:rsidRPr="00CF472C">
        <w:rPr>
          <w:rFonts w:ascii="Arial" w:hAnsi="Arial" w:cs="Arial"/>
          <w:color w:val="000000" w:themeColor="text1"/>
          <w:sz w:val="22"/>
          <w:szCs w:val="22"/>
        </w:rPr>
        <w:t>la Directiva Presidencial 09 de 2018</w:t>
      </w:r>
      <w:r w:rsidR="00697E5D" w:rsidRPr="00CF472C">
        <w:rPr>
          <w:rFonts w:ascii="Arial" w:hAnsi="Arial" w:cs="Arial"/>
          <w:color w:val="000000" w:themeColor="text1"/>
          <w:sz w:val="22"/>
          <w:szCs w:val="22"/>
        </w:rPr>
        <w:t xml:space="preserve"> y el Decreto 1009 de 2020, las</w:t>
      </w:r>
      <w:r w:rsidRPr="00CF472C">
        <w:rPr>
          <w:rFonts w:ascii="Arial" w:hAnsi="Arial" w:cs="Arial"/>
          <w:color w:val="000000" w:themeColor="text1"/>
          <w:sz w:val="22"/>
          <w:szCs w:val="22"/>
        </w:rPr>
        <w:t xml:space="preserve"> entidades en el marco de la austeridad del gasto deberán </w:t>
      </w:r>
      <w:r w:rsidR="00023DBB" w:rsidRPr="00CF472C">
        <w:rPr>
          <w:rFonts w:ascii="Arial" w:hAnsi="Arial" w:cs="Arial"/>
          <w:color w:val="000000" w:themeColor="text1"/>
          <w:sz w:val="22"/>
          <w:szCs w:val="22"/>
        </w:rPr>
        <w:t xml:space="preserve">desarrollar actividades que estén encaminadas a un ahorro en el servicio de energía y el servicio de acueducto, así como, medidas que fomenten </w:t>
      </w:r>
      <w:r w:rsidR="00394BA5" w:rsidRPr="00CF472C">
        <w:rPr>
          <w:rFonts w:ascii="Arial" w:hAnsi="Arial" w:cs="Arial"/>
          <w:color w:val="000000" w:themeColor="text1"/>
          <w:sz w:val="22"/>
          <w:szCs w:val="22"/>
        </w:rPr>
        <w:t xml:space="preserve">el uso de medios de transportes </w:t>
      </w:r>
      <w:r w:rsidR="00023DBB" w:rsidRPr="00CF472C">
        <w:rPr>
          <w:rFonts w:ascii="Arial" w:hAnsi="Arial" w:cs="Arial"/>
          <w:color w:val="000000" w:themeColor="text1"/>
          <w:sz w:val="22"/>
          <w:szCs w:val="22"/>
        </w:rPr>
        <w:t>ambientalmente sostenibles</w:t>
      </w:r>
      <w:r w:rsidR="00394BA5" w:rsidRPr="00CF472C">
        <w:rPr>
          <w:rFonts w:ascii="Arial" w:hAnsi="Arial" w:cs="Arial"/>
          <w:color w:val="000000" w:themeColor="text1"/>
          <w:sz w:val="22"/>
          <w:szCs w:val="22"/>
        </w:rPr>
        <w:t xml:space="preserve">. </w:t>
      </w:r>
      <w:r w:rsidR="003C6A37" w:rsidRPr="00CF472C">
        <w:rPr>
          <w:rFonts w:ascii="Arial" w:hAnsi="Arial" w:cs="Arial"/>
          <w:color w:val="000000" w:themeColor="text1"/>
          <w:sz w:val="22"/>
          <w:szCs w:val="22"/>
        </w:rPr>
        <w:t xml:space="preserve">Por lo anterior, se solicitó a la Subdirección de Servicios informar las acciones efectuadas durante el </w:t>
      </w:r>
      <w:r w:rsidR="004D61E2">
        <w:rPr>
          <w:rFonts w:ascii="Arial" w:hAnsi="Arial" w:cs="Arial"/>
          <w:color w:val="000000" w:themeColor="text1"/>
          <w:sz w:val="22"/>
          <w:szCs w:val="22"/>
        </w:rPr>
        <w:t xml:space="preserve">tercer </w:t>
      </w:r>
      <w:r w:rsidR="004D61E2" w:rsidRPr="00CF472C">
        <w:rPr>
          <w:rFonts w:ascii="Arial" w:hAnsi="Arial" w:cs="Arial"/>
          <w:color w:val="000000" w:themeColor="text1"/>
          <w:sz w:val="22"/>
          <w:szCs w:val="22"/>
        </w:rPr>
        <w:t>trimestre</w:t>
      </w:r>
      <w:r w:rsidR="003C6A37" w:rsidRPr="00CF472C">
        <w:rPr>
          <w:rFonts w:ascii="Arial" w:hAnsi="Arial" w:cs="Arial"/>
          <w:color w:val="000000" w:themeColor="text1"/>
          <w:sz w:val="22"/>
          <w:szCs w:val="22"/>
        </w:rPr>
        <w:t xml:space="preserve"> de 20</w:t>
      </w:r>
      <w:r w:rsidR="009942CF" w:rsidRPr="00CF472C">
        <w:rPr>
          <w:rFonts w:ascii="Arial" w:hAnsi="Arial" w:cs="Arial"/>
          <w:color w:val="000000" w:themeColor="text1"/>
          <w:sz w:val="22"/>
          <w:szCs w:val="22"/>
        </w:rPr>
        <w:t>20</w:t>
      </w:r>
      <w:r w:rsidR="002D4094" w:rsidRPr="00CF472C">
        <w:rPr>
          <w:rFonts w:ascii="Arial" w:hAnsi="Arial" w:cs="Arial"/>
          <w:color w:val="000000" w:themeColor="text1"/>
          <w:sz w:val="22"/>
          <w:szCs w:val="22"/>
        </w:rPr>
        <w:t xml:space="preserve">. </w:t>
      </w:r>
      <w:r w:rsidR="003C6A37" w:rsidRPr="00CF472C">
        <w:rPr>
          <w:rFonts w:ascii="Arial" w:hAnsi="Arial" w:cs="Arial"/>
          <w:color w:val="000000" w:themeColor="text1"/>
          <w:sz w:val="22"/>
          <w:szCs w:val="22"/>
        </w:rPr>
        <w:t xml:space="preserve">Al respecto </w:t>
      </w:r>
      <w:r w:rsidR="002D4094" w:rsidRPr="00CF472C">
        <w:rPr>
          <w:rFonts w:ascii="Arial" w:hAnsi="Arial" w:cs="Arial"/>
          <w:color w:val="000000" w:themeColor="text1"/>
          <w:sz w:val="22"/>
          <w:szCs w:val="22"/>
        </w:rPr>
        <w:t xml:space="preserve">dicha </w:t>
      </w:r>
      <w:r w:rsidR="003C6A37" w:rsidRPr="00CF472C">
        <w:rPr>
          <w:rFonts w:ascii="Arial" w:hAnsi="Arial" w:cs="Arial"/>
          <w:color w:val="000000" w:themeColor="text1"/>
          <w:sz w:val="22"/>
          <w:szCs w:val="22"/>
        </w:rPr>
        <w:t xml:space="preserve">Subdirección reportó lo siguiente: </w:t>
      </w:r>
    </w:p>
    <w:p w14:paraId="2E4D098B" w14:textId="5C73D417" w:rsidR="0051045B" w:rsidRPr="00CA48AF" w:rsidRDefault="0051045B" w:rsidP="00023DBB">
      <w:pPr>
        <w:pStyle w:val="Prrafodelista"/>
        <w:ind w:left="0"/>
        <w:contextualSpacing w:val="0"/>
        <w:rPr>
          <w:rFonts w:ascii="Arial" w:hAnsi="Arial" w:cs="Arial"/>
          <w:color w:val="000000"/>
          <w:sz w:val="22"/>
          <w:szCs w:val="22"/>
          <w:highlight w:val="yellow"/>
        </w:rPr>
      </w:pPr>
    </w:p>
    <w:tbl>
      <w:tblPr>
        <w:tblStyle w:val="Tabladecuadrcula1clara-nfasis1"/>
        <w:tblW w:w="0" w:type="auto"/>
        <w:tblLayout w:type="fixed"/>
        <w:tblLook w:val="04A0" w:firstRow="1" w:lastRow="0" w:firstColumn="1" w:lastColumn="0" w:noHBand="0" w:noVBand="1"/>
      </w:tblPr>
      <w:tblGrid>
        <w:gridCol w:w="3397"/>
        <w:gridCol w:w="6096"/>
      </w:tblGrid>
      <w:tr w:rsidR="00353FD8" w:rsidRPr="00CF472C" w14:paraId="145B5551" w14:textId="77777777" w:rsidTr="007B24CD">
        <w:trPr>
          <w:cnfStyle w:val="100000000000" w:firstRow="1" w:lastRow="0" w:firstColumn="0" w:lastColumn="0" w:oddVBand="0" w:evenVBand="0" w:oddHBand="0" w:evenHBand="0" w:firstRowFirstColumn="0" w:firstRowLastColumn="0" w:lastRowFirstColumn="0" w:lastRowLastColumn="0"/>
          <w:cantSplit/>
          <w:trHeight w:val="670"/>
          <w:tblHeader/>
        </w:trPr>
        <w:tc>
          <w:tcPr>
            <w:cnfStyle w:val="001000000000" w:firstRow="0" w:lastRow="0" w:firstColumn="1" w:lastColumn="0" w:oddVBand="0" w:evenVBand="0" w:oddHBand="0" w:evenHBand="0" w:firstRowFirstColumn="0" w:firstRowLastColumn="0" w:lastRowFirstColumn="0" w:lastRowLastColumn="0"/>
            <w:tcW w:w="3397" w:type="dxa"/>
            <w:shd w:val="clear" w:color="auto" w:fill="4F81BD" w:themeFill="accent1"/>
            <w:vAlign w:val="center"/>
            <w:hideMark/>
          </w:tcPr>
          <w:p w14:paraId="433E4F9C" w14:textId="77777777" w:rsidR="00353FD8" w:rsidRPr="00CF472C" w:rsidRDefault="00353FD8" w:rsidP="003D456A">
            <w:pPr>
              <w:spacing w:before="120" w:after="120"/>
              <w:jc w:val="center"/>
              <w:rPr>
                <w:rFonts w:ascii="Arial" w:hAnsi="Arial" w:cs="Arial"/>
                <w:color w:val="FFFFFF" w:themeColor="background1"/>
                <w:sz w:val="20"/>
                <w:szCs w:val="20"/>
              </w:rPr>
            </w:pPr>
            <w:r w:rsidRPr="00CF472C">
              <w:rPr>
                <w:rFonts w:ascii="Arial" w:hAnsi="Arial" w:cs="Arial"/>
                <w:color w:val="FFFFFF" w:themeColor="background1"/>
                <w:sz w:val="20"/>
                <w:szCs w:val="20"/>
              </w:rPr>
              <w:t xml:space="preserve">Sostenibilidad Ambiental </w:t>
            </w:r>
          </w:p>
        </w:tc>
        <w:tc>
          <w:tcPr>
            <w:tcW w:w="6096" w:type="dxa"/>
            <w:shd w:val="clear" w:color="auto" w:fill="4F81BD" w:themeFill="accent1"/>
            <w:vAlign w:val="center"/>
            <w:hideMark/>
          </w:tcPr>
          <w:p w14:paraId="4880E844" w14:textId="77777777" w:rsidR="00353FD8" w:rsidRPr="00CF472C" w:rsidRDefault="00353FD8" w:rsidP="003D456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CF472C">
              <w:rPr>
                <w:rFonts w:ascii="Arial" w:hAnsi="Arial" w:cs="Arial"/>
                <w:color w:val="FFFFFF" w:themeColor="background1"/>
                <w:sz w:val="20"/>
                <w:szCs w:val="20"/>
              </w:rPr>
              <w:t>Acciones Desarrolladas</w:t>
            </w:r>
          </w:p>
        </w:tc>
      </w:tr>
      <w:tr w:rsidR="00CF472C" w:rsidRPr="00CF472C" w14:paraId="1137BFE9" w14:textId="77777777" w:rsidTr="007B24CD">
        <w:trPr>
          <w:cantSplit/>
          <w:trHeight w:val="3665"/>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A5B48F6" w14:textId="609CC71E" w:rsidR="00CF472C" w:rsidRPr="00CF472C" w:rsidRDefault="00CF472C" w:rsidP="003D456A">
            <w:pPr>
              <w:spacing w:before="120" w:after="120"/>
              <w:jc w:val="both"/>
              <w:rPr>
                <w:rFonts w:ascii="Arial" w:hAnsi="Arial" w:cs="Arial"/>
                <w:color w:val="0F243E" w:themeColor="text2" w:themeShade="80"/>
                <w:sz w:val="20"/>
                <w:szCs w:val="20"/>
              </w:rPr>
            </w:pPr>
            <w:r w:rsidRPr="00CF472C">
              <w:rPr>
                <w:rFonts w:ascii="Arial" w:hAnsi="Arial" w:cs="Arial"/>
                <w:color w:val="0F243E" w:themeColor="text2" w:themeShade="80"/>
                <w:sz w:val="20"/>
                <w:szCs w:val="20"/>
              </w:rPr>
              <w:t>Implementar sistemas de reciclaje de aguas y consumo mínimo de agua e instalaciones.</w:t>
            </w:r>
            <w:r w:rsidRPr="00CF472C">
              <w:rPr>
                <w:rFonts w:ascii="Arial" w:hAnsi="Arial" w:cs="Arial"/>
                <w:color w:val="0F243E" w:themeColor="text2" w:themeShade="80"/>
                <w:sz w:val="20"/>
                <w:szCs w:val="20"/>
                <w:lang w:eastAsia="en-US"/>
              </w:rPr>
              <w:t xml:space="preserve"> </w:t>
            </w:r>
          </w:p>
        </w:tc>
        <w:tc>
          <w:tcPr>
            <w:tcW w:w="6096" w:type="dxa"/>
            <w:noWrap/>
            <w:vAlign w:val="center"/>
          </w:tcPr>
          <w:p w14:paraId="4228CF92" w14:textId="77A2622F"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En principio cabe destacar que, si bien </w:t>
            </w:r>
            <w:r w:rsidR="00931FCF" w:rsidRPr="00E94B84">
              <w:rPr>
                <w:rFonts w:ascii="Arial" w:hAnsi="Arial" w:cs="Arial"/>
                <w:color w:val="0F243E" w:themeColor="text2" w:themeShade="80"/>
                <w:sz w:val="20"/>
                <w:szCs w:val="20"/>
              </w:rPr>
              <w:t xml:space="preserve">mantuvo </w:t>
            </w:r>
            <w:r w:rsidRPr="00E94B84">
              <w:rPr>
                <w:rFonts w:ascii="Arial" w:hAnsi="Arial" w:cs="Arial"/>
                <w:color w:val="0F243E" w:themeColor="text2" w:themeShade="80"/>
                <w:sz w:val="20"/>
                <w:szCs w:val="20"/>
              </w:rPr>
              <w:t>la modalidad de trabajo en casa en virtud de la Emergencia Económica, Social y Ecológica derivada del COVID-19, durante el tercer trimestre de 2020 se continuaron con las rutinas programadas de manera mensual para identificar daños y fugas. Lo anterior, para evitar el gasto y desperdicio del recurso hídrico dentro del MHCP. Como resultado de lo anterior, se realizaron 47 revisiones de manera oportuna durante dicho periodo. </w:t>
            </w:r>
          </w:p>
          <w:p w14:paraId="1B0B07D2" w14:textId="5B3BF6B5"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br/>
              <w:t>De la misma forma, durante el tercer trimestre de 2020 la planta potabilizadora de agua lluvia logro tratar 61 m3, con una frecuencia de funcionamiento de 2 a 3 veces por semana, esta fue almacenada y utilizada para riego de jardines. </w:t>
            </w:r>
          </w:p>
        </w:tc>
      </w:tr>
      <w:tr w:rsidR="00CF472C" w:rsidRPr="00CF472C" w14:paraId="26B39907" w14:textId="77777777" w:rsidTr="007B24CD">
        <w:trPr>
          <w:cantSplit/>
          <w:trHeight w:val="2815"/>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6A7AB43A" w14:textId="582E0BCE" w:rsidR="00CF472C" w:rsidRPr="00CF472C" w:rsidRDefault="00CF472C" w:rsidP="003D456A">
            <w:pPr>
              <w:spacing w:before="120" w:after="120"/>
              <w:jc w:val="both"/>
              <w:rPr>
                <w:rFonts w:ascii="Arial" w:hAnsi="Arial" w:cs="Arial"/>
                <w:color w:val="0F243E" w:themeColor="text2" w:themeShade="80"/>
                <w:sz w:val="20"/>
                <w:szCs w:val="20"/>
              </w:rPr>
            </w:pPr>
            <w:r w:rsidRPr="00CF472C">
              <w:rPr>
                <w:rFonts w:ascii="Arial" w:hAnsi="Arial" w:cs="Arial"/>
                <w:color w:val="0F243E" w:themeColor="text2" w:themeShade="80"/>
                <w:sz w:val="20"/>
                <w:szCs w:val="20"/>
              </w:rPr>
              <w:t>Fomentar l</w:t>
            </w:r>
            <w:r w:rsidRPr="00CF472C">
              <w:rPr>
                <w:rFonts w:ascii="Arial" w:hAnsi="Arial" w:cs="Arial"/>
                <w:color w:val="0F243E" w:themeColor="text2" w:themeShade="80"/>
                <w:sz w:val="20"/>
                <w:szCs w:val="20"/>
                <w:lang w:eastAsia="en-US"/>
              </w:rPr>
              <w:t>a</w:t>
            </w:r>
            <w:r w:rsidRPr="00CF472C">
              <w:rPr>
                <w:rFonts w:ascii="Arial" w:hAnsi="Arial" w:cs="Arial"/>
                <w:color w:val="0F243E" w:themeColor="text2" w:themeShade="80"/>
                <w:sz w:val="20"/>
                <w:szCs w:val="20"/>
              </w:rPr>
              <w:t xml:space="preserve"> cultura de ahorro de agua y energía, a través del establecimiento de programas pedagógicos.</w:t>
            </w:r>
          </w:p>
        </w:tc>
        <w:tc>
          <w:tcPr>
            <w:tcW w:w="6096" w:type="dxa"/>
            <w:noWrap/>
            <w:vAlign w:val="center"/>
          </w:tcPr>
          <w:p w14:paraId="0061101B" w14:textId="33BDD08F"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Para el tercer trimestre del presente año, se realizó la totalidad de publicaciones propuestas con temas encaminados a la sensibilización en ahorro y uso eficiente de agua y energía. Durante el periodo mencionado se realizaron en total 2 publicaciones que guardaron relación con el uso racional de recursos, las cuales se enfocaron en el día interamericano del agua y la conmemoración a la fecha estipulada para el ahorro de energía. </w:t>
            </w:r>
          </w:p>
        </w:tc>
      </w:tr>
      <w:tr w:rsidR="00CF472C" w:rsidRPr="00CF472C" w14:paraId="6FAF7145" w14:textId="77777777" w:rsidTr="003D456A">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1DD1C65D" w14:textId="77777777" w:rsidR="00CF472C" w:rsidRPr="00CF472C" w:rsidRDefault="00CF472C" w:rsidP="003D456A">
            <w:pPr>
              <w:spacing w:before="120" w:after="120"/>
              <w:jc w:val="both"/>
              <w:rPr>
                <w:rFonts w:ascii="Arial" w:hAnsi="Arial" w:cs="Arial"/>
                <w:color w:val="0F243E" w:themeColor="text2" w:themeShade="80"/>
                <w:sz w:val="20"/>
                <w:szCs w:val="20"/>
              </w:rPr>
            </w:pPr>
            <w:r w:rsidRPr="00CF472C">
              <w:rPr>
                <w:rFonts w:ascii="Arial" w:hAnsi="Arial" w:cs="Arial"/>
                <w:color w:val="0F243E" w:themeColor="text2" w:themeShade="80"/>
                <w:sz w:val="20"/>
                <w:szCs w:val="20"/>
              </w:rPr>
              <w:t>Instalar, en cuanto sea posible sistemas de ahorro de energía, temporizadores y demás tecnologías que ayuden al ahorro de recursos.</w:t>
            </w:r>
          </w:p>
        </w:tc>
        <w:tc>
          <w:tcPr>
            <w:tcW w:w="6096" w:type="dxa"/>
            <w:noWrap/>
            <w:vAlign w:val="center"/>
          </w:tcPr>
          <w:p w14:paraId="5BB77925" w14:textId="26745CEA" w:rsidR="00C20803"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El Ministerio de Hacienda y Crédito Público tiene implementado en las 2 sedes (Edificio de San Agustín y Casas de Santa Bárbara)</w:t>
            </w:r>
            <w:r w:rsidR="00931FCF" w:rsidRPr="00E94B84">
              <w:rPr>
                <w:rFonts w:ascii="Arial" w:hAnsi="Arial" w:cs="Arial"/>
                <w:color w:val="0F243E" w:themeColor="text2" w:themeShade="80"/>
                <w:sz w:val="20"/>
                <w:szCs w:val="20"/>
              </w:rPr>
              <w:t>,</w:t>
            </w:r>
            <w:r w:rsidRPr="00E94B84">
              <w:rPr>
                <w:rFonts w:ascii="Arial" w:hAnsi="Arial" w:cs="Arial"/>
                <w:color w:val="0F243E" w:themeColor="text2" w:themeShade="80"/>
                <w:sz w:val="20"/>
                <w:szCs w:val="20"/>
              </w:rPr>
              <w:t xml:space="preserve"> el sistema de ahorradores de agua (temporizadores), tanto en sanitarios como en lavamanos.</w:t>
            </w:r>
          </w:p>
          <w:p w14:paraId="13B3B18F" w14:textId="2ADAF543"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br/>
              <w:t>En cuanto al consumo de energía</w:t>
            </w:r>
            <w:r w:rsidR="00C20803" w:rsidRPr="00E94B84">
              <w:rPr>
                <w:rFonts w:ascii="Arial" w:hAnsi="Arial" w:cs="Arial"/>
                <w:color w:val="0F243E" w:themeColor="text2" w:themeShade="80"/>
                <w:sz w:val="20"/>
                <w:szCs w:val="20"/>
              </w:rPr>
              <w:t>,</w:t>
            </w:r>
            <w:r w:rsidRPr="00E94B84">
              <w:rPr>
                <w:rFonts w:ascii="Arial" w:hAnsi="Arial" w:cs="Arial"/>
                <w:color w:val="0F243E" w:themeColor="text2" w:themeShade="80"/>
                <w:sz w:val="20"/>
                <w:szCs w:val="20"/>
              </w:rPr>
              <w:t xml:space="preserve"> la sede de Casas de Santa Bárbara cuenta con sensores de movimiento para el sistema de luz en zonas puntuales. En la sede de San Agustín se está realizando el cambio progresivo de tubos fluorescentes por luminarias ahorradoras tipo led.  </w:t>
            </w:r>
          </w:p>
        </w:tc>
      </w:tr>
      <w:tr w:rsidR="00CF472C" w:rsidRPr="00CF472C" w14:paraId="247C64B8" w14:textId="77777777" w:rsidTr="003D456A">
        <w:trPr>
          <w:cantSplit/>
          <w:trHeight w:val="4239"/>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4ECA307" w14:textId="77777777" w:rsidR="00CF472C" w:rsidRPr="00CF472C" w:rsidRDefault="00CF472C" w:rsidP="003D456A">
            <w:pPr>
              <w:spacing w:before="120" w:after="120"/>
              <w:jc w:val="both"/>
              <w:rPr>
                <w:rFonts w:ascii="Arial" w:hAnsi="Arial" w:cs="Arial"/>
                <w:color w:val="0F243E" w:themeColor="text2" w:themeShade="80"/>
                <w:sz w:val="20"/>
                <w:szCs w:val="20"/>
              </w:rPr>
            </w:pPr>
            <w:r w:rsidRPr="00CF472C">
              <w:rPr>
                <w:rFonts w:ascii="Arial" w:hAnsi="Arial" w:cs="Arial"/>
                <w:color w:val="0F243E" w:themeColor="text2" w:themeShade="80"/>
                <w:sz w:val="20"/>
                <w:szCs w:val="20"/>
              </w:rPr>
              <w:lastRenderedPageBreak/>
              <w:t>Implementar políticas de reciclaje de elementos de oficina, maximización de vida útil de herramientas de trabajo y reciclaje de tecnología.</w:t>
            </w:r>
          </w:p>
        </w:tc>
        <w:tc>
          <w:tcPr>
            <w:tcW w:w="6096" w:type="dxa"/>
            <w:noWrap/>
            <w:vAlign w:val="center"/>
          </w:tcPr>
          <w:p w14:paraId="6CC64CE3" w14:textId="77777777" w:rsidR="00C20803"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Durante el tercer trimestre de 2020, las rutas de recolección fueron modificadas por el personal de aseo, debido a que la cantidad de residuos disminuyó por la condición de trabajo en casa generado por la pandemia del COVID-19. Por lo tanto, durante dicho periodo se dispuso de 30 días hábiles para la recolección de material reciclable. Cabe destacar que, esta actividad se realizaba de forma diaria y por todos los pisos en ambas sedes. Sin embargo, debido al bajo flujo de personas en la entidad, la cantidad de material se redujo considerablemente y así mismo, las rutas fueron modificadas. Finalmente, se reporta una recolección, transporte y almacenamiento de material reciclable en el centro de acopio, aproximadamente de 131,15 kg.</w:t>
            </w:r>
          </w:p>
          <w:p w14:paraId="353745C5" w14:textId="120D4C26"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br/>
              <w:t xml:space="preserve">Por otro lado, durante este periodo se generaron videos de sensibilización mediante plataformas Powtoon y </w:t>
            </w:r>
            <w:r w:rsidR="0082519B" w:rsidRPr="00E94B84">
              <w:rPr>
                <w:rFonts w:ascii="Arial" w:hAnsi="Arial" w:cs="Arial"/>
                <w:color w:val="0F243E" w:themeColor="text2" w:themeShade="80"/>
                <w:sz w:val="20"/>
                <w:szCs w:val="20"/>
              </w:rPr>
              <w:t>YouTube, relación</w:t>
            </w:r>
            <w:r w:rsidRPr="00E94B84">
              <w:rPr>
                <w:rFonts w:ascii="Arial" w:hAnsi="Arial" w:cs="Arial"/>
                <w:color w:val="0F243E" w:themeColor="text2" w:themeShade="80"/>
                <w:sz w:val="20"/>
                <w:szCs w:val="20"/>
              </w:rPr>
              <w:t xml:space="preserve"> con separación de residuos y aprovechamiento de los mismos dentro del ciclo productivo. Adicionalmente, se llevó a cabo una capacitación por medio de la plataforma TEAMS con el fin de </w:t>
            </w:r>
            <w:r w:rsidR="0082519B" w:rsidRPr="00E94B84">
              <w:rPr>
                <w:rFonts w:ascii="Arial" w:hAnsi="Arial" w:cs="Arial"/>
                <w:color w:val="0F243E" w:themeColor="text2" w:themeShade="80"/>
                <w:sz w:val="20"/>
                <w:szCs w:val="20"/>
              </w:rPr>
              <w:t>socializar</w:t>
            </w:r>
            <w:r w:rsidRPr="00E94B84">
              <w:rPr>
                <w:rFonts w:ascii="Arial" w:hAnsi="Arial" w:cs="Arial"/>
                <w:color w:val="0F243E" w:themeColor="text2" w:themeShade="80"/>
                <w:sz w:val="20"/>
                <w:szCs w:val="20"/>
              </w:rPr>
              <w:t xml:space="preserve"> con los funcionarios el manejo de residuos sólidos y peligrosos. </w:t>
            </w:r>
          </w:p>
        </w:tc>
      </w:tr>
      <w:tr w:rsidR="00CF472C" w:rsidRPr="00CA48AF" w14:paraId="0F3E0127" w14:textId="77777777" w:rsidTr="003D456A">
        <w:trPr>
          <w:cantSplit/>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1CB16A75" w14:textId="77777777" w:rsidR="00CF472C" w:rsidRPr="00CF472C" w:rsidRDefault="00CF472C" w:rsidP="003D456A">
            <w:pPr>
              <w:spacing w:before="120" w:after="120"/>
              <w:jc w:val="both"/>
              <w:rPr>
                <w:rFonts w:ascii="Arial" w:hAnsi="Arial" w:cs="Arial"/>
                <w:color w:val="0F243E" w:themeColor="text2" w:themeShade="80"/>
                <w:sz w:val="20"/>
                <w:szCs w:val="20"/>
              </w:rPr>
            </w:pPr>
            <w:r w:rsidRPr="00CF472C">
              <w:rPr>
                <w:rFonts w:ascii="Arial" w:hAnsi="Arial" w:cs="Arial"/>
                <w:color w:val="0F243E" w:themeColor="text2" w:themeShade="80"/>
                <w:sz w:val="20"/>
                <w:szCs w:val="20"/>
              </w:rPr>
              <w:t xml:space="preserve">Crear programas internos de fomento al uso de vehículos y medios de transporte ambientalmente sostenibles como bicicletas, transporte público, entre otros. </w:t>
            </w:r>
          </w:p>
        </w:tc>
        <w:tc>
          <w:tcPr>
            <w:tcW w:w="6096" w:type="dxa"/>
            <w:noWrap/>
            <w:vAlign w:val="center"/>
          </w:tcPr>
          <w:p w14:paraId="5D4DDDAC" w14:textId="3C4C7CE5" w:rsidR="00CF472C" w:rsidRPr="00E94B84" w:rsidRDefault="00CF472C" w:rsidP="003D456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94B84">
              <w:rPr>
                <w:rFonts w:ascii="Arial" w:hAnsi="Arial" w:cs="Arial"/>
                <w:color w:val="0F243E" w:themeColor="text2" w:themeShade="80"/>
                <w:sz w:val="20"/>
                <w:szCs w:val="20"/>
              </w:rPr>
              <w:t xml:space="preserve">Actualmente, se encuentra en vigencia la política del uso de las bicicletas, la cual se ha publicado regularmente por medio de la intranet, con el fin de incentivar el uso de este medio de transporte. Sin embargo, teniendo en cuenta que en el tercer trimestre del 2020 estaba vigente la modalidad de trabajo en casa la afluencia de personas con bicicleta en los últimos meses ha sido baja.  Adicionalmente, durante el periodo evaluado se han tenido en cuenta las medidas de bioseguridad para el ingreso de dicho medio de transporte a este Ministerio en cumplimiento de las directrices dadas con ocasión al COVID-19. </w:t>
            </w:r>
          </w:p>
        </w:tc>
      </w:tr>
    </w:tbl>
    <w:p w14:paraId="3DCA5394" w14:textId="77777777" w:rsidR="002B61CB" w:rsidRPr="00CA48AF" w:rsidRDefault="002B61CB" w:rsidP="00C77DDE">
      <w:pPr>
        <w:pStyle w:val="Prrafodelista"/>
        <w:ind w:left="0"/>
        <w:contextualSpacing w:val="0"/>
        <w:rPr>
          <w:rFonts w:ascii="Arial" w:hAnsi="Arial" w:cs="Arial"/>
          <w:color w:val="000000"/>
          <w:sz w:val="22"/>
          <w:szCs w:val="22"/>
          <w:highlight w:val="yellow"/>
        </w:rPr>
      </w:pPr>
    </w:p>
    <w:p w14:paraId="6C189C69" w14:textId="6703BF99" w:rsidR="009839DB" w:rsidRPr="004966D7" w:rsidRDefault="009839DB" w:rsidP="00C77DDE">
      <w:pPr>
        <w:pStyle w:val="Prrafodelista"/>
        <w:ind w:left="0"/>
        <w:contextualSpacing w:val="0"/>
        <w:rPr>
          <w:rFonts w:ascii="Arial" w:hAnsi="Arial" w:cs="Arial"/>
          <w:color w:val="000000"/>
          <w:sz w:val="22"/>
          <w:szCs w:val="22"/>
        </w:rPr>
      </w:pPr>
      <w:r w:rsidRPr="004966D7">
        <w:rPr>
          <w:rFonts w:ascii="Arial" w:hAnsi="Arial" w:cs="Arial"/>
          <w:color w:val="000000"/>
          <w:sz w:val="22"/>
          <w:szCs w:val="22"/>
        </w:rPr>
        <w:t xml:space="preserve">Con respecto a lo anterior, se deduce que este Ministerio </w:t>
      </w:r>
      <w:r w:rsidR="00442FB5" w:rsidRPr="004966D7">
        <w:rPr>
          <w:rFonts w:ascii="Arial" w:hAnsi="Arial" w:cs="Arial"/>
          <w:color w:val="000000"/>
          <w:sz w:val="22"/>
          <w:szCs w:val="22"/>
        </w:rPr>
        <w:t xml:space="preserve">ha venido </w:t>
      </w:r>
      <w:r w:rsidRPr="004966D7">
        <w:rPr>
          <w:rFonts w:ascii="Arial" w:hAnsi="Arial" w:cs="Arial"/>
          <w:color w:val="000000"/>
          <w:sz w:val="22"/>
          <w:szCs w:val="22"/>
        </w:rPr>
        <w:t xml:space="preserve">adelantando acciones en aras de lograr una sostenibilidad ambiental y dando cumplimiento de forma razonable a </w:t>
      </w:r>
      <w:r w:rsidR="00EB7BE9" w:rsidRPr="004966D7">
        <w:rPr>
          <w:rFonts w:ascii="Arial" w:hAnsi="Arial" w:cs="Arial"/>
          <w:color w:val="000000"/>
          <w:sz w:val="22"/>
          <w:szCs w:val="22"/>
        </w:rPr>
        <w:t xml:space="preserve">la directriz establecida </w:t>
      </w:r>
      <w:r w:rsidR="002761BA" w:rsidRPr="004966D7">
        <w:rPr>
          <w:rFonts w:ascii="Arial" w:hAnsi="Arial" w:cs="Arial"/>
          <w:color w:val="000000"/>
          <w:sz w:val="22"/>
          <w:szCs w:val="22"/>
        </w:rPr>
        <w:t xml:space="preserve">en el marco de la austeridad del gasto. </w:t>
      </w:r>
    </w:p>
    <w:p w14:paraId="26DCD0E9" w14:textId="77777777" w:rsidR="009839DB" w:rsidRPr="004966D7" w:rsidRDefault="009839DB" w:rsidP="00C77DDE">
      <w:pPr>
        <w:pStyle w:val="Prrafodelista"/>
        <w:ind w:left="0"/>
        <w:contextualSpacing w:val="0"/>
        <w:rPr>
          <w:rFonts w:ascii="Arial" w:hAnsi="Arial" w:cs="Arial"/>
          <w:color w:val="000000"/>
          <w:sz w:val="22"/>
          <w:szCs w:val="22"/>
        </w:rPr>
      </w:pPr>
    </w:p>
    <w:p w14:paraId="2CE6C386" w14:textId="6B2C12F1" w:rsidR="00023DBB" w:rsidRPr="004966D7" w:rsidRDefault="002639FA" w:rsidP="00C77DDE">
      <w:pPr>
        <w:pStyle w:val="Prrafodelista"/>
        <w:ind w:left="0"/>
        <w:contextualSpacing w:val="0"/>
        <w:rPr>
          <w:rFonts w:ascii="Arial" w:hAnsi="Arial" w:cs="Arial"/>
          <w:color w:val="000000"/>
          <w:sz w:val="22"/>
          <w:szCs w:val="22"/>
        </w:rPr>
      </w:pPr>
      <w:r w:rsidRPr="004966D7">
        <w:rPr>
          <w:rFonts w:ascii="Arial" w:hAnsi="Arial" w:cs="Arial"/>
          <w:color w:val="000000"/>
          <w:sz w:val="22"/>
          <w:szCs w:val="22"/>
        </w:rPr>
        <w:t xml:space="preserve">A </w:t>
      </w:r>
      <w:r w:rsidR="00B26A5C" w:rsidRPr="004966D7">
        <w:rPr>
          <w:rFonts w:ascii="Arial" w:hAnsi="Arial" w:cs="Arial"/>
          <w:color w:val="000000"/>
          <w:sz w:val="22"/>
          <w:szCs w:val="22"/>
        </w:rPr>
        <w:t>continuación,</w:t>
      </w:r>
      <w:r w:rsidRPr="004966D7">
        <w:rPr>
          <w:rFonts w:ascii="Arial" w:hAnsi="Arial" w:cs="Arial"/>
          <w:color w:val="000000"/>
          <w:sz w:val="22"/>
          <w:szCs w:val="22"/>
        </w:rPr>
        <w:t xml:space="preserve"> se presenta</w:t>
      </w:r>
      <w:r w:rsidR="000C4A9C" w:rsidRPr="004966D7">
        <w:rPr>
          <w:rFonts w:ascii="Arial" w:hAnsi="Arial" w:cs="Arial"/>
          <w:color w:val="000000"/>
          <w:sz w:val="22"/>
          <w:szCs w:val="22"/>
        </w:rPr>
        <w:t xml:space="preserve">n </w:t>
      </w:r>
      <w:r w:rsidR="00B26A5C" w:rsidRPr="004966D7">
        <w:rPr>
          <w:rFonts w:ascii="Arial" w:hAnsi="Arial" w:cs="Arial"/>
          <w:color w:val="000000"/>
          <w:sz w:val="22"/>
          <w:szCs w:val="22"/>
        </w:rPr>
        <w:t>los conceptos de energía</w:t>
      </w:r>
      <w:r w:rsidR="00992799" w:rsidRPr="004966D7">
        <w:rPr>
          <w:rFonts w:ascii="Arial" w:hAnsi="Arial" w:cs="Arial"/>
          <w:color w:val="000000"/>
          <w:sz w:val="22"/>
          <w:szCs w:val="22"/>
        </w:rPr>
        <w:t xml:space="preserve">, </w:t>
      </w:r>
      <w:r w:rsidR="00B26A5C" w:rsidRPr="004966D7">
        <w:rPr>
          <w:rFonts w:ascii="Arial" w:hAnsi="Arial" w:cs="Arial"/>
          <w:color w:val="000000"/>
          <w:sz w:val="22"/>
          <w:szCs w:val="22"/>
        </w:rPr>
        <w:t>acueducto</w:t>
      </w:r>
      <w:r w:rsidR="00992799" w:rsidRPr="004966D7">
        <w:rPr>
          <w:rFonts w:ascii="Arial" w:hAnsi="Arial" w:cs="Arial"/>
          <w:color w:val="000000"/>
          <w:sz w:val="22"/>
          <w:szCs w:val="22"/>
        </w:rPr>
        <w:t xml:space="preserve"> y aseo, </w:t>
      </w:r>
      <w:r w:rsidR="00B26A5C" w:rsidRPr="004966D7">
        <w:rPr>
          <w:rFonts w:ascii="Arial" w:hAnsi="Arial" w:cs="Arial"/>
          <w:color w:val="000000"/>
          <w:sz w:val="22"/>
          <w:szCs w:val="22"/>
        </w:rPr>
        <w:t>los cuales</w:t>
      </w:r>
      <w:r w:rsidR="00992799" w:rsidRPr="004966D7">
        <w:rPr>
          <w:rFonts w:ascii="Arial" w:hAnsi="Arial" w:cs="Arial"/>
          <w:color w:val="000000"/>
          <w:sz w:val="22"/>
          <w:szCs w:val="22"/>
        </w:rPr>
        <w:t xml:space="preserve"> </w:t>
      </w:r>
      <w:r w:rsidR="00B26A5C" w:rsidRPr="004966D7">
        <w:rPr>
          <w:rFonts w:ascii="Arial" w:hAnsi="Arial" w:cs="Arial"/>
          <w:color w:val="000000"/>
          <w:sz w:val="22"/>
          <w:szCs w:val="22"/>
        </w:rPr>
        <w:t xml:space="preserve">están incluidos en las medidas de austeridad referentes a la sostenibilidad ambiental.  </w:t>
      </w:r>
      <w:r w:rsidRPr="004966D7">
        <w:rPr>
          <w:rFonts w:ascii="Arial" w:hAnsi="Arial" w:cs="Arial"/>
          <w:color w:val="000000"/>
          <w:sz w:val="22"/>
          <w:szCs w:val="22"/>
        </w:rPr>
        <w:t xml:space="preserve"> </w:t>
      </w:r>
    </w:p>
    <w:p w14:paraId="11600E28" w14:textId="4A765022" w:rsidR="00F93D61" w:rsidRDefault="00F93D61" w:rsidP="00C77DDE">
      <w:pPr>
        <w:rPr>
          <w:rFonts w:ascii="Arial" w:hAnsi="Arial" w:cs="Arial"/>
          <w:b/>
          <w:color w:val="000000"/>
          <w:sz w:val="22"/>
          <w:szCs w:val="22"/>
        </w:rPr>
      </w:pPr>
    </w:p>
    <w:p w14:paraId="17111B45" w14:textId="77777777" w:rsidR="002C20B0" w:rsidRPr="000512C3" w:rsidRDefault="002C20B0" w:rsidP="00C77DDE">
      <w:pPr>
        <w:rPr>
          <w:rFonts w:ascii="Arial" w:hAnsi="Arial" w:cs="Arial"/>
          <w:b/>
          <w:color w:val="000000"/>
          <w:sz w:val="22"/>
          <w:szCs w:val="22"/>
        </w:rPr>
      </w:pPr>
    </w:p>
    <w:p w14:paraId="2BE7BC74" w14:textId="5A85D09F" w:rsidR="00535509" w:rsidRPr="000512C3" w:rsidRDefault="00AD73A3" w:rsidP="00D90499">
      <w:pPr>
        <w:pStyle w:val="Prrafodelista"/>
        <w:numPr>
          <w:ilvl w:val="1"/>
          <w:numId w:val="12"/>
        </w:numPr>
        <w:ind w:left="567" w:hanging="567"/>
        <w:rPr>
          <w:rFonts w:ascii="Arial" w:hAnsi="Arial" w:cs="Arial"/>
          <w:b/>
          <w:color w:val="000000"/>
          <w:sz w:val="22"/>
          <w:szCs w:val="22"/>
        </w:rPr>
      </w:pPr>
      <w:r w:rsidRPr="000512C3">
        <w:rPr>
          <w:rFonts w:ascii="Arial" w:hAnsi="Arial" w:cs="Arial"/>
          <w:b/>
          <w:color w:val="000000"/>
          <w:sz w:val="22"/>
          <w:szCs w:val="22"/>
        </w:rPr>
        <w:t xml:space="preserve"> </w:t>
      </w:r>
      <w:r w:rsidR="00535509" w:rsidRPr="000512C3">
        <w:rPr>
          <w:rFonts w:ascii="Arial" w:hAnsi="Arial" w:cs="Arial"/>
          <w:b/>
          <w:color w:val="000000"/>
          <w:sz w:val="22"/>
          <w:szCs w:val="22"/>
        </w:rPr>
        <w:t>ENERG</w:t>
      </w:r>
      <w:r w:rsidR="00A959FB" w:rsidRPr="000512C3">
        <w:rPr>
          <w:rFonts w:ascii="Arial" w:hAnsi="Arial" w:cs="Arial"/>
          <w:b/>
          <w:color w:val="000000"/>
          <w:sz w:val="22"/>
          <w:szCs w:val="22"/>
        </w:rPr>
        <w:t>Í</w:t>
      </w:r>
      <w:r w:rsidR="00535509" w:rsidRPr="000512C3">
        <w:rPr>
          <w:rFonts w:ascii="Arial" w:hAnsi="Arial" w:cs="Arial"/>
          <w:b/>
          <w:color w:val="000000"/>
          <w:sz w:val="22"/>
          <w:szCs w:val="22"/>
        </w:rPr>
        <w:t>A</w:t>
      </w:r>
    </w:p>
    <w:p w14:paraId="743580A2" w14:textId="77777777" w:rsidR="00A90B93" w:rsidRPr="000512C3" w:rsidRDefault="00A90B93" w:rsidP="00C77DDE">
      <w:pPr>
        <w:pStyle w:val="Prrafodelista"/>
        <w:ind w:left="360"/>
        <w:contextualSpacing w:val="0"/>
        <w:rPr>
          <w:rFonts w:ascii="Arial" w:hAnsi="Arial" w:cs="Arial"/>
          <w:b/>
          <w:color w:val="000000"/>
          <w:sz w:val="22"/>
          <w:szCs w:val="22"/>
        </w:rPr>
      </w:pPr>
    </w:p>
    <w:p w14:paraId="4394C688" w14:textId="483BD8EC" w:rsidR="002B2D1B" w:rsidRDefault="00B93162" w:rsidP="00C77DDE">
      <w:pPr>
        <w:pStyle w:val="Prrafodelista"/>
        <w:ind w:left="0"/>
        <w:contextualSpacing w:val="0"/>
        <w:rPr>
          <w:rFonts w:ascii="Arial" w:hAnsi="Arial" w:cs="Arial"/>
          <w:color w:val="000000"/>
          <w:sz w:val="22"/>
          <w:szCs w:val="22"/>
        </w:rPr>
      </w:pPr>
      <w:r w:rsidRPr="000512C3">
        <w:rPr>
          <w:rFonts w:ascii="Arial" w:hAnsi="Arial" w:cs="Arial"/>
          <w:color w:val="000000"/>
          <w:sz w:val="22"/>
          <w:szCs w:val="22"/>
        </w:rPr>
        <w:t xml:space="preserve">Para este concepto analizado, </w:t>
      </w:r>
      <w:r w:rsidR="00000FCA" w:rsidRPr="000512C3">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0512C3">
        <w:rPr>
          <w:rFonts w:ascii="Arial" w:hAnsi="Arial" w:cs="Arial"/>
          <w:color w:val="000000"/>
          <w:sz w:val="22"/>
          <w:szCs w:val="22"/>
        </w:rPr>
        <w:t xml:space="preserve">4°, </w:t>
      </w:r>
      <w:r w:rsidR="00000FCA" w:rsidRPr="000512C3">
        <w:rPr>
          <w:rFonts w:ascii="Arial" w:hAnsi="Arial" w:cs="Arial"/>
          <w:color w:val="000000"/>
          <w:sz w:val="22"/>
          <w:szCs w:val="22"/>
        </w:rPr>
        <w:t xml:space="preserve">5° y 6°). Por tal razón, la Subdirección de Servicios mediante un </w:t>
      </w:r>
      <w:r w:rsidR="00D57902" w:rsidRPr="000512C3">
        <w:rPr>
          <w:rFonts w:ascii="Arial" w:hAnsi="Arial" w:cs="Arial"/>
          <w:color w:val="000000"/>
          <w:sz w:val="22"/>
          <w:szCs w:val="22"/>
        </w:rPr>
        <w:t xml:space="preserve">ejercicio de </w:t>
      </w:r>
      <w:r w:rsidR="00000FCA" w:rsidRPr="000512C3">
        <w:rPr>
          <w:rFonts w:ascii="Arial" w:hAnsi="Arial" w:cs="Arial"/>
          <w:color w:val="000000"/>
          <w:sz w:val="22"/>
          <w:szCs w:val="22"/>
        </w:rPr>
        <w:t>prorrateo determina el valor que le corresponde a la DIAN por el servicio de energía</w:t>
      </w:r>
      <w:r w:rsidR="002869E9" w:rsidRPr="000512C3">
        <w:rPr>
          <w:rFonts w:ascii="Arial" w:hAnsi="Arial" w:cs="Arial"/>
          <w:color w:val="000000"/>
          <w:sz w:val="22"/>
          <w:szCs w:val="22"/>
        </w:rPr>
        <w:t xml:space="preserve"> y mes a mes envía a dicha entidad el </w:t>
      </w:r>
      <w:r w:rsidR="00431DA7" w:rsidRPr="000512C3">
        <w:rPr>
          <w:rFonts w:ascii="Arial" w:hAnsi="Arial" w:cs="Arial"/>
          <w:color w:val="000000"/>
          <w:sz w:val="22"/>
          <w:szCs w:val="22"/>
        </w:rPr>
        <w:t xml:space="preserve">oficio de </w:t>
      </w:r>
      <w:r w:rsidR="002869E9" w:rsidRPr="000512C3">
        <w:rPr>
          <w:rFonts w:ascii="Arial" w:hAnsi="Arial" w:cs="Arial"/>
          <w:color w:val="000000"/>
          <w:sz w:val="22"/>
          <w:szCs w:val="22"/>
        </w:rPr>
        <w:t xml:space="preserve">solicitud de pago del </w:t>
      </w:r>
      <w:r w:rsidR="004A2CA3" w:rsidRPr="000512C3">
        <w:rPr>
          <w:rFonts w:ascii="Arial" w:hAnsi="Arial" w:cs="Arial"/>
          <w:color w:val="000000"/>
          <w:sz w:val="22"/>
          <w:szCs w:val="22"/>
        </w:rPr>
        <w:t>respectivo v</w:t>
      </w:r>
      <w:r w:rsidR="002869E9" w:rsidRPr="000512C3">
        <w:rPr>
          <w:rFonts w:ascii="Arial" w:hAnsi="Arial" w:cs="Arial"/>
          <w:color w:val="000000"/>
          <w:sz w:val="22"/>
          <w:szCs w:val="22"/>
        </w:rPr>
        <w:t>alor</w:t>
      </w:r>
      <w:r w:rsidR="002026B1" w:rsidRPr="000512C3">
        <w:rPr>
          <w:rFonts w:ascii="Arial" w:hAnsi="Arial" w:cs="Arial"/>
          <w:color w:val="000000"/>
          <w:sz w:val="22"/>
          <w:szCs w:val="22"/>
        </w:rPr>
        <w:t xml:space="preserve">. Lo anterior, se evidenció a través de </w:t>
      </w:r>
      <w:r w:rsidR="0005785C" w:rsidRPr="000512C3">
        <w:rPr>
          <w:rFonts w:ascii="Arial" w:hAnsi="Arial" w:cs="Arial"/>
          <w:color w:val="000000"/>
          <w:sz w:val="22"/>
          <w:szCs w:val="22"/>
        </w:rPr>
        <w:t>las comunicaciones</w:t>
      </w:r>
      <w:r w:rsidR="00D57902" w:rsidRPr="000512C3">
        <w:rPr>
          <w:rFonts w:ascii="Arial" w:hAnsi="Arial" w:cs="Arial"/>
          <w:color w:val="000000"/>
          <w:sz w:val="22"/>
          <w:szCs w:val="22"/>
        </w:rPr>
        <w:t xml:space="preserve"> expedidas por </w:t>
      </w:r>
      <w:r w:rsidR="00992799" w:rsidRPr="000512C3">
        <w:rPr>
          <w:rFonts w:ascii="Arial" w:hAnsi="Arial" w:cs="Arial"/>
          <w:color w:val="000000"/>
          <w:sz w:val="22"/>
          <w:szCs w:val="22"/>
        </w:rPr>
        <w:t xml:space="preserve">dicha </w:t>
      </w:r>
      <w:r w:rsidR="00D57902" w:rsidRPr="000512C3">
        <w:rPr>
          <w:rFonts w:ascii="Arial" w:hAnsi="Arial" w:cs="Arial"/>
          <w:color w:val="000000"/>
          <w:sz w:val="22"/>
          <w:szCs w:val="22"/>
        </w:rPr>
        <w:t>Subdirección</w:t>
      </w:r>
      <w:r w:rsidR="00B63930" w:rsidRPr="000512C3">
        <w:rPr>
          <w:rFonts w:ascii="Arial" w:hAnsi="Arial" w:cs="Arial"/>
          <w:color w:val="000000"/>
          <w:sz w:val="22"/>
          <w:szCs w:val="22"/>
        </w:rPr>
        <w:t xml:space="preserve">, a saber: </w:t>
      </w:r>
    </w:p>
    <w:p w14:paraId="3AFDBBCA" w14:textId="3319F6FF" w:rsidR="00231B89" w:rsidRDefault="00231B89" w:rsidP="00C77DDE">
      <w:pPr>
        <w:pStyle w:val="Prrafodelista"/>
        <w:ind w:left="0"/>
        <w:contextualSpacing w:val="0"/>
        <w:rPr>
          <w:rFonts w:ascii="Arial" w:hAnsi="Arial" w:cs="Arial"/>
          <w:color w:val="000000"/>
          <w:sz w:val="22"/>
          <w:szCs w:val="22"/>
        </w:rPr>
      </w:pPr>
    </w:p>
    <w:tbl>
      <w:tblPr>
        <w:tblStyle w:val="Tabladecuadrcula1clara-nfasis1"/>
        <w:tblW w:w="0" w:type="auto"/>
        <w:tblLook w:val="04A0" w:firstRow="1" w:lastRow="0" w:firstColumn="1" w:lastColumn="0" w:noHBand="0" w:noVBand="1"/>
      </w:tblPr>
      <w:tblGrid>
        <w:gridCol w:w="2059"/>
        <w:gridCol w:w="1571"/>
        <w:gridCol w:w="1217"/>
        <w:gridCol w:w="1628"/>
        <w:gridCol w:w="1759"/>
        <w:gridCol w:w="1395"/>
      </w:tblGrid>
      <w:tr w:rsidR="00A23BCE" w:rsidRPr="000512C3" w14:paraId="268BF813" w14:textId="77777777" w:rsidTr="00231B8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36C3BA12" w14:textId="77777777" w:rsidR="00A23BCE" w:rsidRPr="000512C3" w:rsidRDefault="00A23BCE" w:rsidP="00231B89">
            <w:pPr>
              <w:spacing w:before="100" w:after="100"/>
              <w:jc w:val="center"/>
              <w:rPr>
                <w:rFonts w:ascii="Arial" w:hAnsi="Arial" w:cs="Arial"/>
                <w:color w:val="FFFFFF"/>
                <w:sz w:val="20"/>
                <w:szCs w:val="20"/>
              </w:rPr>
            </w:pPr>
            <w:r w:rsidRPr="000512C3">
              <w:rPr>
                <w:rFonts w:ascii="Arial" w:hAnsi="Arial" w:cs="Arial"/>
                <w:color w:val="FFFFFF"/>
                <w:sz w:val="20"/>
                <w:szCs w:val="20"/>
              </w:rPr>
              <w:lastRenderedPageBreak/>
              <w:t>Concepto</w:t>
            </w:r>
          </w:p>
        </w:tc>
        <w:tc>
          <w:tcPr>
            <w:tcW w:w="0" w:type="auto"/>
            <w:shd w:val="clear" w:color="auto" w:fill="4F81BD" w:themeFill="accent1"/>
            <w:vAlign w:val="center"/>
            <w:hideMark/>
          </w:tcPr>
          <w:p w14:paraId="0DC61265" w14:textId="48B820F7" w:rsidR="00A23BCE" w:rsidRPr="000512C3" w:rsidRDefault="00A23BCE" w:rsidP="00231B89">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512C3">
              <w:rPr>
                <w:rFonts w:ascii="Arial" w:hAnsi="Arial" w:cs="Arial"/>
                <w:color w:val="FFFFFF"/>
                <w:sz w:val="20"/>
                <w:szCs w:val="20"/>
              </w:rPr>
              <w:t>Periodo</w:t>
            </w:r>
            <w:r w:rsidR="000C1992" w:rsidRPr="000512C3">
              <w:rPr>
                <w:rFonts w:ascii="Arial" w:hAnsi="Arial" w:cs="Arial"/>
                <w:color w:val="FFFFFF"/>
                <w:sz w:val="20"/>
                <w:szCs w:val="20"/>
              </w:rPr>
              <w:t xml:space="preserve"> Vigencia 2020</w:t>
            </w:r>
          </w:p>
        </w:tc>
        <w:tc>
          <w:tcPr>
            <w:tcW w:w="0" w:type="auto"/>
            <w:shd w:val="clear" w:color="auto" w:fill="4F81BD" w:themeFill="accent1"/>
            <w:vAlign w:val="center"/>
            <w:hideMark/>
          </w:tcPr>
          <w:p w14:paraId="02BC559B" w14:textId="77777777" w:rsidR="00A23BCE" w:rsidRPr="000512C3" w:rsidRDefault="00A23BCE" w:rsidP="00231B89">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512C3">
              <w:rPr>
                <w:rFonts w:ascii="Arial" w:hAnsi="Arial" w:cs="Arial"/>
                <w:color w:val="FFFFFF"/>
                <w:sz w:val="20"/>
                <w:szCs w:val="20"/>
              </w:rPr>
              <w:t xml:space="preserve">Fecha </w:t>
            </w:r>
          </w:p>
        </w:tc>
        <w:tc>
          <w:tcPr>
            <w:tcW w:w="0" w:type="auto"/>
            <w:shd w:val="clear" w:color="auto" w:fill="4F81BD" w:themeFill="accent1"/>
            <w:vAlign w:val="center"/>
            <w:hideMark/>
          </w:tcPr>
          <w:p w14:paraId="0E2CD588" w14:textId="77777777" w:rsidR="00A23BCE" w:rsidRPr="000512C3" w:rsidRDefault="00A23BCE" w:rsidP="00231B89">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512C3">
              <w:rPr>
                <w:rFonts w:ascii="Arial" w:hAnsi="Arial" w:cs="Arial"/>
                <w:color w:val="FFFFFF"/>
                <w:sz w:val="20"/>
                <w:szCs w:val="20"/>
              </w:rPr>
              <w:t>Radicado</w:t>
            </w:r>
          </w:p>
        </w:tc>
        <w:tc>
          <w:tcPr>
            <w:tcW w:w="0" w:type="auto"/>
            <w:shd w:val="clear" w:color="auto" w:fill="4F81BD" w:themeFill="accent1"/>
            <w:vAlign w:val="center"/>
            <w:hideMark/>
          </w:tcPr>
          <w:p w14:paraId="69087B0D" w14:textId="127A3410" w:rsidR="00A23BCE" w:rsidRPr="000512C3" w:rsidRDefault="00A23BCE" w:rsidP="00231B89">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512C3">
              <w:rPr>
                <w:rFonts w:ascii="Arial" w:hAnsi="Arial" w:cs="Arial"/>
                <w:color w:val="FFFFFF"/>
                <w:sz w:val="20"/>
                <w:szCs w:val="20"/>
              </w:rPr>
              <w:t>Valor a Cobrar – Prorrateo ($)</w:t>
            </w:r>
          </w:p>
        </w:tc>
        <w:tc>
          <w:tcPr>
            <w:tcW w:w="0" w:type="auto"/>
            <w:shd w:val="clear" w:color="auto" w:fill="4F81BD" w:themeFill="accent1"/>
            <w:vAlign w:val="center"/>
            <w:hideMark/>
          </w:tcPr>
          <w:p w14:paraId="05659EDB" w14:textId="77777777" w:rsidR="00A23BCE" w:rsidRPr="000512C3" w:rsidRDefault="00A23BCE" w:rsidP="00231B89">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512C3">
              <w:rPr>
                <w:rFonts w:ascii="Arial" w:hAnsi="Arial" w:cs="Arial"/>
                <w:color w:val="FFFFFF"/>
                <w:sz w:val="20"/>
                <w:szCs w:val="20"/>
              </w:rPr>
              <w:t>Factura</w:t>
            </w:r>
          </w:p>
        </w:tc>
      </w:tr>
      <w:tr w:rsidR="00231B89" w:rsidRPr="000512C3" w14:paraId="2B19C4C4" w14:textId="77777777" w:rsidTr="007B24CD">
        <w:trPr>
          <w:cantSplit/>
          <w:trHeight w:val="71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2B8B370" w14:textId="77777777" w:rsidR="00231B89" w:rsidRPr="000512C3" w:rsidRDefault="00231B89" w:rsidP="00231B89">
            <w:pPr>
              <w:spacing w:before="100" w:after="100"/>
              <w:jc w:val="center"/>
              <w:rPr>
                <w:rFonts w:ascii="Arial" w:hAnsi="Arial" w:cs="Arial"/>
                <w:color w:val="0F243E" w:themeColor="text2" w:themeShade="80"/>
                <w:sz w:val="20"/>
                <w:szCs w:val="20"/>
              </w:rPr>
            </w:pPr>
            <w:r w:rsidRPr="000512C3">
              <w:rPr>
                <w:rFonts w:ascii="Arial" w:hAnsi="Arial" w:cs="Arial"/>
                <w:color w:val="0F243E" w:themeColor="text2" w:themeShade="80"/>
                <w:sz w:val="20"/>
                <w:szCs w:val="20"/>
              </w:rPr>
              <w:t>Servicio de Energía - Edificio San Agustín</w:t>
            </w:r>
          </w:p>
        </w:tc>
        <w:tc>
          <w:tcPr>
            <w:tcW w:w="0" w:type="auto"/>
            <w:vAlign w:val="center"/>
          </w:tcPr>
          <w:p w14:paraId="62C8B4EA" w14:textId="5BFD16A8"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Julio</w:t>
            </w:r>
          </w:p>
        </w:tc>
        <w:tc>
          <w:tcPr>
            <w:tcW w:w="0" w:type="auto"/>
            <w:noWrap/>
            <w:vAlign w:val="center"/>
          </w:tcPr>
          <w:p w14:paraId="48D15E0F" w14:textId="19F92F22"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31/07/2020</w:t>
            </w:r>
          </w:p>
        </w:tc>
        <w:tc>
          <w:tcPr>
            <w:tcW w:w="0" w:type="auto"/>
            <w:noWrap/>
            <w:vAlign w:val="center"/>
          </w:tcPr>
          <w:p w14:paraId="23123241" w14:textId="06234E65"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Helvetica" w:hAnsi="Helvetica" w:cs="Calibri"/>
                <w:color w:val="0F243E" w:themeColor="text2" w:themeShade="80"/>
                <w:sz w:val="20"/>
                <w:szCs w:val="20"/>
              </w:rPr>
              <w:t xml:space="preserve"> 2-2020-035094 </w:t>
            </w:r>
          </w:p>
        </w:tc>
        <w:tc>
          <w:tcPr>
            <w:tcW w:w="0" w:type="auto"/>
            <w:vAlign w:val="center"/>
          </w:tcPr>
          <w:p w14:paraId="0C1EA210" w14:textId="27905E55"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51.560.690</w:t>
            </w:r>
          </w:p>
        </w:tc>
        <w:tc>
          <w:tcPr>
            <w:tcW w:w="0" w:type="auto"/>
            <w:vAlign w:val="center"/>
          </w:tcPr>
          <w:p w14:paraId="0E3BE701" w14:textId="06247FC8"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601414486-6</w:t>
            </w:r>
          </w:p>
        </w:tc>
      </w:tr>
      <w:tr w:rsidR="00231B89" w:rsidRPr="000512C3" w14:paraId="663BFF1E" w14:textId="77777777" w:rsidTr="007B24CD">
        <w:trPr>
          <w:cantSplit/>
          <w:trHeight w:val="70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9E5DE9" w14:textId="77777777" w:rsidR="00231B89" w:rsidRPr="000512C3" w:rsidRDefault="00231B89" w:rsidP="00231B89">
            <w:pPr>
              <w:spacing w:before="100" w:after="100"/>
              <w:rPr>
                <w:rFonts w:ascii="Arial" w:hAnsi="Arial" w:cs="Arial"/>
                <w:color w:val="0F243E" w:themeColor="text2" w:themeShade="80"/>
                <w:sz w:val="20"/>
                <w:szCs w:val="20"/>
              </w:rPr>
            </w:pPr>
          </w:p>
        </w:tc>
        <w:tc>
          <w:tcPr>
            <w:tcW w:w="0" w:type="auto"/>
            <w:vAlign w:val="center"/>
          </w:tcPr>
          <w:p w14:paraId="54856ACA" w14:textId="5296B344"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Agosto</w:t>
            </w:r>
          </w:p>
        </w:tc>
        <w:tc>
          <w:tcPr>
            <w:tcW w:w="0" w:type="auto"/>
            <w:noWrap/>
            <w:vAlign w:val="center"/>
          </w:tcPr>
          <w:p w14:paraId="1D5EBB99" w14:textId="0821F464" w:rsidR="00231B89" w:rsidRPr="00231B89" w:rsidRDefault="00231B89" w:rsidP="00231B89">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1/09/2020</w:t>
            </w:r>
          </w:p>
        </w:tc>
        <w:tc>
          <w:tcPr>
            <w:tcW w:w="0" w:type="auto"/>
            <w:noWrap/>
            <w:vAlign w:val="center"/>
          </w:tcPr>
          <w:p w14:paraId="564FABDB" w14:textId="126DBB94" w:rsidR="00231B89" w:rsidRPr="00231B89" w:rsidRDefault="00231B89" w:rsidP="00231B89">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Helvetica" w:hAnsi="Helvetica" w:cs="Calibri"/>
                <w:color w:val="0F243E" w:themeColor="text2" w:themeShade="80"/>
                <w:sz w:val="20"/>
                <w:szCs w:val="20"/>
              </w:rPr>
              <w:t>2-2020-042613</w:t>
            </w:r>
          </w:p>
        </w:tc>
        <w:tc>
          <w:tcPr>
            <w:tcW w:w="0" w:type="auto"/>
            <w:noWrap/>
            <w:vAlign w:val="center"/>
          </w:tcPr>
          <w:p w14:paraId="4980D124" w14:textId="23227A6C"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49.310.013</w:t>
            </w:r>
          </w:p>
        </w:tc>
        <w:tc>
          <w:tcPr>
            <w:tcW w:w="0" w:type="auto"/>
            <w:noWrap/>
            <w:vAlign w:val="center"/>
          </w:tcPr>
          <w:p w14:paraId="6DE43116" w14:textId="52F64682"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605050514-1</w:t>
            </w:r>
          </w:p>
        </w:tc>
      </w:tr>
      <w:tr w:rsidR="00231B89" w:rsidRPr="00CA48AF" w14:paraId="556A5B6C" w14:textId="77777777" w:rsidTr="007B24CD">
        <w:trPr>
          <w:cantSplit/>
          <w:trHeight w:val="696"/>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B711EB" w14:textId="77777777" w:rsidR="00231B89" w:rsidRPr="000512C3" w:rsidRDefault="00231B89" w:rsidP="00231B89">
            <w:pPr>
              <w:spacing w:before="100" w:after="100"/>
              <w:rPr>
                <w:rFonts w:ascii="Arial" w:hAnsi="Arial" w:cs="Arial"/>
                <w:color w:val="0F243E" w:themeColor="text2" w:themeShade="80"/>
                <w:sz w:val="20"/>
                <w:szCs w:val="20"/>
              </w:rPr>
            </w:pPr>
          </w:p>
        </w:tc>
        <w:tc>
          <w:tcPr>
            <w:tcW w:w="0" w:type="auto"/>
            <w:vAlign w:val="center"/>
          </w:tcPr>
          <w:p w14:paraId="58372D0D" w14:textId="6FF0466F"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Septiembre</w:t>
            </w:r>
          </w:p>
        </w:tc>
        <w:tc>
          <w:tcPr>
            <w:tcW w:w="0" w:type="auto"/>
            <w:vAlign w:val="center"/>
          </w:tcPr>
          <w:p w14:paraId="57C82CE7" w14:textId="59F5B76E"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1/10/2020</w:t>
            </w:r>
          </w:p>
        </w:tc>
        <w:tc>
          <w:tcPr>
            <w:tcW w:w="0" w:type="auto"/>
            <w:noWrap/>
            <w:vAlign w:val="center"/>
          </w:tcPr>
          <w:p w14:paraId="356F8A50" w14:textId="6433C63A"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Helvetica" w:hAnsi="Helvetica" w:cs="Calibri"/>
                <w:color w:val="0F243E" w:themeColor="text2" w:themeShade="80"/>
                <w:sz w:val="20"/>
                <w:szCs w:val="20"/>
              </w:rPr>
              <w:t>2-2020-049612</w:t>
            </w:r>
          </w:p>
        </w:tc>
        <w:tc>
          <w:tcPr>
            <w:tcW w:w="0" w:type="auto"/>
            <w:noWrap/>
            <w:vAlign w:val="center"/>
          </w:tcPr>
          <w:p w14:paraId="1319E439" w14:textId="46E2B6D4"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51.969.845</w:t>
            </w:r>
          </w:p>
        </w:tc>
        <w:tc>
          <w:tcPr>
            <w:tcW w:w="0" w:type="auto"/>
            <w:noWrap/>
            <w:vAlign w:val="center"/>
          </w:tcPr>
          <w:p w14:paraId="63552B48" w14:textId="6F100E61" w:rsidR="00231B89" w:rsidRPr="00231B89" w:rsidRDefault="00231B89" w:rsidP="00231B89">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31B89">
              <w:rPr>
                <w:rFonts w:ascii="Arial" w:hAnsi="Arial" w:cs="Arial"/>
                <w:color w:val="0F243E" w:themeColor="text2" w:themeShade="80"/>
                <w:sz w:val="20"/>
                <w:szCs w:val="20"/>
              </w:rPr>
              <w:t>608590237-0</w:t>
            </w:r>
          </w:p>
        </w:tc>
      </w:tr>
    </w:tbl>
    <w:p w14:paraId="269981BC" w14:textId="77777777" w:rsidR="00695E23" w:rsidRPr="00CA48AF" w:rsidRDefault="00695E23" w:rsidP="007B24CD">
      <w:pPr>
        <w:pStyle w:val="Prrafodelista"/>
        <w:ind w:left="0"/>
        <w:contextualSpacing w:val="0"/>
        <w:rPr>
          <w:rFonts w:ascii="Arial" w:hAnsi="Arial" w:cs="Arial"/>
          <w:color w:val="000000"/>
          <w:sz w:val="22"/>
          <w:szCs w:val="22"/>
          <w:highlight w:val="yellow"/>
        </w:rPr>
      </w:pPr>
    </w:p>
    <w:p w14:paraId="393D0E9F" w14:textId="660389D1" w:rsidR="004A2CA3" w:rsidRPr="00C7012F" w:rsidRDefault="000C1992" w:rsidP="007B24CD">
      <w:pPr>
        <w:pStyle w:val="Prrafodelista"/>
        <w:ind w:left="0"/>
        <w:contextualSpacing w:val="0"/>
        <w:rPr>
          <w:rFonts w:ascii="Arial" w:hAnsi="Arial" w:cs="Arial"/>
          <w:color w:val="000000"/>
          <w:sz w:val="22"/>
          <w:szCs w:val="22"/>
        </w:rPr>
      </w:pPr>
      <w:r w:rsidRPr="00C7012F">
        <w:rPr>
          <w:rFonts w:ascii="Arial" w:hAnsi="Arial" w:cs="Arial"/>
          <w:color w:val="000000"/>
          <w:sz w:val="22"/>
          <w:szCs w:val="22"/>
        </w:rPr>
        <w:t xml:space="preserve">Con base en el listado de reintegros aplicados con corte al </w:t>
      </w:r>
      <w:r w:rsidR="00F7153E" w:rsidRPr="00C7012F">
        <w:rPr>
          <w:rFonts w:ascii="Arial" w:hAnsi="Arial" w:cs="Arial"/>
          <w:color w:val="000000"/>
          <w:sz w:val="22"/>
          <w:szCs w:val="22"/>
        </w:rPr>
        <w:t xml:space="preserve">1 de diciembre </w:t>
      </w:r>
      <w:r w:rsidRPr="00C7012F">
        <w:rPr>
          <w:rFonts w:ascii="Arial" w:hAnsi="Arial" w:cs="Arial"/>
          <w:color w:val="000000"/>
          <w:sz w:val="22"/>
          <w:szCs w:val="22"/>
        </w:rPr>
        <w:t xml:space="preserve">de 2020 remitido por la Subdirección Financiera, se constató que la DIAN realizó los respectivos reintegros correspondientes al pago del servicio de energía del </w:t>
      </w:r>
      <w:r w:rsidR="00F7153E" w:rsidRPr="00C7012F">
        <w:rPr>
          <w:rFonts w:ascii="Arial" w:hAnsi="Arial" w:cs="Arial"/>
          <w:color w:val="000000"/>
          <w:sz w:val="22"/>
          <w:szCs w:val="22"/>
        </w:rPr>
        <w:t xml:space="preserve">tercer </w:t>
      </w:r>
      <w:r w:rsidRPr="00C7012F">
        <w:rPr>
          <w:rFonts w:ascii="Arial" w:hAnsi="Arial" w:cs="Arial"/>
          <w:color w:val="000000"/>
          <w:sz w:val="22"/>
          <w:szCs w:val="22"/>
        </w:rPr>
        <w:t xml:space="preserve">trimestre de 2020. </w:t>
      </w:r>
      <w:r w:rsidR="002869E9" w:rsidRPr="00C7012F">
        <w:rPr>
          <w:rFonts w:ascii="Arial" w:hAnsi="Arial" w:cs="Arial"/>
          <w:color w:val="000000"/>
          <w:sz w:val="22"/>
          <w:szCs w:val="22"/>
        </w:rPr>
        <w:t>Es</w:t>
      </w:r>
      <w:r w:rsidR="00000FCA" w:rsidRPr="00C7012F">
        <w:rPr>
          <w:rFonts w:ascii="Arial" w:hAnsi="Arial" w:cs="Arial"/>
          <w:color w:val="000000"/>
          <w:sz w:val="22"/>
          <w:szCs w:val="22"/>
        </w:rPr>
        <w:t xml:space="preserve"> de aclarar, que este Ministerio tiene establecido como política realizar el pago</w:t>
      </w:r>
      <w:r w:rsidR="002869E9" w:rsidRPr="00C7012F">
        <w:rPr>
          <w:rFonts w:ascii="Arial" w:hAnsi="Arial" w:cs="Arial"/>
          <w:color w:val="000000"/>
          <w:sz w:val="22"/>
          <w:szCs w:val="22"/>
        </w:rPr>
        <w:t xml:space="preserve"> por el valor </w:t>
      </w:r>
      <w:r w:rsidR="00000FCA" w:rsidRPr="00C7012F">
        <w:rPr>
          <w:rFonts w:ascii="Arial" w:hAnsi="Arial" w:cs="Arial"/>
          <w:color w:val="000000"/>
          <w:sz w:val="22"/>
          <w:szCs w:val="22"/>
        </w:rPr>
        <w:t>total factur</w:t>
      </w:r>
      <w:r w:rsidR="000242A7" w:rsidRPr="00C7012F">
        <w:rPr>
          <w:rFonts w:ascii="Arial" w:hAnsi="Arial" w:cs="Arial"/>
          <w:color w:val="000000"/>
          <w:sz w:val="22"/>
          <w:szCs w:val="22"/>
        </w:rPr>
        <w:t>ado</w:t>
      </w:r>
      <w:r w:rsidR="004A2CA3" w:rsidRPr="00C7012F">
        <w:rPr>
          <w:rFonts w:ascii="Arial" w:hAnsi="Arial" w:cs="Arial"/>
          <w:color w:val="000000"/>
          <w:sz w:val="22"/>
          <w:szCs w:val="22"/>
        </w:rPr>
        <w:t xml:space="preserve"> por servicio de energía de</w:t>
      </w:r>
      <w:r w:rsidR="002869E9" w:rsidRPr="00C7012F">
        <w:rPr>
          <w:rFonts w:ascii="Arial" w:hAnsi="Arial" w:cs="Arial"/>
          <w:color w:val="000000"/>
          <w:sz w:val="22"/>
          <w:szCs w:val="22"/>
        </w:rPr>
        <w:t xml:space="preserve"> cada mes de la sede de San Agustín, con el fin de evitar posibles atrasos </w:t>
      </w:r>
      <w:r w:rsidR="004A2CA3" w:rsidRPr="00C7012F">
        <w:rPr>
          <w:rFonts w:ascii="Arial" w:hAnsi="Arial" w:cs="Arial"/>
          <w:color w:val="000000"/>
          <w:sz w:val="22"/>
          <w:szCs w:val="22"/>
        </w:rPr>
        <w:t>que generen intereses de mora.</w:t>
      </w:r>
      <w:r w:rsidR="002869E9" w:rsidRPr="00C7012F">
        <w:rPr>
          <w:rFonts w:ascii="Arial" w:hAnsi="Arial" w:cs="Arial"/>
          <w:color w:val="000000"/>
          <w:sz w:val="22"/>
          <w:szCs w:val="22"/>
        </w:rPr>
        <w:t xml:space="preserve"> </w:t>
      </w:r>
    </w:p>
    <w:p w14:paraId="74084826" w14:textId="77777777" w:rsidR="0036732C" w:rsidRPr="00C7012F" w:rsidRDefault="0036732C" w:rsidP="007B24CD">
      <w:pPr>
        <w:pStyle w:val="Prrafodelista"/>
        <w:ind w:left="0"/>
        <w:contextualSpacing w:val="0"/>
        <w:rPr>
          <w:rFonts w:ascii="Arial" w:hAnsi="Arial" w:cs="Arial"/>
          <w:color w:val="000000"/>
          <w:sz w:val="22"/>
          <w:szCs w:val="22"/>
          <w:highlight w:val="yellow"/>
        </w:rPr>
      </w:pPr>
    </w:p>
    <w:p w14:paraId="1DC5FDCE" w14:textId="54E84C87" w:rsidR="00C74490" w:rsidRPr="00C7012F" w:rsidRDefault="0036732C" w:rsidP="007B24CD">
      <w:pPr>
        <w:pStyle w:val="Prrafodelista"/>
        <w:ind w:left="0"/>
        <w:contextualSpacing w:val="0"/>
        <w:rPr>
          <w:rFonts w:ascii="Arial" w:hAnsi="Arial" w:cs="Arial"/>
          <w:color w:val="000000"/>
          <w:sz w:val="22"/>
          <w:szCs w:val="22"/>
        </w:rPr>
      </w:pPr>
      <w:r w:rsidRPr="00C7012F">
        <w:rPr>
          <w:rFonts w:ascii="Arial" w:eastAsia="Times New Roman" w:hAnsi="Arial" w:cs="Arial"/>
          <w:color w:val="000000" w:themeColor="text1"/>
          <w:sz w:val="22"/>
          <w:szCs w:val="22"/>
          <w:lang w:eastAsia="es-CO"/>
        </w:rPr>
        <w:t>Referente a</w:t>
      </w:r>
      <w:r w:rsidR="00B0434C" w:rsidRPr="00C7012F">
        <w:rPr>
          <w:rFonts w:ascii="Arial" w:eastAsia="Times New Roman" w:hAnsi="Arial" w:cs="Arial"/>
          <w:color w:val="000000" w:themeColor="text1"/>
          <w:sz w:val="22"/>
          <w:szCs w:val="22"/>
          <w:lang w:eastAsia="es-CO"/>
        </w:rPr>
        <w:t>l</w:t>
      </w:r>
      <w:r w:rsidR="00D36B67" w:rsidRPr="00C7012F">
        <w:rPr>
          <w:rFonts w:ascii="Arial" w:eastAsia="Times New Roman" w:hAnsi="Arial" w:cs="Arial"/>
          <w:color w:val="000000" w:themeColor="text1"/>
          <w:sz w:val="22"/>
          <w:szCs w:val="22"/>
          <w:lang w:eastAsia="es-CO"/>
        </w:rPr>
        <w:t xml:space="preserve"> proce</w:t>
      </w:r>
      <w:r w:rsidR="00A83BFB" w:rsidRPr="00C7012F">
        <w:rPr>
          <w:rFonts w:ascii="Arial" w:eastAsia="Times New Roman" w:hAnsi="Arial" w:cs="Arial"/>
          <w:color w:val="000000" w:themeColor="text1"/>
          <w:sz w:val="22"/>
          <w:szCs w:val="22"/>
          <w:lang w:eastAsia="es-CO"/>
        </w:rPr>
        <w:t xml:space="preserve">dimiento </w:t>
      </w:r>
      <w:r w:rsidR="00D36B67" w:rsidRPr="00C7012F">
        <w:rPr>
          <w:rFonts w:ascii="Arial" w:eastAsia="Times New Roman" w:hAnsi="Arial" w:cs="Arial"/>
          <w:color w:val="000000" w:themeColor="text1"/>
          <w:sz w:val="22"/>
          <w:szCs w:val="22"/>
          <w:lang w:eastAsia="es-CO"/>
        </w:rPr>
        <w:t xml:space="preserve">de prorrateo para determinar el consumo </w:t>
      </w:r>
      <w:r w:rsidR="00A83BFB" w:rsidRPr="00C7012F">
        <w:rPr>
          <w:rFonts w:ascii="Arial" w:eastAsia="Times New Roman" w:hAnsi="Arial" w:cs="Arial"/>
          <w:color w:val="000000" w:themeColor="text1"/>
          <w:sz w:val="22"/>
          <w:szCs w:val="22"/>
          <w:lang w:eastAsia="es-CO"/>
        </w:rPr>
        <w:t>de los servicios de energía</w:t>
      </w:r>
      <w:r w:rsidR="00442FB5" w:rsidRPr="00C7012F">
        <w:rPr>
          <w:rFonts w:ascii="Arial" w:eastAsia="Times New Roman" w:hAnsi="Arial" w:cs="Arial"/>
          <w:color w:val="000000" w:themeColor="text1"/>
          <w:sz w:val="22"/>
          <w:szCs w:val="22"/>
          <w:lang w:eastAsia="es-CO"/>
        </w:rPr>
        <w:t xml:space="preserve">, </w:t>
      </w:r>
      <w:r w:rsidR="00A83BFB" w:rsidRPr="00C7012F">
        <w:rPr>
          <w:rFonts w:ascii="Arial" w:eastAsia="Times New Roman" w:hAnsi="Arial" w:cs="Arial"/>
          <w:color w:val="000000" w:themeColor="text1"/>
          <w:sz w:val="22"/>
          <w:szCs w:val="22"/>
          <w:lang w:eastAsia="es-CO"/>
        </w:rPr>
        <w:t>acueducto</w:t>
      </w:r>
      <w:r w:rsidR="00442FB5" w:rsidRPr="00C7012F">
        <w:rPr>
          <w:rFonts w:ascii="Arial" w:eastAsia="Times New Roman" w:hAnsi="Arial" w:cs="Arial"/>
          <w:color w:val="000000" w:themeColor="text1"/>
          <w:sz w:val="22"/>
          <w:szCs w:val="22"/>
          <w:lang w:eastAsia="es-CO"/>
        </w:rPr>
        <w:t xml:space="preserve"> y </w:t>
      </w:r>
      <w:r w:rsidRPr="00C7012F">
        <w:rPr>
          <w:rFonts w:ascii="Arial" w:eastAsia="Times New Roman" w:hAnsi="Arial" w:cs="Arial"/>
          <w:color w:val="000000" w:themeColor="text1"/>
          <w:sz w:val="22"/>
          <w:szCs w:val="22"/>
          <w:lang w:eastAsia="es-CO"/>
        </w:rPr>
        <w:t>aseo, que</w:t>
      </w:r>
      <w:r w:rsidR="00B0434C" w:rsidRPr="00C7012F">
        <w:rPr>
          <w:rFonts w:ascii="Arial" w:hAnsi="Arial" w:cs="Arial"/>
          <w:color w:val="000000" w:themeColor="text1"/>
          <w:sz w:val="22"/>
          <w:szCs w:val="22"/>
        </w:rPr>
        <w:t xml:space="preserve"> corresponde</w:t>
      </w:r>
      <w:r w:rsidR="00442FB5" w:rsidRPr="00C7012F">
        <w:rPr>
          <w:rFonts w:ascii="Arial" w:hAnsi="Arial" w:cs="Arial"/>
          <w:color w:val="000000" w:themeColor="text1"/>
          <w:sz w:val="22"/>
          <w:szCs w:val="22"/>
        </w:rPr>
        <w:t>n</w:t>
      </w:r>
      <w:r w:rsidR="00B0434C" w:rsidRPr="00C7012F">
        <w:rPr>
          <w:rFonts w:ascii="Arial" w:hAnsi="Arial" w:cs="Arial"/>
          <w:color w:val="000000" w:themeColor="text1"/>
          <w:sz w:val="22"/>
          <w:szCs w:val="22"/>
        </w:rPr>
        <w:t xml:space="preserve"> a la utilización de los</w:t>
      </w:r>
      <w:r w:rsidR="00A83BFB" w:rsidRPr="00C7012F">
        <w:rPr>
          <w:rFonts w:ascii="Arial" w:hAnsi="Arial" w:cs="Arial"/>
          <w:color w:val="000000" w:themeColor="text1"/>
          <w:sz w:val="22"/>
          <w:szCs w:val="22"/>
        </w:rPr>
        <w:t xml:space="preserve"> pisos 4°, 5° y 6° del Edificio San Agustín asignados a la DIAN, </w:t>
      </w:r>
      <w:r w:rsidRPr="00C7012F">
        <w:rPr>
          <w:rFonts w:ascii="Arial" w:hAnsi="Arial" w:cs="Arial"/>
          <w:color w:val="000000" w:themeColor="text1"/>
          <w:sz w:val="22"/>
          <w:szCs w:val="22"/>
        </w:rPr>
        <w:t xml:space="preserve">la Subdirección de Servicios formuló una acción de mejora la cual se encuentra en etapa de ejecución. Por tal razón, </w:t>
      </w:r>
      <w:r w:rsidR="007B4297" w:rsidRPr="00C7012F">
        <w:rPr>
          <w:rFonts w:ascii="Arial" w:hAnsi="Arial" w:cs="Arial"/>
          <w:color w:val="000000"/>
          <w:sz w:val="22"/>
          <w:szCs w:val="22"/>
        </w:rPr>
        <w:t xml:space="preserve">para el periodo correspondiente al </w:t>
      </w:r>
      <w:r w:rsidRPr="00C7012F">
        <w:rPr>
          <w:rFonts w:ascii="Arial" w:hAnsi="Arial" w:cs="Arial"/>
          <w:color w:val="000000"/>
          <w:sz w:val="22"/>
          <w:szCs w:val="22"/>
        </w:rPr>
        <w:t xml:space="preserve">tercer </w:t>
      </w:r>
      <w:r w:rsidR="007B4297" w:rsidRPr="00C7012F">
        <w:rPr>
          <w:rFonts w:ascii="Arial" w:hAnsi="Arial" w:cs="Arial"/>
          <w:color w:val="000000"/>
          <w:sz w:val="22"/>
          <w:szCs w:val="22"/>
        </w:rPr>
        <w:t xml:space="preserve">trimestre de 2020 el </w:t>
      </w:r>
      <w:r w:rsidR="00C74490" w:rsidRPr="00C7012F">
        <w:rPr>
          <w:rFonts w:ascii="Arial" w:hAnsi="Arial" w:cs="Arial"/>
          <w:color w:val="000000"/>
          <w:sz w:val="22"/>
          <w:szCs w:val="22"/>
        </w:rPr>
        <w:t xml:space="preserve">cálculo del </w:t>
      </w:r>
      <w:r w:rsidR="007B4297" w:rsidRPr="00C7012F">
        <w:rPr>
          <w:rFonts w:ascii="Arial" w:hAnsi="Arial" w:cs="Arial"/>
          <w:color w:val="000000"/>
          <w:sz w:val="22"/>
          <w:szCs w:val="22"/>
        </w:rPr>
        <w:t>prorrateo</w:t>
      </w:r>
      <w:r w:rsidR="00C74490" w:rsidRPr="00C7012F">
        <w:rPr>
          <w:rFonts w:ascii="Arial" w:hAnsi="Arial" w:cs="Arial"/>
          <w:color w:val="000000"/>
          <w:sz w:val="22"/>
          <w:szCs w:val="22"/>
        </w:rPr>
        <w:t xml:space="preserve"> fue realizado teniendo en cuenta un </w:t>
      </w:r>
      <w:r w:rsidR="00C74490" w:rsidRPr="00C7012F">
        <w:rPr>
          <w:rFonts w:ascii="Arial" w:eastAsia="Times New Roman" w:hAnsi="Arial" w:cs="Arial"/>
          <w:color w:val="000000"/>
          <w:sz w:val="22"/>
          <w:szCs w:val="22"/>
          <w:lang w:eastAsia="es-CO"/>
        </w:rPr>
        <w:t xml:space="preserve">total de 1685 funcionarios que laboran en el edificio San Agustín, de los cuales 640 funcionarios pertenecen a la DIAN, </w:t>
      </w:r>
      <w:r w:rsidR="00C86620" w:rsidRPr="00C7012F">
        <w:rPr>
          <w:rFonts w:ascii="Arial" w:eastAsia="Times New Roman" w:hAnsi="Arial" w:cs="Arial"/>
          <w:color w:val="000000"/>
          <w:sz w:val="22"/>
          <w:szCs w:val="22"/>
          <w:lang w:eastAsia="es-CO"/>
        </w:rPr>
        <w:t xml:space="preserve">según la </w:t>
      </w:r>
      <w:r w:rsidR="00C74490" w:rsidRPr="00C7012F">
        <w:rPr>
          <w:rFonts w:ascii="Arial" w:eastAsia="Times New Roman" w:hAnsi="Arial" w:cs="Arial"/>
          <w:color w:val="000000"/>
          <w:sz w:val="22"/>
          <w:szCs w:val="22"/>
          <w:lang w:eastAsia="es-CO"/>
        </w:rPr>
        <w:t xml:space="preserve">actualización del total de funcionarios realizada en la vigencia 2013. </w:t>
      </w:r>
    </w:p>
    <w:p w14:paraId="2FEC3FF3" w14:textId="77777777" w:rsidR="00640F84" w:rsidRPr="00C7012F" w:rsidRDefault="00640F84" w:rsidP="007B24CD">
      <w:pPr>
        <w:pStyle w:val="Prrafodelista"/>
        <w:ind w:left="0"/>
        <w:contextualSpacing w:val="0"/>
        <w:rPr>
          <w:rFonts w:ascii="Arial" w:hAnsi="Arial" w:cs="Arial"/>
          <w:color w:val="000000"/>
          <w:sz w:val="22"/>
          <w:szCs w:val="22"/>
          <w:highlight w:val="yellow"/>
        </w:rPr>
      </w:pPr>
    </w:p>
    <w:p w14:paraId="2B7EF0CC" w14:textId="6F1BD1E1" w:rsidR="00336EA0" w:rsidRPr="00C7012F" w:rsidRDefault="00B10F10" w:rsidP="007B24CD">
      <w:pPr>
        <w:pStyle w:val="Prrafodelista"/>
        <w:ind w:left="0"/>
        <w:contextualSpacing w:val="0"/>
        <w:rPr>
          <w:rFonts w:ascii="Arial" w:hAnsi="Arial" w:cs="Arial"/>
          <w:color w:val="000000"/>
          <w:sz w:val="22"/>
          <w:szCs w:val="22"/>
        </w:rPr>
      </w:pPr>
      <w:r w:rsidRPr="00C7012F">
        <w:rPr>
          <w:rFonts w:ascii="Arial" w:hAnsi="Arial" w:cs="Arial"/>
          <w:color w:val="000000"/>
          <w:sz w:val="22"/>
          <w:szCs w:val="22"/>
        </w:rPr>
        <w:t xml:space="preserve">De otra parte, </w:t>
      </w:r>
      <w:r w:rsidR="00336EA0" w:rsidRPr="00C7012F">
        <w:rPr>
          <w:rFonts w:ascii="Arial" w:hAnsi="Arial" w:cs="Arial"/>
          <w:color w:val="000000"/>
          <w:sz w:val="22"/>
          <w:szCs w:val="22"/>
        </w:rPr>
        <w:t xml:space="preserve">el presente análisis del servicio de energía, se realizó teniendo en cuenta la porción del valor facturado y el consumo que le corresponde a este Ministerio, según la información enviada por la Subdirección de Servicios y las obligaciones consultadas en el SIIF, </w:t>
      </w:r>
      <w:r w:rsidR="00E8253B" w:rsidRPr="00C7012F">
        <w:rPr>
          <w:rFonts w:ascii="Arial" w:hAnsi="Arial" w:cs="Arial"/>
          <w:color w:val="000000"/>
          <w:sz w:val="22"/>
          <w:szCs w:val="22"/>
        </w:rPr>
        <w:t xml:space="preserve">concernientes a </w:t>
      </w:r>
      <w:r w:rsidR="00336EA0" w:rsidRPr="00C7012F">
        <w:rPr>
          <w:rFonts w:ascii="Arial" w:hAnsi="Arial" w:cs="Arial"/>
          <w:color w:val="000000"/>
          <w:sz w:val="22"/>
          <w:szCs w:val="22"/>
        </w:rPr>
        <w:t>la</w:t>
      </w:r>
      <w:r w:rsidR="00E8253B" w:rsidRPr="00C7012F">
        <w:rPr>
          <w:rFonts w:ascii="Arial" w:hAnsi="Arial" w:cs="Arial"/>
          <w:color w:val="000000"/>
          <w:sz w:val="22"/>
          <w:szCs w:val="22"/>
        </w:rPr>
        <w:t>s</w:t>
      </w:r>
      <w:r w:rsidR="00336EA0" w:rsidRPr="00C7012F">
        <w:rPr>
          <w:rFonts w:ascii="Arial" w:hAnsi="Arial" w:cs="Arial"/>
          <w:color w:val="000000"/>
          <w:sz w:val="22"/>
          <w:szCs w:val="22"/>
        </w:rPr>
        <w:t xml:space="preserve"> sedes de </w:t>
      </w:r>
      <w:r w:rsidR="00E8253B" w:rsidRPr="00C7012F">
        <w:rPr>
          <w:rFonts w:ascii="Arial" w:hAnsi="Arial" w:cs="Arial"/>
          <w:color w:val="000000"/>
          <w:sz w:val="22"/>
          <w:szCs w:val="22"/>
        </w:rPr>
        <w:t xml:space="preserve">Edificio </w:t>
      </w:r>
      <w:r w:rsidR="00336EA0" w:rsidRPr="00C7012F">
        <w:rPr>
          <w:rFonts w:ascii="Arial" w:hAnsi="Arial" w:cs="Arial"/>
          <w:color w:val="000000"/>
          <w:sz w:val="22"/>
          <w:szCs w:val="22"/>
        </w:rPr>
        <w:t xml:space="preserve">San Agustín y Casas de Santa Bárbara para el </w:t>
      </w:r>
      <w:r w:rsidR="00E8253B" w:rsidRPr="00C7012F">
        <w:rPr>
          <w:rFonts w:ascii="Arial" w:hAnsi="Arial" w:cs="Arial"/>
          <w:color w:val="000000"/>
          <w:sz w:val="22"/>
          <w:szCs w:val="22"/>
        </w:rPr>
        <w:t xml:space="preserve">tercer </w:t>
      </w:r>
      <w:r w:rsidR="00336EA0" w:rsidRPr="00C7012F">
        <w:rPr>
          <w:rFonts w:ascii="Arial" w:hAnsi="Arial" w:cs="Arial"/>
          <w:color w:val="000000"/>
          <w:sz w:val="22"/>
          <w:szCs w:val="22"/>
        </w:rPr>
        <w:t xml:space="preserve">trimestre de 2020 y 2019. </w:t>
      </w:r>
    </w:p>
    <w:p w14:paraId="001C0F01" w14:textId="64221800" w:rsidR="005C189D" w:rsidRPr="00C7012F" w:rsidRDefault="005C189D" w:rsidP="007B24CD">
      <w:pPr>
        <w:pStyle w:val="Prrafodelista"/>
        <w:ind w:left="0"/>
        <w:contextualSpacing w:val="0"/>
        <w:rPr>
          <w:rFonts w:ascii="Arial" w:hAnsi="Arial" w:cs="Arial"/>
          <w:color w:val="000000"/>
          <w:sz w:val="22"/>
          <w:szCs w:val="22"/>
        </w:rPr>
      </w:pPr>
    </w:p>
    <w:p w14:paraId="63EA272B" w14:textId="5011308E" w:rsidR="000936A0" w:rsidRPr="00C7012F" w:rsidRDefault="00BF4D85" w:rsidP="007B24CD">
      <w:pPr>
        <w:jc w:val="both"/>
        <w:rPr>
          <w:rFonts w:ascii="Arial" w:hAnsi="Arial" w:cs="Arial"/>
          <w:color w:val="000000" w:themeColor="text1"/>
          <w:sz w:val="22"/>
          <w:szCs w:val="22"/>
          <w:bdr w:val="none" w:sz="0" w:space="0" w:color="auto" w:frame="1"/>
        </w:rPr>
      </w:pPr>
      <w:r w:rsidRPr="00C7012F">
        <w:rPr>
          <w:rFonts w:ascii="Arial" w:hAnsi="Arial" w:cs="Arial"/>
          <w:color w:val="000000" w:themeColor="text1"/>
          <w:sz w:val="22"/>
          <w:szCs w:val="22"/>
          <w:bdr w:val="none" w:sz="0" w:space="0" w:color="auto" w:frame="1"/>
        </w:rPr>
        <w:t xml:space="preserve">Ahora bien, con respecto </w:t>
      </w:r>
      <w:r w:rsidR="00552F84">
        <w:rPr>
          <w:rFonts w:ascii="Arial" w:hAnsi="Arial" w:cs="Arial"/>
          <w:color w:val="000000" w:themeColor="text1"/>
          <w:sz w:val="22"/>
          <w:szCs w:val="22"/>
          <w:bdr w:val="none" w:sz="0" w:space="0" w:color="auto" w:frame="1"/>
        </w:rPr>
        <w:t xml:space="preserve">al </w:t>
      </w:r>
      <w:r w:rsidRPr="00C7012F">
        <w:rPr>
          <w:rFonts w:ascii="Arial" w:hAnsi="Arial" w:cs="Arial"/>
          <w:color w:val="000000" w:themeColor="text1"/>
          <w:sz w:val="22"/>
          <w:szCs w:val="22"/>
          <w:bdr w:val="none" w:sz="0" w:space="0" w:color="auto" w:frame="1"/>
        </w:rPr>
        <w:t xml:space="preserve">consumo y gasto de energía para el </w:t>
      </w:r>
      <w:r w:rsidR="00A167DF" w:rsidRPr="00C7012F">
        <w:rPr>
          <w:rFonts w:ascii="Arial" w:hAnsi="Arial" w:cs="Arial"/>
          <w:color w:val="000000" w:themeColor="text1"/>
          <w:sz w:val="22"/>
          <w:szCs w:val="22"/>
          <w:bdr w:val="none" w:sz="0" w:space="0" w:color="auto" w:frame="1"/>
        </w:rPr>
        <w:t xml:space="preserve">tercer </w:t>
      </w:r>
      <w:r w:rsidRPr="00C7012F">
        <w:rPr>
          <w:rFonts w:ascii="Arial" w:hAnsi="Arial" w:cs="Arial"/>
          <w:color w:val="000000" w:themeColor="text1"/>
          <w:sz w:val="22"/>
          <w:szCs w:val="22"/>
          <w:bdr w:val="none" w:sz="0" w:space="0" w:color="auto" w:frame="1"/>
        </w:rPr>
        <w:t xml:space="preserve">trimestre de 2020, </w:t>
      </w:r>
      <w:r w:rsidR="000936A0" w:rsidRPr="00C7012F">
        <w:rPr>
          <w:rFonts w:ascii="Arial" w:hAnsi="Arial" w:cs="Arial"/>
          <w:color w:val="000000" w:themeColor="text1"/>
          <w:sz w:val="22"/>
          <w:szCs w:val="22"/>
          <w:bdr w:val="none" w:sz="0" w:space="0" w:color="auto" w:frame="1"/>
        </w:rPr>
        <w:t xml:space="preserve">la Subdirección de Servicios informó que, según las </w:t>
      </w:r>
      <w:r w:rsidRPr="00C7012F">
        <w:rPr>
          <w:rFonts w:ascii="Arial" w:hAnsi="Arial" w:cs="Arial"/>
          <w:color w:val="000000" w:themeColor="text1"/>
          <w:sz w:val="22"/>
          <w:szCs w:val="22"/>
          <w:bdr w:val="none" w:sz="0" w:space="0" w:color="auto" w:frame="1"/>
        </w:rPr>
        <w:t xml:space="preserve">disposiciones impartidas </w:t>
      </w:r>
      <w:r w:rsidR="000936A0" w:rsidRPr="00C7012F">
        <w:rPr>
          <w:rFonts w:ascii="Arial" w:hAnsi="Arial" w:cs="Arial"/>
          <w:color w:val="000000" w:themeColor="text1"/>
          <w:sz w:val="22"/>
          <w:szCs w:val="22"/>
          <w:bdr w:val="none" w:sz="0" w:space="0" w:color="auto" w:frame="1"/>
        </w:rPr>
        <w:t xml:space="preserve">por el Gobierno </w:t>
      </w:r>
      <w:r w:rsidRPr="00C7012F">
        <w:rPr>
          <w:rFonts w:ascii="Arial" w:hAnsi="Arial" w:cs="Arial"/>
          <w:color w:val="000000" w:themeColor="text1"/>
          <w:sz w:val="22"/>
          <w:szCs w:val="22"/>
          <w:bdr w:val="none" w:sz="0" w:space="0" w:color="auto" w:frame="1"/>
        </w:rPr>
        <w:t xml:space="preserve">Nacional ante la declaratoria de Estado </w:t>
      </w:r>
      <w:r w:rsidR="000936A0" w:rsidRPr="00C7012F">
        <w:rPr>
          <w:rFonts w:ascii="Arial" w:hAnsi="Arial" w:cs="Arial"/>
          <w:color w:val="000000" w:themeColor="text1"/>
          <w:sz w:val="22"/>
          <w:szCs w:val="22"/>
          <w:bdr w:val="none" w:sz="0" w:space="0" w:color="auto" w:frame="1"/>
        </w:rPr>
        <w:t xml:space="preserve">de Emergencia Económica, Social y Ecológica derivado del COVID-19, </w:t>
      </w:r>
      <w:r w:rsidR="00CA296D" w:rsidRPr="00C7012F">
        <w:rPr>
          <w:rFonts w:ascii="Arial" w:hAnsi="Arial" w:cs="Arial"/>
          <w:color w:val="000000" w:themeColor="text1"/>
          <w:sz w:val="22"/>
          <w:szCs w:val="22"/>
          <w:bdr w:val="none" w:sz="0" w:space="0" w:color="auto" w:frame="1"/>
        </w:rPr>
        <w:t xml:space="preserve">aproximadamente el </w:t>
      </w:r>
      <w:r w:rsidR="000936A0" w:rsidRPr="00C7012F">
        <w:rPr>
          <w:rFonts w:ascii="Arial" w:hAnsi="Arial" w:cs="Arial"/>
          <w:color w:val="000000" w:themeColor="text1"/>
          <w:sz w:val="22"/>
          <w:szCs w:val="22"/>
          <w:bdr w:val="none" w:sz="0" w:space="0" w:color="auto" w:frame="1"/>
        </w:rPr>
        <w:t xml:space="preserve">80% de los servidores públicos realizaron </w:t>
      </w:r>
      <w:r w:rsidR="00A167DF" w:rsidRPr="00C7012F">
        <w:rPr>
          <w:rFonts w:ascii="Arial" w:hAnsi="Arial" w:cs="Arial"/>
          <w:color w:val="000000" w:themeColor="text1"/>
          <w:sz w:val="22"/>
          <w:szCs w:val="22"/>
          <w:bdr w:val="none" w:sz="0" w:space="0" w:color="auto" w:frame="1"/>
        </w:rPr>
        <w:t xml:space="preserve">las </w:t>
      </w:r>
      <w:r w:rsidR="000936A0" w:rsidRPr="00C7012F">
        <w:rPr>
          <w:rFonts w:ascii="Arial" w:hAnsi="Arial" w:cs="Arial"/>
          <w:color w:val="000000" w:themeColor="text1"/>
          <w:sz w:val="22"/>
          <w:szCs w:val="22"/>
          <w:bdr w:val="none" w:sz="0" w:space="0" w:color="auto" w:frame="1"/>
        </w:rPr>
        <w:t>labores</w:t>
      </w:r>
      <w:r w:rsidR="00A167DF" w:rsidRPr="00C7012F">
        <w:rPr>
          <w:rFonts w:ascii="Arial" w:hAnsi="Arial" w:cs="Arial"/>
          <w:color w:val="000000" w:themeColor="text1"/>
          <w:sz w:val="22"/>
          <w:szCs w:val="22"/>
          <w:bdr w:val="none" w:sz="0" w:space="0" w:color="auto" w:frame="1"/>
        </w:rPr>
        <w:t xml:space="preserve"> asignadas</w:t>
      </w:r>
      <w:r w:rsidR="000936A0" w:rsidRPr="00C7012F">
        <w:rPr>
          <w:rFonts w:ascii="Arial" w:hAnsi="Arial" w:cs="Arial"/>
          <w:color w:val="000000" w:themeColor="text1"/>
          <w:sz w:val="22"/>
          <w:szCs w:val="22"/>
          <w:bdr w:val="none" w:sz="0" w:space="0" w:color="auto" w:frame="1"/>
        </w:rPr>
        <w:t xml:space="preserve"> desde </w:t>
      </w:r>
      <w:r w:rsidR="00F634AA" w:rsidRPr="00C7012F">
        <w:rPr>
          <w:rFonts w:ascii="Arial" w:hAnsi="Arial" w:cs="Arial"/>
          <w:color w:val="000000" w:themeColor="text1"/>
          <w:sz w:val="22"/>
          <w:szCs w:val="22"/>
          <w:bdr w:val="none" w:sz="0" w:space="0" w:color="auto" w:frame="1"/>
        </w:rPr>
        <w:t>sus casas</w:t>
      </w:r>
      <w:r w:rsidR="000936A0" w:rsidRPr="00C7012F">
        <w:rPr>
          <w:rFonts w:ascii="Arial" w:hAnsi="Arial" w:cs="Arial"/>
          <w:color w:val="000000" w:themeColor="text1"/>
          <w:sz w:val="22"/>
          <w:szCs w:val="22"/>
          <w:bdr w:val="none" w:sz="0" w:space="0" w:color="auto" w:frame="1"/>
        </w:rPr>
        <w:t>, causando impactos</w:t>
      </w:r>
      <w:r w:rsidR="004833E0" w:rsidRPr="00C7012F">
        <w:rPr>
          <w:rFonts w:ascii="Arial" w:hAnsi="Arial" w:cs="Arial"/>
          <w:color w:val="000000" w:themeColor="text1"/>
          <w:sz w:val="22"/>
          <w:szCs w:val="22"/>
          <w:bdr w:val="none" w:sz="0" w:space="0" w:color="auto" w:frame="1"/>
        </w:rPr>
        <w:t xml:space="preserve"> en</w:t>
      </w:r>
      <w:r w:rsidR="000936A0" w:rsidRPr="00C7012F">
        <w:rPr>
          <w:rFonts w:ascii="Arial" w:hAnsi="Arial" w:cs="Arial"/>
          <w:color w:val="000000" w:themeColor="text1"/>
          <w:sz w:val="22"/>
          <w:szCs w:val="22"/>
          <w:bdr w:val="none" w:sz="0" w:space="0" w:color="auto" w:frame="1"/>
        </w:rPr>
        <w:t xml:space="preserve"> </w:t>
      </w:r>
      <w:r w:rsidRPr="00C7012F">
        <w:rPr>
          <w:rFonts w:ascii="Arial" w:hAnsi="Arial" w:cs="Arial"/>
          <w:color w:val="000000" w:themeColor="text1"/>
          <w:sz w:val="22"/>
          <w:szCs w:val="22"/>
          <w:bdr w:val="none" w:sz="0" w:space="0" w:color="auto" w:frame="1"/>
        </w:rPr>
        <w:t xml:space="preserve">el concepto objeto de análisis. </w:t>
      </w:r>
    </w:p>
    <w:p w14:paraId="72EABAE5" w14:textId="72753737" w:rsidR="000936A0" w:rsidRPr="00C7012F" w:rsidRDefault="000936A0" w:rsidP="007B24CD">
      <w:pPr>
        <w:pStyle w:val="Prrafodelista"/>
        <w:ind w:left="0"/>
        <w:contextualSpacing w:val="0"/>
        <w:rPr>
          <w:rFonts w:ascii="Arial" w:eastAsia="Times New Roman" w:hAnsi="Arial" w:cs="Arial"/>
          <w:color w:val="000000" w:themeColor="text1"/>
          <w:sz w:val="22"/>
          <w:szCs w:val="22"/>
          <w:highlight w:val="yellow"/>
          <w:bdr w:val="none" w:sz="0" w:space="0" w:color="auto" w:frame="1"/>
          <w:lang w:eastAsia="es-CO"/>
        </w:rPr>
      </w:pPr>
    </w:p>
    <w:p w14:paraId="554108AF" w14:textId="3E808FB4" w:rsidR="000936A0" w:rsidRPr="00C7012F" w:rsidRDefault="00336EA0" w:rsidP="007B24CD">
      <w:pPr>
        <w:pStyle w:val="Prrafodelista"/>
        <w:ind w:left="0"/>
        <w:contextualSpacing w:val="0"/>
        <w:rPr>
          <w:rFonts w:ascii="Arial" w:hAnsi="Arial" w:cs="Arial"/>
          <w:color w:val="000000" w:themeColor="text1"/>
          <w:sz w:val="22"/>
          <w:szCs w:val="22"/>
        </w:rPr>
      </w:pPr>
      <w:r w:rsidRPr="00C7012F">
        <w:rPr>
          <w:rFonts w:ascii="Arial" w:eastAsia="Times New Roman" w:hAnsi="Arial" w:cs="Arial"/>
          <w:color w:val="000000" w:themeColor="text1"/>
          <w:sz w:val="22"/>
          <w:szCs w:val="22"/>
          <w:bdr w:val="none" w:sz="0" w:space="0" w:color="auto" w:frame="1"/>
          <w:lang w:eastAsia="es-CO"/>
        </w:rPr>
        <w:t xml:space="preserve">Considerando lo antes expuesto, </w:t>
      </w:r>
      <w:r w:rsidR="000225CC" w:rsidRPr="00C7012F">
        <w:rPr>
          <w:rFonts w:ascii="Arial" w:eastAsia="Times New Roman" w:hAnsi="Arial" w:cs="Arial"/>
          <w:color w:val="000000" w:themeColor="text1"/>
          <w:sz w:val="22"/>
          <w:szCs w:val="22"/>
          <w:bdr w:val="none" w:sz="0" w:space="0" w:color="auto" w:frame="1"/>
          <w:lang w:eastAsia="es-CO"/>
        </w:rPr>
        <w:t xml:space="preserve">se presenta el análisis del consumo y gasto </w:t>
      </w:r>
      <w:r w:rsidR="00E36110" w:rsidRPr="00C7012F">
        <w:rPr>
          <w:rFonts w:ascii="Arial" w:eastAsia="Times New Roman" w:hAnsi="Arial" w:cs="Arial"/>
          <w:color w:val="000000" w:themeColor="text1"/>
          <w:sz w:val="22"/>
          <w:szCs w:val="22"/>
          <w:bdr w:val="none" w:sz="0" w:space="0" w:color="auto" w:frame="1"/>
          <w:lang w:eastAsia="es-CO"/>
        </w:rPr>
        <w:t xml:space="preserve">de energía </w:t>
      </w:r>
      <w:r w:rsidR="000225CC" w:rsidRPr="00C7012F">
        <w:rPr>
          <w:rFonts w:ascii="Arial" w:eastAsia="Times New Roman" w:hAnsi="Arial" w:cs="Arial"/>
          <w:color w:val="000000" w:themeColor="text1"/>
          <w:sz w:val="22"/>
          <w:szCs w:val="22"/>
          <w:bdr w:val="none" w:sz="0" w:space="0" w:color="auto" w:frame="1"/>
          <w:lang w:eastAsia="es-CO"/>
        </w:rPr>
        <w:t xml:space="preserve">generado durante el </w:t>
      </w:r>
      <w:r w:rsidR="00A167DF" w:rsidRPr="00C7012F">
        <w:rPr>
          <w:rFonts w:ascii="Arial" w:eastAsia="Times New Roman" w:hAnsi="Arial" w:cs="Arial"/>
          <w:color w:val="000000" w:themeColor="text1"/>
          <w:sz w:val="22"/>
          <w:szCs w:val="22"/>
          <w:bdr w:val="none" w:sz="0" w:space="0" w:color="auto" w:frame="1"/>
          <w:lang w:eastAsia="es-CO"/>
        </w:rPr>
        <w:t xml:space="preserve">tercer </w:t>
      </w:r>
      <w:r w:rsidR="000225CC" w:rsidRPr="00C7012F">
        <w:rPr>
          <w:rFonts w:ascii="Arial" w:eastAsia="Times New Roman" w:hAnsi="Arial" w:cs="Arial"/>
          <w:color w:val="000000" w:themeColor="text1"/>
          <w:sz w:val="22"/>
          <w:szCs w:val="22"/>
          <w:bdr w:val="none" w:sz="0" w:space="0" w:color="auto" w:frame="1"/>
          <w:lang w:eastAsia="es-CO"/>
        </w:rPr>
        <w:t xml:space="preserve">trimestre </w:t>
      </w:r>
      <w:r w:rsidR="00812D5B" w:rsidRPr="00C7012F">
        <w:rPr>
          <w:rFonts w:ascii="Arial" w:eastAsia="Times New Roman" w:hAnsi="Arial" w:cs="Arial"/>
          <w:color w:val="000000" w:themeColor="text1"/>
          <w:sz w:val="22"/>
          <w:szCs w:val="22"/>
          <w:bdr w:val="none" w:sz="0" w:space="0" w:color="auto" w:frame="1"/>
          <w:lang w:eastAsia="es-CO"/>
        </w:rPr>
        <w:t>de 2020</w:t>
      </w:r>
      <w:r w:rsidR="006778BF" w:rsidRPr="00C7012F">
        <w:rPr>
          <w:rFonts w:ascii="Arial" w:eastAsia="Times New Roman" w:hAnsi="Arial" w:cs="Arial"/>
          <w:color w:val="000000" w:themeColor="text1"/>
          <w:sz w:val="22"/>
          <w:szCs w:val="22"/>
          <w:bdr w:val="none" w:sz="0" w:space="0" w:color="auto" w:frame="1"/>
          <w:lang w:eastAsia="es-CO"/>
        </w:rPr>
        <w:t xml:space="preserve">, </w:t>
      </w:r>
      <w:r w:rsidR="000225CC" w:rsidRPr="00C7012F">
        <w:rPr>
          <w:rFonts w:ascii="Arial" w:eastAsia="Times New Roman" w:hAnsi="Arial" w:cs="Arial"/>
          <w:color w:val="000000" w:themeColor="text1"/>
          <w:sz w:val="22"/>
          <w:szCs w:val="22"/>
          <w:bdr w:val="none" w:sz="0" w:space="0" w:color="auto" w:frame="1"/>
          <w:lang w:eastAsia="es-CO"/>
        </w:rPr>
        <w:t>teniendo en cuenta</w:t>
      </w:r>
      <w:r w:rsidR="006778BF" w:rsidRPr="00C7012F">
        <w:rPr>
          <w:rFonts w:ascii="Arial" w:eastAsia="Times New Roman" w:hAnsi="Arial" w:cs="Arial"/>
          <w:color w:val="000000" w:themeColor="text1"/>
          <w:sz w:val="22"/>
          <w:szCs w:val="22"/>
          <w:bdr w:val="none" w:sz="0" w:space="0" w:color="auto" w:frame="1"/>
          <w:lang w:eastAsia="es-CO"/>
        </w:rPr>
        <w:t xml:space="preserve">, las medidas aplicadas por este Ministerio en virtud de la emergencia sanitaria [COVID-19], así como, las </w:t>
      </w:r>
      <w:r w:rsidR="00F57BEC" w:rsidRPr="00C7012F">
        <w:rPr>
          <w:rFonts w:ascii="Arial" w:hAnsi="Arial" w:cs="Arial"/>
          <w:color w:val="000000" w:themeColor="text1"/>
          <w:sz w:val="22"/>
          <w:szCs w:val="22"/>
          <w:bdr w:val="none" w:sz="0" w:space="0" w:color="auto" w:frame="1"/>
        </w:rPr>
        <w:t xml:space="preserve">acciones </w:t>
      </w:r>
      <w:r w:rsidR="006778BF" w:rsidRPr="00C7012F">
        <w:rPr>
          <w:rFonts w:ascii="Arial" w:hAnsi="Arial" w:cs="Arial"/>
          <w:color w:val="000000" w:themeColor="text1"/>
          <w:sz w:val="22"/>
          <w:szCs w:val="22"/>
          <w:bdr w:val="none" w:sz="0" w:space="0" w:color="auto" w:frame="1"/>
        </w:rPr>
        <w:t xml:space="preserve">implementadas durante el periodo objeto de verificación </w:t>
      </w:r>
      <w:r w:rsidR="00F57BEC" w:rsidRPr="00C7012F">
        <w:rPr>
          <w:rFonts w:ascii="Arial" w:hAnsi="Arial" w:cs="Arial"/>
          <w:color w:val="000000" w:themeColor="text1"/>
          <w:sz w:val="22"/>
          <w:szCs w:val="22"/>
          <w:bdr w:val="none" w:sz="0" w:space="0" w:color="auto" w:frame="1"/>
        </w:rPr>
        <w:t>encaminadas a lograr el uso eficiente de energía</w:t>
      </w:r>
      <w:r w:rsidR="006778BF" w:rsidRPr="00C7012F">
        <w:rPr>
          <w:rFonts w:ascii="Arial" w:hAnsi="Arial" w:cs="Arial"/>
          <w:color w:val="000000" w:themeColor="text1"/>
          <w:sz w:val="22"/>
          <w:szCs w:val="22"/>
          <w:bdr w:val="none" w:sz="0" w:space="0" w:color="auto" w:frame="1"/>
        </w:rPr>
        <w:t xml:space="preserve">. </w:t>
      </w:r>
    </w:p>
    <w:p w14:paraId="2799FB96" w14:textId="77777777" w:rsidR="00AC544D" w:rsidRPr="00C7012F" w:rsidRDefault="00AC544D" w:rsidP="007B24CD">
      <w:pPr>
        <w:pStyle w:val="Prrafodelista"/>
        <w:ind w:left="0"/>
        <w:contextualSpacing w:val="0"/>
        <w:rPr>
          <w:rFonts w:ascii="Arial" w:hAnsi="Arial" w:cs="Arial"/>
          <w:color w:val="000000" w:themeColor="text1"/>
          <w:sz w:val="22"/>
          <w:szCs w:val="22"/>
          <w:highlight w:val="yellow"/>
        </w:rPr>
      </w:pPr>
    </w:p>
    <w:p w14:paraId="485E9A24" w14:textId="47846867" w:rsidR="00CD04AD" w:rsidRPr="00C7012F" w:rsidRDefault="008C4F0C" w:rsidP="007B24CD">
      <w:pPr>
        <w:jc w:val="both"/>
        <w:rPr>
          <w:rFonts w:ascii="Arial" w:hAnsi="Arial" w:cs="Arial"/>
          <w:color w:val="000000" w:themeColor="text1"/>
          <w:sz w:val="22"/>
          <w:szCs w:val="22"/>
        </w:rPr>
      </w:pPr>
      <w:r w:rsidRPr="00C7012F">
        <w:rPr>
          <w:rFonts w:ascii="Arial" w:hAnsi="Arial" w:cs="Arial"/>
          <w:color w:val="000000" w:themeColor="text1"/>
          <w:sz w:val="22"/>
          <w:szCs w:val="22"/>
        </w:rPr>
        <w:t xml:space="preserve">Con </w:t>
      </w:r>
      <w:r w:rsidR="00425AB1" w:rsidRPr="00C7012F">
        <w:rPr>
          <w:rFonts w:ascii="Arial" w:hAnsi="Arial" w:cs="Arial"/>
          <w:color w:val="000000" w:themeColor="text1"/>
          <w:sz w:val="22"/>
          <w:szCs w:val="22"/>
        </w:rPr>
        <w:t>respect</w:t>
      </w:r>
      <w:r w:rsidRPr="00C7012F">
        <w:rPr>
          <w:rFonts w:ascii="Arial" w:hAnsi="Arial" w:cs="Arial"/>
          <w:color w:val="000000" w:themeColor="text1"/>
          <w:sz w:val="22"/>
          <w:szCs w:val="22"/>
        </w:rPr>
        <w:t>o</w:t>
      </w:r>
      <w:r w:rsidR="00425AB1" w:rsidRPr="00C7012F">
        <w:rPr>
          <w:rFonts w:ascii="Arial" w:hAnsi="Arial" w:cs="Arial"/>
          <w:color w:val="000000" w:themeColor="text1"/>
          <w:sz w:val="22"/>
          <w:szCs w:val="22"/>
        </w:rPr>
        <w:t xml:space="preserve"> a la</w:t>
      </w:r>
      <w:r w:rsidR="00A37156" w:rsidRPr="00C7012F">
        <w:rPr>
          <w:rFonts w:ascii="Arial" w:hAnsi="Arial" w:cs="Arial"/>
          <w:color w:val="000000" w:themeColor="text1"/>
          <w:sz w:val="22"/>
          <w:szCs w:val="22"/>
        </w:rPr>
        <w:t xml:space="preserve">s </w:t>
      </w:r>
      <w:r w:rsidR="00425AB1" w:rsidRPr="00C7012F">
        <w:rPr>
          <w:rFonts w:ascii="Arial" w:hAnsi="Arial" w:cs="Arial"/>
          <w:color w:val="000000" w:themeColor="text1"/>
          <w:sz w:val="22"/>
          <w:szCs w:val="22"/>
        </w:rPr>
        <w:t>sede</w:t>
      </w:r>
      <w:r w:rsidR="00A37156" w:rsidRPr="00C7012F">
        <w:rPr>
          <w:rFonts w:ascii="Arial" w:hAnsi="Arial" w:cs="Arial"/>
          <w:color w:val="000000" w:themeColor="text1"/>
          <w:sz w:val="22"/>
          <w:szCs w:val="22"/>
        </w:rPr>
        <w:t>s del Ministerio de Hacienda y Crédito Público (</w:t>
      </w:r>
      <w:r w:rsidR="00727116" w:rsidRPr="00C7012F">
        <w:rPr>
          <w:rFonts w:ascii="Arial" w:hAnsi="Arial" w:cs="Arial"/>
          <w:color w:val="000000" w:themeColor="text1"/>
          <w:sz w:val="22"/>
          <w:szCs w:val="22"/>
        </w:rPr>
        <w:t xml:space="preserve">Edificio </w:t>
      </w:r>
      <w:r w:rsidR="00A37156" w:rsidRPr="00C7012F">
        <w:rPr>
          <w:rFonts w:ascii="Arial" w:hAnsi="Arial" w:cs="Arial"/>
          <w:color w:val="000000" w:themeColor="text1"/>
          <w:sz w:val="22"/>
          <w:szCs w:val="22"/>
        </w:rPr>
        <w:t>San</w:t>
      </w:r>
      <w:r w:rsidR="00425AB1" w:rsidRPr="00C7012F">
        <w:rPr>
          <w:rFonts w:ascii="Arial" w:hAnsi="Arial" w:cs="Arial"/>
          <w:color w:val="000000" w:themeColor="text1"/>
          <w:sz w:val="22"/>
          <w:szCs w:val="22"/>
        </w:rPr>
        <w:t xml:space="preserve"> Agustín</w:t>
      </w:r>
      <w:r w:rsidR="00A37156" w:rsidRPr="00C7012F">
        <w:rPr>
          <w:rFonts w:ascii="Arial" w:hAnsi="Arial" w:cs="Arial"/>
          <w:color w:val="000000" w:themeColor="text1"/>
          <w:sz w:val="22"/>
          <w:szCs w:val="22"/>
        </w:rPr>
        <w:t xml:space="preserve"> y Casas de Santa Bárbara),</w:t>
      </w:r>
      <w:r w:rsidR="00425AB1" w:rsidRPr="00C7012F">
        <w:rPr>
          <w:rFonts w:ascii="Arial" w:hAnsi="Arial" w:cs="Arial"/>
          <w:color w:val="000000" w:themeColor="text1"/>
          <w:sz w:val="22"/>
          <w:szCs w:val="22"/>
        </w:rPr>
        <w:t xml:space="preserve"> </w:t>
      </w:r>
      <w:r w:rsidR="008F648E" w:rsidRPr="00C7012F">
        <w:rPr>
          <w:rFonts w:ascii="Arial" w:hAnsi="Arial" w:cs="Arial"/>
          <w:color w:val="000000" w:themeColor="text1"/>
          <w:sz w:val="22"/>
          <w:szCs w:val="22"/>
        </w:rPr>
        <w:t>se observó que el comportamiento del consumo de energía durante el periodo evaluado presenta una tendencia estable. No obstante, es importante mencionar que algunos meses de</w:t>
      </w:r>
      <w:r w:rsidR="00DA5B3A" w:rsidRPr="00C7012F">
        <w:rPr>
          <w:rFonts w:ascii="Arial" w:hAnsi="Arial" w:cs="Arial"/>
          <w:color w:val="000000" w:themeColor="text1"/>
          <w:sz w:val="22"/>
          <w:szCs w:val="22"/>
        </w:rPr>
        <w:t xml:space="preserve"> la vigencia 2020</w:t>
      </w:r>
      <w:r w:rsidR="008F648E" w:rsidRPr="00C7012F">
        <w:rPr>
          <w:rFonts w:ascii="Arial" w:hAnsi="Arial" w:cs="Arial"/>
          <w:color w:val="000000" w:themeColor="text1"/>
          <w:sz w:val="22"/>
          <w:szCs w:val="22"/>
        </w:rPr>
        <w:t xml:space="preserve"> muestran pequeñas variaciones de consumo, las cuales están atribuidas principalmente a la modalidad de trabajo en casa lo que ha provocado, que mes a mes los hábitos de consumo de diversos espacios del Ministerio cambien y con esto la relación de gasto sea diferente </w:t>
      </w:r>
      <w:r w:rsidR="00552F84">
        <w:rPr>
          <w:rFonts w:ascii="Arial" w:hAnsi="Arial" w:cs="Arial"/>
          <w:color w:val="000000" w:themeColor="text1"/>
          <w:sz w:val="22"/>
          <w:szCs w:val="22"/>
        </w:rPr>
        <w:t>en cada</w:t>
      </w:r>
      <w:r w:rsidR="008F648E" w:rsidRPr="00C7012F">
        <w:rPr>
          <w:rFonts w:ascii="Arial" w:hAnsi="Arial" w:cs="Arial"/>
          <w:color w:val="000000" w:themeColor="text1"/>
          <w:sz w:val="22"/>
          <w:szCs w:val="22"/>
        </w:rPr>
        <w:t xml:space="preserve"> periodo evaluado. </w:t>
      </w:r>
    </w:p>
    <w:p w14:paraId="364275F1" w14:textId="77777777" w:rsidR="00CD04AD" w:rsidRPr="00C7012F" w:rsidRDefault="00CD04AD" w:rsidP="007B24CD">
      <w:pPr>
        <w:pStyle w:val="Prrafodelista"/>
        <w:spacing w:line="168" w:lineRule="auto"/>
        <w:ind w:left="0"/>
        <w:contextualSpacing w:val="0"/>
        <w:rPr>
          <w:rFonts w:ascii="Arial" w:hAnsi="Arial" w:cs="Arial"/>
          <w:color w:val="000000" w:themeColor="text1"/>
          <w:sz w:val="22"/>
          <w:szCs w:val="22"/>
        </w:rPr>
      </w:pPr>
    </w:p>
    <w:p w14:paraId="34760DDA" w14:textId="2F429569" w:rsidR="008F648E" w:rsidRPr="00DA5B3A" w:rsidRDefault="008F648E" w:rsidP="00DA5B3A">
      <w:pPr>
        <w:jc w:val="both"/>
        <w:rPr>
          <w:rFonts w:ascii="Arial" w:hAnsi="Arial" w:cs="Arial"/>
          <w:color w:val="000000" w:themeColor="text1"/>
          <w:sz w:val="22"/>
          <w:szCs w:val="22"/>
        </w:rPr>
      </w:pPr>
      <w:r w:rsidRPr="00DA5B3A">
        <w:rPr>
          <w:rFonts w:ascii="Arial" w:hAnsi="Arial" w:cs="Arial"/>
          <w:color w:val="000000" w:themeColor="text1"/>
          <w:sz w:val="22"/>
          <w:szCs w:val="22"/>
        </w:rPr>
        <w:lastRenderedPageBreak/>
        <w:t>Así las cosas, es de precisar que durante el primer trimestre el cual comprende el mes de enero hasta marzo, se evidencia una disminución en el consumo de este servicio; Caso contrario, ocurrió en el mes de abril y mayo donde se identificó un aumento en el gasto de energía</w:t>
      </w:r>
      <w:r w:rsidR="00552F84">
        <w:rPr>
          <w:rFonts w:ascii="Arial" w:hAnsi="Arial" w:cs="Arial"/>
          <w:color w:val="000000" w:themeColor="text1"/>
          <w:sz w:val="22"/>
          <w:szCs w:val="22"/>
        </w:rPr>
        <w:t>. A</w:t>
      </w:r>
      <w:r w:rsidRPr="00DA5B3A">
        <w:rPr>
          <w:rFonts w:ascii="Arial" w:hAnsi="Arial" w:cs="Arial"/>
          <w:color w:val="000000" w:themeColor="text1"/>
          <w:sz w:val="22"/>
          <w:szCs w:val="22"/>
        </w:rPr>
        <w:t xml:space="preserve"> partir del mes de junio hasta septiembre se observó que el consumo tiende a reducirse, presentándose un ahorro.</w:t>
      </w:r>
      <w:r w:rsidR="007B24CD">
        <w:rPr>
          <w:rFonts w:ascii="Arial" w:hAnsi="Arial" w:cs="Arial"/>
          <w:color w:val="000000" w:themeColor="text1"/>
          <w:sz w:val="22"/>
          <w:szCs w:val="22"/>
        </w:rPr>
        <w:t xml:space="preserve"> </w:t>
      </w:r>
      <w:r w:rsidR="00CD04AD">
        <w:rPr>
          <w:rFonts w:ascii="Arial" w:hAnsi="Arial" w:cs="Arial"/>
          <w:color w:val="000000" w:themeColor="text1"/>
          <w:sz w:val="22"/>
          <w:szCs w:val="22"/>
        </w:rPr>
        <w:t xml:space="preserve">Referente al </w:t>
      </w:r>
      <w:r w:rsidRPr="00DA5B3A">
        <w:rPr>
          <w:rFonts w:ascii="Arial" w:hAnsi="Arial" w:cs="Arial"/>
          <w:color w:val="000000" w:themeColor="text1"/>
          <w:sz w:val="22"/>
          <w:szCs w:val="22"/>
        </w:rPr>
        <w:t>consumo en kilovatios, se evidencia</w:t>
      </w:r>
      <w:r w:rsidR="00CD04AD">
        <w:rPr>
          <w:rFonts w:ascii="Arial" w:hAnsi="Arial" w:cs="Arial"/>
          <w:color w:val="000000" w:themeColor="text1"/>
          <w:sz w:val="22"/>
          <w:szCs w:val="22"/>
        </w:rPr>
        <w:t xml:space="preserve"> </w:t>
      </w:r>
      <w:r w:rsidRPr="00DA5B3A">
        <w:rPr>
          <w:rFonts w:ascii="Arial" w:hAnsi="Arial" w:cs="Arial"/>
          <w:color w:val="000000" w:themeColor="text1"/>
          <w:sz w:val="22"/>
          <w:szCs w:val="22"/>
        </w:rPr>
        <w:t xml:space="preserve">que el mismo estuvo directamente relacionado con el valor facturado. </w:t>
      </w:r>
    </w:p>
    <w:p w14:paraId="17C03722" w14:textId="440FE34D" w:rsidR="0019030E" w:rsidRDefault="0019030E" w:rsidP="000E7F3A">
      <w:pPr>
        <w:jc w:val="both"/>
        <w:rPr>
          <w:color w:val="000000" w:themeColor="text1"/>
          <w:highlight w:val="yellow"/>
        </w:rPr>
      </w:pPr>
    </w:p>
    <w:p w14:paraId="308FD38B" w14:textId="32A4E9AE" w:rsidR="0019030E" w:rsidRPr="00A25DA8" w:rsidRDefault="0019030E" w:rsidP="000E7F3A">
      <w:pPr>
        <w:jc w:val="both"/>
        <w:rPr>
          <w:color w:val="000000" w:themeColor="text1"/>
        </w:rPr>
      </w:pPr>
      <w:r w:rsidRPr="00A25DA8">
        <w:rPr>
          <w:noProof/>
          <w:lang w:val="en-US" w:eastAsia="en-US"/>
        </w:rPr>
        <w:drawing>
          <wp:inline distT="0" distB="0" distL="0" distR="0" wp14:anchorId="7BA59019" wp14:editId="0193A685">
            <wp:extent cx="6276975" cy="2076450"/>
            <wp:effectExtent l="0" t="0" r="0" b="0"/>
            <wp:docPr id="25" name="Gráfico 25">
              <a:extLst xmlns:a="http://schemas.openxmlformats.org/drawingml/2006/main">
                <a:ext uri="{FF2B5EF4-FFF2-40B4-BE49-F238E27FC236}">
                  <a16:creationId xmlns:a16="http://schemas.microsoft.com/office/drawing/2014/main" id="{9F20838E-3CFC-4B5C-9DA4-04CA98643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A6FEF23" w14:textId="61A7E147" w:rsidR="004469FE" w:rsidRDefault="00AC544D" w:rsidP="000E7F3A">
      <w:pPr>
        <w:jc w:val="both"/>
      </w:pPr>
      <w:r w:rsidRPr="00A25DA8">
        <w:rPr>
          <w:rStyle w:val="Refdenotaalpie"/>
        </w:rPr>
        <w:footnoteReference w:id="12"/>
      </w:r>
    </w:p>
    <w:p w14:paraId="007A4580" w14:textId="77777777" w:rsidR="00D9251C" w:rsidRPr="00A25DA8" w:rsidRDefault="00D9251C" w:rsidP="000E7F3A">
      <w:pPr>
        <w:jc w:val="both"/>
      </w:pPr>
    </w:p>
    <w:p w14:paraId="7F9DAE9E" w14:textId="58C3AEC0" w:rsidR="00A25DA8" w:rsidRPr="00C7012F" w:rsidRDefault="00A25DA8" w:rsidP="000E7F3A">
      <w:pPr>
        <w:jc w:val="both"/>
        <w:rPr>
          <w:rFonts w:ascii="Arial" w:hAnsi="Arial" w:cs="Arial"/>
          <w:color w:val="000000"/>
          <w:sz w:val="22"/>
          <w:szCs w:val="22"/>
          <w:highlight w:val="yellow"/>
        </w:rPr>
      </w:pPr>
      <w:r w:rsidRPr="00C7012F">
        <w:rPr>
          <w:rFonts w:ascii="Arial" w:hAnsi="Arial" w:cs="Arial"/>
          <w:color w:val="000000"/>
          <w:sz w:val="22"/>
          <w:szCs w:val="22"/>
        </w:rPr>
        <w:t>En lo que respecta a la sede San Agustín, el consumo de kilovatios en el tercer trimestre de 2020</w:t>
      </w:r>
      <w:r w:rsidR="004C1693" w:rsidRPr="00C7012F">
        <w:rPr>
          <w:rFonts w:ascii="Arial" w:hAnsi="Arial" w:cs="Arial"/>
          <w:color w:val="000000"/>
          <w:sz w:val="22"/>
          <w:szCs w:val="22"/>
        </w:rPr>
        <w:t xml:space="preserve"> </w:t>
      </w:r>
      <w:r w:rsidRPr="00C7012F">
        <w:rPr>
          <w:rFonts w:ascii="Arial" w:hAnsi="Arial" w:cs="Arial"/>
          <w:color w:val="000000"/>
          <w:sz w:val="22"/>
          <w:szCs w:val="22"/>
        </w:rPr>
        <w:t>comparado con el mismo periodo de la vigencia 2019,</w:t>
      </w:r>
      <w:r w:rsidR="004C1693" w:rsidRPr="00C7012F">
        <w:rPr>
          <w:rFonts w:ascii="Arial" w:hAnsi="Arial" w:cs="Arial"/>
          <w:color w:val="000000"/>
          <w:sz w:val="22"/>
          <w:szCs w:val="22"/>
        </w:rPr>
        <w:t xml:space="preserve"> </w:t>
      </w:r>
      <w:r w:rsidRPr="00C7012F">
        <w:rPr>
          <w:rFonts w:ascii="Arial" w:hAnsi="Arial" w:cs="Arial"/>
          <w:color w:val="000000"/>
          <w:sz w:val="22"/>
          <w:szCs w:val="22"/>
        </w:rPr>
        <w:t xml:space="preserve">presentó </w:t>
      </w:r>
      <w:r w:rsidRPr="00C7012F">
        <w:rPr>
          <w:rFonts w:ascii="Arial" w:hAnsi="Arial" w:cs="Arial"/>
          <w:b/>
          <w:bCs/>
          <w:color w:val="000000"/>
          <w:sz w:val="22"/>
          <w:szCs w:val="22"/>
        </w:rPr>
        <w:t xml:space="preserve">variaciones negativas </w:t>
      </w:r>
      <w:r w:rsidRPr="00C7012F">
        <w:rPr>
          <w:rFonts w:ascii="Arial" w:hAnsi="Arial" w:cs="Arial"/>
          <w:color w:val="000000"/>
          <w:sz w:val="22"/>
          <w:szCs w:val="22"/>
        </w:rPr>
        <w:t>en los tres</w:t>
      </w:r>
      <w:r w:rsidR="004C1693" w:rsidRPr="00C7012F">
        <w:rPr>
          <w:rFonts w:ascii="Arial" w:hAnsi="Arial" w:cs="Arial"/>
          <w:color w:val="000000"/>
          <w:sz w:val="22"/>
          <w:szCs w:val="22"/>
        </w:rPr>
        <w:t xml:space="preserve"> </w:t>
      </w:r>
      <w:r w:rsidRPr="00C7012F">
        <w:rPr>
          <w:rFonts w:ascii="Arial" w:hAnsi="Arial" w:cs="Arial"/>
          <w:color w:val="000000"/>
          <w:sz w:val="22"/>
          <w:szCs w:val="22"/>
        </w:rPr>
        <w:t>meses analizado</w:t>
      </w:r>
      <w:r w:rsidR="004C1693" w:rsidRPr="00C7012F">
        <w:rPr>
          <w:rFonts w:ascii="Arial" w:hAnsi="Arial" w:cs="Arial"/>
          <w:color w:val="000000"/>
          <w:sz w:val="22"/>
          <w:szCs w:val="22"/>
        </w:rPr>
        <w:t xml:space="preserve">s, equivalente a una </w:t>
      </w:r>
      <w:r w:rsidR="004C1693" w:rsidRPr="00C7012F">
        <w:rPr>
          <w:rFonts w:ascii="Arial" w:hAnsi="Arial" w:cs="Arial"/>
          <w:b/>
          <w:bCs/>
          <w:color w:val="000000"/>
          <w:sz w:val="22"/>
          <w:szCs w:val="22"/>
        </w:rPr>
        <w:t>disminución</w:t>
      </w:r>
      <w:r w:rsidR="004C1693" w:rsidRPr="00C7012F">
        <w:rPr>
          <w:rFonts w:ascii="Arial" w:hAnsi="Arial" w:cs="Arial"/>
          <w:color w:val="000000"/>
          <w:sz w:val="22"/>
          <w:szCs w:val="22"/>
        </w:rPr>
        <w:t xml:space="preserve"> total de 46.330 kilovatios representando un 5%. Referente al valor del consumo facturado, julio y septiembre presentaron variaciones positivas, caso contrario ocurrió en el mes de agosto donde se observó una reducción del gasto del 3%. Finalmente, el total del gasto por consumo de energía durante el tercer trimestre de 2020 </w:t>
      </w:r>
      <w:r w:rsidR="00B30965" w:rsidRPr="00C7012F">
        <w:rPr>
          <w:rFonts w:ascii="Arial" w:hAnsi="Arial" w:cs="Arial"/>
          <w:color w:val="000000"/>
          <w:sz w:val="22"/>
          <w:szCs w:val="22"/>
        </w:rPr>
        <w:t xml:space="preserve">-2019 presentó un </w:t>
      </w:r>
      <w:r w:rsidR="00B30965" w:rsidRPr="00C7012F">
        <w:rPr>
          <w:rFonts w:ascii="Arial" w:hAnsi="Arial" w:cs="Arial"/>
          <w:b/>
          <w:bCs/>
          <w:color w:val="000000"/>
          <w:sz w:val="22"/>
          <w:szCs w:val="22"/>
        </w:rPr>
        <w:t xml:space="preserve">incremento </w:t>
      </w:r>
      <w:r w:rsidR="00B30965" w:rsidRPr="00C7012F">
        <w:rPr>
          <w:rFonts w:ascii="Arial" w:hAnsi="Arial" w:cs="Arial"/>
          <w:color w:val="000000"/>
          <w:sz w:val="22"/>
          <w:szCs w:val="22"/>
        </w:rPr>
        <w:t xml:space="preserve">del 1%. </w:t>
      </w:r>
    </w:p>
    <w:p w14:paraId="54D61A62" w14:textId="34BEF992" w:rsidR="00A25DA8" w:rsidRDefault="00A25DA8" w:rsidP="000E7F3A">
      <w:pPr>
        <w:jc w:val="both"/>
        <w:rPr>
          <w:rFonts w:ascii="Arial" w:hAnsi="Arial" w:cs="Arial"/>
          <w:color w:val="000000"/>
          <w:sz w:val="22"/>
          <w:szCs w:val="22"/>
          <w:highlight w:val="yellow"/>
        </w:rPr>
      </w:pPr>
    </w:p>
    <w:tbl>
      <w:tblPr>
        <w:tblStyle w:val="Tabladecuadrcula1clara-nfasis1"/>
        <w:tblW w:w="0" w:type="auto"/>
        <w:tblLook w:val="04A0" w:firstRow="1" w:lastRow="0" w:firstColumn="1" w:lastColumn="0" w:noHBand="0" w:noVBand="1"/>
      </w:tblPr>
      <w:tblGrid>
        <w:gridCol w:w="1666"/>
        <w:gridCol w:w="1612"/>
        <w:gridCol w:w="1039"/>
        <w:gridCol w:w="1217"/>
        <w:gridCol w:w="1239"/>
        <w:gridCol w:w="1306"/>
        <w:gridCol w:w="1550"/>
      </w:tblGrid>
      <w:tr w:rsidR="00A25DA8" w:rsidRPr="00A25DA8" w14:paraId="675A8EBC" w14:textId="77777777" w:rsidTr="00B30965">
        <w:trPr>
          <w:cnfStyle w:val="100000000000" w:firstRow="1" w:lastRow="0" w:firstColumn="0" w:lastColumn="0" w:oddVBand="0" w:evenVBand="0" w:oddHBand="0" w:evenHBand="0" w:firstRowFirstColumn="0" w:firstRowLastColumn="0" w:lastRowFirstColumn="0" w:lastRowLastColumn="0"/>
          <w:cantSplit/>
          <w:trHeight w:val="569"/>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4F81BD" w:themeFill="accent1"/>
            <w:vAlign w:val="center"/>
            <w:hideMark/>
          </w:tcPr>
          <w:p w14:paraId="6F3535B7" w14:textId="4CC51039"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FFFFFF" w:themeColor="background1"/>
                <w:sz w:val="20"/>
                <w:szCs w:val="20"/>
              </w:rPr>
              <w:t>Variaciones Energía III Trimestre de 2020</w:t>
            </w:r>
            <w:r w:rsidR="00B30965">
              <w:rPr>
                <w:rFonts w:ascii="Arial" w:hAnsi="Arial" w:cs="Arial"/>
                <w:color w:val="FFFFFF" w:themeColor="background1"/>
                <w:sz w:val="20"/>
                <w:szCs w:val="20"/>
              </w:rPr>
              <w:t xml:space="preserve"> Edificio San Agustín</w:t>
            </w:r>
          </w:p>
        </w:tc>
      </w:tr>
      <w:tr w:rsidR="00A25DA8" w:rsidRPr="004C1693" w14:paraId="4BB546D3" w14:textId="77777777" w:rsidTr="004C1693">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1822B9CF" w14:textId="77777777"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Sede</w:t>
            </w:r>
          </w:p>
        </w:tc>
        <w:tc>
          <w:tcPr>
            <w:tcW w:w="0" w:type="auto"/>
            <w:shd w:val="clear" w:color="auto" w:fill="DBE5F1" w:themeFill="accent1" w:themeFillTint="33"/>
            <w:vAlign w:val="center"/>
            <w:hideMark/>
          </w:tcPr>
          <w:p w14:paraId="073F092D"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Concepto</w:t>
            </w:r>
          </w:p>
        </w:tc>
        <w:tc>
          <w:tcPr>
            <w:tcW w:w="0" w:type="auto"/>
            <w:shd w:val="clear" w:color="auto" w:fill="DBE5F1" w:themeFill="accent1" w:themeFillTint="33"/>
            <w:vAlign w:val="center"/>
            <w:hideMark/>
          </w:tcPr>
          <w:p w14:paraId="184FC80F"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Vigencia</w:t>
            </w:r>
          </w:p>
        </w:tc>
        <w:tc>
          <w:tcPr>
            <w:tcW w:w="0" w:type="auto"/>
            <w:shd w:val="clear" w:color="auto" w:fill="DBE5F1" w:themeFill="accent1" w:themeFillTint="33"/>
            <w:vAlign w:val="center"/>
            <w:hideMark/>
          </w:tcPr>
          <w:p w14:paraId="47BAB094"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Julio</w:t>
            </w:r>
          </w:p>
        </w:tc>
        <w:tc>
          <w:tcPr>
            <w:tcW w:w="0" w:type="auto"/>
            <w:shd w:val="clear" w:color="auto" w:fill="DBE5F1" w:themeFill="accent1" w:themeFillTint="33"/>
            <w:vAlign w:val="center"/>
            <w:hideMark/>
          </w:tcPr>
          <w:p w14:paraId="60150265"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Agosto</w:t>
            </w:r>
          </w:p>
        </w:tc>
        <w:tc>
          <w:tcPr>
            <w:tcW w:w="0" w:type="auto"/>
            <w:shd w:val="clear" w:color="auto" w:fill="DBE5F1" w:themeFill="accent1" w:themeFillTint="33"/>
            <w:vAlign w:val="center"/>
            <w:hideMark/>
          </w:tcPr>
          <w:p w14:paraId="2109B45C"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Septiembre</w:t>
            </w:r>
          </w:p>
        </w:tc>
        <w:tc>
          <w:tcPr>
            <w:tcW w:w="0" w:type="auto"/>
            <w:shd w:val="clear" w:color="auto" w:fill="DBE5F1" w:themeFill="accent1" w:themeFillTint="33"/>
            <w:vAlign w:val="center"/>
            <w:hideMark/>
          </w:tcPr>
          <w:p w14:paraId="0C58F4D5"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Total III Trimestre</w:t>
            </w:r>
          </w:p>
        </w:tc>
      </w:tr>
      <w:tr w:rsidR="00A25DA8" w:rsidRPr="004C1693" w14:paraId="49D12B70" w14:textId="77777777" w:rsidTr="00A25DA8">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046AF661" w14:textId="77777777"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Edificio San Agustín</w:t>
            </w:r>
          </w:p>
        </w:tc>
        <w:tc>
          <w:tcPr>
            <w:tcW w:w="0" w:type="auto"/>
            <w:vMerge w:val="restart"/>
            <w:vAlign w:val="center"/>
            <w:hideMark/>
          </w:tcPr>
          <w:p w14:paraId="167AA608"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 xml:space="preserve">Consumo Energía </w:t>
            </w:r>
            <w:proofErr w:type="spellStart"/>
            <w:r w:rsidRPr="00A25DA8">
              <w:rPr>
                <w:rFonts w:ascii="Arial" w:hAnsi="Arial" w:cs="Arial"/>
                <w:color w:val="0F243E" w:themeColor="text2" w:themeShade="80"/>
                <w:sz w:val="20"/>
                <w:szCs w:val="20"/>
              </w:rPr>
              <w:t>Kw</w:t>
            </w:r>
            <w:proofErr w:type="spellEnd"/>
            <w:r w:rsidRPr="00A25DA8">
              <w:rPr>
                <w:rFonts w:ascii="Arial" w:hAnsi="Arial" w:cs="Arial"/>
                <w:color w:val="0F243E" w:themeColor="text2" w:themeShade="80"/>
                <w:sz w:val="20"/>
                <w:szCs w:val="20"/>
              </w:rPr>
              <w:t>/h</w:t>
            </w:r>
          </w:p>
        </w:tc>
        <w:tc>
          <w:tcPr>
            <w:tcW w:w="0" w:type="auto"/>
            <w:vAlign w:val="center"/>
            <w:hideMark/>
          </w:tcPr>
          <w:p w14:paraId="7A403C9F"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2020</w:t>
            </w:r>
          </w:p>
        </w:tc>
        <w:tc>
          <w:tcPr>
            <w:tcW w:w="0" w:type="auto"/>
            <w:vAlign w:val="center"/>
            <w:hideMark/>
          </w:tcPr>
          <w:p w14:paraId="0D62970D"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315.548</w:t>
            </w:r>
          </w:p>
        </w:tc>
        <w:tc>
          <w:tcPr>
            <w:tcW w:w="0" w:type="auto"/>
            <w:vAlign w:val="center"/>
            <w:hideMark/>
          </w:tcPr>
          <w:p w14:paraId="1A4987CB"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301.774</w:t>
            </w:r>
          </w:p>
        </w:tc>
        <w:tc>
          <w:tcPr>
            <w:tcW w:w="0" w:type="auto"/>
            <w:vAlign w:val="center"/>
            <w:hideMark/>
          </w:tcPr>
          <w:p w14:paraId="11EB47D2"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318.052</w:t>
            </w:r>
          </w:p>
        </w:tc>
        <w:tc>
          <w:tcPr>
            <w:tcW w:w="0" w:type="auto"/>
            <w:vAlign w:val="center"/>
            <w:hideMark/>
          </w:tcPr>
          <w:p w14:paraId="0A2F0B4C" w14:textId="48D36AE5"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935.374</w:t>
            </w:r>
          </w:p>
        </w:tc>
      </w:tr>
      <w:tr w:rsidR="00A25DA8" w:rsidRPr="004C1693" w14:paraId="4D0A9274" w14:textId="77777777" w:rsidTr="00A25DA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787C56CE" w14:textId="77777777" w:rsidR="00A25DA8" w:rsidRPr="00A25DA8" w:rsidRDefault="00A25DA8" w:rsidP="004C1693">
            <w:pPr>
              <w:spacing w:before="60" w:after="40"/>
              <w:rPr>
                <w:rFonts w:ascii="Arial" w:hAnsi="Arial" w:cs="Arial"/>
                <w:color w:val="0F243E" w:themeColor="text2" w:themeShade="80"/>
                <w:sz w:val="20"/>
                <w:szCs w:val="20"/>
              </w:rPr>
            </w:pPr>
          </w:p>
        </w:tc>
        <w:tc>
          <w:tcPr>
            <w:tcW w:w="0" w:type="auto"/>
            <w:vMerge/>
            <w:vAlign w:val="center"/>
            <w:hideMark/>
          </w:tcPr>
          <w:p w14:paraId="551B04FC" w14:textId="77777777" w:rsidR="00A25DA8" w:rsidRPr="00A25DA8" w:rsidRDefault="00A25DA8" w:rsidP="004C1693">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089B23F9"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2019</w:t>
            </w:r>
          </w:p>
        </w:tc>
        <w:tc>
          <w:tcPr>
            <w:tcW w:w="0" w:type="auto"/>
            <w:vAlign w:val="center"/>
            <w:hideMark/>
          </w:tcPr>
          <w:p w14:paraId="42BFB490"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321.809</w:t>
            </w:r>
          </w:p>
        </w:tc>
        <w:tc>
          <w:tcPr>
            <w:tcW w:w="0" w:type="auto"/>
            <w:vAlign w:val="center"/>
            <w:hideMark/>
          </w:tcPr>
          <w:p w14:paraId="4F7EDF7D"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333.078</w:t>
            </w:r>
          </w:p>
        </w:tc>
        <w:tc>
          <w:tcPr>
            <w:tcW w:w="0" w:type="auto"/>
            <w:vAlign w:val="center"/>
            <w:hideMark/>
          </w:tcPr>
          <w:p w14:paraId="51509CD2"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326.817</w:t>
            </w:r>
          </w:p>
        </w:tc>
        <w:tc>
          <w:tcPr>
            <w:tcW w:w="0" w:type="auto"/>
            <w:vAlign w:val="center"/>
            <w:hideMark/>
          </w:tcPr>
          <w:p w14:paraId="1C9CF909" w14:textId="54BBDE9D"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981.704</w:t>
            </w:r>
          </w:p>
        </w:tc>
      </w:tr>
      <w:tr w:rsidR="00A25DA8" w:rsidRPr="004C1693" w14:paraId="42FE64ED" w14:textId="77777777" w:rsidTr="004C1693">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vAlign w:val="center"/>
            <w:hideMark/>
          </w:tcPr>
          <w:p w14:paraId="29A15138" w14:textId="77777777"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Variaciones</w:t>
            </w:r>
          </w:p>
        </w:tc>
        <w:tc>
          <w:tcPr>
            <w:tcW w:w="0" w:type="auto"/>
            <w:gridSpan w:val="2"/>
            <w:shd w:val="clear" w:color="auto" w:fill="DBE5F1" w:themeFill="accent1" w:themeFillTint="33"/>
            <w:vAlign w:val="center"/>
            <w:hideMark/>
          </w:tcPr>
          <w:p w14:paraId="2CB5AC75"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Cantidad</w:t>
            </w:r>
          </w:p>
        </w:tc>
        <w:tc>
          <w:tcPr>
            <w:tcW w:w="0" w:type="auto"/>
            <w:shd w:val="clear" w:color="auto" w:fill="DBE5F1" w:themeFill="accent1" w:themeFillTint="33"/>
            <w:vAlign w:val="center"/>
            <w:hideMark/>
          </w:tcPr>
          <w:p w14:paraId="50A5D98C" w14:textId="397FDEAA" w:rsidR="00A25DA8" w:rsidRPr="00A25DA8" w:rsidRDefault="004C1693"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6.261</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0597AFEC" w14:textId="28414DB1" w:rsidR="00A25DA8" w:rsidRPr="00A25DA8" w:rsidRDefault="004C1693"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31.304</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27449EF8" w14:textId="6FC4CE06" w:rsidR="00A25DA8" w:rsidRPr="00A25DA8" w:rsidRDefault="004C1693"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8.765</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0E934658" w14:textId="3E79CBD1" w:rsidR="00A25DA8" w:rsidRPr="00A25DA8" w:rsidRDefault="004C1693"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(46.330)</w:t>
            </w:r>
            <w:r w:rsidR="00A25DA8" w:rsidRPr="00A25DA8">
              <w:rPr>
                <w:rFonts w:ascii="Arial" w:hAnsi="Arial" w:cs="Arial"/>
                <w:b/>
                <w:bCs/>
                <w:color w:val="0F243E" w:themeColor="text2" w:themeShade="80"/>
                <w:sz w:val="20"/>
                <w:szCs w:val="20"/>
              </w:rPr>
              <w:t xml:space="preserve"> </w:t>
            </w:r>
          </w:p>
        </w:tc>
      </w:tr>
      <w:tr w:rsidR="00A25DA8" w:rsidRPr="004C1693" w14:paraId="0AE06996" w14:textId="77777777" w:rsidTr="004C1693">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vAlign w:val="center"/>
            <w:hideMark/>
          </w:tcPr>
          <w:p w14:paraId="3472B276" w14:textId="77777777" w:rsidR="00A25DA8" w:rsidRPr="00A25DA8" w:rsidRDefault="00A25DA8" w:rsidP="004C1693">
            <w:pPr>
              <w:spacing w:before="60" w:after="40"/>
              <w:rPr>
                <w:rFonts w:ascii="Arial" w:hAnsi="Arial" w:cs="Arial"/>
                <w:color w:val="0F243E" w:themeColor="text2" w:themeShade="80"/>
                <w:sz w:val="20"/>
                <w:szCs w:val="20"/>
              </w:rPr>
            </w:pPr>
          </w:p>
        </w:tc>
        <w:tc>
          <w:tcPr>
            <w:tcW w:w="0" w:type="auto"/>
            <w:gridSpan w:val="2"/>
            <w:shd w:val="clear" w:color="auto" w:fill="DBE5F1" w:themeFill="accent1" w:themeFillTint="33"/>
            <w:vAlign w:val="center"/>
            <w:hideMark/>
          </w:tcPr>
          <w:p w14:paraId="2F3534F5"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273D578C" w14:textId="5D1A9DAF" w:rsidR="00A25DA8" w:rsidRPr="00A25DA8" w:rsidRDefault="004C1693"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(2 %)</w:t>
            </w:r>
          </w:p>
        </w:tc>
        <w:tc>
          <w:tcPr>
            <w:tcW w:w="0" w:type="auto"/>
            <w:shd w:val="clear" w:color="auto" w:fill="DBE5F1" w:themeFill="accent1" w:themeFillTint="33"/>
            <w:vAlign w:val="center"/>
            <w:hideMark/>
          </w:tcPr>
          <w:p w14:paraId="775466B4" w14:textId="1B4C303F" w:rsidR="00A25DA8" w:rsidRPr="00A25DA8" w:rsidRDefault="004C1693"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9%</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7BF50737" w14:textId="6759DCB7" w:rsidR="00A25DA8" w:rsidRPr="00A25DA8" w:rsidRDefault="004C1693"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3%</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0222C4B1" w14:textId="3FBEA762" w:rsidR="00A25DA8" w:rsidRPr="00A25DA8" w:rsidRDefault="004C1693"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(5</w:t>
            </w:r>
            <w:r w:rsidR="00A25DA8" w:rsidRPr="00A25DA8">
              <w:rPr>
                <w:rFonts w:ascii="Arial" w:hAnsi="Arial" w:cs="Arial"/>
                <w:b/>
                <w:bCs/>
                <w:color w:val="0F243E" w:themeColor="text2" w:themeShade="80"/>
                <w:sz w:val="20"/>
                <w:szCs w:val="20"/>
              </w:rPr>
              <w:t>%</w:t>
            </w:r>
            <w:r w:rsidRPr="004C1693">
              <w:rPr>
                <w:rFonts w:ascii="Arial" w:hAnsi="Arial" w:cs="Arial"/>
                <w:b/>
                <w:bCs/>
                <w:color w:val="0F243E" w:themeColor="text2" w:themeShade="80"/>
                <w:sz w:val="20"/>
                <w:szCs w:val="20"/>
              </w:rPr>
              <w:t>)</w:t>
            </w:r>
          </w:p>
        </w:tc>
      </w:tr>
      <w:tr w:rsidR="00A25DA8" w:rsidRPr="004C1693" w14:paraId="669E909C" w14:textId="77777777" w:rsidTr="00A25DA8">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5E3F4435" w14:textId="77777777"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Edificio San Agustín</w:t>
            </w:r>
          </w:p>
        </w:tc>
        <w:tc>
          <w:tcPr>
            <w:tcW w:w="0" w:type="auto"/>
            <w:vMerge w:val="restart"/>
            <w:vAlign w:val="center"/>
            <w:hideMark/>
          </w:tcPr>
          <w:p w14:paraId="3C28963D"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Valor ($) Gasto</w:t>
            </w:r>
          </w:p>
        </w:tc>
        <w:tc>
          <w:tcPr>
            <w:tcW w:w="0" w:type="auto"/>
            <w:vAlign w:val="center"/>
            <w:hideMark/>
          </w:tcPr>
          <w:p w14:paraId="7C18696A"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2020</w:t>
            </w:r>
          </w:p>
        </w:tc>
        <w:tc>
          <w:tcPr>
            <w:tcW w:w="0" w:type="auto"/>
            <w:vAlign w:val="center"/>
            <w:hideMark/>
          </w:tcPr>
          <w:p w14:paraId="4F90FDBE"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84.090.610</w:t>
            </w:r>
          </w:p>
        </w:tc>
        <w:tc>
          <w:tcPr>
            <w:tcW w:w="0" w:type="auto"/>
            <w:vAlign w:val="center"/>
            <w:hideMark/>
          </w:tcPr>
          <w:p w14:paraId="08635425"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80.514.007</w:t>
            </w:r>
          </w:p>
        </w:tc>
        <w:tc>
          <w:tcPr>
            <w:tcW w:w="0" w:type="auto"/>
            <w:vAlign w:val="center"/>
            <w:hideMark/>
          </w:tcPr>
          <w:p w14:paraId="659FB50E"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84.857.015</w:t>
            </w:r>
          </w:p>
        </w:tc>
        <w:tc>
          <w:tcPr>
            <w:tcW w:w="0" w:type="auto"/>
            <w:vAlign w:val="center"/>
            <w:hideMark/>
          </w:tcPr>
          <w:p w14:paraId="3AF1BAF8" w14:textId="36D7B035" w:rsidR="00A25DA8" w:rsidRPr="00A25DA8" w:rsidRDefault="00A25DA8" w:rsidP="004C1693">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 xml:space="preserve">   249.461.632 </w:t>
            </w:r>
          </w:p>
        </w:tc>
      </w:tr>
      <w:tr w:rsidR="00A25DA8" w:rsidRPr="004C1693" w14:paraId="09962D0E" w14:textId="77777777" w:rsidTr="00A25DA8">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C1EACAD" w14:textId="77777777" w:rsidR="00A25DA8" w:rsidRPr="00A25DA8" w:rsidRDefault="00A25DA8" w:rsidP="004C1693">
            <w:pPr>
              <w:spacing w:before="60" w:after="40"/>
              <w:rPr>
                <w:rFonts w:ascii="Arial" w:hAnsi="Arial" w:cs="Arial"/>
                <w:color w:val="0F243E" w:themeColor="text2" w:themeShade="80"/>
                <w:sz w:val="20"/>
                <w:szCs w:val="20"/>
              </w:rPr>
            </w:pPr>
          </w:p>
        </w:tc>
        <w:tc>
          <w:tcPr>
            <w:tcW w:w="0" w:type="auto"/>
            <w:vMerge/>
            <w:vAlign w:val="center"/>
            <w:hideMark/>
          </w:tcPr>
          <w:p w14:paraId="6FD35A49" w14:textId="77777777" w:rsidR="00A25DA8" w:rsidRPr="00A25DA8" w:rsidRDefault="00A25DA8" w:rsidP="004C1693">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1A3BA306"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2019</w:t>
            </w:r>
          </w:p>
        </w:tc>
        <w:tc>
          <w:tcPr>
            <w:tcW w:w="0" w:type="auto"/>
            <w:vAlign w:val="center"/>
            <w:hideMark/>
          </w:tcPr>
          <w:p w14:paraId="7CE9E46F"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80.677.347</w:t>
            </w:r>
          </w:p>
        </w:tc>
        <w:tc>
          <w:tcPr>
            <w:tcW w:w="0" w:type="auto"/>
            <w:vAlign w:val="center"/>
            <w:hideMark/>
          </w:tcPr>
          <w:p w14:paraId="33ED6C90"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82.620.869</w:t>
            </w:r>
          </w:p>
        </w:tc>
        <w:tc>
          <w:tcPr>
            <w:tcW w:w="0" w:type="auto"/>
            <w:vAlign w:val="center"/>
            <w:hideMark/>
          </w:tcPr>
          <w:p w14:paraId="366A9C11"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82.493.577</w:t>
            </w:r>
          </w:p>
        </w:tc>
        <w:tc>
          <w:tcPr>
            <w:tcW w:w="0" w:type="auto"/>
            <w:vAlign w:val="center"/>
            <w:hideMark/>
          </w:tcPr>
          <w:p w14:paraId="32F20427" w14:textId="0B8FA37E" w:rsidR="00A25DA8" w:rsidRPr="00A25DA8" w:rsidRDefault="00A25DA8" w:rsidP="004C1693">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 xml:space="preserve">   245.791.793 </w:t>
            </w:r>
          </w:p>
        </w:tc>
      </w:tr>
      <w:tr w:rsidR="00A25DA8" w:rsidRPr="004C1693" w14:paraId="4A03D23B" w14:textId="77777777" w:rsidTr="004C1693">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vAlign w:val="center"/>
            <w:hideMark/>
          </w:tcPr>
          <w:p w14:paraId="614B203D" w14:textId="77777777" w:rsidR="00A25DA8" w:rsidRPr="00A25DA8" w:rsidRDefault="00A25DA8" w:rsidP="004C1693">
            <w:pPr>
              <w:spacing w:before="60" w:after="4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Variaciones</w:t>
            </w:r>
          </w:p>
        </w:tc>
        <w:tc>
          <w:tcPr>
            <w:tcW w:w="0" w:type="auto"/>
            <w:gridSpan w:val="2"/>
            <w:shd w:val="clear" w:color="auto" w:fill="DBE5F1" w:themeFill="accent1" w:themeFillTint="33"/>
            <w:vAlign w:val="center"/>
            <w:hideMark/>
          </w:tcPr>
          <w:p w14:paraId="1A20C02B"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 xml:space="preserve">Valor ($) Consumo </w:t>
            </w:r>
          </w:p>
        </w:tc>
        <w:tc>
          <w:tcPr>
            <w:tcW w:w="0" w:type="auto"/>
            <w:shd w:val="clear" w:color="auto" w:fill="DBE5F1" w:themeFill="accent1" w:themeFillTint="33"/>
            <w:vAlign w:val="center"/>
            <w:hideMark/>
          </w:tcPr>
          <w:p w14:paraId="7578FCB2"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3.413.263</w:t>
            </w:r>
          </w:p>
        </w:tc>
        <w:tc>
          <w:tcPr>
            <w:tcW w:w="0" w:type="auto"/>
            <w:shd w:val="clear" w:color="auto" w:fill="DBE5F1" w:themeFill="accent1" w:themeFillTint="33"/>
            <w:vAlign w:val="center"/>
            <w:hideMark/>
          </w:tcPr>
          <w:p w14:paraId="3D833904" w14:textId="1DC2B0B3" w:rsidR="00A25DA8" w:rsidRPr="00A25DA8" w:rsidRDefault="004C1693"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2.106.862</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6E2F2E22"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2.363.438</w:t>
            </w:r>
          </w:p>
        </w:tc>
        <w:tc>
          <w:tcPr>
            <w:tcW w:w="0" w:type="auto"/>
            <w:shd w:val="clear" w:color="auto" w:fill="DBE5F1" w:themeFill="accent1" w:themeFillTint="33"/>
            <w:vAlign w:val="center"/>
            <w:hideMark/>
          </w:tcPr>
          <w:p w14:paraId="2309CCD5" w14:textId="77777777" w:rsidR="00A25DA8" w:rsidRPr="00A25DA8" w:rsidRDefault="00A25DA8" w:rsidP="004C1693">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3.669.839</w:t>
            </w:r>
          </w:p>
        </w:tc>
      </w:tr>
      <w:tr w:rsidR="00A25DA8" w:rsidRPr="004C1693" w14:paraId="7CCC2036" w14:textId="77777777" w:rsidTr="004C1693">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vAlign w:val="center"/>
            <w:hideMark/>
          </w:tcPr>
          <w:p w14:paraId="0FA50CE2" w14:textId="77777777" w:rsidR="00A25DA8" w:rsidRPr="00A25DA8" w:rsidRDefault="00A25DA8" w:rsidP="004C1693">
            <w:pPr>
              <w:spacing w:before="60" w:after="40"/>
              <w:rPr>
                <w:rFonts w:ascii="Arial" w:hAnsi="Arial" w:cs="Arial"/>
                <w:color w:val="0F243E" w:themeColor="text2" w:themeShade="80"/>
                <w:sz w:val="20"/>
                <w:szCs w:val="20"/>
              </w:rPr>
            </w:pPr>
          </w:p>
        </w:tc>
        <w:tc>
          <w:tcPr>
            <w:tcW w:w="0" w:type="auto"/>
            <w:gridSpan w:val="2"/>
            <w:shd w:val="clear" w:color="auto" w:fill="DBE5F1" w:themeFill="accent1" w:themeFillTint="33"/>
            <w:vAlign w:val="center"/>
            <w:hideMark/>
          </w:tcPr>
          <w:p w14:paraId="49EBFFB6"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7DBDB923"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4%</w:t>
            </w:r>
          </w:p>
        </w:tc>
        <w:tc>
          <w:tcPr>
            <w:tcW w:w="0" w:type="auto"/>
            <w:shd w:val="clear" w:color="auto" w:fill="DBE5F1" w:themeFill="accent1" w:themeFillTint="33"/>
            <w:vAlign w:val="center"/>
            <w:hideMark/>
          </w:tcPr>
          <w:p w14:paraId="7274739D" w14:textId="695A9517" w:rsidR="00A25DA8" w:rsidRPr="00A25DA8" w:rsidRDefault="004C1693"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4C1693">
              <w:rPr>
                <w:rFonts w:ascii="Arial" w:hAnsi="Arial" w:cs="Arial"/>
                <w:b/>
                <w:bCs/>
                <w:color w:val="0F243E" w:themeColor="text2" w:themeShade="80"/>
                <w:sz w:val="20"/>
                <w:szCs w:val="20"/>
              </w:rPr>
              <w:t>(</w:t>
            </w:r>
            <w:r w:rsidR="00A25DA8" w:rsidRPr="00A25DA8">
              <w:rPr>
                <w:rFonts w:ascii="Arial" w:hAnsi="Arial" w:cs="Arial"/>
                <w:b/>
                <w:bCs/>
                <w:color w:val="0F243E" w:themeColor="text2" w:themeShade="80"/>
                <w:sz w:val="20"/>
                <w:szCs w:val="20"/>
              </w:rPr>
              <w:t>3%</w:t>
            </w:r>
            <w:r w:rsidRPr="004C1693">
              <w:rPr>
                <w:rFonts w:ascii="Arial" w:hAnsi="Arial" w:cs="Arial"/>
                <w:b/>
                <w:bCs/>
                <w:color w:val="0F243E" w:themeColor="text2" w:themeShade="80"/>
                <w:sz w:val="20"/>
                <w:szCs w:val="20"/>
              </w:rPr>
              <w:t>)</w:t>
            </w:r>
          </w:p>
        </w:tc>
        <w:tc>
          <w:tcPr>
            <w:tcW w:w="0" w:type="auto"/>
            <w:shd w:val="clear" w:color="auto" w:fill="DBE5F1" w:themeFill="accent1" w:themeFillTint="33"/>
            <w:vAlign w:val="center"/>
            <w:hideMark/>
          </w:tcPr>
          <w:p w14:paraId="788450A2"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3%</w:t>
            </w:r>
          </w:p>
        </w:tc>
        <w:tc>
          <w:tcPr>
            <w:tcW w:w="0" w:type="auto"/>
            <w:shd w:val="clear" w:color="auto" w:fill="DBE5F1" w:themeFill="accent1" w:themeFillTint="33"/>
            <w:vAlign w:val="center"/>
            <w:hideMark/>
          </w:tcPr>
          <w:p w14:paraId="071647C6" w14:textId="77777777" w:rsidR="00A25DA8" w:rsidRPr="00A25DA8" w:rsidRDefault="00A25DA8" w:rsidP="004C169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1%</w:t>
            </w:r>
          </w:p>
        </w:tc>
      </w:tr>
    </w:tbl>
    <w:p w14:paraId="24F92CA0" w14:textId="1220A72E" w:rsidR="00A25DA8" w:rsidRPr="00C7012F" w:rsidRDefault="00B30965" w:rsidP="000E7F3A">
      <w:pPr>
        <w:jc w:val="both"/>
        <w:rPr>
          <w:rFonts w:ascii="Arial" w:hAnsi="Arial" w:cs="Arial"/>
          <w:color w:val="000000"/>
          <w:sz w:val="22"/>
          <w:szCs w:val="22"/>
        </w:rPr>
      </w:pPr>
      <w:r w:rsidRPr="00C7012F">
        <w:rPr>
          <w:rFonts w:ascii="Arial" w:hAnsi="Arial" w:cs="Arial"/>
          <w:color w:val="000000"/>
          <w:sz w:val="22"/>
          <w:szCs w:val="22"/>
        </w:rPr>
        <w:lastRenderedPageBreak/>
        <w:t>Para la sede de Casas de Santa Bárbara, durante el tercer trimestre de 2020 comparado con igual</w:t>
      </w:r>
      <w:r w:rsidRPr="00C7012F">
        <w:rPr>
          <w:rFonts w:ascii="Arial" w:hAnsi="Arial" w:cs="Arial"/>
          <w:color w:val="000000"/>
          <w:sz w:val="22"/>
          <w:szCs w:val="22"/>
        </w:rPr>
        <w:br/>
        <w:t xml:space="preserve">trimestre de 2019, se </w:t>
      </w:r>
      <w:r w:rsidR="0095628B" w:rsidRPr="00C7012F">
        <w:rPr>
          <w:rFonts w:ascii="Arial" w:hAnsi="Arial" w:cs="Arial"/>
          <w:color w:val="000000"/>
          <w:sz w:val="22"/>
          <w:szCs w:val="22"/>
        </w:rPr>
        <w:t xml:space="preserve">observaron variaciones negativas, tanto para el consumo como para el valor del gasto para los tres meses que conforman el periodo analizado. En consecuencia, el total de consumo en kilovatios presentó un </w:t>
      </w:r>
      <w:r w:rsidR="0095628B" w:rsidRPr="00C7012F">
        <w:rPr>
          <w:rFonts w:ascii="Arial" w:hAnsi="Arial" w:cs="Arial"/>
          <w:b/>
          <w:bCs/>
          <w:color w:val="000000"/>
          <w:sz w:val="22"/>
          <w:szCs w:val="22"/>
        </w:rPr>
        <w:t xml:space="preserve">ahorro </w:t>
      </w:r>
      <w:r w:rsidR="0095628B" w:rsidRPr="00C7012F">
        <w:rPr>
          <w:rFonts w:ascii="Arial" w:hAnsi="Arial" w:cs="Arial"/>
          <w:color w:val="000000"/>
          <w:sz w:val="22"/>
          <w:szCs w:val="22"/>
        </w:rPr>
        <w:t xml:space="preserve">de 92.000 kilovatios equivalente a un 35% y el valor del gasto del consumo de energía </w:t>
      </w:r>
      <w:r w:rsidR="0095628B" w:rsidRPr="00C7012F">
        <w:rPr>
          <w:rFonts w:ascii="Arial" w:hAnsi="Arial" w:cs="Arial"/>
          <w:b/>
          <w:bCs/>
          <w:color w:val="000000"/>
          <w:sz w:val="22"/>
          <w:szCs w:val="22"/>
        </w:rPr>
        <w:t xml:space="preserve">disminuyó </w:t>
      </w:r>
      <w:r w:rsidR="0095628B" w:rsidRPr="00C7012F">
        <w:rPr>
          <w:rFonts w:ascii="Arial" w:hAnsi="Arial" w:cs="Arial"/>
          <w:color w:val="000000"/>
          <w:sz w:val="22"/>
          <w:szCs w:val="22"/>
        </w:rPr>
        <w:t xml:space="preserve">en $ 39.767.020 representando un 38%. De lo anterior, se deduce que la reducción en el valor facturado está directamente relacionada con </w:t>
      </w:r>
      <w:r w:rsidR="000A3EAA">
        <w:rPr>
          <w:rFonts w:ascii="Arial" w:hAnsi="Arial" w:cs="Arial"/>
          <w:color w:val="000000"/>
          <w:sz w:val="22"/>
          <w:szCs w:val="22"/>
        </w:rPr>
        <w:t xml:space="preserve">el </w:t>
      </w:r>
      <w:r w:rsidR="0095628B" w:rsidRPr="00C7012F">
        <w:rPr>
          <w:rFonts w:ascii="Arial" w:hAnsi="Arial" w:cs="Arial"/>
          <w:color w:val="000000"/>
          <w:sz w:val="22"/>
          <w:szCs w:val="22"/>
        </w:rPr>
        <w:t>ahorro observado en el número de kilovatios consumidos en el periodo objeto de verificación.</w:t>
      </w:r>
    </w:p>
    <w:p w14:paraId="146DCC1C" w14:textId="77777777" w:rsidR="0095628B" w:rsidRDefault="0095628B" w:rsidP="000E7F3A">
      <w:pPr>
        <w:jc w:val="both"/>
        <w:rPr>
          <w:rFonts w:ascii="Arial" w:hAnsi="Arial" w:cs="Arial"/>
          <w:color w:val="000000"/>
          <w:sz w:val="22"/>
          <w:szCs w:val="22"/>
          <w:highlight w:val="yellow"/>
        </w:rPr>
      </w:pPr>
    </w:p>
    <w:tbl>
      <w:tblPr>
        <w:tblStyle w:val="Tabladecuadrcula1clara-nfasis1"/>
        <w:tblW w:w="0" w:type="auto"/>
        <w:tblLook w:val="04A0" w:firstRow="1" w:lastRow="0" w:firstColumn="1" w:lastColumn="0" w:noHBand="0" w:noVBand="1"/>
      </w:tblPr>
      <w:tblGrid>
        <w:gridCol w:w="1643"/>
        <w:gridCol w:w="1449"/>
        <w:gridCol w:w="1039"/>
        <w:gridCol w:w="1351"/>
        <w:gridCol w:w="1351"/>
        <w:gridCol w:w="1306"/>
        <w:gridCol w:w="1490"/>
      </w:tblGrid>
      <w:tr w:rsidR="00B30965" w:rsidRPr="00A25DA8" w14:paraId="6949AF30" w14:textId="77777777" w:rsidTr="00B33AF7">
        <w:trPr>
          <w:cnfStyle w:val="100000000000" w:firstRow="1" w:lastRow="0" w:firstColumn="0" w:lastColumn="0" w:oddVBand="0" w:evenVBand="0" w:oddHBand="0" w:evenHBand="0" w:firstRowFirstColumn="0" w:firstRowLastColumn="0" w:lastRowFirstColumn="0" w:lastRowLastColumn="0"/>
          <w:cantSplit/>
          <w:trHeight w:val="569"/>
        </w:trPr>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4F81BD" w:themeFill="accent1"/>
            <w:vAlign w:val="center"/>
            <w:hideMark/>
          </w:tcPr>
          <w:p w14:paraId="3CD5988A" w14:textId="3CBE6518" w:rsidR="00B30965" w:rsidRPr="00A25DA8" w:rsidRDefault="00B30965" w:rsidP="007B24CD">
            <w:pPr>
              <w:spacing w:before="60" w:after="80"/>
              <w:jc w:val="center"/>
              <w:rPr>
                <w:rFonts w:ascii="Arial" w:hAnsi="Arial" w:cs="Arial"/>
                <w:color w:val="0F243E" w:themeColor="text2" w:themeShade="80"/>
                <w:sz w:val="20"/>
                <w:szCs w:val="20"/>
              </w:rPr>
            </w:pPr>
            <w:r w:rsidRPr="00A25DA8">
              <w:rPr>
                <w:rFonts w:ascii="Arial" w:hAnsi="Arial" w:cs="Arial"/>
                <w:color w:val="FFFFFF" w:themeColor="background1"/>
                <w:sz w:val="20"/>
                <w:szCs w:val="20"/>
              </w:rPr>
              <w:t xml:space="preserve">Variaciones Energía III Trimestre de </w:t>
            </w:r>
            <w:r w:rsidR="00DC01D4" w:rsidRPr="00A25DA8">
              <w:rPr>
                <w:rFonts w:ascii="Arial" w:hAnsi="Arial" w:cs="Arial"/>
                <w:color w:val="FFFFFF" w:themeColor="background1"/>
                <w:sz w:val="20"/>
                <w:szCs w:val="20"/>
              </w:rPr>
              <w:t>2020</w:t>
            </w:r>
            <w:r w:rsidR="00DC01D4">
              <w:rPr>
                <w:rFonts w:ascii="Arial" w:hAnsi="Arial" w:cs="Arial"/>
                <w:color w:val="FFFFFF" w:themeColor="background1"/>
                <w:sz w:val="20"/>
                <w:szCs w:val="20"/>
              </w:rPr>
              <w:t xml:space="preserve"> Casas</w:t>
            </w:r>
            <w:r>
              <w:rPr>
                <w:rFonts w:ascii="Arial" w:hAnsi="Arial" w:cs="Arial"/>
                <w:color w:val="FFFFFF" w:themeColor="background1"/>
                <w:sz w:val="20"/>
                <w:szCs w:val="20"/>
              </w:rPr>
              <w:t xml:space="preserve"> de Santa Bárbara</w:t>
            </w:r>
          </w:p>
        </w:tc>
      </w:tr>
      <w:tr w:rsidR="00B30965" w:rsidRPr="004C1693" w14:paraId="72AE854E"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vAlign w:val="center"/>
            <w:hideMark/>
          </w:tcPr>
          <w:p w14:paraId="4AD2A219" w14:textId="77777777" w:rsidR="00B30965" w:rsidRPr="00A25DA8" w:rsidRDefault="00B30965" w:rsidP="007B24CD">
            <w:pPr>
              <w:spacing w:before="60" w:after="8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Sede</w:t>
            </w:r>
          </w:p>
        </w:tc>
        <w:tc>
          <w:tcPr>
            <w:tcW w:w="0" w:type="auto"/>
            <w:shd w:val="clear" w:color="auto" w:fill="DBE5F1" w:themeFill="accent1" w:themeFillTint="33"/>
            <w:vAlign w:val="center"/>
            <w:hideMark/>
          </w:tcPr>
          <w:p w14:paraId="0DA174DF"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Concepto</w:t>
            </w:r>
          </w:p>
        </w:tc>
        <w:tc>
          <w:tcPr>
            <w:tcW w:w="0" w:type="auto"/>
            <w:shd w:val="clear" w:color="auto" w:fill="DBE5F1" w:themeFill="accent1" w:themeFillTint="33"/>
            <w:vAlign w:val="center"/>
            <w:hideMark/>
          </w:tcPr>
          <w:p w14:paraId="060D560C"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Vigencia</w:t>
            </w:r>
          </w:p>
        </w:tc>
        <w:tc>
          <w:tcPr>
            <w:tcW w:w="1220" w:type="dxa"/>
            <w:shd w:val="clear" w:color="auto" w:fill="DBE5F1" w:themeFill="accent1" w:themeFillTint="33"/>
            <w:vAlign w:val="center"/>
            <w:hideMark/>
          </w:tcPr>
          <w:p w14:paraId="48AAC554"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Julio</w:t>
            </w:r>
          </w:p>
        </w:tc>
        <w:tc>
          <w:tcPr>
            <w:tcW w:w="1220" w:type="dxa"/>
            <w:shd w:val="clear" w:color="auto" w:fill="DBE5F1" w:themeFill="accent1" w:themeFillTint="33"/>
            <w:vAlign w:val="center"/>
            <w:hideMark/>
          </w:tcPr>
          <w:p w14:paraId="5A60FF7B"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Agosto</w:t>
            </w:r>
          </w:p>
        </w:tc>
        <w:tc>
          <w:tcPr>
            <w:tcW w:w="0" w:type="auto"/>
            <w:shd w:val="clear" w:color="auto" w:fill="DBE5F1" w:themeFill="accent1" w:themeFillTint="33"/>
            <w:vAlign w:val="center"/>
            <w:hideMark/>
          </w:tcPr>
          <w:p w14:paraId="5635F4F6"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Septiembre</w:t>
            </w:r>
          </w:p>
        </w:tc>
        <w:tc>
          <w:tcPr>
            <w:tcW w:w="0" w:type="auto"/>
            <w:shd w:val="clear" w:color="auto" w:fill="DBE5F1" w:themeFill="accent1" w:themeFillTint="33"/>
            <w:vAlign w:val="center"/>
            <w:hideMark/>
          </w:tcPr>
          <w:p w14:paraId="6F03750E"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Total III Trimestre</w:t>
            </w:r>
          </w:p>
        </w:tc>
      </w:tr>
      <w:tr w:rsidR="00B30965" w:rsidRPr="004C1693" w14:paraId="1D97A2DB"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C3CFED8" w14:textId="27134B70" w:rsidR="00B30965" w:rsidRPr="00A25DA8" w:rsidRDefault="00B30965" w:rsidP="007B24CD">
            <w:pPr>
              <w:spacing w:before="60" w:after="80"/>
              <w:jc w:val="center"/>
              <w:rPr>
                <w:rFonts w:ascii="Arial" w:hAnsi="Arial" w:cs="Arial"/>
                <w:color w:val="0F243E" w:themeColor="text2" w:themeShade="80"/>
                <w:sz w:val="20"/>
                <w:szCs w:val="20"/>
              </w:rPr>
            </w:pPr>
            <w:r>
              <w:rPr>
                <w:rFonts w:ascii="Arial" w:hAnsi="Arial" w:cs="Arial"/>
                <w:color w:val="0F243E" w:themeColor="text2" w:themeShade="80"/>
                <w:sz w:val="20"/>
                <w:szCs w:val="20"/>
              </w:rPr>
              <w:t>Casas de Santa Bárbara</w:t>
            </w:r>
          </w:p>
        </w:tc>
        <w:tc>
          <w:tcPr>
            <w:tcW w:w="0" w:type="auto"/>
            <w:vMerge w:val="restart"/>
            <w:vAlign w:val="center"/>
            <w:hideMark/>
          </w:tcPr>
          <w:p w14:paraId="3B096189"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 xml:space="preserve">Consumo Energía </w:t>
            </w:r>
            <w:proofErr w:type="spellStart"/>
            <w:r w:rsidRPr="00A25DA8">
              <w:rPr>
                <w:rFonts w:ascii="Arial" w:hAnsi="Arial" w:cs="Arial"/>
                <w:color w:val="0F243E" w:themeColor="text2" w:themeShade="80"/>
                <w:sz w:val="20"/>
                <w:szCs w:val="20"/>
              </w:rPr>
              <w:t>Kw</w:t>
            </w:r>
            <w:proofErr w:type="spellEnd"/>
            <w:r w:rsidRPr="00A25DA8">
              <w:rPr>
                <w:rFonts w:ascii="Arial" w:hAnsi="Arial" w:cs="Arial"/>
                <w:color w:val="0F243E" w:themeColor="text2" w:themeShade="80"/>
                <w:sz w:val="20"/>
                <w:szCs w:val="20"/>
              </w:rPr>
              <w:t>/h</w:t>
            </w:r>
          </w:p>
        </w:tc>
        <w:tc>
          <w:tcPr>
            <w:tcW w:w="0" w:type="auto"/>
            <w:vAlign w:val="center"/>
            <w:hideMark/>
          </w:tcPr>
          <w:p w14:paraId="71EFA008"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2020</w:t>
            </w:r>
          </w:p>
        </w:tc>
        <w:tc>
          <w:tcPr>
            <w:tcW w:w="1220" w:type="dxa"/>
            <w:vAlign w:val="center"/>
          </w:tcPr>
          <w:p w14:paraId="10DB35E4" w14:textId="20EA0CB5"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56.000</w:t>
            </w:r>
          </w:p>
        </w:tc>
        <w:tc>
          <w:tcPr>
            <w:tcW w:w="1220" w:type="dxa"/>
            <w:vAlign w:val="center"/>
          </w:tcPr>
          <w:p w14:paraId="44AF1D5B" w14:textId="4DF63586"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52.000</w:t>
            </w:r>
          </w:p>
        </w:tc>
        <w:tc>
          <w:tcPr>
            <w:tcW w:w="0" w:type="auto"/>
            <w:vAlign w:val="center"/>
          </w:tcPr>
          <w:p w14:paraId="0D060860" w14:textId="7970313D"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62.000</w:t>
            </w:r>
          </w:p>
        </w:tc>
        <w:tc>
          <w:tcPr>
            <w:tcW w:w="0" w:type="auto"/>
            <w:vAlign w:val="center"/>
          </w:tcPr>
          <w:p w14:paraId="3B7BF5F6" w14:textId="514793C9"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b/>
                <w:bCs/>
                <w:color w:val="0F243E" w:themeColor="text2" w:themeShade="80"/>
                <w:sz w:val="20"/>
                <w:szCs w:val="20"/>
              </w:rPr>
              <w:t xml:space="preserve">170.000 </w:t>
            </w:r>
          </w:p>
        </w:tc>
      </w:tr>
      <w:tr w:rsidR="00B30965" w:rsidRPr="004C1693" w14:paraId="63E38160"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5D4F5FC8" w14:textId="77777777" w:rsidR="00B30965" w:rsidRPr="00A25DA8" w:rsidRDefault="00B30965" w:rsidP="007B24CD">
            <w:pPr>
              <w:spacing w:before="60" w:after="80"/>
              <w:rPr>
                <w:rFonts w:ascii="Arial" w:hAnsi="Arial" w:cs="Arial"/>
                <w:color w:val="0F243E" w:themeColor="text2" w:themeShade="80"/>
                <w:sz w:val="20"/>
                <w:szCs w:val="20"/>
              </w:rPr>
            </w:pPr>
          </w:p>
        </w:tc>
        <w:tc>
          <w:tcPr>
            <w:tcW w:w="0" w:type="auto"/>
            <w:vMerge/>
            <w:vAlign w:val="center"/>
            <w:hideMark/>
          </w:tcPr>
          <w:p w14:paraId="491A6CA6" w14:textId="77777777" w:rsidR="00B30965" w:rsidRPr="00A25DA8" w:rsidRDefault="00B30965" w:rsidP="007B24C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15C6F2DA"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2019</w:t>
            </w:r>
          </w:p>
        </w:tc>
        <w:tc>
          <w:tcPr>
            <w:tcW w:w="1220" w:type="dxa"/>
            <w:vAlign w:val="center"/>
          </w:tcPr>
          <w:p w14:paraId="0C5F40CF" w14:textId="778D90DB"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84.000</w:t>
            </w:r>
          </w:p>
        </w:tc>
        <w:tc>
          <w:tcPr>
            <w:tcW w:w="1220" w:type="dxa"/>
            <w:vAlign w:val="center"/>
          </w:tcPr>
          <w:p w14:paraId="3D45EDBC" w14:textId="0CFB25BC"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90.000</w:t>
            </w:r>
          </w:p>
        </w:tc>
        <w:tc>
          <w:tcPr>
            <w:tcW w:w="0" w:type="auto"/>
            <w:vAlign w:val="center"/>
          </w:tcPr>
          <w:p w14:paraId="3EBE2967" w14:textId="19E360A9"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88.000</w:t>
            </w:r>
          </w:p>
        </w:tc>
        <w:tc>
          <w:tcPr>
            <w:tcW w:w="0" w:type="auto"/>
            <w:vAlign w:val="center"/>
          </w:tcPr>
          <w:p w14:paraId="204721AC" w14:textId="41FD5585"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b/>
                <w:bCs/>
                <w:color w:val="0F243E" w:themeColor="text2" w:themeShade="80"/>
                <w:sz w:val="20"/>
                <w:szCs w:val="20"/>
              </w:rPr>
              <w:t xml:space="preserve">262.000 </w:t>
            </w:r>
          </w:p>
        </w:tc>
      </w:tr>
      <w:tr w:rsidR="00B30965" w:rsidRPr="004C1693" w14:paraId="5FD1BDE6"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vAlign w:val="center"/>
            <w:hideMark/>
          </w:tcPr>
          <w:p w14:paraId="29E71B10" w14:textId="77777777" w:rsidR="00B30965" w:rsidRPr="00A25DA8" w:rsidRDefault="00B30965" w:rsidP="007B24CD">
            <w:pPr>
              <w:spacing w:before="60" w:after="8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Variaciones</w:t>
            </w:r>
          </w:p>
        </w:tc>
        <w:tc>
          <w:tcPr>
            <w:tcW w:w="0" w:type="auto"/>
            <w:gridSpan w:val="2"/>
            <w:shd w:val="clear" w:color="auto" w:fill="DBE5F1" w:themeFill="accent1" w:themeFillTint="33"/>
            <w:vAlign w:val="center"/>
            <w:hideMark/>
          </w:tcPr>
          <w:p w14:paraId="220610D4"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Cantidad</w:t>
            </w:r>
          </w:p>
        </w:tc>
        <w:tc>
          <w:tcPr>
            <w:tcW w:w="1220" w:type="dxa"/>
            <w:shd w:val="clear" w:color="auto" w:fill="DBE5F1" w:themeFill="accent1" w:themeFillTint="33"/>
            <w:vAlign w:val="center"/>
          </w:tcPr>
          <w:p w14:paraId="5DC04A96" w14:textId="470484FD"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28.000</w:t>
            </w: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 xml:space="preserve"> </w:t>
            </w:r>
          </w:p>
        </w:tc>
        <w:tc>
          <w:tcPr>
            <w:tcW w:w="1220" w:type="dxa"/>
            <w:shd w:val="clear" w:color="auto" w:fill="DBE5F1" w:themeFill="accent1" w:themeFillTint="33"/>
            <w:vAlign w:val="center"/>
          </w:tcPr>
          <w:p w14:paraId="34FA57D3" w14:textId="1CB5124E"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38.000</w:t>
            </w: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 xml:space="preserve"> </w:t>
            </w:r>
          </w:p>
        </w:tc>
        <w:tc>
          <w:tcPr>
            <w:tcW w:w="0" w:type="auto"/>
            <w:shd w:val="clear" w:color="auto" w:fill="DBE5F1" w:themeFill="accent1" w:themeFillTint="33"/>
            <w:vAlign w:val="center"/>
          </w:tcPr>
          <w:p w14:paraId="030812BF" w14:textId="40385725"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26.000</w:t>
            </w: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 xml:space="preserve"> </w:t>
            </w:r>
          </w:p>
        </w:tc>
        <w:tc>
          <w:tcPr>
            <w:tcW w:w="0" w:type="auto"/>
            <w:shd w:val="clear" w:color="auto" w:fill="DBE5F1" w:themeFill="accent1" w:themeFillTint="33"/>
            <w:vAlign w:val="center"/>
          </w:tcPr>
          <w:p w14:paraId="67C3DBBD" w14:textId="064A0831"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92.000</w:t>
            </w: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 xml:space="preserve"> </w:t>
            </w:r>
          </w:p>
        </w:tc>
      </w:tr>
      <w:tr w:rsidR="00B30965" w:rsidRPr="004C1693" w14:paraId="2AD91BDD"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vAlign w:val="center"/>
            <w:hideMark/>
          </w:tcPr>
          <w:p w14:paraId="0C6F020A" w14:textId="77777777" w:rsidR="00B30965" w:rsidRPr="00A25DA8" w:rsidRDefault="00B30965" w:rsidP="007B24CD">
            <w:pPr>
              <w:spacing w:before="60" w:after="80"/>
              <w:rPr>
                <w:rFonts w:ascii="Arial" w:hAnsi="Arial" w:cs="Arial"/>
                <w:color w:val="0F243E" w:themeColor="text2" w:themeShade="80"/>
                <w:sz w:val="20"/>
                <w:szCs w:val="20"/>
              </w:rPr>
            </w:pPr>
          </w:p>
        </w:tc>
        <w:tc>
          <w:tcPr>
            <w:tcW w:w="0" w:type="auto"/>
            <w:gridSpan w:val="2"/>
            <w:shd w:val="clear" w:color="auto" w:fill="DBE5F1" w:themeFill="accent1" w:themeFillTint="33"/>
            <w:vAlign w:val="center"/>
            <w:hideMark/>
          </w:tcPr>
          <w:p w14:paraId="19ADF92D"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w:t>
            </w:r>
          </w:p>
        </w:tc>
        <w:tc>
          <w:tcPr>
            <w:tcW w:w="1220" w:type="dxa"/>
            <w:shd w:val="clear" w:color="auto" w:fill="DBE5F1" w:themeFill="accent1" w:themeFillTint="33"/>
            <w:vAlign w:val="center"/>
          </w:tcPr>
          <w:p w14:paraId="423CE806" w14:textId="5D991ACA"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33%</w:t>
            </w:r>
            <w:r>
              <w:rPr>
                <w:rFonts w:ascii="Arial" w:hAnsi="Arial" w:cs="Arial"/>
                <w:b/>
                <w:bCs/>
                <w:color w:val="0F243E" w:themeColor="text2" w:themeShade="80"/>
                <w:sz w:val="20"/>
                <w:szCs w:val="20"/>
              </w:rPr>
              <w:t>)</w:t>
            </w:r>
          </w:p>
        </w:tc>
        <w:tc>
          <w:tcPr>
            <w:tcW w:w="1220" w:type="dxa"/>
            <w:shd w:val="clear" w:color="auto" w:fill="DBE5F1" w:themeFill="accent1" w:themeFillTint="33"/>
            <w:vAlign w:val="center"/>
          </w:tcPr>
          <w:p w14:paraId="359DFC42" w14:textId="0FE26FB4"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42%</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08E32DCC" w14:textId="00AB9389"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30%</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0E6098F8" w14:textId="690C26EA"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B30965">
              <w:rPr>
                <w:rFonts w:ascii="Arial" w:hAnsi="Arial" w:cs="Arial"/>
                <w:b/>
                <w:bCs/>
                <w:color w:val="0F243E" w:themeColor="text2" w:themeShade="80"/>
                <w:sz w:val="20"/>
                <w:szCs w:val="20"/>
              </w:rPr>
              <w:t>35%</w:t>
            </w:r>
            <w:r>
              <w:rPr>
                <w:rFonts w:ascii="Arial" w:hAnsi="Arial" w:cs="Arial"/>
                <w:b/>
                <w:bCs/>
                <w:color w:val="0F243E" w:themeColor="text2" w:themeShade="80"/>
                <w:sz w:val="20"/>
                <w:szCs w:val="20"/>
              </w:rPr>
              <w:t>)</w:t>
            </w:r>
          </w:p>
        </w:tc>
      </w:tr>
      <w:tr w:rsidR="00B30965" w:rsidRPr="004C1693" w14:paraId="3A53FC35"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60EC8D8" w14:textId="21C933B9" w:rsidR="00B30965" w:rsidRPr="00A25DA8" w:rsidRDefault="00B30965" w:rsidP="007B24CD">
            <w:pPr>
              <w:spacing w:before="60" w:after="80"/>
              <w:jc w:val="center"/>
              <w:rPr>
                <w:rFonts w:ascii="Arial" w:hAnsi="Arial" w:cs="Arial"/>
                <w:color w:val="0F243E" w:themeColor="text2" w:themeShade="80"/>
                <w:sz w:val="20"/>
                <w:szCs w:val="20"/>
              </w:rPr>
            </w:pPr>
            <w:r>
              <w:rPr>
                <w:rFonts w:ascii="Arial" w:hAnsi="Arial" w:cs="Arial"/>
                <w:color w:val="0F243E" w:themeColor="text2" w:themeShade="80"/>
                <w:sz w:val="20"/>
                <w:szCs w:val="20"/>
              </w:rPr>
              <w:t>Casas de Santa Bárbara</w:t>
            </w:r>
          </w:p>
        </w:tc>
        <w:tc>
          <w:tcPr>
            <w:tcW w:w="0" w:type="auto"/>
            <w:vMerge w:val="restart"/>
            <w:vAlign w:val="center"/>
            <w:hideMark/>
          </w:tcPr>
          <w:p w14:paraId="603C0552"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Valor ($) Gasto</w:t>
            </w:r>
          </w:p>
        </w:tc>
        <w:tc>
          <w:tcPr>
            <w:tcW w:w="0" w:type="auto"/>
            <w:vAlign w:val="center"/>
            <w:hideMark/>
          </w:tcPr>
          <w:p w14:paraId="79A5087B"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2020</w:t>
            </w:r>
          </w:p>
        </w:tc>
        <w:tc>
          <w:tcPr>
            <w:tcW w:w="1220" w:type="dxa"/>
            <w:vAlign w:val="bottom"/>
          </w:tcPr>
          <w:p w14:paraId="4B4353E3" w14:textId="744254C0"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16.959.530 </w:t>
            </w:r>
          </w:p>
        </w:tc>
        <w:tc>
          <w:tcPr>
            <w:tcW w:w="1220" w:type="dxa"/>
            <w:vAlign w:val="bottom"/>
          </w:tcPr>
          <w:p w14:paraId="70F61962" w14:textId="4DAB7BF1"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22.370.550 </w:t>
            </w:r>
          </w:p>
        </w:tc>
        <w:tc>
          <w:tcPr>
            <w:tcW w:w="0" w:type="auto"/>
            <w:vAlign w:val="bottom"/>
          </w:tcPr>
          <w:p w14:paraId="2C38B05A" w14:textId="46BEA2DE"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26.672.570 </w:t>
            </w:r>
          </w:p>
        </w:tc>
        <w:tc>
          <w:tcPr>
            <w:tcW w:w="0" w:type="auto"/>
            <w:vAlign w:val="center"/>
          </w:tcPr>
          <w:p w14:paraId="15D227F7" w14:textId="3DE4D812"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   66.002.650 </w:t>
            </w:r>
          </w:p>
        </w:tc>
      </w:tr>
      <w:tr w:rsidR="00B30965" w:rsidRPr="004C1693" w14:paraId="79013B9A"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2FF500D" w14:textId="77777777" w:rsidR="00B30965" w:rsidRPr="00A25DA8" w:rsidRDefault="00B30965" w:rsidP="007B24CD">
            <w:pPr>
              <w:spacing w:before="60" w:after="80"/>
              <w:rPr>
                <w:rFonts w:ascii="Arial" w:hAnsi="Arial" w:cs="Arial"/>
                <w:color w:val="0F243E" w:themeColor="text2" w:themeShade="80"/>
                <w:sz w:val="20"/>
                <w:szCs w:val="20"/>
              </w:rPr>
            </w:pPr>
          </w:p>
        </w:tc>
        <w:tc>
          <w:tcPr>
            <w:tcW w:w="0" w:type="auto"/>
            <w:vMerge/>
            <w:vAlign w:val="center"/>
            <w:hideMark/>
          </w:tcPr>
          <w:p w14:paraId="57AED18C" w14:textId="77777777" w:rsidR="00B30965" w:rsidRPr="00A25DA8" w:rsidRDefault="00B30965" w:rsidP="007B24C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0" w:type="auto"/>
            <w:vAlign w:val="center"/>
            <w:hideMark/>
          </w:tcPr>
          <w:p w14:paraId="68A9C4FE"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A25DA8">
              <w:rPr>
                <w:rFonts w:ascii="Arial" w:hAnsi="Arial" w:cs="Arial"/>
                <w:color w:val="0F243E" w:themeColor="text2" w:themeShade="80"/>
                <w:sz w:val="20"/>
                <w:szCs w:val="20"/>
              </w:rPr>
              <w:t>2019</w:t>
            </w:r>
          </w:p>
        </w:tc>
        <w:tc>
          <w:tcPr>
            <w:tcW w:w="1220" w:type="dxa"/>
            <w:vAlign w:val="bottom"/>
          </w:tcPr>
          <w:p w14:paraId="53F73C02" w14:textId="0F4206DB"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33.955.980 </w:t>
            </w:r>
          </w:p>
        </w:tc>
        <w:tc>
          <w:tcPr>
            <w:tcW w:w="1220" w:type="dxa"/>
            <w:vAlign w:val="bottom"/>
          </w:tcPr>
          <w:p w14:paraId="4EC5FC9B" w14:textId="66891FB1"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35.997.300 </w:t>
            </w:r>
          </w:p>
        </w:tc>
        <w:tc>
          <w:tcPr>
            <w:tcW w:w="0" w:type="auto"/>
            <w:vAlign w:val="bottom"/>
          </w:tcPr>
          <w:p w14:paraId="1C78A505" w14:textId="72342AC5" w:rsidR="00B30965" w:rsidRPr="00A25DA8" w:rsidRDefault="00B30965"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35.816.390 </w:t>
            </w:r>
          </w:p>
        </w:tc>
        <w:tc>
          <w:tcPr>
            <w:tcW w:w="0" w:type="auto"/>
            <w:vAlign w:val="center"/>
          </w:tcPr>
          <w:p w14:paraId="5B5F7B12" w14:textId="5454D882" w:rsidR="00B30965" w:rsidRPr="00A25DA8" w:rsidRDefault="00B30965" w:rsidP="007B24C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B30965">
              <w:rPr>
                <w:rFonts w:ascii="Arial" w:hAnsi="Arial" w:cs="Arial"/>
                <w:color w:val="0F243E" w:themeColor="text2" w:themeShade="80"/>
                <w:sz w:val="20"/>
                <w:szCs w:val="20"/>
              </w:rPr>
              <w:t xml:space="preserve">  105.769.670 </w:t>
            </w:r>
          </w:p>
        </w:tc>
      </w:tr>
      <w:tr w:rsidR="00B30965" w:rsidRPr="004C1693" w14:paraId="0B72450B"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BE5F1" w:themeFill="accent1" w:themeFillTint="33"/>
            <w:vAlign w:val="center"/>
            <w:hideMark/>
          </w:tcPr>
          <w:p w14:paraId="3F586986" w14:textId="77777777" w:rsidR="00B30965" w:rsidRPr="00A25DA8" w:rsidRDefault="00B30965" w:rsidP="007B24CD">
            <w:pPr>
              <w:spacing w:before="60" w:after="80"/>
              <w:jc w:val="center"/>
              <w:rPr>
                <w:rFonts w:ascii="Arial" w:hAnsi="Arial" w:cs="Arial"/>
                <w:color w:val="0F243E" w:themeColor="text2" w:themeShade="80"/>
                <w:sz w:val="20"/>
                <w:szCs w:val="20"/>
              </w:rPr>
            </w:pPr>
            <w:r w:rsidRPr="00A25DA8">
              <w:rPr>
                <w:rFonts w:ascii="Arial" w:hAnsi="Arial" w:cs="Arial"/>
                <w:color w:val="0F243E" w:themeColor="text2" w:themeShade="80"/>
                <w:sz w:val="20"/>
                <w:szCs w:val="20"/>
              </w:rPr>
              <w:t>Variaciones</w:t>
            </w:r>
          </w:p>
        </w:tc>
        <w:tc>
          <w:tcPr>
            <w:tcW w:w="0" w:type="auto"/>
            <w:gridSpan w:val="2"/>
            <w:shd w:val="clear" w:color="auto" w:fill="DBE5F1" w:themeFill="accent1" w:themeFillTint="33"/>
            <w:vAlign w:val="center"/>
            <w:hideMark/>
          </w:tcPr>
          <w:p w14:paraId="3DD506C8"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 xml:space="preserve">Valor ($) Consumo </w:t>
            </w:r>
          </w:p>
        </w:tc>
        <w:tc>
          <w:tcPr>
            <w:tcW w:w="1220" w:type="dxa"/>
            <w:shd w:val="clear" w:color="auto" w:fill="DBE5F1" w:themeFill="accent1" w:themeFillTint="33"/>
            <w:vAlign w:val="center"/>
          </w:tcPr>
          <w:p w14:paraId="3071FCFA" w14:textId="02C767C7" w:rsidR="00B30965" w:rsidRPr="00A25DA8" w:rsidRDefault="00154BD3" w:rsidP="007B24C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16.996.450</w:t>
            </w:r>
            <w:r>
              <w:rPr>
                <w:rFonts w:ascii="Arial" w:hAnsi="Arial" w:cs="Arial"/>
                <w:b/>
                <w:bCs/>
                <w:color w:val="0F243E" w:themeColor="text2" w:themeShade="80"/>
                <w:sz w:val="20"/>
                <w:szCs w:val="20"/>
              </w:rPr>
              <w:t>)</w:t>
            </w:r>
          </w:p>
        </w:tc>
        <w:tc>
          <w:tcPr>
            <w:tcW w:w="1220" w:type="dxa"/>
            <w:shd w:val="clear" w:color="auto" w:fill="DBE5F1" w:themeFill="accent1" w:themeFillTint="33"/>
            <w:vAlign w:val="center"/>
          </w:tcPr>
          <w:p w14:paraId="2002BFE4" w14:textId="081805B1" w:rsidR="00B30965" w:rsidRPr="00A25DA8" w:rsidRDefault="00154BD3" w:rsidP="007B24CD">
            <w:pPr>
              <w:spacing w:before="6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13.626.750</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248842BB" w14:textId="0F373765" w:rsidR="00B30965" w:rsidRPr="00A25DA8" w:rsidRDefault="00154BD3"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9.143.820</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1A74BC8E" w14:textId="6CE69D4F" w:rsidR="00B30965" w:rsidRPr="00A25DA8" w:rsidRDefault="00154BD3" w:rsidP="007B24CD">
            <w:pPr>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39.767.020</w:t>
            </w:r>
            <w:r>
              <w:rPr>
                <w:rFonts w:ascii="Arial" w:hAnsi="Arial" w:cs="Arial"/>
                <w:b/>
                <w:bCs/>
                <w:color w:val="0F243E" w:themeColor="text2" w:themeShade="80"/>
                <w:sz w:val="20"/>
                <w:szCs w:val="20"/>
              </w:rPr>
              <w:t>)</w:t>
            </w:r>
          </w:p>
        </w:tc>
      </w:tr>
      <w:tr w:rsidR="00B30965" w:rsidRPr="004C1693" w14:paraId="3B96B4CC" w14:textId="77777777" w:rsidTr="00B30965">
        <w:trPr>
          <w:cantSplit/>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BE5F1" w:themeFill="accent1" w:themeFillTint="33"/>
            <w:vAlign w:val="center"/>
            <w:hideMark/>
          </w:tcPr>
          <w:p w14:paraId="39CF65FA" w14:textId="77777777" w:rsidR="00B30965" w:rsidRPr="00A25DA8" w:rsidRDefault="00B30965" w:rsidP="007B24CD">
            <w:pPr>
              <w:spacing w:before="60" w:after="80"/>
              <w:rPr>
                <w:rFonts w:ascii="Arial" w:hAnsi="Arial" w:cs="Arial"/>
                <w:color w:val="0F243E" w:themeColor="text2" w:themeShade="80"/>
                <w:sz w:val="20"/>
                <w:szCs w:val="20"/>
              </w:rPr>
            </w:pPr>
          </w:p>
        </w:tc>
        <w:tc>
          <w:tcPr>
            <w:tcW w:w="0" w:type="auto"/>
            <w:gridSpan w:val="2"/>
            <w:shd w:val="clear" w:color="auto" w:fill="DBE5F1" w:themeFill="accent1" w:themeFillTint="33"/>
            <w:vAlign w:val="center"/>
            <w:hideMark/>
          </w:tcPr>
          <w:p w14:paraId="6487FD63" w14:textId="77777777" w:rsidR="00B30965" w:rsidRPr="00A25DA8" w:rsidRDefault="00B30965"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A25DA8">
              <w:rPr>
                <w:rFonts w:ascii="Arial" w:hAnsi="Arial" w:cs="Arial"/>
                <w:b/>
                <w:bCs/>
                <w:color w:val="0F243E" w:themeColor="text2" w:themeShade="80"/>
                <w:sz w:val="20"/>
                <w:szCs w:val="20"/>
              </w:rPr>
              <w:t>%</w:t>
            </w:r>
          </w:p>
        </w:tc>
        <w:tc>
          <w:tcPr>
            <w:tcW w:w="1220" w:type="dxa"/>
            <w:shd w:val="clear" w:color="auto" w:fill="DBE5F1" w:themeFill="accent1" w:themeFillTint="33"/>
            <w:vAlign w:val="center"/>
          </w:tcPr>
          <w:p w14:paraId="5010A970" w14:textId="4BADE0DB" w:rsidR="00B30965" w:rsidRPr="00A25DA8" w:rsidRDefault="00154BD3"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50%</w:t>
            </w:r>
            <w:r>
              <w:rPr>
                <w:rFonts w:ascii="Arial" w:hAnsi="Arial" w:cs="Arial"/>
                <w:b/>
                <w:bCs/>
                <w:color w:val="0F243E" w:themeColor="text2" w:themeShade="80"/>
                <w:sz w:val="20"/>
                <w:szCs w:val="20"/>
              </w:rPr>
              <w:t>)</w:t>
            </w:r>
          </w:p>
        </w:tc>
        <w:tc>
          <w:tcPr>
            <w:tcW w:w="1220" w:type="dxa"/>
            <w:shd w:val="clear" w:color="auto" w:fill="DBE5F1" w:themeFill="accent1" w:themeFillTint="33"/>
            <w:vAlign w:val="center"/>
          </w:tcPr>
          <w:p w14:paraId="2A410BCD" w14:textId="47FCF0D0" w:rsidR="00B30965" w:rsidRPr="00A25DA8" w:rsidRDefault="00154BD3"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38%</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1C6E7059" w14:textId="0BB186EB" w:rsidR="00B30965" w:rsidRPr="00A25DA8" w:rsidRDefault="00154BD3"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26%</w:t>
            </w:r>
            <w:r>
              <w:rPr>
                <w:rFonts w:ascii="Arial" w:hAnsi="Arial" w:cs="Arial"/>
                <w:b/>
                <w:bCs/>
                <w:color w:val="0F243E" w:themeColor="text2" w:themeShade="80"/>
                <w:sz w:val="20"/>
                <w:szCs w:val="20"/>
              </w:rPr>
              <w:t>)</w:t>
            </w:r>
          </w:p>
        </w:tc>
        <w:tc>
          <w:tcPr>
            <w:tcW w:w="0" w:type="auto"/>
            <w:shd w:val="clear" w:color="auto" w:fill="DBE5F1" w:themeFill="accent1" w:themeFillTint="33"/>
            <w:vAlign w:val="center"/>
          </w:tcPr>
          <w:p w14:paraId="53D8B4A3" w14:textId="33347513" w:rsidR="00B30965" w:rsidRPr="00A25DA8" w:rsidRDefault="00154BD3" w:rsidP="007B24CD">
            <w:pPr>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00B30965" w:rsidRPr="00B30965">
              <w:rPr>
                <w:rFonts w:ascii="Arial" w:hAnsi="Arial" w:cs="Arial"/>
                <w:b/>
                <w:bCs/>
                <w:color w:val="0F243E" w:themeColor="text2" w:themeShade="80"/>
                <w:sz w:val="20"/>
                <w:szCs w:val="20"/>
              </w:rPr>
              <w:t>38%</w:t>
            </w:r>
            <w:r>
              <w:rPr>
                <w:rFonts w:ascii="Arial" w:hAnsi="Arial" w:cs="Arial"/>
                <w:b/>
                <w:bCs/>
                <w:color w:val="0F243E" w:themeColor="text2" w:themeShade="80"/>
                <w:sz w:val="20"/>
                <w:szCs w:val="20"/>
              </w:rPr>
              <w:t>)</w:t>
            </w:r>
          </w:p>
        </w:tc>
      </w:tr>
    </w:tbl>
    <w:p w14:paraId="3B1EC0CA" w14:textId="0DDB05D2" w:rsidR="00A25DA8" w:rsidRDefault="00A25DA8" w:rsidP="000E7F3A">
      <w:pPr>
        <w:jc w:val="both"/>
        <w:rPr>
          <w:rFonts w:ascii="Arial" w:hAnsi="Arial" w:cs="Arial"/>
          <w:color w:val="000000"/>
          <w:sz w:val="22"/>
          <w:szCs w:val="22"/>
          <w:highlight w:val="yellow"/>
        </w:rPr>
      </w:pPr>
    </w:p>
    <w:p w14:paraId="267B1139" w14:textId="77777777" w:rsidR="007B24CD" w:rsidRDefault="007B24CD" w:rsidP="000E7F3A">
      <w:pPr>
        <w:jc w:val="both"/>
        <w:rPr>
          <w:rFonts w:ascii="Arial" w:hAnsi="Arial" w:cs="Arial"/>
          <w:color w:val="000000"/>
          <w:sz w:val="22"/>
          <w:szCs w:val="22"/>
          <w:highlight w:val="yellow"/>
        </w:rPr>
      </w:pPr>
    </w:p>
    <w:p w14:paraId="40D6DFCF" w14:textId="4E7383C8" w:rsidR="00752AE3" w:rsidRPr="00C7012F" w:rsidRDefault="00752AE3" w:rsidP="00752AE3">
      <w:pPr>
        <w:jc w:val="both"/>
        <w:rPr>
          <w:rFonts w:ascii="Arial" w:hAnsi="Arial" w:cs="Arial"/>
          <w:color w:val="000000" w:themeColor="text1"/>
          <w:sz w:val="22"/>
          <w:szCs w:val="22"/>
        </w:rPr>
      </w:pPr>
      <w:r w:rsidRPr="00C7012F">
        <w:rPr>
          <w:rFonts w:ascii="Arial" w:hAnsi="Arial" w:cs="Arial"/>
          <w:color w:val="000000"/>
          <w:sz w:val="22"/>
          <w:szCs w:val="22"/>
        </w:rPr>
        <w:t xml:space="preserve">Ahora bien, </w:t>
      </w:r>
      <w:r w:rsidRPr="00C7012F">
        <w:rPr>
          <w:rFonts w:ascii="Arial" w:hAnsi="Arial" w:cs="Arial"/>
          <w:color w:val="000000" w:themeColor="text1"/>
          <w:sz w:val="22"/>
          <w:szCs w:val="22"/>
        </w:rPr>
        <w:t xml:space="preserve">tomando el total de gasto de energía y el total de consumo en kilovatios para las dos sedes de este Ministerio, se concluye que, para el tercer trimestre de 2020 comparado con el mismo periodo de la vigencia 2019 el gasto por el servicio de energía </w:t>
      </w:r>
      <w:r w:rsidRPr="00C7012F">
        <w:rPr>
          <w:rFonts w:ascii="Arial" w:hAnsi="Arial" w:cs="Arial"/>
          <w:b/>
          <w:bCs/>
          <w:color w:val="000000" w:themeColor="text1"/>
          <w:sz w:val="22"/>
          <w:szCs w:val="22"/>
        </w:rPr>
        <w:t xml:space="preserve">disminuyó </w:t>
      </w:r>
      <w:r w:rsidRPr="00C7012F">
        <w:rPr>
          <w:rFonts w:ascii="Arial" w:hAnsi="Arial" w:cs="Arial"/>
          <w:color w:val="000000" w:themeColor="text1"/>
          <w:sz w:val="22"/>
          <w:szCs w:val="22"/>
        </w:rPr>
        <w:t xml:space="preserve">en $ </w:t>
      </w:r>
      <w:r w:rsidR="005C57F8" w:rsidRPr="00C7012F">
        <w:rPr>
          <w:rFonts w:ascii="Arial" w:hAnsi="Arial" w:cs="Arial"/>
          <w:color w:val="000000" w:themeColor="text1"/>
          <w:sz w:val="22"/>
          <w:szCs w:val="22"/>
        </w:rPr>
        <w:t>36.097.181</w:t>
      </w:r>
      <w:r w:rsidRPr="00C7012F">
        <w:rPr>
          <w:rFonts w:ascii="Arial" w:hAnsi="Arial" w:cs="Arial"/>
          <w:color w:val="000000" w:themeColor="text1"/>
          <w:sz w:val="22"/>
          <w:szCs w:val="22"/>
        </w:rPr>
        <w:t xml:space="preserve"> equivalente al </w:t>
      </w:r>
      <w:r w:rsidR="005C57F8" w:rsidRPr="00C7012F">
        <w:rPr>
          <w:rFonts w:ascii="Arial" w:hAnsi="Arial" w:cs="Arial"/>
          <w:color w:val="000000" w:themeColor="text1"/>
          <w:sz w:val="22"/>
          <w:szCs w:val="22"/>
        </w:rPr>
        <w:t>10</w:t>
      </w:r>
      <w:r w:rsidRPr="00C7012F">
        <w:rPr>
          <w:rFonts w:ascii="Arial" w:hAnsi="Arial" w:cs="Arial"/>
          <w:color w:val="000000" w:themeColor="text1"/>
          <w:sz w:val="22"/>
          <w:szCs w:val="22"/>
        </w:rPr>
        <w:t xml:space="preserve">%, de igual forma, el consumo en kilovatios presentó una </w:t>
      </w:r>
      <w:r w:rsidRPr="00C7012F">
        <w:rPr>
          <w:rFonts w:ascii="Arial" w:hAnsi="Arial" w:cs="Arial"/>
          <w:b/>
          <w:bCs/>
          <w:color w:val="000000" w:themeColor="text1"/>
          <w:sz w:val="22"/>
          <w:szCs w:val="22"/>
        </w:rPr>
        <w:t xml:space="preserve">reducción </w:t>
      </w:r>
      <w:r w:rsidRPr="00C7012F">
        <w:rPr>
          <w:rFonts w:ascii="Arial" w:hAnsi="Arial" w:cs="Arial"/>
          <w:color w:val="000000" w:themeColor="text1"/>
          <w:sz w:val="22"/>
          <w:szCs w:val="22"/>
        </w:rPr>
        <w:t xml:space="preserve">de </w:t>
      </w:r>
      <w:r w:rsidR="005C57F8" w:rsidRPr="00C7012F">
        <w:rPr>
          <w:rFonts w:ascii="Arial" w:hAnsi="Arial" w:cs="Arial"/>
          <w:color w:val="000000" w:themeColor="text1"/>
          <w:sz w:val="22"/>
          <w:szCs w:val="22"/>
        </w:rPr>
        <w:t>138.330</w:t>
      </w:r>
      <w:r w:rsidRPr="00C7012F">
        <w:rPr>
          <w:rFonts w:ascii="Arial" w:hAnsi="Arial" w:cs="Arial"/>
          <w:color w:val="000000" w:themeColor="text1"/>
          <w:sz w:val="22"/>
          <w:szCs w:val="22"/>
        </w:rPr>
        <w:t xml:space="preserve"> </w:t>
      </w:r>
      <w:proofErr w:type="spellStart"/>
      <w:r w:rsidRPr="00C7012F">
        <w:rPr>
          <w:rFonts w:ascii="Arial" w:hAnsi="Arial" w:cs="Arial"/>
          <w:color w:val="000000" w:themeColor="text1"/>
          <w:sz w:val="22"/>
          <w:szCs w:val="22"/>
        </w:rPr>
        <w:t>kw</w:t>
      </w:r>
      <w:proofErr w:type="spellEnd"/>
      <w:r w:rsidRPr="00C7012F">
        <w:rPr>
          <w:rFonts w:ascii="Arial" w:hAnsi="Arial" w:cs="Arial"/>
          <w:color w:val="000000" w:themeColor="text1"/>
          <w:sz w:val="22"/>
          <w:szCs w:val="22"/>
        </w:rPr>
        <w:t xml:space="preserve">/h, correspondiente al </w:t>
      </w:r>
      <w:r w:rsidR="005C57F8" w:rsidRPr="00C7012F">
        <w:rPr>
          <w:rFonts w:ascii="Arial" w:hAnsi="Arial" w:cs="Arial"/>
          <w:color w:val="000000" w:themeColor="text1"/>
          <w:sz w:val="22"/>
          <w:szCs w:val="22"/>
        </w:rPr>
        <w:t>11</w:t>
      </w:r>
      <w:r w:rsidRPr="00C7012F">
        <w:rPr>
          <w:rFonts w:ascii="Arial" w:hAnsi="Arial" w:cs="Arial"/>
          <w:color w:val="000000" w:themeColor="text1"/>
          <w:sz w:val="22"/>
          <w:szCs w:val="22"/>
        </w:rPr>
        <w:t>%.</w:t>
      </w:r>
    </w:p>
    <w:p w14:paraId="71C5DD1C" w14:textId="0E54D527" w:rsidR="00752AE3" w:rsidRDefault="00752AE3" w:rsidP="000E7F3A">
      <w:pPr>
        <w:jc w:val="both"/>
        <w:rPr>
          <w:rFonts w:ascii="Arial" w:hAnsi="Arial" w:cs="Arial"/>
          <w:color w:val="000000"/>
          <w:sz w:val="22"/>
          <w:szCs w:val="22"/>
          <w:highlight w:val="yellow"/>
        </w:rPr>
      </w:pPr>
    </w:p>
    <w:tbl>
      <w:tblPr>
        <w:tblStyle w:val="Tabladecuadrcula1clara-nfasis1"/>
        <w:tblW w:w="0" w:type="auto"/>
        <w:tblLook w:val="04A0" w:firstRow="1" w:lastRow="0" w:firstColumn="1" w:lastColumn="0" w:noHBand="0" w:noVBand="1"/>
      </w:tblPr>
      <w:tblGrid>
        <w:gridCol w:w="630"/>
        <w:gridCol w:w="1092"/>
        <w:gridCol w:w="1459"/>
        <w:gridCol w:w="1742"/>
        <w:gridCol w:w="222"/>
        <w:gridCol w:w="629"/>
        <w:gridCol w:w="1192"/>
        <w:gridCol w:w="1190"/>
        <w:gridCol w:w="1473"/>
      </w:tblGrid>
      <w:tr w:rsidR="00752AE3" w:rsidRPr="00752AE3" w14:paraId="3C3C736C" w14:textId="77777777" w:rsidTr="00B33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48F2E24E" w14:textId="681750F4" w:rsidR="00752AE3" w:rsidRPr="00752AE3" w:rsidRDefault="00752AE3" w:rsidP="007B24CD">
            <w:pPr>
              <w:widowControl w:val="0"/>
              <w:spacing w:before="100" w:after="100"/>
              <w:jc w:val="center"/>
              <w:rPr>
                <w:rFonts w:ascii="Arial" w:hAnsi="Arial" w:cs="Arial"/>
                <w:color w:val="000000"/>
                <w:sz w:val="18"/>
                <w:szCs w:val="18"/>
              </w:rPr>
            </w:pPr>
            <w:r>
              <w:rPr>
                <w:rFonts w:ascii="Arial" w:hAnsi="Arial" w:cs="Arial"/>
                <w:color w:val="FFFFFF" w:themeColor="background1"/>
                <w:sz w:val="18"/>
                <w:szCs w:val="18"/>
              </w:rPr>
              <w:t>I</w:t>
            </w:r>
            <w:r w:rsidRPr="00752AE3">
              <w:rPr>
                <w:rFonts w:ascii="Arial" w:hAnsi="Arial" w:cs="Arial"/>
                <w:color w:val="FFFFFF" w:themeColor="background1"/>
                <w:sz w:val="18"/>
                <w:szCs w:val="18"/>
              </w:rPr>
              <w:t>II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28E0B70F" w14:textId="3246C7C9" w:rsidR="00752AE3" w:rsidRPr="00752AE3" w:rsidRDefault="00752AE3" w:rsidP="007B24CD">
            <w:pPr>
              <w:widowControl w:val="0"/>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52AE3">
              <w:rPr>
                <w:rFonts w:ascii="Arial" w:hAnsi="Arial" w:cs="Arial"/>
                <w:color w:val="FFFFFF" w:themeColor="background1"/>
                <w:sz w:val="18"/>
                <w:szCs w:val="18"/>
              </w:rPr>
              <w:t>Valor Facturado por Energía</w:t>
            </w:r>
            <w:r w:rsidR="006F1E68">
              <w:rPr>
                <w:rFonts w:ascii="Arial" w:hAnsi="Arial" w:cs="Arial"/>
                <w:color w:val="FFFFFF" w:themeColor="background1"/>
                <w:sz w:val="18"/>
                <w:szCs w:val="18"/>
              </w:rPr>
              <w:t xml:space="preserve"> ($)</w:t>
            </w:r>
          </w:p>
        </w:tc>
        <w:tc>
          <w:tcPr>
            <w:tcW w:w="0" w:type="auto"/>
            <w:tcBorders>
              <w:top w:val="nil"/>
              <w:left w:val="single" w:sz="4" w:space="0" w:color="4F81BD" w:themeColor="accent1"/>
              <w:bottom w:val="nil"/>
              <w:right w:val="single" w:sz="4" w:space="0" w:color="4F81BD" w:themeColor="accent1"/>
            </w:tcBorders>
            <w:noWrap/>
            <w:vAlign w:val="center"/>
            <w:hideMark/>
          </w:tcPr>
          <w:p w14:paraId="4FDB836E" w14:textId="77777777" w:rsidR="00752AE3" w:rsidRPr="00752AE3" w:rsidRDefault="00752AE3" w:rsidP="007B24CD">
            <w:pPr>
              <w:widowControl w:val="0"/>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334DE9A7" w14:textId="618985DE" w:rsidR="00752AE3" w:rsidRPr="00752AE3" w:rsidRDefault="00752AE3" w:rsidP="007B24CD">
            <w:pPr>
              <w:widowControl w:val="0"/>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FFFFFF" w:themeColor="background1"/>
                <w:sz w:val="18"/>
                <w:szCs w:val="18"/>
              </w:rPr>
              <w:t>I</w:t>
            </w:r>
            <w:r w:rsidRPr="00752AE3">
              <w:rPr>
                <w:rFonts w:ascii="Arial" w:hAnsi="Arial" w:cs="Arial"/>
                <w:color w:val="FFFFFF" w:themeColor="background1"/>
                <w:sz w:val="18"/>
                <w:szCs w:val="18"/>
              </w:rPr>
              <w:t>II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4F098B93" w14:textId="77777777" w:rsidR="00752AE3" w:rsidRPr="00752AE3" w:rsidRDefault="00752AE3" w:rsidP="007B24CD">
            <w:pPr>
              <w:widowControl w:val="0"/>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52AE3">
              <w:rPr>
                <w:rFonts w:ascii="Arial" w:hAnsi="Arial" w:cs="Arial"/>
                <w:color w:val="FFFFFF" w:themeColor="background1"/>
                <w:sz w:val="18"/>
                <w:szCs w:val="18"/>
              </w:rPr>
              <w:t>Total de Consumo KW/H</w:t>
            </w:r>
          </w:p>
        </w:tc>
      </w:tr>
      <w:tr w:rsidR="00752AE3" w:rsidRPr="00752AE3" w14:paraId="545B5D1E" w14:textId="77777777" w:rsidTr="00B33AF7">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7624DB16" w14:textId="77777777" w:rsidR="00752AE3" w:rsidRPr="00752AE3" w:rsidRDefault="00752AE3" w:rsidP="007B24CD">
            <w:pPr>
              <w:widowControl w:val="0"/>
              <w:spacing w:before="100" w:after="100"/>
              <w:rPr>
                <w:rFonts w:ascii="Arial" w:hAnsi="Arial" w:cs="Arial"/>
                <w:color w:val="000000"/>
                <w:sz w:val="18"/>
                <w:szCs w:val="18"/>
              </w:rPr>
            </w:pPr>
          </w:p>
        </w:tc>
        <w:tc>
          <w:tcPr>
            <w:tcW w:w="0" w:type="auto"/>
            <w:tcBorders>
              <w:bottom w:val="nil"/>
            </w:tcBorders>
            <w:shd w:val="clear" w:color="auto" w:fill="4F81BD" w:themeFill="accent1"/>
            <w:vAlign w:val="center"/>
            <w:hideMark/>
          </w:tcPr>
          <w:p w14:paraId="7EF5C78F"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35F5C0CC"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FF211BA"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Sede Casa de Santa Bárbara</w:t>
            </w:r>
          </w:p>
        </w:tc>
        <w:tc>
          <w:tcPr>
            <w:tcW w:w="0" w:type="auto"/>
            <w:tcBorders>
              <w:top w:val="nil"/>
              <w:left w:val="single" w:sz="4" w:space="0" w:color="4F81BD" w:themeColor="accent1"/>
              <w:bottom w:val="nil"/>
              <w:right w:val="single" w:sz="4" w:space="0" w:color="4F81BD" w:themeColor="accent1"/>
            </w:tcBorders>
            <w:noWrap/>
            <w:vAlign w:val="center"/>
            <w:hideMark/>
          </w:tcPr>
          <w:p w14:paraId="749EC836"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tcBorders>
            <w:shd w:val="clear" w:color="auto" w:fill="4F81BD" w:themeFill="accent1"/>
            <w:vAlign w:val="center"/>
            <w:hideMark/>
          </w:tcPr>
          <w:p w14:paraId="0A73AFF0" w14:textId="77777777" w:rsidR="00752AE3" w:rsidRPr="00752AE3" w:rsidRDefault="00752AE3"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bottom w:val="nil"/>
            </w:tcBorders>
            <w:shd w:val="clear" w:color="auto" w:fill="4F81BD" w:themeFill="accent1"/>
            <w:vAlign w:val="center"/>
            <w:hideMark/>
          </w:tcPr>
          <w:p w14:paraId="13314875"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64B561CE"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1D76099C"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752AE3">
              <w:rPr>
                <w:rFonts w:ascii="Arial" w:hAnsi="Arial" w:cs="Arial"/>
                <w:b/>
                <w:bCs/>
                <w:color w:val="FFFFFF" w:themeColor="background1"/>
                <w:sz w:val="18"/>
                <w:szCs w:val="18"/>
              </w:rPr>
              <w:t>Sede Casa de Santa Bárbara</w:t>
            </w:r>
          </w:p>
        </w:tc>
      </w:tr>
      <w:tr w:rsidR="001F3321" w:rsidRPr="00752AE3" w14:paraId="61EB5ABF" w14:textId="77777777" w:rsidTr="00B33AF7">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010319F" w14:textId="77777777" w:rsidR="001F3321" w:rsidRPr="00752AE3" w:rsidRDefault="001F3321" w:rsidP="007B24CD">
            <w:pPr>
              <w:widowControl w:val="0"/>
              <w:spacing w:before="100" w:after="100"/>
              <w:rPr>
                <w:rFonts w:ascii="Arial" w:hAnsi="Arial" w:cs="Arial"/>
                <w:color w:val="000000"/>
                <w:sz w:val="18"/>
                <w:szCs w:val="18"/>
              </w:rPr>
            </w:pPr>
          </w:p>
        </w:tc>
        <w:tc>
          <w:tcPr>
            <w:tcW w:w="0" w:type="auto"/>
            <w:tcBorders>
              <w:top w:val="nil"/>
              <w:left w:val="nil"/>
              <w:bottom w:val="nil"/>
              <w:right w:val="nil"/>
            </w:tcBorders>
            <w:vAlign w:val="center"/>
            <w:hideMark/>
          </w:tcPr>
          <w:p w14:paraId="184C85EB"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752AE3">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4ABA4417" w14:textId="2725A707"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 xml:space="preserve">  249.461.632 </w:t>
            </w:r>
          </w:p>
        </w:tc>
        <w:tc>
          <w:tcPr>
            <w:tcW w:w="0" w:type="auto"/>
            <w:tcBorders>
              <w:top w:val="nil"/>
              <w:left w:val="nil"/>
              <w:bottom w:val="nil"/>
              <w:right w:val="nil"/>
            </w:tcBorders>
            <w:vAlign w:val="center"/>
          </w:tcPr>
          <w:p w14:paraId="66D2F747" w14:textId="17173D38"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 xml:space="preserve">         66.002.650 </w:t>
            </w:r>
          </w:p>
        </w:tc>
        <w:tc>
          <w:tcPr>
            <w:tcW w:w="0" w:type="auto"/>
            <w:tcBorders>
              <w:top w:val="nil"/>
              <w:left w:val="nil"/>
              <w:bottom w:val="nil"/>
              <w:right w:val="single" w:sz="4" w:space="0" w:color="4F81BD" w:themeColor="accent1"/>
            </w:tcBorders>
            <w:noWrap/>
            <w:vAlign w:val="center"/>
            <w:hideMark/>
          </w:tcPr>
          <w:p w14:paraId="46653F3A"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35376525" w14:textId="77777777"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nil"/>
              <w:right w:val="nil"/>
            </w:tcBorders>
            <w:vAlign w:val="center"/>
            <w:hideMark/>
          </w:tcPr>
          <w:p w14:paraId="29300473"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752AE3">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3227789C" w14:textId="4BEEFE91" w:rsidR="001F3321" w:rsidRPr="00752AE3" w:rsidRDefault="001F3321" w:rsidP="007B24CD">
            <w:pPr>
              <w:widowControl w:val="0"/>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935.374</w:t>
            </w:r>
          </w:p>
        </w:tc>
        <w:tc>
          <w:tcPr>
            <w:tcW w:w="0" w:type="auto"/>
            <w:tcBorders>
              <w:top w:val="nil"/>
              <w:left w:val="nil"/>
              <w:bottom w:val="nil"/>
              <w:right w:val="nil"/>
            </w:tcBorders>
            <w:vAlign w:val="center"/>
          </w:tcPr>
          <w:p w14:paraId="2F4AC16E" w14:textId="29557CD4" w:rsidR="001F3321" w:rsidRPr="00752AE3" w:rsidRDefault="001F3321" w:rsidP="007B24CD">
            <w:pPr>
              <w:widowControl w:val="0"/>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170.000</w:t>
            </w:r>
          </w:p>
        </w:tc>
      </w:tr>
      <w:tr w:rsidR="001F3321" w:rsidRPr="00752AE3" w14:paraId="19D9CBD8" w14:textId="77777777" w:rsidTr="00B33AF7">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1D053DA9" w14:textId="77777777" w:rsidR="001F3321" w:rsidRPr="00752AE3" w:rsidRDefault="001F3321" w:rsidP="007B24CD">
            <w:pPr>
              <w:widowControl w:val="0"/>
              <w:spacing w:before="100" w:after="10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6D1B41ED"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752AE3">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49BD1084" w14:textId="51B4FB9D"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 xml:space="preserve">  245.791.793 </w:t>
            </w:r>
          </w:p>
        </w:tc>
        <w:tc>
          <w:tcPr>
            <w:tcW w:w="0" w:type="auto"/>
            <w:tcBorders>
              <w:top w:val="nil"/>
              <w:left w:val="nil"/>
              <w:bottom w:val="double" w:sz="4" w:space="0" w:color="4F81BD" w:themeColor="accent1"/>
              <w:right w:val="nil"/>
            </w:tcBorders>
            <w:vAlign w:val="center"/>
          </w:tcPr>
          <w:p w14:paraId="752F75AF" w14:textId="6306144D"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 xml:space="preserve">       105.769.670 </w:t>
            </w:r>
          </w:p>
        </w:tc>
        <w:tc>
          <w:tcPr>
            <w:tcW w:w="0" w:type="auto"/>
            <w:tcBorders>
              <w:top w:val="nil"/>
              <w:left w:val="nil"/>
              <w:bottom w:val="nil"/>
              <w:right w:val="single" w:sz="4" w:space="0" w:color="4F81BD" w:themeColor="accent1"/>
            </w:tcBorders>
            <w:noWrap/>
            <w:vAlign w:val="center"/>
            <w:hideMark/>
          </w:tcPr>
          <w:p w14:paraId="38C2C3B2"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22DA46BA" w14:textId="77777777" w:rsidR="001F3321" w:rsidRPr="00752AE3" w:rsidRDefault="001F3321"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2AD816DA" w14:textId="77777777" w:rsidR="001F3321" w:rsidRPr="00752AE3" w:rsidRDefault="001F3321"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752AE3">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3EF17566" w14:textId="2A56F536" w:rsidR="001F3321" w:rsidRPr="00752AE3" w:rsidRDefault="001F3321" w:rsidP="007B24CD">
            <w:pPr>
              <w:widowControl w:val="0"/>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981.704</w:t>
            </w:r>
          </w:p>
        </w:tc>
        <w:tc>
          <w:tcPr>
            <w:tcW w:w="0" w:type="auto"/>
            <w:tcBorders>
              <w:top w:val="nil"/>
              <w:left w:val="nil"/>
              <w:bottom w:val="double" w:sz="4" w:space="0" w:color="4F81BD" w:themeColor="accent1"/>
              <w:right w:val="nil"/>
            </w:tcBorders>
            <w:vAlign w:val="center"/>
          </w:tcPr>
          <w:p w14:paraId="5031997A" w14:textId="48BE6EA7" w:rsidR="001F3321" w:rsidRPr="00752AE3" w:rsidRDefault="001F3321" w:rsidP="007B24CD">
            <w:pPr>
              <w:widowControl w:val="0"/>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Pr>
                <w:rFonts w:ascii="Arial" w:hAnsi="Arial" w:cs="Arial"/>
                <w:color w:val="000000"/>
                <w:sz w:val="20"/>
                <w:szCs w:val="20"/>
              </w:rPr>
              <w:t>262.000</w:t>
            </w:r>
          </w:p>
        </w:tc>
      </w:tr>
      <w:tr w:rsidR="00752AE3" w:rsidRPr="00752AE3" w14:paraId="4AEA4D69" w14:textId="77777777" w:rsidTr="00B33AF7">
        <w:trPr>
          <w:trHeight w:val="72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536DCDDF" w14:textId="77777777" w:rsidR="00752AE3" w:rsidRPr="00752AE3" w:rsidRDefault="00752AE3" w:rsidP="007B24CD">
            <w:pPr>
              <w:widowControl w:val="0"/>
              <w:spacing w:before="100" w:after="100"/>
              <w:rPr>
                <w:rFonts w:ascii="Arial" w:hAnsi="Arial" w:cs="Arial"/>
                <w:color w:val="000000"/>
                <w:sz w:val="18"/>
                <w:szCs w:val="18"/>
              </w:rPr>
            </w:pPr>
          </w:p>
        </w:tc>
        <w:tc>
          <w:tcPr>
            <w:tcW w:w="0" w:type="auto"/>
            <w:tcBorders>
              <w:top w:val="double" w:sz="4" w:space="0" w:color="4F81BD" w:themeColor="accent1"/>
              <w:left w:val="nil"/>
              <w:bottom w:val="nil"/>
              <w:right w:val="nil"/>
            </w:tcBorders>
            <w:shd w:val="clear" w:color="auto" w:fill="FFFFFF" w:themeFill="background1"/>
            <w:vAlign w:val="center"/>
            <w:hideMark/>
          </w:tcPr>
          <w:p w14:paraId="367FCAE4"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752AE3">
              <w:rPr>
                <w:rFonts w:ascii="Arial" w:hAnsi="Arial" w:cs="Arial"/>
                <w:b/>
                <w:bCs/>
                <w:color w:val="0F243E" w:themeColor="text2" w:themeShade="80"/>
                <w:sz w:val="18"/>
                <w:szCs w:val="18"/>
              </w:rPr>
              <w:t>Variación $</w:t>
            </w:r>
          </w:p>
        </w:tc>
        <w:tc>
          <w:tcPr>
            <w:tcW w:w="0" w:type="auto"/>
            <w:gridSpan w:val="2"/>
            <w:tcBorders>
              <w:top w:val="double" w:sz="4" w:space="0" w:color="4F81BD" w:themeColor="accent1"/>
              <w:left w:val="nil"/>
              <w:bottom w:val="nil"/>
              <w:right w:val="nil"/>
            </w:tcBorders>
            <w:shd w:val="clear" w:color="auto" w:fill="FFFFFF" w:themeFill="background1"/>
            <w:vAlign w:val="center"/>
          </w:tcPr>
          <w:p w14:paraId="5F974F5D" w14:textId="7CCF5C9C" w:rsidR="00752AE3" w:rsidRPr="001F3321" w:rsidRDefault="001F3321" w:rsidP="007B24CD">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(36.097.181)</w:t>
            </w:r>
          </w:p>
        </w:tc>
        <w:tc>
          <w:tcPr>
            <w:tcW w:w="0" w:type="auto"/>
            <w:tcBorders>
              <w:top w:val="nil"/>
              <w:left w:val="nil"/>
              <w:bottom w:val="nil"/>
              <w:right w:val="single" w:sz="4" w:space="0" w:color="4F81BD" w:themeColor="accent1"/>
            </w:tcBorders>
            <w:noWrap/>
            <w:vAlign w:val="center"/>
            <w:hideMark/>
          </w:tcPr>
          <w:p w14:paraId="4ACC8803"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238AC424" w14:textId="77777777" w:rsidR="00752AE3" w:rsidRPr="00752AE3" w:rsidRDefault="00752AE3"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double" w:sz="4" w:space="0" w:color="4F81BD" w:themeColor="accent1"/>
              <w:left w:val="nil"/>
              <w:bottom w:val="nil"/>
              <w:right w:val="nil"/>
            </w:tcBorders>
            <w:vAlign w:val="center"/>
            <w:hideMark/>
          </w:tcPr>
          <w:p w14:paraId="1D9365E2"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752AE3">
              <w:rPr>
                <w:rFonts w:ascii="Arial" w:hAnsi="Arial" w:cs="Arial"/>
                <w:b/>
                <w:bCs/>
                <w:color w:val="0F243E" w:themeColor="text2" w:themeShade="80"/>
                <w:sz w:val="18"/>
                <w:szCs w:val="18"/>
              </w:rPr>
              <w:t>Variación KW/H</w:t>
            </w:r>
          </w:p>
        </w:tc>
        <w:tc>
          <w:tcPr>
            <w:tcW w:w="0" w:type="auto"/>
            <w:gridSpan w:val="2"/>
            <w:tcBorders>
              <w:top w:val="double" w:sz="4" w:space="0" w:color="4F81BD" w:themeColor="accent1"/>
              <w:left w:val="nil"/>
              <w:bottom w:val="nil"/>
              <w:right w:val="nil"/>
            </w:tcBorders>
            <w:vAlign w:val="center"/>
          </w:tcPr>
          <w:p w14:paraId="3AB8498C" w14:textId="4F4FCA97" w:rsidR="00752AE3" w:rsidRPr="001F3321" w:rsidRDefault="001F3321" w:rsidP="007B24CD">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 xml:space="preserve">(138.330) </w:t>
            </w:r>
          </w:p>
        </w:tc>
      </w:tr>
      <w:tr w:rsidR="00752AE3" w:rsidRPr="00CA48AF" w14:paraId="07D3FF29" w14:textId="77777777" w:rsidTr="00B33AF7">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19A88EE9" w14:textId="77777777" w:rsidR="00752AE3" w:rsidRPr="00752AE3" w:rsidRDefault="00752AE3" w:rsidP="007B24CD">
            <w:pPr>
              <w:widowControl w:val="0"/>
              <w:spacing w:before="100" w:after="100"/>
              <w:rPr>
                <w:rFonts w:ascii="Arial" w:hAnsi="Arial" w:cs="Arial"/>
                <w:color w:val="000000"/>
                <w:sz w:val="18"/>
                <w:szCs w:val="18"/>
              </w:rPr>
            </w:pPr>
          </w:p>
        </w:tc>
        <w:tc>
          <w:tcPr>
            <w:tcW w:w="0" w:type="auto"/>
            <w:tcBorders>
              <w:top w:val="nil"/>
              <w:left w:val="nil"/>
              <w:bottom w:val="double" w:sz="4" w:space="0" w:color="4F81BD" w:themeColor="accent1"/>
              <w:right w:val="nil"/>
            </w:tcBorders>
            <w:shd w:val="clear" w:color="auto" w:fill="FFFFFF" w:themeFill="background1"/>
            <w:vAlign w:val="center"/>
            <w:hideMark/>
          </w:tcPr>
          <w:p w14:paraId="727F4B58"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752AE3">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shd w:val="clear" w:color="auto" w:fill="FFFFFF" w:themeFill="background1"/>
            <w:vAlign w:val="center"/>
          </w:tcPr>
          <w:p w14:paraId="187A72D8" w14:textId="5B06C7A4" w:rsidR="00752AE3" w:rsidRPr="001F3321" w:rsidRDefault="001F3321" w:rsidP="007B24CD">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(10%)</w:t>
            </w:r>
          </w:p>
        </w:tc>
        <w:tc>
          <w:tcPr>
            <w:tcW w:w="0" w:type="auto"/>
            <w:tcBorders>
              <w:top w:val="nil"/>
              <w:left w:val="nil"/>
              <w:bottom w:val="nil"/>
              <w:right w:val="single" w:sz="4" w:space="0" w:color="4F81BD" w:themeColor="accent1"/>
            </w:tcBorders>
            <w:noWrap/>
            <w:vAlign w:val="center"/>
            <w:hideMark/>
          </w:tcPr>
          <w:p w14:paraId="2C949652"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5B579710" w14:textId="77777777" w:rsidR="00752AE3" w:rsidRPr="00752AE3" w:rsidRDefault="00752AE3" w:rsidP="007B24CD">
            <w:pPr>
              <w:widowControl w:val="0"/>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4A4B2165" w14:textId="77777777" w:rsidR="00752AE3" w:rsidRPr="00752AE3" w:rsidRDefault="00752AE3" w:rsidP="007B24CD">
            <w:pPr>
              <w:widowControl w:val="0"/>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752AE3">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vAlign w:val="center"/>
          </w:tcPr>
          <w:p w14:paraId="0D9128BE" w14:textId="3F9D5E15" w:rsidR="001F3321" w:rsidRDefault="001F3321" w:rsidP="007B24CD">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(11%)</w:t>
            </w:r>
          </w:p>
          <w:p w14:paraId="3F4CFEB3" w14:textId="6C1CD930" w:rsidR="00752AE3" w:rsidRPr="00752AE3" w:rsidRDefault="00752AE3" w:rsidP="007B24CD">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p>
        </w:tc>
      </w:tr>
    </w:tbl>
    <w:p w14:paraId="6E966778" w14:textId="77777777" w:rsidR="00752AE3" w:rsidRDefault="00752AE3" w:rsidP="000E7F3A">
      <w:pPr>
        <w:jc w:val="both"/>
        <w:rPr>
          <w:rFonts w:ascii="Arial" w:hAnsi="Arial" w:cs="Arial"/>
          <w:color w:val="000000"/>
          <w:sz w:val="22"/>
          <w:szCs w:val="22"/>
          <w:highlight w:val="yellow"/>
        </w:rPr>
      </w:pPr>
    </w:p>
    <w:p w14:paraId="6B4F5EFE" w14:textId="0C62F443" w:rsidR="003E7533" w:rsidRPr="00C7012F" w:rsidRDefault="003E7533" w:rsidP="003E7533">
      <w:pPr>
        <w:jc w:val="both"/>
        <w:rPr>
          <w:rFonts w:ascii="Arial" w:hAnsi="Arial" w:cs="Arial"/>
          <w:color w:val="000000"/>
          <w:sz w:val="22"/>
          <w:szCs w:val="22"/>
        </w:rPr>
      </w:pPr>
      <w:r w:rsidRPr="00C7012F">
        <w:rPr>
          <w:rFonts w:ascii="Arial" w:hAnsi="Arial" w:cs="Arial"/>
          <w:color w:val="000000"/>
          <w:sz w:val="22"/>
          <w:szCs w:val="22"/>
        </w:rPr>
        <w:t xml:space="preserve">En relación a los resultados del comportamiento del gasto y consumo de energía durante el </w:t>
      </w:r>
      <w:r w:rsidR="005C57F8" w:rsidRPr="00C7012F">
        <w:rPr>
          <w:rFonts w:ascii="Arial" w:hAnsi="Arial" w:cs="Arial"/>
          <w:color w:val="000000"/>
          <w:sz w:val="22"/>
          <w:szCs w:val="22"/>
        </w:rPr>
        <w:t>tercer trimestre</w:t>
      </w:r>
      <w:r w:rsidRPr="00C7012F">
        <w:rPr>
          <w:rFonts w:ascii="Arial" w:hAnsi="Arial" w:cs="Arial"/>
          <w:color w:val="000000"/>
          <w:sz w:val="22"/>
          <w:szCs w:val="22"/>
        </w:rPr>
        <w:t xml:space="preserve"> de 2020, </w:t>
      </w:r>
      <w:r w:rsidR="005C57F8" w:rsidRPr="00C7012F">
        <w:rPr>
          <w:rFonts w:ascii="Arial" w:hAnsi="Arial" w:cs="Arial"/>
          <w:color w:val="000000"/>
          <w:sz w:val="22"/>
          <w:szCs w:val="22"/>
        </w:rPr>
        <w:t xml:space="preserve">se deduce que </w:t>
      </w:r>
      <w:r w:rsidRPr="00C7012F">
        <w:rPr>
          <w:rFonts w:ascii="Arial" w:hAnsi="Arial" w:cs="Arial"/>
          <w:color w:val="000000"/>
          <w:sz w:val="22"/>
          <w:szCs w:val="22"/>
        </w:rPr>
        <w:t xml:space="preserve">fueron impactados por los siguientes aspectos: </w:t>
      </w:r>
    </w:p>
    <w:p w14:paraId="5EFC16DB" w14:textId="77777777" w:rsidR="003E7533" w:rsidRPr="00C7012F" w:rsidRDefault="003E7533" w:rsidP="003E7533">
      <w:pPr>
        <w:pStyle w:val="Prrafodelista"/>
        <w:ind w:left="360"/>
        <w:rPr>
          <w:rFonts w:ascii="Arial" w:hAnsi="Arial" w:cs="Arial"/>
          <w:color w:val="000000"/>
          <w:sz w:val="22"/>
          <w:szCs w:val="22"/>
        </w:rPr>
      </w:pPr>
    </w:p>
    <w:p w14:paraId="0805AEA5" w14:textId="2011B7FA" w:rsidR="003E7533" w:rsidRPr="00C7012F" w:rsidRDefault="003E7533" w:rsidP="007B24CD">
      <w:pPr>
        <w:pStyle w:val="Prrafodelista"/>
        <w:numPr>
          <w:ilvl w:val="0"/>
          <w:numId w:val="32"/>
        </w:numPr>
        <w:contextualSpacing w:val="0"/>
        <w:rPr>
          <w:rFonts w:ascii="Arial" w:hAnsi="Arial" w:cs="Arial"/>
          <w:color w:val="000000"/>
          <w:sz w:val="22"/>
          <w:szCs w:val="22"/>
        </w:rPr>
      </w:pPr>
      <w:r w:rsidRPr="00C7012F">
        <w:rPr>
          <w:rFonts w:ascii="Arial" w:hAnsi="Arial" w:cs="Arial"/>
          <w:color w:val="000000"/>
          <w:sz w:val="22"/>
          <w:szCs w:val="22"/>
        </w:rPr>
        <w:lastRenderedPageBreak/>
        <w:t xml:space="preserve">El Ministerio de Hacienda y Crédito Público, desde el 20 de marzo de 2020 implementó la modalidad de </w:t>
      </w:r>
      <w:r w:rsidRPr="00C7012F">
        <w:rPr>
          <w:rFonts w:ascii="Arial" w:hAnsi="Arial" w:cs="Arial"/>
          <w:i/>
          <w:iCs/>
          <w:color w:val="000000"/>
          <w:sz w:val="22"/>
          <w:szCs w:val="22"/>
        </w:rPr>
        <w:t xml:space="preserve">trabajo en casa, </w:t>
      </w:r>
      <w:r w:rsidRPr="00C7012F">
        <w:rPr>
          <w:rFonts w:ascii="Arial" w:hAnsi="Arial" w:cs="Arial"/>
          <w:color w:val="000000" w:themeColor="text1"/>
          <w:sz w:val="22"/>
          <w:szCs w:val="22"/>
          <w:bdr w:val="none" w:sz="0" w:space="0" w:color="auto" w:frame="1"/>
        </w:rPr>
        <w:t>en virtud del aislamiento preventivo obligatorio</w:t>
      </w:r>
      <w:r w:rsidR="008978CE" w:rsidRPr="00C7012F">
        <w:rPr>
          <w:rFonts w:ascii="Arial" w:hAnsi="Arial" w:cs="Arial"/>
          <w:color w:val="000000" w:themeColor="text1"/>
          <w:sz w:val="22"/>
          <w:szCs w:val="22"/>
          <w:bdr w:val="none" w:sz="0" w:space="0" w:color="auto" w:frame="1"/>
        </w:rPr>
        <w:t xml:space="preserve">, manteniendo esta directriz durante el tercer trimestre de 2020. No obstante, </w:t>
      </w:r>
      <w:r w:rsidRPr="00C7012F">
        <w:rPr>
          <w:rFonts w:ascii="Arial" w:hAnsi="Arial" w:cs="Arial"/>
          <w:color w:val="000000" w:themeColor="text1"/>
          <w:sz w:val="22"/>
          <w:szCs w:val="22"/>
          <w:bdr w:val="none" w:sz="0" w:space="0" w:color="auto" w:frame="1"/>
        </w:rPr>
        <w:t xml:space="preserve">fue necesario que los equipos de cómputo asignados a los funcionarios, contratistas y pasantes estuvieran encendidos las 24 horas de los 7 días de la semana (24/7), con el fin de permitir la conexión remota (VPN) para el cumplimiento de sus funciones, </w:t>
      </w:r>
      <w:r w:rsidRPr="00C7012F">
        <w:rPr>
          <w:rFonts w:ascii="Arial" w:hAnsi="Arial" w:cs="Arial"/>
          <w:color w:val="000000"/>
          <w:sz w:val="22"/>
          <w:szCs w:val="22"/>
        </w:rPr>
        <w:t>implicando un mayor número de horas de los equipos encendidos</w:t>
      </w:r>
      <w:r w:rsidR="008978CE" w:rsidRPr="00C7012F">
        <w:rPr>
          <w:rFonts w:ascii="Arial" w:hAnsi="Arial" w:cs="Arial"/>
          <w:color w:val="000000"/>
          <w:sz w:val="22"/>
          <w:szCs w:val="22"/>
        </w:rPr>
        <w:t>, sin embargo, se observaron disminuciones en el consumo y el valor del gasto</w:t>
      </w:r>
      <w:r w:rsidR="00D9251C" w:rsidRPr="00C7012F">
        <w:rPr>
          <w:rFonts w:ascii="Arial" w:hAnsi="Arial" w:cs="Arial"/>
          <w:color w:val="000000"/>
          <w:sz w:val="22"/>
          <w:szCs w:val="22"/>
        </w:rPr>
        <w:t xml:space="preserve"> a nivel global para dos sedes del MHCP.</w:t>
      </w:r>
      <w:r w:rsidR="008978CE" w:rsidRPr="00C7012F">
        <w:rPr>
          <w:rFonts w:ascii="Arial" w:hAnsi="Arial" w:cs="Arial"/>
          <w:color w:val="000000"/>
          <w:sz w:val="22"/>
          <w:szCs w:val="22"/>
        </w:rPr>
        <w:t xml:space="preserve"> </w:t>
      </w:r>
    </w:p>
    <w:p w14:paraId="5D09B6AC" w14:textId="77777777" w:rsidR="003E7533" w:rsidRPr="00C7012F" w:rsidRDefault="003E7533" w:rsidP="007B24CD">
      <w:pPr>
        <w:jc w:val="both"/>
        <w:rPr>
          <w:rFonts w:ascii="Arial" w:hAnsi="Arial" w:cs="Arial"/>
          <w:color w:val="000000" w:themeColor="text1"/>
          <w:sz w:val="22"/>
          <w:szCs w:val="22"/>
          <w:bdr w:val="none" w:sz="0" w:space="0" w:color="auto" w:frame="1"/>
        </w:rPr>
      </w:pPr>
    </w:p>
    <w:p w14:paraId="6EBF26D3" w14:textId="18664D7B" w:rsidR="00354837" w:rsidRPr="00C7012F" w:rsidRDefault="00727116" w:rsidP="007B24CD">
      <w:pPr>
        <w:pStyle w:val="Prrafodelista"/>
        <w:ind w:left="360"/>
        <w:contextualSpacing w:val="0"/>
        <w:rPr>
          <w:rFonts w:ascii="Arial" w:hAnsi="Arial" w:cs="Arial"/>
          <w:color w:val="000000" w:themeColor="text1"/>
          <w:sz w:val="22"/>
          <w:szCs w:val="22"/>
          <w:bdr w:val="none" w:sz="0" w:space="0" w:color="auto" w:frame="1"/>
        </w:rPr>
      </w:pPr>
      <w:r w:rsidRPr="00C7012F">
        <w:rPr>
          <w:rFonts w:ascii="Arial" w:hAnsi="Arial" w:cs="Arial"/>
          <w:color w:val="000000" w:themeColor="text1"/>
          <w:sz w:val="22"/>
          <w:szCs w:val="22"/>
          <w:bdr w:val="none" w:sz="0" w:space="0" w:color="auto" w:frame="1"/>
        </w:rPr>
        <w:t xml:space="preserve">Frente a lo anterior y </w:t>
      </w:r>
      <w:r w:rsidR="003E7533" w:rsidRPr="00C7012F">
        <w:rPr>
          <w:rFonts w:ascii="Arial" w:hAnsi="Arial" w:cs="Arial"/>
          <w:color w:val="000000" w:themeColor="text1"/>
          <w:sz w:val="22"/>
          <w:szCs w:val="22"/>
          <w:bdr w:val="none" w:sz="0" w:space="0" w:color="auto" w:frame="1"/>
        </w:rPr>
        <w:t>con el propósito de optimizar el uso de energía</w:t>
      </w:r>
      <w:r w:rsidRPr="00C7012F">
        <w:rPr>
          <w:rFonts w:ascii="Arial" w:hAnsi="Arial" w:cs="Arial"/>
          <w:color w:val="000000" w:themeColor="text1"/>
          <w:sz w:val="22"/>
          <w:szCs w:val="22"/>
          <w:bdr w:val="none" w:sz="0" w:space="0" w:color="auto" w:frame="1"/>
        </w:rPr>
        <w:t>,</w:t>
      </w:r>
      <w:r w:rsidR="003E7533" w:rsidRPr="00C7012F">
        <w:rPr>
          <w:rFonts w:ascii="Arial" w:hAnsi="Arial" w:cs="Arial"/>
          <w:color w:val="000000" w:themeColor="text1"/>
          <w:sz w:val="22"/>
          <w:szCs w:val="22"/>
          <w:bdr w:val="none" w:sz="0" w:space="0" w:color="auto" w:frame="1"/>
        </w:rPr>
        <w:t xml:space="preserve"> bajo el marco de la austeridad del gasto</w:t>
      </w:r>
      <w:r w:rsidR="00354837" w:rsidRPr="00C7012F">
        <w:rPr>
          <w:rFonts w:ascii="Arial" w:hAnsi="Arial" w:cs="Arial"/>
          <w:color w:val="000000" w:themeColor="text1"/>
          <w:sz w:val="22"/>
          <w:szCs w:val="22"/>
          <w:bdr w:val="none" w:sz="0" w:space="0" w:color="auto" w:frame="1"/>
        </w:rPr>
        <w:t xml:space="preserve"> y contrarrestar situaciones que impactan el </w:t>
      </w:r>
      <w:r w:rsidRPr="00C7012F">
        <w:rPr>
          <w:rFonts w:ascii="Arial" w:hAnsi="Arial" w:cs="Arial"/>
          <w:color w:val="000000" w:themeColor="text1"/>
          <w:sz w:val="22"/>
          <w:szCs w:val="22"/>
          <w:bdr w:val="none" w:sz="0" w:space="0" w:color="auto" w:frame="1"/>
        </w:rPr>
        <w:t>consumo como la antes mencionada</w:t>
      </w:r>
      <w:r w:rsidR="00354837" w:rsidRPr="00C7012F">
        <w:rPr>
          <w:rFonts w:ascii="Arial" w:hAnsi="Arial" w:cs="Arial"/>
          <w:color w:val="000000" w:themeColor="text1"/>
          <w:sz w:val="22"/>
          <w:szCs w:val="22"/>
          <w:bdr w:val="none" w:sz="0" w:space="0" w:color="auto" w:frame="1"/>
        </w:rPr>
        <w:t xml:space="preserve">, </w:t>
      </w:r>
      <w:r w:rsidR="00354837" w:rsidRPr="00C7012F">
        <w:rPr>
          <w:rFonts w:ascii="Arial" w:hAnsi="Arial" w:cs="Arial"/>
          <w:color w:val="000000" w:themeColor="text1"/>
          <w:sz w:val="22"/>
          <w:szCs w:val="22"/>
        </w:rPr>
        <w:t>al principio de la vigencia</w:t>
      </w:r>
      <w:r w:rsidR="000A3EAA">
        <w:rPr>
          <w:rFonts w:ascii="Arial" w:hAnsi="Arial" w:cs="Arial"/>
          <w:color w:val="000000" w:themeColor="text1"/>
          <w:sz w:val="22"/>
          <w:szCs w:val="22"/>
        </w:rPr>
        <w:t xml:space="preserve"> de 2020,</w:t>
      </w:r>
      <w:r w:rsidR="00354837" w:rsidRPr="00C7012F">
        <w:rPr>
          <w:rFonts w:ascii="Arial" w:hAnsi="Arial" w:cs="Arial"/>
          <w:color w:val="000000" w:themeColor="text1"/>
          <w:sz w:val="22"/>
          <w:szCs w:val="22"/>
        </w:rPr>
        <w:t xml:space="preserve"> esta Entidad realizó la adquisición de nuevos computadores y sistemas de impresión con </w:t>
      </w:r>
      <w:r w:rsidR="00354837" w:rsidRPr="00C7012F">
        <w:rPr>
          <w:rFonts w:ascii="Arial" w:hAnsi="Arial" w:cs="Arial"/>
          <w:i/>
          <w:iCs/>
          <w:color w:val="000000" w:themeColor="text1"/>
          <w:sz w:val="22"/>
          <w:szCs w:val="22"/>
        </w:rPr>
        <w:t>eco consumo</w:t>
      </w:r>
      <w:r w:rsidR="00354837" w:rsidRPr="00C7012F">
        <w:rPr>
          <w:rFonts w:ascii="Arial" w:hAnsi="Arial" w:cs="Arial"/>
          <w:color w:val="000000" w:themeColor="text1"/>
          <w:sz w:val="22"/>
          <w:szCs w:val="22"/>
        </w:rPr>
        <w:t>, contribuyendo al ahorro y uso eficiente de energía mediante nuevas tecnologías</w:t>
      </w:r>
      <w:r w:rsidR="0061473A" w:rsidRPr="00C7012F">
        <w:rPr>
          <w:rFonts w:ascii="Arial" w:hAnsi="Arial" w:cs="Arial"/>
          <w:color w:val="000000" w:themeColor="text1"/>
          <w:sz w:val="22"/>
          <w:szCs w:val="22"/>
        </w:rPr>
        <w:t xml:space="preserve">. </w:t>
      </w:r>
      <w:r w:rsidR="00354837" w:rsidRPr="00C7012F">
        <w:rPr>
          <w:rFonts w:ascii="Arial" w:hAnsi="Arial" w:cs="Arial"/>
          <w:color w:val="000000" w:themeColor="text1"/>
          <w:sz w:val="22"/>
          <w:szCs w:val="22"/>
        </w:rPr>
        <w:t xml:space="preserve"> </w:t>
      </w:r>
    </w:p>
    <w:p w14:paraId="06789C22" w14:textId="77777777" w:rsidR="00354837" w:rsidRPr="00C7012F" w:rsidRDefault="00354837" w:rsidP="007B24CD">
      <w:pPr>
        <w:jc w:val="both"/>
        <w:rPr>
          <w:rFonts w:ascii="Arial" w:hAnsi="Arial" w:cs="Arial"/>
          <w:color w:val="000000" w:themeColor="text1"/>
          <w:sz w:val="22"/>
          <w:szCs w:val="22"/>
          <w:highlight w:val="yellow"/>
          <w:bdr w:val="none" w:sz="0" w:space="0" w:color="auto" w:frame="1"/>
        </w:rPr>
      </w:pPr>
    </w:p>
    <w:p w14:paraId="062403FE" w14:textId="7E1BFBFD" w:rsidR="001F536C" w:rsidRPr="00C7012F" w:rsidRDefault="003E7533" w:rsidP="007B24CD">
      <w:pPr>
        <w:pStyle w:val="Prrafodelista"/>
        <w:numPr>
          <w:ilvl w:val="0"/>
          <w:numId w:val="32"/>
        </w:numPr>
        <w:contextualSpacing w:val="0"/>
        <w:rPr>
          <w:rFonts w:ascii="Arial" w:hAnsi="Arial" w:cs="Arial"/>
          <w:color w:val="000000"/>
          <w:sz w:val="22"/>
          <w:szCs w:val="22"/>
        </w:rPr>
      </w:pPr>
      <w:r w:rsidRPr="00C7012F">
        <w:rPr>
          <w:rFonts w:ascii="Arial" w:hAnsi="Arial" w:cs="Arial"/>
          <w:color w:val="000000" w:themeColor="text1"/>
          <w:sz w:val="22"/>
          <w:szCs w:val="22"/>
          <w:bdr w:val="none" w:sz="0" w:space="0" w:color="auto" w:frame="1"/>
        </w:rPr>
        <w:t xml:space="preserve">Derivado de la modalidad de </w:t>
      </w:r>
      <w:r w:rsidRPr="00C7012F">
        <w:rPr>
          <w:rFonts w:ascii="Arial" w:hAnsi="Arial" w:cs="Arial"/>
          <w:i/>
          <w:color w:val="000000" w:themeColor="text1"/>
          <w:sz w:val="22"/>
          <w:szCs w:val="22"/>
          <w:bdr w:val="none" w:sz="0" w:space="0" w:color="auto" w:frame="1"/>
        </w:rPr>
        <w:t>trabajo en casa,</w:t>
      </w:r>
      <w:r w:rsidRPr="00C7012F">
        <w:rPr>
          <w:rFonts w:ascii="Arial" w:hAnsi="Arial" w:cs="Arial"/>
          <w:color w:val="000000" w:themeColor="text1"/>
          <w:sz w:val="22"/>
          <w:szCs w:val="22"/>
          <w:bdr w:val="none" w:sz="0" w:space="0" w:color="auto" w:frame="1"/>
        </w:rPr>
        <w:t xml:space="preserve"> generó una ausencia de funcionarios en la planta física del Ministerio, generando una disminución en el uso de elementos, tales como, hornos microondas, grecas, sensores de movimiento, ascensores y otros elementos que requieren de energía eléctrica para su utilización</w:t>
      </w:r>
      <w:r w:rsidR="001F536C" w:rsidRPr="00C7012F">
        <w:rPr>
          <w:rFonts w:ascii="Arial" w:hAnsi="Arial" w:cs="Arial"/>
          <w:color w:val="000000" w:themeColor="text1"/>
          <w:sz w:val="22"/>
          <w:szCs w:val="22"/>
          <w:bdr w:val="none" w:sz="0" w:space="0" w:color="auto" w:frame="1"/>
        </w:rPr>
        <w:t>.</w:t>
      </w:r>
      <w:r w:rsidRPr="00C7012F">
        <w:rPr>
          <w:rFonts w:ascii="Arial" w:hAnsi="Arial" w:cs="Arial"/>
          <w:color w:val="000000" w:themeColor="text1"/>
          <w:sz w:val="22"/>
          <w:szCs w:val="22"/>
          <w:bdr w:val="none" w:sz="0" w:space="0" w:color="auto" w:frame="1"/>
        </w:rPr>
        <w:t xml:space="preserve"> </w:t>
      </w:r>
    </w:p>
    <w:p w14:paraId="72842E8B" w14:textId="77777777" w:rsidR="001F536C" w:rsidRPr="00C7012F" w:rsidRDefault="001F536C" w:rsidP="007B24CD">
      <w:pPr>
        <w:jc w:val="both"/>
        <w:rPr>
          <w:rFonts w:ascii="Arial" w:hAnsi="Arial" w:cs="Arial"/>
          <w:color w:val="000000" w:themeColor="text1"/>
          <w:sz w:val="22"/>
          <w:szCs w:val="22"/>
          <w:highlight w:val="yellow"/>
          <w:bdr w:val="none" w:sz="0" w:space="0" w:color="auto" w:frame="1"/>
        </w:rPr>
      </w:pPr>
    </w:p>
    <w:p w14:paraId="33D688CD" w14:textId="5CD208E4" w:rsidR="003E7533" w:rsidRPr="00C7012F" w:rsidRDefault="001F536C" w:rsidP="007B24CD">
      <w:pPr>
        <w:jc w:val="both"/>
        <w:rPr>
          <w:rFonts w:ascii="Arial" w:hAnsi="Arial" w:cs="Arial"/>
          <w:color w:val="000000"/>
          <w:sz w:val="22"/>
          <w:szCs w:val="22"/>
        </w:rPr>
      </w:pPr>
      <w:r w:rsidRPr="00C7012F">
        <w:rPr>
          <w:rFonts w:ascii="Arial" w:hAnsi="Arial" w:cs="Arial"/>
          <w:color w:val="000000" w:themeColor="text1"/>
          <w:sz w:val="22"/>
          <w:szCs w:val="22"/>
          <w:bdr w:val="none" w:sz="0" w:space="0" w:color="auto" w:frame="1"/>
        </w:rPr>
        <w:t xml:space="preserve">De lo anterior, se concluye que los aspectos antes referidos influyeron en los resultados obtenidos para las variables de gasto y consumo durante el </w:t>
      </w:r>
      <w:r w:rsidR="008978CE" w:rsidRPr="00C7012F">
        <w:rPr>
          <w:rFonts w:ascii="Arial" w:hAnsi="Arial" w:cs="Arial"/>
          <w:color w:val="000000" w:themeColor="text1"/>
          <w:sz w:val="22"/>
          <w:szCs w:val="22"/>
          <w:bdr w:val="none" w:sz="0" w:space="0" w:color="auto" w:frame="1"/>
        </w:rPr>
        <w:t xml:space="preserve">tercer </w:t>
      </w:r>
      <w:r w:rsidRPr="00C7012F">
        <w:rPr>
          <w:rFonts w:ascii="Arial" w:hAnsi="Arial" w:cs="Arial"/>
          <w:color w:val="000000" w:themeColor="text1"/>
          <w:sz w:val="22"/>
          <w:szCs w:val="22"/>
          <w:bdr w:val="none" w:sz="0" w:space="0" w:color="auto" w:frame="1"/>
        </w:rPr>
        <w:t>trimestre de 2020.</w:t>
      </w:r>
    </w:p>
    <w:p w14:paraId="61135A55" w14:textId="77777777" w:rsidR="003E7533" w:rsidRPr="001B5F3A" w:rsidRDefault="003E7533" w:rsidP="007B24CD">
      <w:pPr>
        <w:jc w:val="both"/>
        <w:rPr>
          <w:rFonts w:ascii="Arial" w:hAnsi="Arial" w:cs="Arial"/>
          <w:color w:val="000000"/>
          <w:sz w:val="22"/>
          <w:szCs w:val="22"/>
        </w:rPr>
      </w:pPr>
    </w:p>
    <w:p w14:paraId="3DF7F396" w14:textId="77777777" w:rsidR="00D9251C" w:rsidRPr="00C7012F" w:rsidRDefault="00597F89" w:rsidP="007B24CD">
      <w:pPr>
        <w:pStyle w:val="Prrafodelista"/>
        <w:ind w:left="0"/>
        <w:contextualSpacing w:val="0"/>
        <w:rPr>
          <w:rFonts w:ascii="Arial" w:hAnsi="Arial" w:cs="Arial"/>
          <w:color w:val="000000" w:themeColor="text1"/>
          <w:sz w:val="22"/>
          <w:szCs w:val="22"/>
          <w:bdr w:val="none" w:sz="0" w:space="0" w:color="auto" w:frame="1"/>
        </w:rPr>
      </w:pPr>
      <w:r w:rsidRPr="00C7012F">
        <w:rPr>
          <w:rFonts w:ascii="Arial" w:hAnsi="Arial" w:cs="Arial"/>
          <w:color w:val="000000"/>
          <w:sz w:val="22"/>
          <w:szCs w:val="22"/>
        </w:rPr>
        <w:t xml:space="preserve">Sobre las variaciones </w:t>
      </w:r>
      <w:r w:rsidR="008978CE" w:rsidRPr="00C7012F">
        <w:rPr>
          <w:rFonts w:ascii="Arial" w:hAnsi="Arial" w:cs="Arial"/>
          <w:color w:val="000000"/>
          <w:sz w:val="22"/>
          <w:szCs w:val="22"/>
        </w:rPr>
        <w:t>antes expuestas</w:t>
      </w:r>
      <w:r w:rsidRPr="00C7012F">
        <w:rPr>
          <w:rFonts w:ascii="Arial" w:hAnsi="Arial" w:cs="Arial"/>
          <w:color w:val="000000"/>
          <w:sz w:val="22"/>
          <w:szCs w:val="22"/>
        </w:rPr>
        <w:t xml:space="preserve">, se </w:t>
      </w:r>
      <w:r w:rsidR="003E7533" w:rsidRPr="00C7012F">
        <w:rPr>
          <w:rFonts w:ascii="Arial" w:hAnsi="Arial" w:cs="Arial"/>
          <w:color w:val="000000"/>
          <w:sz w:val="22"/>
          <w:szCs w:val="22"/>
        </w:rPr>
        <w:t xml:space="preserve">deduce que fueron originadas por </w:t>
      </w:r>
      <w:r w:rsidRPr="00C7012F">
        <w:rPr>
          <w:rFonts w:ascii="Arial" w:hAnsi="Arial" w:cs="Arial"/>
          <w:color w:val="000000" w:themeColor="text1"/>
          <w:sz w:val="22"/>
          <w:szCs w:val="22"/>
        </w:rPr>
        <w:t xml:space="preserve">las medidas adoptadas por este Ministerio, en virtud de </w:t>
      </w:r>
      <w:r w:rsidRPr="00C7012F">
        <w:rPr>
          <w:rFonts w:ascii="Arial" w:hAnsi="Arial" w:cs="Arial"/>
          <w:color w:val="000000" w:themeColor="text1"/>
          <w:sz w:val="22"/>
          <w:szCs w:val="22"/>
          <w:bdr w:val="none" w:sz="0" w:space="0" w:color="auto" w:frame="1"/>
        </w:rPr>
        <w:t>la Emergencia Económica, Social y Ecológica [Covid-19] decr</w:t>
      </w:r>
      <w:r w:rsidR="00727116" w:rsidRPr="00C7012F">
        <w:rPr>
          <w:rFonts w:ascii="Arial" w:hAnsi="Arial" w:cs="Arial"/>
          <w:color w:val="000000" w:themeColor="text1"/>
          <w:sz w:val="22"/>
          <w:szCs w:val="22"/>
          <w:bdr w:val="none" w:sz="0" w:space="0" w:color="auto" w:frame="1"/>
        </w:rPr>
        <w:t>etada por el Gobierno Nacional</w:t>
      </w:r>
      <w:r w:rsidR="001B5F3A" w:rsidRPr="00C7012F">
        <w:rPr>
          <w:rFonts w:ascii="Arial" w:hAnsi="Arial" w:cs="Arial"/>
          <w:color w:val="000000" w:themeColor="text1"/>
          <w:sz w:val="22"/>
          <w:szCs w:val="22"/>
          <w:bdr w:val="none" w:sz="0" w:space="0" w:color="auto" w:frame="1"/>
        </w:rPr>
        <w:t xml:space="preserve">. No obstante, es relevante tener en cuenta que debido a la </w:t>
      </w:r>
      <w:r w:rsidR="00727116" w:rsidRPr="00C7012F">
        <w:rPr>
          <w:rFonts w:ascii="Arial" w:hAnsi="Arial" w:cs="Arial"/>
          <w:color w:val="000000" w:themeColor="text1"/>
          <w:sz w:val="22"/>
          <w:szCs w:val="22"/>
          <w:bdr w:val="none" w:sz="0" w:space="0" w:color="auto" w:frame="1"/>
        </w:rPr>
        <w:t xml:space="preserve">modalidad de trabajo en casa para aproximadamente el 80% de los servidores públicos, </w:t>
      </w:r>
      <w:r w:rsidR="001B5F3A" w:rsidRPr="00C7012F">
        <w:rPr>
          <w:rFonts w:ascii="Arial" w:hAnsi="Arial" w:cs="Arial"/>
          <w:color w:val="000000" w:themeColor="text1"/>
          <w:sz w:val="22"/>
          <w:szCs w:val="22"/>
          <w:bdr w:val="none" w:sz="0" w:space="0" w:color="auto" w:frame="1"/>
        </w:rPr>
        <w:t xml:space="preserve">fue necesario mantener encendido los equipos de cómputo 24/7 por temas de conectividad remota. </w:t>
      </w:r>
    </w:p>
    <w:p w14:paraId="37C9A592" w14:textId="77777777" w:rsidR="00D9251C" w:rsidRPr="00C7012F" w:rsidRDefault="00D9251C" w:rsidP="007B24CD">
      <w:pPr>
        <w:jc w:val="both"/>
        <w:rPr>
          <w:rFonts w:ascii="Arial" w:hAnsi="Arial" w:cs="Arial"/>
          <w:color w:val="000000" w:themeColor="text1"/>
          <w:sz w:val="22"/>
          <w:szCs w:val="22"/>
          <w:bdr w:val="none" w:sz="0" w:space="0" w:color="auto" w:frame="1"/>
        </w:rPr>
      </w:pPr>
    </w:p>
    <w:p w14:paraId="64232EB3" w14:textId="6C4896AF" w:rsidR="001B5F3A" w:rsidRPr="00C7012F" w:rsidRDefault="001B5F3A" w:rsidP="007B24CD">
      <w:pPr>
        <w:pStyle w:val="Prrafodelista"/>
        <w:ind w:left="0"/>
        <w:contextualSpacing w:val="0"/>
        <w:rPr>
          <w:rFonts w:ascii="Arial" w:hAnsi="Arial" w:cs="Arial"/>
          <w:color w:val="000000" w:themeColor="text1"/>
          <w:sz w:val="22"/>
          <w:szCs w:val="22"/>
          <w:bdr w:val="none" w:sz="0" w:space="0" w:color="auto" w:frame="1"/>
        </w:rPr>
      </w:pPr>
      <w:r w:rsidRPr="00C7012F">
        <w:rPr>
          <w:rFonts w:ascii="Arial" w:hAnsi="Arial" w:cs="Arial"/>
          <w:color w:val="000000" w:themeColor="text1"/>
          <w:sz w:val="22"/>
          <w:szCs w:val="22"/>
          <w:bdr w:val="none" w:sz="0" w:space="0" w:color="auto" w:frame="1"/>
        </w:rPr>
        <w:t xml:space="preserve">Si embargo, </w:t>
      </w:r>
      <w:r w:rsidR="00832ACE" w:rsidRPr="00C7012F">
        <w:rPr>
          <w:rFonts w:ascii="Arial" w:hAnsi="Arial" w:cs="Arial"/>
          <w:color w:val="000000" w:themeColor="text1"/>
          <w:sz w:val="22"/>
          <w:szCs w:val="22"/>
          <w:bdr w:val="none" w:sz="0" w:space="0" w:color="auto" w:frame="1"/>
        </w:rPr>
        <w:t xml:space="preserve">esta </w:t>
      </w:r>
      <w:r w:rsidR="006F4445" w:rsidRPr="00C7012F">
        <w:rPr>
          <w:rFonts w:ascii="Arial" w:hAnsi="Arial" w:cs="Arial"/>
          <w:color w:val="000000" w:themeColor="text1"/>
          <w:sz w:val="22"/>
          <w:szCs w:val="22"/>
          <w:bdr w:val="none" w:sz="0" w:space="0" w:color="auto" w:frame="1"/>
        </w:rPr>
        <w:t xml:space="preserve">Entidad </w:t>
      </w:r>
      <w:r w:rsidR="00EB2D41" w:rsidRPr="00C7012F">
        <w:rPr>
          <w:rFonts w:ascii="Arial" w:hAnsi="Arial" w:cs="Arial"/>
          <w:color w:val="000000" w:themeColor="text1"/>
          <w:sz w:val="22"/>
          <w:szCs w:val="22"/>
          <w:bdr w:val="none" w:sz="0" w:space="0" w:color="auto" w:frame="1"/>
        </w:rPr>
        <w:t>ha venido implementando acciones</w:t>
      </w:r>
      <w:r w:rsidR="00832ACE" w:rsidRPr="00C7012F">
        <w:rPr>
          <w:rFonts w:ascii="Arial" w:hAnsi="Arial" w:cs="Arial"/>
          <w:color w:val="000000" w:themeColor="text1"/>
          <w:sz w:val="22"/>
          <w:szCs w:val="22"/>
          <w:bdr w:val="none" w:sz="0" w:space="0" w:color="auto" w:frame="1"/>
        </w:rPr>
        <w:t xml:space="preserve"> para optimizar el uso del recurso de energía </w:t>
      </w:r>
      <w:r w:rsidR="001F536C" w:rsidRPr="00C7012F">
        <w:rPr>
          <w:rFonts w:ascii="Arial" w:hAnsi="Arial" w:cs="Arial"/>
          <w:color w:val="000000" w:themeColor="text1"/>
          <w:sz w:val="22"/>
          <w:szCs w:val="22"/>
          <w:bdr w:val="none" w:sz="0" w:space="0" w:color="auto" w:frame="1"/>
        </w:rPr>
        <w:t xml:space="preserve">como </w:t>
      </w:r>
      <w:r w:rsidR="00832ACE" w:rsidRPr="00C7012F">
        <w:rPr>
          <w:rFonts w:ascii="Arial" w:hAnsi="Arial" w:cs="Arial"/>
          <w:color w:val="000000" w:themeColor="text1"/>
          <w:sz w:val="22"/>
          <w:szCs w:val="22"/>
          <w:bdr w:val="none" w:sz="0" w:space="0" w:color="auto" w:frame="1"/>
        </w:rPr>
        <w:t xml:space="preserve">el </w:t>
      </w:r>
      <w:proofErr w:type="spellStart"/>
      <w:r w:rsidR="00832ACE" w:rsidRPr="00C7012F">
        <w:rPr>
          <w:rFonts w:ascii="Arial" w:hAnsi="Arial" w:cs="Arial"/>
          <w:i/>
          <w:color w:val="000000" w:themeColor="text1"/>
          <w:sz w:val="22"/>
          <w:szCs w:val="22"/>
          <w:bdr w:val="none" w:sz="0" w:space="0" w:color="auto" w:frame="1"/>
        </w:rPr>
        <w:t>ecoconsumo</w:t>
      </w:r>
      <w:proofErr w:type="spellEnd"/>
      <w:r w:rsidR="00832ACE" w:rsidRPr="00C7012F">
        <w:rPr>
          <w:rFonts w:ascii="Arial" w:hAnsi="Arial" w:cs="Arial"/>
          <w:color w:val="000000" w:themeColor="text1"/>
          <w:sz w:val="22"/>
          <w:szCs w:val="22"/>
          <w:bdr w:val="none" w:sz="0" w:space="0" w:color="auto" w:frame="1"/>
        </w:rPr>
        <w:t xml:space="preserve"> para los equipos de cómputo, contribuyendo así</w:t>
      </w:r>
      <w:r w:rsidR="004B3D74" w:rsidRPr="00C7012F">
        <w:rPr>
          <w:rFonts w:ascii="Arial" w:hAnsi="Arial" w:cs="Arial"/>
          <w:color w:val="000000" w:themeColor="text1"/>
          <w:sz w:val="22"/>
          <w:szCs w:val="22"/>
          <w:bdr w:val="none" w:sz="0" w:space="0" w:color="auto" w:frame="1"/>
        </w:rPr>
        <w:t>,</w:t>
      </w:r>
      <w:r w:rsidR="00832ACE" w:rsidRPr="00C7012F">
        <w:rPr>
          <w:rFonts w:ascii="Arial" w:hAnsi="Arial" w:cs="Arial"/>
          <w:color w:val="000000" w:themeColor="text1"/>
          <w:sz w:val="22"/>
          <w:szCs w:val="22"/>
          <w:bdr w:val="none" w:sz="0" w:space="0" w:color="auto" w:frame="1"/>
        </w:rPr>
        <w:t xml:space="preserve"> con el ahorro en el consumo</w:t>
      </w:r>
      <w:r w:rsidR="00534DA3" w:rsidRPr="00C7012F">
        <w:rPr>
          <w:rFonts w:ascii="Arial" w:hAnsi="Arial" w:cs="Arial"/>
          <w:color w:val="000000" w:themeColor="text1"/>
          <w:sz w:val="22"/>
          <w:szCs w:val="22"/>
          <w:bdr w:val="none" w:sz="0" w:space="0" w:color="auto" w:frame="1"/>
        </w:rPr>
        <w:t xml:space="preserve"> de energía </w:t>
      </w:r>
      <w:r w:rsidR="00832ACE" w:rsidRPr="00C7012F">
        <w:rPr>
          <w:rFonts w:ascii="Arial" w:hAnsi="Arial" w:cs="Arial"/>
          <w:color w:val="000000" w:themeColor="text1"/>
          <w:sz w:val="22"/>
          <w:szCs w:val="22"/>
          <w:bdr w:val="none" w:sz="0" w:space="0" w:color="auto" w:frame="1"/>
        </w:rPr>
        <w:t xml:space="preserve">generado por las horas adicionales que han permanecido los computadores encendidos, </w:t>
      </w:r>
      <w:r w:rsidRPr="00C7012F">
        <w:rPr>
          <w:rFonts w:ascii="Arial" w:hAnsi="Arial" w:cs="Arial"/>
          <w:color w:val="000000" w:themeColor="text1"/>
          <w:sz w:val="22"/>
          <w:szCs w:val="22"/>
          <w:bdr w:val="none" w:sz="0" w:space="0" w:color="auto" w:frame="1"/>
        </w:rPr>
        <w:t>como</w:t>
      </w:r>
      <w:r w:rsidR="00832ACE" w:rsidRPr="00C7012F">
        <w:rPr>
          <w:rFonts w:ascii="Arial" w:hAnsi="Arial" w:cs="Arial"/>
          <w:color w:val="000000" w:themeColor="text1"/>
          <w:sz w:val="22"/>
          <w:szCs w:val="22"/>
          <w:bdr w:val="none" w:sz="0" w:space="0" w:color="auto" w:frame="1"/>
        </w:rPr>
        <w:t xml:space="preserve"> requerimiento de conexión remota durante el periodo de trabajo en casa </w:t>
      </w:r>
      <w:r w:rsidR="006F4445" w:rsidRPr="00C7012F">
        <w:rPr>
          <w:rFonts w:ascii="Arial" w:hAnsi="Arial" w:cs="Arial"/>
          <w:color w:val="000000" w:themeColor="text1"/>
          <w:sz w:val="22"/>
          <w:szCs w:val="22"/>
          <w:bdr w:val="none" w:sz="0" w:space="0" w:color="auto" w:frame="1"/>
        </w:rPr>
        <w:t xml:space="preserve">establecido </w:t>
      </w:r>
      <w:r w:rsidR="00832ACE" w:rsidRPr="00C7012F">
        <w:rPr>
          <w:rFonts w:ascii="Arial" w:hAnsi="Arial" w:cs="Arial"/>
          <w:color w:val="000000" w:themeColor="text1"/>
          <w:sz w:val="22"/>
          <w:szCs w:val="22"/>
          <w:bdr w:val="none" w:sz="0" w:space="0" w:color="auto" w:frame="1"/>
        </w:rPr>
        <w:t xml:space="preserve">por este Ministerio. </w:t>
      </w:r>
    </w:p>
    <w:p w14:paraId="4780C723" w14:textId="77777777" w:rsidR="001B5F3A" w:rsidRPr="00C7012F" w:rsidRDefault="001B5F3A" w:rsidP="007B24CD">
      <w:pPr>
        <w:jc w:val="both"/>
        <w:rPr>
          <w:rFonts w:ascii="Arial" w:hAnsi="Arial" w:cs="Arial"/>
          <w:color w:val="000000" w:themeColor="text1"/>
          <w:sz w:val="22"/>
          <w:szCs w:val="22"/>
          <w:bdr w:val="none" w:sz="0" w:space="0" w:color="auto" w:frame="1"/>
        </w:rPr>
      </w:pPr>
    </w:p>
    <w:p w14:paraId="720DFB57" w14:textId="34C36830" w:rsidR="00832ACE" w:rsidRPr="00C7012F" w:rsidRDefault="00F961C3" w:rsidP="007B24CD">
      <w:pPr>
        <w:pStyle w:val="Prrafodelista"/>
        <w:ind w:left="0"/>
        <w:contextualSpacing w:val="0"/>
        <w:rPr>
          <w:rFonts w:ascii="Arial" w:hAnsi="Arial" w:cs="Arial"/>
          <w:color w:val="000000" w:themeColor="text1"/>
          <w:sz w:val="22"/>
          <w:szCs w:val="22"/>
          <w:bdr w:val="none" w:sz="0" w:space="0" w:color="auto" w:frame="1"/>
        </w:rPr>
      </w:pPr>
      <w:r w:rsidRPr="00C7012F">
        <w:rPr>
          <w:rFonts w:ascii="Arial" w:hAnsi="Arial" w:cs="Arial"/>
          <w:color w:val="000000" w:themeColor="text1"/>
          <w:sz w:val="22"/>
          <w:szCs w:val="22"/>
          <w:bdr w:val="none" w:sz="0" w:space="0" w:color="auto" w:frame="1"/>
        </w:rPr>
        <w:t xml:space="preserve">De igual forma, </w:t>
      </w:r>
      <w:r w:rsidR="004B3D74" w:rsidRPr="00C7012F">
        <w:rPr>
          <w:rFonts w:ascii="Arial" w:hAnsi="Arial" w:cs="Arial"/>
          <w:color w:val="000000" w:themeColor="text1"/>
          <w:sz w:val="22"/>
          <w:szCs w:val="22"/>
          <w:bdr w:val="none" w:sz="0" w:space="0" w:color="auto" w:frame="1"/>
        </w:rPr>
        <w:t xml:space="preserve">la entidad ha </w:t>
      </w:r>
      <w:r w:rsidRPr="00C7012F">
        <w:rPr>
          <w:rFonts w:ascii="Arial" w:hAnsi="Arial" w:cs="Arial"/>
          <w:color w:val="000000" w:themeColor="text1"/>
          <w:sz w:val="22"/>
          <w:szCs w:val="22"/>
          <w:bdr w:val="none" w:sz="0" w:space="0" w:color="auto" w:frame="1"/>
        </w:rPr>
        <w:t xml:space="preserve">continuado </w:t>
      </w:r>
      <w:r w:rsidR="004B3D74" w:rsidRPr="00C7012F">
        <w:rPr>
          <w:rFonts w:ascii="Arial" w:hAnsi="Arial" w:cs="Arial"/>
          <w:color w:val="000000" w:themeColor="text1"/>
          <w:sz w:val="22"/>
          <w:szCs w:val="22"/>
          <w:bdr w:val="none" w:sz="0" w:space="0" w:color="auto" w:frame="1"/>
        </w:rPr>
        <w:t xml:space="preserve">aplicando las demás </w:t>
      </w:r>
      <w:r w:rsidRPr="00C7012F">
        <w:rPr>
          <w:rFonts w:ascii="Arial" w:hAnsi="Arial" w:cs="Arial"/>
          <w:color w:val="000000" w:themeColor="text1"/>
          <w:sz w:val="22"/>
          <w:szCs w:val="22"/>
          <w:bdr w:val="none" w:sz="0" w:space="0" w:color="auto" w:frame="1"/>
        </w:rPr>
        <w:t>acciones y medidas tendientes a contribuir con la sostenibilidad ambiental</w:t>
      </w:r>
      <w:r w:rsidR="00002975" w:rsidRPr="00C7012F">
        <w:rPr>
          <w:rFonts w:ascii="Arial" w:hAnsi="Arial" w:cs="Arial"/>
          <w:color w:val="000000" w:themeColor="text1"/>
          <w:sz w:val="22"/>
          <w:szCs w:val="22"/>
          <w:bdr w:val="none" w:sz="0" w:space="0" w:color="auto" w:frame="1"/>
        </w:rPr>
        <w:t xml:space="preserve"> bajo el marco </w:t>
      </w:r>
      <w:r w:rsidR="004B3D74" w:rsidRPr="00C7012F">
        <w:rPr>
          <w:rFonts w:ascii="Arial" w:hAnsi="Arial" w:cs="Arial"/>
          <w:color w:val="000000" w:themeColor="text1"/>
          <w:sz w:val="22"/>
          <w:szCs w:val="22"/>
          <w:bdr w:val="none" w:sz="0" w:space="0" w:color="auto" w:frame="1"/>
        </w:rPr>
        <w:t>del</w:t>
      </w:r>
      <w:r w:rsidRPr="00C7012F">
        <w:rPr>
          <w:rFonts w:ascii="Arial" w:hAnsi="Arial" w:cs="Arial"/>
          <w:color w:val="000000" w:themeColor="text1"/>
          <w:sz w:val="22"/>
          <w:szCs w:val="22"/>
          <w:bdr w:val="none" w:sz="0" w:space="0" w:color="auto" w:frame="1"/>
        </w:rPr>
        <w:t xml:space="preserve"> plan de austeridad del gasto. </w:t>
      </w:r>
    </w:p>
    <w:p w14:paraId="7384EE82" w14:textId="69B6EEE2" w:rsidR="006E1D6E" w:rsidRPr="00C7012F" w:rsidRDefault="006E1D6E" w:rsidP="00832ACE">
      <w:pPr>
        <w:pStyle w:val="Prrafodelista"/>
        <w:ind w:left="0"/>
        <w:rPr>
          <w:rFonts w:ascii="Arial" w:hAnsi="Arial" w:cs="Arial"/>
          <w:color w:val="000000" w:themeColor="text1"/>
          <w:sz w:val="22"/>
          <w:szCs w:val="22"/>
          <w:bdr w:val="none" w:sz="0" w:space="0" w:color="auto" w:frame="1"/>
        </w:rPr>
      </w:pPr>
    </w:p>
    <w:p w14:paraId="29F73476" w14:textId="77777777" w:rsidR="007B24CD" w:rsidRPr="00F20761" w:rsidRDefault="007B24CD" w:rsidP="00832ACE">
      <w:pPr>
        <w:pStyle w:val="Prrafodelista"/>
        <w:ind w:left="0"/>
        <w:rPr>
          <w:rFonts w:ascii="Arial" w:hAnsi="Arial" w:cs="Arial"/>
          <w:color w:val="000000" w:themeColor="text1"/>
          <w:sz w:val="22"/>
          <w:szCs w:val="22"/>
          <w:bdr w:val="none" w:sz="0" w:space="0" w:color="auto" w:frame="1"/>
        </w:rPr>
      </w:pPr>
    </w:p>
    <w:p w14:paraId="100987BA" w14:textId="77777777" w:rsidR="00D838A9" w:rsidRPr="00F20761" w:rsidRDefault="00D838A9" w:rsidP="007D256B">
      <w:pPr>
        <w:spacing w:line="168" w:lineRule="auto"/>
        <w:jc w:val="both"/>
        <w:rPr>
          <w:rFonts w:ascii="Arial" w:hAnsi="Arial" w:cs="Arial"/>
          <w:b/>
          <w:color w:val="000000"/>
          <w:sz w:val="22"/>
          <w:szCs w:val="22"/>
        </w:rPr>
      </w:pPr>
    </w:p>
    <w:p w14:paraId="69E007E1" w14:textId="27B8C668" w:rsidR="00422553" w:rsidRPr="00F20761" w:rsidRDefault="00A76324" w:rsidP="00353FD8">
      <w:pPr>
        <w:pStyle w:val="Prrafodelista"/>
        <w:numPr>
          <w:ilvl w:val="1"/>
          <w:numId w:val="34"/>
        </w:numPr>
        <w:rPr>
          <w:rFonts w:ascii="Arial" w:hAnsi="Arial" w:cs="Arial"/>
          <w:b/>
          <w:color w:val="000000"/>
          <w:sz w:val="22"/>
          <w:szCs w:val="22"/>
        </w:rPr>
      </w:pPr>
      <w:r w:rsidRPr="00F20761">
        <w:rPr>
          <w:rFonts w:ascii="Arial" w:hAnsi="Arial" w:cs="Arial"/>
          <w:b/>
          <w:color w:val="000000"/>
          <w:sz w:val="22"/>
          <w:szCs w:val="22"/>
        </w:rPr>
        <w:t xml:space="preserve"> </w:t>
      </w:r>
      <w:r w:rsidR="00535509" w:rsidRPr="00F20761">
        <w:rPr>
          <w:rFonts w:ascii="Arial" w:hAnsi="Arial" w:cs="Arial"/>
          <w:b/>
          <w:color w:val="000000"/>
          <w:sz w:val="22"/>
          <w:szCs w:val="22"/>
        </w:rPr>
        <w:t xml:space="preserve">ACUEDUCTO Y </w:t>
      </w:r>
      <w:r w:rsidR="00514FD7" w:rsidRPr="00F20761">
        <w:rPr>
          <w:rFonts w:ascii="Arial" w:hAnsi="Arial" w:cs="Arial"/>
          <w:b/>
          <w:color w:val="000000"/>
          <w:sz w:val="22"/>
          <w:szCs w:val="22"/>
        </w:rPr>
        <w:t>ASEO</w:t>
      </w:r>
    </w:p>
    <w:p w14:paraId="2549AE8B" w14:textId="77777777" w:rsidR="007323A3" w:rsidRPr="00F20761" w:rsidRDefault="007323A3" w:rsidP="007323A3">
      <w:pPr>
        <w:ind w:left="708"/>
        <w:jc w:val="both"/>
        <w:rPr>
          <w:rFonts w:ascii="Arial" w:hAnsi="Arial" w:cs="Arial"/>
          <w:b/>
          <w:color w:val="000000"/>
          <w:sz w:val="22"/>
          <w:szCs w:val="22"/>
        </w:rPr>
      </w:pPr>
    </w:p>
    <w:p w14:paraId="529B35D4" w14:textId="3098E17C" w:rsidR="00473AEE" w:rsidRPr="00F20761" w:rsidRDefault="00B853C9" w:rsidP="007323A3">
      <w:pPr>
        <w:jc w:val="both"/>
        <w:rPr>
          <w:rFonts w:ascii="Arial" w:hAnsi="Arial" w:cs="Arial"/>
          <w:color w:val="000000"/>
          <w:sz w:val="22"/>
          <w:szCs w:val="22"/>
        </w:rPr>
      </w:pPr>
      <w:r w:rsidRPr="00F20761">
        <w:rPr>
          <w:rFonts w:ascii="Arial" w:hAnsi="Arial" w:cs="Arial"/>
          <w:color w:val="000000"/>
          <w:sz w:val="22"/>
          <w:szCs w:val="22"/>
        </w:rPr>
        <w:t xml:space="preserve">Para el </w:t>
      </w:r>
      <w:r w:rsidR="00DE247B" w:rsidRPr="00F20761">
        <w:rPr>
          <w:rFonts w:ascii="Arial" w:hAnsi="Arial" w:cs="Arial"/>
          <w:color w:val="000000"/>
          <w:sz w:val="22"/>
          <w:szCs w:val="22"/>
        </w:rPr>
        <w:t>servicio de acueducto</w:t>
      </w:r>
      <w:r w:rsidR="00522689" w:rsidRPr="00F20761">
        <w:rPr>
          <w:rFonts w:ascii="Arial" w:hAnsi="Arial" w:cs="Arial"/>
          <w:color w:val="000000"/>
          <w:sz w:val="22"/>
          <w:szCs w:val="22"/>
        </w:rPr>
        <w:t xml:space="preserve"> </w:t>
      </w:r>
      <w:r w:rsidR="00DE247B" w:rsidRPr="00F20761">
        <w:rPr>
          <w:rFonts w:ascii="Arial" w:hAnsi="Arial" w:cs="Arial"/>
          <w:color w:val="000000"/>
          <w:sz w:val="22"/>
          <w:szCs w:val="22"/>
        </w:rPr>
        <w:t>y aseo,</w:t>
      </w:r>
      <w:r w:rsidR="008D2AE3" w:rsidRPr="00F20761">
        <w:rPr>
          <w:rFonts w:ascii="Arial" w:hAnsi="Arial" w:cs="Arial"/>
          <w:color w:val="000000"/>
          <w:sz w:val="22"/>
          <w:szCs w:val="22"/>
        </w:rPr>
        <w:t xml:space="preserve"> al igual que el servicio de energía</w:t>
      </w:r>
      <w:r w:rsidR="00082A09" w:rsidRPr="00F20761">
        <w:rPr>
          <w:rFonts w:ascii="Arial" w:hAnsi="Arial" w:cs="Arial"/>
          <w:color w:val="000000"/>
          <w:sz w:val="22"/>
          <w:szCs w:val="22"/>
        </w:rPr>
        <w:t>,</w:t>
      </w:r>
      <w:r w:rsidR="008D2AE3" w:rsidRPr="00F20761">
        <w:rPr>
          <w:rFonts w:ascii="Arial" w:hAnsi="Arial" w:cs="Arial"/>
          <w:color w:val="000000"/>
          <w:sz w:val="22"/>
          <w:szCs w:val="22"/>
        </w:rPr>
        <w:t xml:space="preserve"> </w:t>
      </w:r>
      <w:r w:rsidR="008B1F9F" w:rsidRPr="00F20761">
        <w:rPr>
          <w:rFonts w:ascii="Arial" w:hAnsi="Arial" w:cs="Arial"/>
          <w:color w:val="000000"/>
          <w:sz w:val="22"/>
          <w:szCs w:val="22"/>
        </w:rPr>
        <w:t xml:space="preserve">para la sede de </w:t>
      </w:r>
      <w:r w:rsidR="007C5770" w:rsidRPr="00F20761">
        <w:rPr>
          <w:rFonts w:ascii="Arial" w:hAnsi="Arial" w:cs="Arial"/>
          <w:color w:val="000000"/>
          <w:sz w:val="22"/>
          <w:szCs w:val="22"/>
        </w:rPr>
        <w:t xml:space="preserve">Edificio </w:t>
      </w:r>
      <w:r w:rsidR="008B1F9F" w:rsidRPr="00F20761">
        <w:rPr>
          <w:rFonts w:ascii="Arial" w:hAnsi="Arial" w:cs="Arial"/>
          <w:color w:val="000000"/>
          <w:sz w:val="22"/>
          <w:szCs w:val="22"/>
        </w:rPr>
        <w:t xml:space="preserve">San Agustín </w:t>
      </w:r>
      <w:r w:rsidR="008D2AE3" w:rsidRPr="00F20761">
        <w:rPr>
          <w:rFonts w:ascii="Arial" w:hAnsi="Arial" w:cs="Arial"/>
          <w:color w:val="000000"/>
          <w:sz w:val="22"/>
          <w:szCs w:val="22"/>
        </w:rPr>
        <w:t xml:space="preserve">se realiza el prorrateo </w:t>
      </w:r>
      <w:r w:rsidR="002026B1" w:rsidRPr="00F20761">
        <w:rPr>
          <w:rFonts w:ascii="Arial" w:hAnsi="Arial" w:cs="Arial"/>
          <w:color w:val="000000"/>
          <w:sz w:val="22"/>
          <w:szCs w:val="22"/>
        </w:rPr>
        <w:t xml:space="preserve">para determinar el valor a cargo del Ministerio de Hacienda y </w:t>
      </w:r>
      <w:r w:rsidR="00082A09" w:rsidRPr="00F20761">
        <w:rPr>
          <w:rFonts w:ascii="Arial" w:hAnsi="Arial" w:cs="Arial"/>
          <w:color w:val="000000"/>
          <w:sz w:val="22"/>
          <w:szCs w:val="22"/>
        </w:rPr>
        <w:t>Crédito Público y la DIAN.</w:t>
      </w:r>
      <w:r w:rsidR="00BA2679" w:rsidRPr="00F20761">
        <w:rPr>
          <w:rFonts w:ascii="Arial" w:hAnsi="Arial" w:cs="Arial"/>
          <w:color w:val="000000"/>
          <w:sz w:val="22"/>
          <w:szCs w:val="22"/>
        </w:rPr>
        <w:t xml:space="preserve"> </w:t>
      </w:r>
      <w:r w:rsidR="008B1F9F" w:rsidRPr="00F20761">
        <w:rPr>
          <w:rFonts w:ascii="Arial" w:hAnsi="Arial" w:cs="Arial"/>
          <w:color w:val="000000"/>
          <w:sz w:val="22"/>
          <w:szCs w:val="22"/>
        </w:rPr>
        <w:t xml:space="preserve">La gestión de cobro realizada por la Subdirección de Servicios concerniente al </w:t>
      </w:r>
      <w:r w:rsidR="003E00DE">
        <w:rPr>
          <w:rFonts w:ascii="Arial" w:hAnsi="Arial" w:cs="Arial"/>
          <w:color w:val="000000"/>
          <w:sz w:val="22"/>
          <w:szCs w:val="22"/>
        </w:rPr>
        <w:t xml:space="preserve">tercer </w:t>
      </w:r>
      <w:r w:rsidR="00CC0A68" w:rsidRPr="00F20761">
        <w:rPr>
          <w:rFonts w:ascii="Arial" w:hAnsi="Arial" w:cs="Arial"/>
          <w:color w:val="000000"/>
          <w:sz w:val="22"/>
          <w:szCs w:val="22"/>
        </w:rPr>
        <w:t>trimestre</w:t>
      </w:r>
      <w:r w:rsidR="008B1F9F" w:rsidRPr="00F20761">
        <w:rPr>
          <w:rFonts w:ascii="Arial" w:hAnsi="Arial" w:cs="Arial"/>
          <w:color w:val="000000"/>
          <w:sz w:val="22"/>
          <w:szCs w:val="22"/>
        </w:rPr>
        <w:t xml:space="preserve"> de 20</w:t>
      </w:r>
      <w:r w:rsidR="00850EB8" w:rsidRPr="00F20761">
        <w:rPr>
          <w:rFonts w:ascii="Arial" w:hAnsi="Arial" w:cs="Arial"/>
          <w:color w:val="000000"/>
          <w:sz w:val="22"/>
          <w:szCs w:val="22"/>
        </w:rPr>
        <w:t>20</w:t>
      </w:r>
      <w:r w:rsidR="008B1F9F" w:rsidRPr="00F20761">
        <w:rPr>
          <w:rFonts w:ascii="Arial" w:hAnsi="Arial" w:cs="Arial"/>
          <w:color w:val="000000"/>
          <w:sz w:val="22"/>
          <w:szCs w:val="22"/>
        </w:rPr>
        <w:t xml:space="preserve"> se evidenció </w:t>
      </w:r>
      <w:r w:rsidR="00BA2679" w:rsidRPr="00F20761">
        <w:rPr>
          <w:rFonts w:ascii="Arial" w:hAnsi="Arial" w:cs="Arial"/>
          <w:color w:val="000000"/>
          <w:sz w:val="22"/>
          <w:szCs w:val="22"/>
        </w:rPr>
        <w:t xml:space="preserve">a través de los </w:t>
      </w:r>
      <w:r w:rsidR="005E42B4" w:rsidRPr="00F20761">
        <w:rPr>
          <w:rFonts w:ascii="Arial" w:hAnsi="Arial" w:cs="Arial"/>
          <w:color w:val="000000"/>
          <w:sz w:val="22"/>
          <w:szCs w:val="22"/>
        </w:rPr>
        <w:t>siguientes</w:t>
      </w:r>
      <w:r w:rsidR="006A61BE" w:rsidRPr="00F20761">
        <w:rPr>
          <w:rFonts w:ascii="Arial" w:hAnsi="Arial" w:cs="Arial"/>
          <w:color w:val="000000"/>
          <w:sz w:val="22"/>
          <w:szCs w:val="22"/>
        </w:rPr>
        <w:t xml:space="preserve"> oficios remitidos a la DIAN: </w:t>
      </w:r>
    </w:p>
    <w:p w14:paraId="3C19ABA1" w14:textId="3FDA1D00" w:rsidR="006A61BE" w:rsidRPr="00F20761" w:rsidRDefault="006A61BE" w:rsidP="000D21A1">
      <w:pPr>
        <w:spacing w:line="168" w:lineRule="auto"/>
        <w:jc w:val="both"/>
        <w:rPr>
          <w:rFonts w:ascii="Arial" w:hAnsi="Arial" w:cs="Arial"/>
          <w:color w:val="000000"/>
          <w:sz w:val="22"/>
          <w:szCs w:val="22"/>
        </w:rPr>
      </w:pPr>
    </w:p>
    <w:tbl>
      <w:tblPr>
        <w:tblStyle w:val="Tabladecuadrcula1clara-nfasis1"/>
        <w:tblW w:w="9634" w:type="dxa"/>
        <w:tblLayout w:type="fixed"/>
        <w:tblLook w:val="04A0" w:firstRow="1" w:lastRow="0" w:firstColumn="1" w:lastColumn="0" w:noHBand="0" w:noVBand="1"/>
      </w:tblPr>
      <w:tblGrid>
        <w:gridCol w:w="1250"/>
        <w:gridCol w:w="2714"/>
        <w:gridCol w:w="1276"/>
        <w:gridCol w:w="1701"/>
        <w:gridCol w:w="1134"/>
        <w:gridCol w:w="1559"/>
      </w:tblGrid>
      <w:tr w:rsidR="006C01A2" w:rsidRPr="00F20761" w14:paraId="5FE4168B" w14:textId="3E29A4AE" w:rsidTr="007B24CD">
        <w:trPr>
          <w:cnfStyle w:val="100000000000" w:firstRow="1" w:lastRow="0" w:firstColumn="0" w:lastColumn="0" w:oddVBand="0" w:evenVBand="0" w:oddHBand="0" w:evenHBand="0" w:firstRowFirstColumn="0" w:firstRowLastColumn="0" w:lastRowFirstColumn="0" w:lastRowLastColumn="0"/>
          <w:cantSplit/>
          <w:trHeight w:val="756"/>
          <w:tblHeader/>
        </w:trPr>
        <w:tc>
          <w:tcPr>
            <w:cnfStyle w:val="001000000000" w:firstRow="0" w:lastRow="0" w:firstColumn="1" w:lastColumn="0" w:oddVBand="0" w:evenVBand="0" w:oddHBand="0" w:evenHBand="0" w:firstRowFirstColumn="0" w:firstRowLastColumn="0" w:lastRowFirstColumn="0" w:lastRowLastColumn="0"/>
            <w:tcW w:w="1250" w:type="dxa"/>
            <w:shd w:val="clear" w:color="auto" w:fill="4F81BD" w:themeFill="accent1"/>
            <w:noWrap/>
            <w:vAlign w:val="center"/>
            <w:hideMark/>
          </w:tcPr>
          <w:p w14:paraId="3E0FAC62" w14:textId="77777777" w:rsidR="006A61BE" w:rsidRPr="00F20761" w:rsidRDefault="006A61BE" w:rsidP="00252690">
            <w:pPr>
              <w:spacing w:before="40" w:after="40"/>
              <w:rPr>
                <w:rFonts w:ascii="Arial" w:hAnsi="Arial" w:cs="Arial"/>
                <w:color w:val="FFFFFF" w:themeColor="background1"/>
                <w:sz w:val="20"/>
                <w:szCs w:val="20"/>
              </w:rPr>
            </w:pPr>
            <w:r w:rsidRPr="00F20761">
              <w:rPr>
                <w:rFonts w:ascii="Arial" w:hAnsi="Arial" w:cs="Arial"/>
                <w:color w:val="FFFFFF" w:themeColor="background1"/>
                <w:sz w:val="20"/>
                <w:szCs w:val="20"/>
              </w:rPr>
              <w:lastRenderedPageBreak/>
              <w:t>Concepto</w:t>
            </w:r>
          </w:p>
        </w:tc>
        <w:tc>
          <w:tcPr>
            <w:tcW w:w="2714" w:type="dxa"/>
            <w:shd w:val="clear" w:color="auto" w:fill="4F81BD" w:themeFill="accent1"/>
            <w:vAlign w:val="center"/>
            <w:hideMark/>
          </w:tcPr>
          <w:p w14:paraId="7A550763" w14:textId="77777777" w:rsidR="006A61BE" w:rsidRPr="00F20761" w:rsidRDefault="006A61BE" w:rsidP="0025269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20761">
              <w:rPr>
                <w:rFonts w:ascii="Arial" w:hAnsi="Arial" w:cs="Arial"/>
                <w:color w:val="FFFFFF" w:themeColor="background1"/>
                <w:sz w:val="20"/>
                <w:szCs w:val="20"/>
              </w:rPr>
              <w:t>Periodo</w:t>
            </w:r>
          </w:p>
        </w:tc>
        <w:tc>
          <w:tcPr>
            <w:tcW w:w="1276" w:type="dxa"/>
            <w:shd w:val="clear" w:color="auto" w:fill="4F81BD" w:themeFill="accent1"/>
            <w:vAlign w:val="center"/>
            <w:hideMark/>
          </w:tcPr>
          <w:p w14:paraId="2B094E5D" w14:textId="77777777" w:rsidR="006A61BE" w:rsidRPr="00F20761" w:rsidRDefault="006A61BE" w:rsidP="0025269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20761">
              <w:rPr>
                <w:rFonts w:ascii="Arial" w:hAnsi="Arial" w:cs="Arial"/>
                <w:color w:val="FFFFFF" w:themeColor="background1"/>
                <w:sz w:val="20"/>
                <w:szCs w:val="20"/>
              </w:rPr>
              <w:t xml:space="preserve">Fecha </w:t>
            </w:r>
          </w:p>
        </w:tc>
        <w:tc>
          <w:tcPr>
            <w:tcW w:w="1701" w:type="dxa"/>
            <w:shd w:val="clear" w:color="auto" w:fill="4F81BD" w:themeFill="accent1"/>
            <w:vAlign w:val="center"/>
            <w:hideMark/>
          </w:tcPr>
          <w:p w14:paraId="1F1000C2" w14:textId="77777777" w:rsidR="006A61BE" w:rsidRPr="00F20761" w:rsidRDefault="006A61BE" w:rsidP="0025269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20761">
              <w:rPr>
                <w:rFonts w:ascii="Arial" w:hAnsi="Arial" w:cs="Arial"/>
                <w:color w:val="FFFFFF" w:themeColor="background1"/>
                <w:sz w:val="20"/>
                <w:szCs w:val="20"/>
              </w:rPr>
              <w:t>Radicado</w:t>
            </w:r>
          </w:p>
        </w:tc>
        <w:tc>
          <w:tcPr>
            <w:tcW w:w="1134" w:type="dxa"/>
            <w:shd w:val="clear" w:color="auto" w:fill="4F81BD" w:themeFill="accent1"/>
            <w:vAlign w:val="center"/>
            <w:hideMark/>
          </w:tcPr>
          <w:p w14:paraId="43F9C414" w14:textId="7C7EB7D6" w:rsidR="006A61BE" w:rsidRPr="00F20761" w:rsidRDefault="00A23BCE" w:rsidP="0025269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20761">
              <w:rPr>
                <w:rFonts w:ascii="Arial" w:hAnsi="Arial" w:cs="Arial"/>
                <w:color w:val="FFFFFF" w:themeColor="background1"/>
                <w:sz w:val="20"/>
                <w:szCs w:val="20"/>
              </w:rPr>
              <w:t xml:space="preserve">Valor a Cobrar Prorrateo </w:t>
            </w:r>
            <w:r w:rsidR="006A61BE" w:rsidRPr="00F20761">
              <w:rPr>
                <w:rFonts w:ascii="Arial" w:hAnsi="Arial" w:cs="Arial"/>
                <w:color w:val="FFFFFF" w:themeColor="background1"/>
                <w:sz w:val="20"/>
                <w:szCs w:val="20"/>
              </w:rPr>
              <w:t xml:space="preserve">($) </w:t>
            </w:r>
          </w:p>
        </w:tc>
        <w:tc>
          <w:tcPr>
            <w:tcW w:w="1559" w:type="dxa"/>
            <w:shd w:val="clear" w:color="auto" w:fill="4F81BD" w:themeFill="accent1"/>
            <w:vAlign w:val="center"/>
          </w:tcPr>
          <w:p w14:paraId="5E9F8A44" w14:textId="0E17BE44" w:rsidR="006A61BE" w:rsidRPr="00F20761" w:rsidRDefault="006C01A2" w:rsidP="00252690">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20761">
              <w:rPr>
                <w:rFonts w:ascii="Arial" w:hAnsi="Arial" w:cs="Arial"/>
                <w:color w:val="FFFFFF" w:themeColor="background1"/>
                <w:sz w:val="20"/>
                <w:szCs w:val="20"/>
              </w:rPr>
              <w:t xml:space="preserve">Número </w:t>
            </w:r>
            <w:r w:rsidR="006A61BE" w:rsidRPr="00F20761">
              <w:rPr>
                <w:rFonts w:ascii="Arial" w:hAnsi="Arial" w:cs="Arial"/>
                <w:color w:val="FFFFFF" w:themeColor="background1"/>
                <w:sz w:val="20"/>
                <w:szCs w:val="20"/>
              </w:rPr>
              <w:t>Factura</w:t>
            </w:r>
          </w:p>
        </w:tc>
      </w:tr>
      <w:tr w:rsidR="00974EB2" w:rsidRPr="00F20761" w14:paraId="3AFBD358" w14:textId="2988317D" w:rsidTr="00252690">
        <w:trPr>
          <w:cantSplit/>
          <w:trHeight w:val="520"/>
        </w:trPr>
        <w:tc>
          <w:tcPr>
            <w:cnfStyle w:val="001000000000" w:firstRow="0" w:lastRow="0" w:firstColumn="1" w:lastColumn="0" w:oddVBand="0" w:evenVBand="0" w:oddHBand="0" w:evenHBand="0" w:firstRowFirstColumn="0" w:firstRowLastColumn="0" w:lastRowFirstColumn="0" w:lastRowLastColumn="0"/>
            <w:tcW w:w="1250" w:type="dxa"/>
            <w:vAlign w:val="center"/>
            <w:hideMark/>
          </w:tcPr>
          <w:p w14:paraId="4C41C62F" w14:textId="77777777" w:rsidR="00974EB2" w:rsidRPr="00F20761" w:rsidRDefault="00974EB2" w:rsidP="00252690">
            <w:pPr>
              <w:spacing w:before="40" w:after="40"/>
              <w:jc w:val="center"/>
              <w:rPr>
                <w:rFonts w:ascii="Arial" w:hAnsi="Arial" w:cs="Arial"/>
                <w:color w:val="0F243E" w:themeColor="text2" w:themeShade="80"/>
                <w:sz w:val="20"/>
                <w:szCs w:val="20"/>
              </w:rPr>
            </w:pPr>
            <w:r w:rsidRPr="00F20761">
              <w:rPr>
                <w:rFonts w:ascii="Arial" w:hAnsi="Arial" w:cs="Arial"/>
                <w:color w:val="0F243E" w:themeColor="text2" w:themeShade="80"/>
                <w:sz w:val="20"/>
                <w:szCs w:val="20"/>
              </w:rPr>
              <w:t xml:space="preserve">Acueducto </w:t>
            </w:r>
          </w:p>
        </w:tc>
        <w:tc>
          <w:tcPr>
            <w:tcW w:w="2714" w:type="dxa"/>
            <w:vAlign w:val="center"/>
          </w:tcPr>
          <w:p w14:paraId="125CE44D" w14:textId="22A9483F"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5 de julio al 1° de septiembre de 2020</w:t>
            </w:r>
          </w:p>
        </w:tc>
        <w:tc>
          <w:tcPr>
            <w:tcW w:w="1276" w:type="dxa"/>
            <w:vAlign w:val="center"/>
          </w:tcPr>
          <w:p w14:paraId="10AF0EAE" w14:textId="53456649"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30/09/2020</w:t>
            </w:r>
          </w:p>
        </w:tc>
        <w:tc>
          <w:tcPr>
            <w:tcW w:w="1701" w:type="dxa"/>
            <w:vAlign w:val="center"/>
          </w:tcPr>
          <w:p w14:paraId="26D2DF3C" w14:textId="2871F0B6"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2-2020-049551</w:t>
            </w:r>
          </w:p>
        </w:tc>
        <w:tc>
          <w:tcPr>
            <w:tcW w:w="1134" w:type="dxa"/>
            <w:vAlign w:val="center"/>
          </w:tcPr>
          <w:p w14:paraId="02CAD937" w14:textId="362C4910"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3.345.559</w:t>
            </w:r>
          </w:p>
        </w:tc>
        <w:tc>
          <w:tcPr>
            <w:tcW w:w="1559" w:type="dxa"/>
            <w:vAlign w:val="center"/>
          </w:tcPr>
          <w:p w14:paraId="68DF59A1" w14:textId="5BFBC793"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40372948915</w:t>
            </w:r>
          </w:p>
        </w:tc>
      </w:tr>
      <w:tr w:rsidR="00974EB2" w:rsidRPr="00F20761" w14:paraId="45F3A1A2" w14:textId="66C41F88" w:rsidTr="00252690">
        <w:trPr>
          <w:cantSplit/>
          <w:trHeight w:val="421"/>
        </w:trPr>
        <w:tc>
          <w:tcPr>
            <w:cnfStyle w:val="001000000000" w:firstRow="0" w:lastRow="0" w:firstColumn="1" w:lastColumn="0" w:oddVBand="0" w:evenVBand="0" w:oddHBand="0" w:evenHBand="0" w:firstRowFirstColumn="0" w:firstRowLastColumn="0" w:lastRowFirstColumn="0" w:lastRowLastColumn="0"/>
            <w:tcW w:w="1250" w:type="dxa"/>
            <w:vMerge w:val="restart"/>
            <w:noWrap/>
            <w:vAlign w:val="center"/>
            <w:hideMark/>
          </w:tcPr>
          <w:p w14:paraId="0D12B527" w14:textId="77777777" w:rsidR="00974EB2" w:rsidRPr="00F20761" w:rsidRDefault="00974EB2" w:rsidP="00252690">
            <w:pPr>
              <w:spacing w:before="40" w:after="40"/>
              <w:jc w:val="center"/>
              <w:rPr>
                <w:rFonts w:ascii="Arial" w:hAnsi="Arial" w:cs="Arial"/>
                <w:color w:val="0F243E" w:themeColor="text2" w:themeShade="80"/>
                <w:sz w:val="20"/>
                <w:szCs w:val="20"/>
              </w:rPr>
            </w:pPr>
            <w:r w:rsidRPr="00F20761">
              <w:rPr>
                <w:rFonts w:ascii="Arial" w:hAnsi="Arial" w:cs="Arial"/>
                <w:color w:val="0F243E" w:themeColor="text2" w:themeShade="80"/>
                <w:sz w:val="20"/>
                <w:szCs w:val="20"/>
              </w:rPr>
              <w:t>Aseo</w:t>
            </w:r>
          </w:p>
        </w:tc>
        <w:tc>
          <w:tcPr>
            <w:tcW w:w="2714" w:type="dxa"/>
            <w:vAlign w:val="center"/>
          </w:tcPr>
          <w:p w14:paraId="21BC483A" w14:textId="7C63798D"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01 al 31 de julio de 2020</w:t>
            </w:r>
          </w:p>
        </w:tc>
        <w:tc>
          <w:tcPr>
            <w:tcW w:w="1276" w:type="dxa"/>
            <w:vAlign w:val="center"/>
          </w:tcPr>
          <w:p w14:paraId="4F2B8F3E" w14:textId="370460BB"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3/09/2020</w:t>
            </w:r>
          </w:p>
        </w:tc>
        <w:tc>
          <w:tcPr>
            <w:tcW w:w="1701" w:type="dxa"/>
            <w:vAlign w:val="center"/>
          </w:tcPr>
          <w:p w14:paraId="552323E0" w14:textId="3DFFC2C5"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2-2020-043379</w:t>
            </w:r>
          </w:p>
        </w:tc>
        <w:tc>
          <w:tcPr>
            <w:tcW w:w="1134" w:type="dxa"/>
            <w:vAlign w:val="center"/>
          </w:tcPr>
          <w:p w14:paraId="402426DC" w14:textId="17DFDB6E"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724.434</w:t>
            </w:r>
          </w:p>
        </w:tc>
        <w:tc>
          <w:tcPr>
            <w:tcW w:w="1559" w:type="dxa"/>
            <w:vAlign w:val="center"/>
          </w:tcPr>
          <w:p w14:paraId="0CFA8584" w14:textId="01F1D8F7"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42135157</w:t>
            </w:r>
          </w:p>
        </w:tc>
      </w:tr>
      <w:tr w:rsidR="00974EB2" w:rsidRPr="00F20761" w14:paraId="5BC1D626" w14:textId="01E0DC05" w:rsidTr="00252690">
        <w:trPr>
          <w:cantSplit/>
          <w:trHeight w:val="539"/>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2E8CAA48" w14:textId="77777777" w:rsidR="00974EB2" w:rsidRPr="00F20761" w:rsidRDefault="00974EB2" w:rsidP="00252690">
            <w:pPr>
              <w:spacing w:before="40" w:after="40"/>
              <w:rPr>
                <w:rFonts w:ascii="Arial" w:hAnsi="Arial" w:cs="Arial"/>
                <w:color w:val="0F243E" w:themeColor="text2" w:themeShade="80"/>
                <w:sz w:val="20"/>
                <w:szCs w:val="20"/>
              </w:rPr>
            </w:pPr>
          </w:p>
        </w:tc>
        <w:tc>
          <w:tcPr>
            <w:tcW w:w="2714" w:type="dxa"/>
            <w:vAlign w:val="center"/>
          </w:tcPr>
          <w:p w14:paraId="656D4B3E" w14:textId="361D3294"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01 al 30 de agosto de 2020</w:t>
            </w:r>
          </w:p>
        </w:tc>
        <w:tc>
          <w:tcPr>
            <w:tcW w:w="1276" w:type="dxa"/>
            <w:vAlign w:val="center"/>
          </w:tcPr>
          <w:p w14:paraId="2CEC877B" w14:textId="192A301C" w:rsidR="00974EB2" w:rsidRPr="00974EB2" w:rsidRDefault="00974EB2" w:rsidP="00252690">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2/10/2020</w:t>
            </w:r>
          </w:p>
        </w:tc>
        <w:tc>
          <w:tcPr>
            <w:tcW w:w="1701" w:type="dxa"/>
            <w:vAlign w:val="center"/>
          </w:tcPr>
          <w:p w14:paraId="09163A20" w14:textId="02847293"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2-2020-049991</w:t>
            </w:r>
          </w:p>
        </w:tc>
        <w:tc>
          <w:tcPr>
            <w:tcW w:w="1134" w:type="dxa"/>
            <w:vAlign w:val="center"/>
          </w:tcPr>
          <w:p w14:paraId="34C09932" w14:textId="2E2C210F"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730.758</w:t>
            </w:r>
          </w:p>
        </w:tc>
        <w:tc>
          <w:tcPr>
            <w:tcW w:w="1559" w:type="dxa"/>
            <w:vAlign w:val="center"/>
          </w:tcPr>
          <w:p w14:paraId="2A654EBC" w14:textId="6DFD0401" w:rsidR="00974EB2" w:rsidRPr="00974EB2" w:rsidRDefault="00974EB2" w:rsidP="00252690">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74EB2">
              <w:rPr>
                <w:rFonts w:ascii="Arial" w:hAnsi="Arial" w:cs="Arial"/>
                <w:color w:val="0F243E" w:themeColor="text2" w:themeShade="80"/>
                <w:sz w:val="20"/>
                <w:szCs w:val="20"/>
              </w:rPr>
              <w:t>43895111</w:t>
            </w:r>
          </w:p>
        </w:tc>
      </w:tr>
    </w:tbl>
    <w:p w14:paraId="1FB1D077" w14:textId="77777777" w:rsidR="0049573A" w:rsidRPr="00CA48AF" w:rsidRDefault="0049573A" w:rsidP="007323A3">
      <w:pPr>
        <w:jc w:val="both"/>
        <w:rPr>
          <w:rFonts w:ascii="Arial" w:hAnsi="Arial" w:cs="Arial"/>
          <w:color w:val="000000"/>
          <w:sz w:val="22"/>
          <w:szCs w:val="22"/>
          <w:highlight w:val="yellow"/>
        </w:rPr>
      </w:pPr>
    </w:p>
    <w:p w14:paraId="06BA9ABF" w14:textId="5D1FFDE8" w:rsidR="00B032C1" w:rsidRPr="00334DB9" w:rsidRDefault="00B032C1" w:rsidP="00B032C1">
      <w:pPr>
        <w:pStyle w:val="Prrafodelista"/>
        <w:ind w:left="0"/>
        <w:contextualSpacing w:val="0"/>
        <w:rPr>
          <w:rFonts w:ascii="Arial" w:hAnsi="Arial" w:cs="Arial"/>
          <w:color w:val="000000" w:themeColor="text1"/>
          <w:sz w:val="22"/>
          <w:szCs w:val="22"/>
        </w:rPr>
      </w:pPr>
      <w:r w:rsidRPr="00334DB9">
        <w:rPr>
          <w:rFonts w:ascii="Arial" w:hAnsi="Arial" w:cs="Arial"/>
          <w:color w:val="000000" w:themeColor="text1"/>
          <w:sz w:val="22"/>
          <w:szCs w:val="22"/>
        </w:rPr>
        <w:t xml:space="preserve">Con base en el listado de reintegros aplicados con corte al </w:t>
      </w:r>
      <w:r w:rsidR="00C0599A">
        <w:rPr>
          <w:rFonts w:ascii="Arial" w:hAnsi="Arial" w:cs="Arial"/>
          <w:color w:val="000000" w:themeColor="text1"/>
          <w:sz w:val="22"/>
          <w:szCs w:val="22"/>
        </w:rPr>
        <w:t>1</w:t>
      </w:r>
      <w:r w:rsidRPr="00334DB9">
        <w:rPr>
          <w:rFonts w:ascii="Arial" w:hAnsi="Arial" w:cs="Arial"/>
          <w:color w:val="000000" w:themeColor="text1"/>
          <w:sz w:val="22"/>
          <w:szCs w:val="22"/>
        </w:rPr>
        <w:t xml:space="preserve"> de </w:t>
      </w:r>
      <w:r w:rsidR="00C0599A">
        <w:rPr>
          <w:rFonts w:ascii="Arial" w:hAnsi="Arial" w:cs="Arial"/>
          <w:color w:val="000000" w:themeColor="text1"/>
          <w:sz w:val="22"/>
          <w:szCs w:val="22"/>
        </w:rPr>
        <w:t xml:space="preserve">diciembre </w:t>
      </w:r>
      <w:r w:rsidRPr="00334DB9">
        <w:rPr>
          <w:rFonts w:ascii="Arial" w:hAnsi="Arial" w:cs="Arial"/>
          <w:color w:val="000000" w:themeColor="text1"/>
          <w:sz w:val="22"/>
          <w:szCs w:val="22"/>
        </w:rPr>
        <w:t>de 2020 remitido por la Subdirección Financiera, se constató que la DIAN realizó los respectivos reintegros correspondientes al pago del servicio de acueducto y aseo de los periodos antes relacionados.</w:t>
      </w:r>
    </w:p>
    <w:p w14:paraId="0D3B67D7" w14:textId="14BCD891" w:rsidR="00B032C1" w:rsidRPr="00CA48AF" w:rsidRDefault="00B032C1" w:rsidP="000D21A1">
      <w:pPr>
        <w:pStyle w:val="Prrafodelista"/>
        <w:spacing w:line="168" w:lineRule="auto"/>
        <w:ind w:left="0"/>
        <w:contextualSpacing w:val="0"/>
        <w:rPr>
          <w:rFonts w:ascii="Arial" w:hAnsi="Arial" w:cs="Arial"/>
          <w:color w:val="000000" w:themeColor="text1"/>
          <w:sz w:val="22"/>
          <w:szCs w:val="22"/>
          <w:highlight w:val="yellow"/>
        </w:rPr>
      </w:pPr>
    </w:p>
    <w:p w14:paraId="13FCEB5B" w14:textId="24DD9CCE" w:rsidR="00787944" w:rsidRPr="00FA2CC0" w:rsidRDefault="00787944" w:rsidP="00787944">
      <w:pPr>
        <w:jc w:val="both"/>
        <w:rPr>
          <w:rFonts w:ascii="Arial" w:hAnsi="Arial" w:cs="Arial"/>
          <w:color w:val="000000" w:themeColor="text1"/>
          <w:sz w:val="22"/>
          <w:szCs w:val="22"/>
          <w:bdr w:val="none" w:sz="0" w:space="0" w:color="auto" w:frame="1"/>
        </w:rPr>
      </w:pPr>
      <w:r w:rsidRPr="00FA2CC0">
        <w:rPr>
          <w:rFonts w:ascii="Arial" w:hAnsi="Arial" w:cs="Arial"/>
          <w:color w:val="000000" w:themeColor="text1"/>
          <w:sz w:val="22"/>
          <w:szCs w:val="22"/>
          <w:bdr w:val="none" w:sz="0" w:space="0" w:color="auto" w:frame="1"/>
        </w:rPr>
        <w:t xml:space="preserve">Teniendo en cuenta, las disposiciones impartidas por el Gobierno Nacional ante la declaratoria de Estado de Emergencia Económica, Social y Ecológica derivado del COVID-19, la Subdirección de Servicios informó que este Ministerio en concordancia con dichas medidas implementó la modalidad de trabajo en </w:t>
      </w:r>
      <w:r w:rsidR="00BB252F" w:rsidRPr="00FA2CC0">
        <w:rPr>
          <w:rFonts w:ascii="Arial" w:hAnsi="Arial" w:cs="Arial"/>
          <w:color w:val="000000" w:themeColor="text1"/>
          <w:sz w:val="22"/>
          <w:szCs w:val="22"/>
          <w:bdr w:val="none" w:sz="0" w:space="0" w:color="auto" w:frame="1"/>
        </w:rPr>
        <w:t xml:space="preserve">casa, en consecuencia, la ausencia de personal durante el periodo de aislamiento preventivo obligatorio, significó </w:t>
      </w:r>
      <w:r w:rsidR="006E1D6E" w:rsidRPr="00FA2CC0">
        <w:rPr>
          <w:rFonts w:ascii="Arial" w:hAnsi="Arial" w:cs="Arial"/>
          <w:color w:val="000000" w:themeColor="text1"/>
          <w:sz w:val="22"/>
          <w:szCs w:val="22"/>
          <w:bdr w:val="none" w:sz="0" w:space="0" w:color="auto" w:frame="1"/>
        </w:rPr>
        <w:t xml:space="preserve">aproximadamente </w:t>
      </w:r>
      <w:r w:rsidR="00BB252F" w:rsidRPr="00FA2CC0">
        <w:rPr>
          <w:rFonts w:ascii="Arial" w:hAnsi="Arial" w:cs="Arial"/>
          <w:color w:val="000000" w:themeColor="text1"/>
          <w:sz w:val="22"/>
          <w:szCs w:val="22"/>
          <w:bdr w:val="none" w:sz="0" w:space="0" w:color="auto" w:frame="1"/>
        </w:rPr>
        <w:t>el 80</w:t>
      </w:r>
      <w:r w:rsidRPr="00FA2CC0">
        <w:rPr>
          <w:rFonts w:ascii="Arial" w:hAnsi="Arial" w:cs="Arial"/>
          <w:color w:val="000000" w:themeColor="text1"/>
          <w:sz w:val="22"/>
          <w:szCs w:val="22"/>
          <w:bdr w:val="none" w:sz="0" w:space="0" w:color="auto" w:frame="1"/>
        </w:rPr>
        <w:t>%</w:t>
      </w:r>
      <w:r w:rsidR="005B5E80">
        <w:rPr>
          <w:rFonts w:ascii="Arial" w:hAnsi="Arial" w:cs="Arial"/>
          <w:color w:val="000000" w:themeColor="text1"/>
          <w:sz w:val="22"/>
          <w:szCs w:val="22"/>
          <w:bdr w:val="none" w:sz="0" w:space="0" w:color="auto" w:frame="1"/>
        </w:rPr>
        <w:t>.</w:t>
      </w:r>
    </w:p>
    <w:p w14:paraId="5DB3F14A" w14:textId="77777777" w:rsidR="007C5770" w:rsidRPr="00CA48AF" w:rsidRDefault="007C5770" w:rsidP="00787944">
      <w:pPr>
        <w:jc w:val="both"/>
        <w:rPr>
          <w:rFonts w:ascii="Arial" w:hAnsi="Arial" w:cs="Arial"/>
          <w:color w:val="000000" w:themeColor="text1"/>
          <w:sz w:val="22"/>
          <w:szCs w:val="22"/>
          <w:highlight w:val="yellow"/>
          <w:bdr w:val="none" w:sz="0" w:space="0" w:color="auto" w:frame="1"/>
        </w:rPr>
      </w:pPr>
    </w:p>
    <w:p w14:paraId="1C3F5DCE" w14:textId="00A3EC45" w:rsidR="00787944" w:rsidRPr="003805C4" w:rsidRDefault="005C5A07" w:rsidP="00787944">
      <w:pPr>
        <w:pStyle w:val="Prrafodelista"/>
        <w:ind w:left="0"/>
        <w:contextualSpacing w:val="0"/>
        <w:rPr>
          <w:rFonts w:ascii="Arial" w:hAnsi="Arial" w:cs="Arial"/>
          <w:color w:val="000000" w:themeColor="text1"/>
          <w:sz w:val="22"/>
          <w:szCs w:val="22"/>
        </w:rPr>
      </w:pPr>
      <w:r w:rsidRPr="003805C4">
        <w:rPr>
          <w:rFonts w:ascii="Arial" w:eastAsia="Times New Roman" w:hAnsi="Arial" w:cs="Arial"/>
          <w:color w:val="000000" w:themeColor="text1"/>
          <w:sz w:val="22"/>
          <w:szCs w:val="22"/>
          <w:bdr w:val="none" w:sz="0" w:space="0" w:color="auto" w:frame="1"/>
          <w:lang w:eastAsia="es-CO"/>
        </w:rPr>
        <w:t xml:space="preserve">De conformidad con lo anterior, </w:t>
      </w:r>
      <w:r w:rsidR="00787944" w:rsidRPr="003805C4">
        <w:rPr>
          <w:rFonts w:ascii="Arial" w:eastAsia="Times New Roman" w:hAnsi="Arial" w:cs="Arial"/>
          <w:color w:val="000000" w:themeColor="text1"/>
          <w:sz w:val="22"/>
          <w:szCs w:val="22"/>
          <w:bdr w:val="none" w:sz="0" w:space="0" w:color="auto" w:frame="1"/>
          <w:lang w:eastAsia="es-CO"/>
        </w:rPr>
        <w:t>se presenta el análisis de</w:t>
      </w:r>
      <w:r w:rsidRPr="003805C4">
        <w:rPr>
          <w:rFonts w:ascii="Arial" w:eastAsia="Times New Roman" w:hAnsi="Arial" w:cs="Arial"/>
          <w:color w:val="000000" w:themeColor="text1"/>
          <w:sz w:val="22"/>
          <w:szCs w:val="22"/>
          <w:bdr w:val="none" w:sz="0" w:space="0" w:color="auto" w:frame="1"/>
          <w:lang w:eastAsia="es-CO"/>
        </w:rPr>
        <w:t xml:space="preserve"> los</w:t>
      </w:r>
      <w:r w:rsidR="00787944" w:rsidRPr="003805C4">
        <w:rPr>
          <w:rFonts w:ascii="Arial" w:eastAsia="Times New Roman" w:hAnsi="Arial" w:cs="Arial"/>
          <w:color w:val="000000" w:themeColor="text1"/>
          <w:sz w:val="22"/>
          <w:szCs w:val="22"/>
          <w:bdr w:val="none" w:sz="0" w:space="0" w:color="auto" w:frame="1"/>
          <w:lang w:eastAsia="es-CO"/>
        </w:rPr>
        <w:t xml:space="preserve"> gasto</w:t>
      </w:r>
      <w:r w:rsidRPr="003805C4">
        <w:rPr>
          <w:rFonts w:ascii="Arial" w:eastAsia="Times New Roman" w:hAnsi="Arial" w:cs="Arial"/>
          <w:color w:val="000000" w:themeColor="text1"/>
          <w:sz w:val="22"/>
          <w:szCs w:val="22"/>
          <w:bdr w:val="none" w:sz="0" w:space="0" w:color="auto" w:frame="1"/>
          <w:lang w:eastAsia="es-CO"/>
        </w:rPr>
        <w:t xml:space="preserve">s del servicio de acueducto y aseo </w:t>
      </w:r>
      <w:r w:rsidR="00787944" w:rsidRPr="003805C4">
        <w:rPr>
          <w:rFonts w:ascii="Arial" w:eastAsia="Times New Roman" w:hAnsi="Arial" w:cs="Arial"/>
          <w:color w:val="000000" w:themeColor="text1"/>
          <w:sz w:val="22"/>
          <w:szCs w:val="22"/>
          <w:bdr w:val="none" w:sz="0" w:space="0" w:color="auto" w:frame="1"/>
          <w:lang w:eastAsia="es-CO"/>
        </w:rPr>
        <w:t xml:space="preserve">generado durante el </w:t>
      </w:r>
      <w:r w:rsidR="002E111D">
        <w:rPr>
          <w:rFonts w:ascii="Arial" w:eastAsia="Times New Roman" w:hAnsi="Arial" w:cs="Arial"/>
          <w:color w:val="000000" w:themeColor="text1"/>
          <w:sz w:val="22"/>
          <w:szCs w:val="22"/>
          <w:bdr w:val="none" w:sz="0" w:space="0" w:color="auto" w:frame="1"/>
          <w:lang w:eastAsia="es-CO"/>
        </w:rPr>
        <w:t xml:space="preserve">tercer </w:t>
      </w:r>
      <w:r w:rsidR="00787944" w:rsidRPr="003805C4">
        <w:rPr>
          <w:rFonts w:ascii="Arial" w:eastAsia="Times New Roman" w:hAnsi="Arial" w:cs="Arial"/>
          <w:color w:val="000000" w:themeColor="text1"/>
          <w:sz w:val="22"/>
          <w:szCs w:val="22"/>
          <w:bdr w:val="none" w:sz="0" w:space="0" w:color="auto" w:frame="1"/>
          <w:lang w:eastAsia="es-CO"/>
        </w:rPr>
        <w:t xml:space="preserve">trimestre de 2020, </w:t>
      </w:r>
      <w:r w:rsidR="00154926" w:rsidRPr="003805C4">
        <w:rPr>
          <w:rFonts w:ascii="Arial" w:eastAsia="Times New Roman" w:hAnsi="Arial" w:cs="Arial"/>
          <w:color w:val="000000" w:themeColor="text1"/>
          <w:sz w:val="22"/>
          <w:szCs w:val="22"/>
          <w:bdr w:val="none" w:sz="0" w:space="0" w:color="auto" w:frame="1"/>
          <w:lang w:eastAsia="es-CO"/>
        </w:rPr>
        <w:t xml:space="preserve">considerando </w:t>
      </w:r>
      <w:r w:rsidR="00787944" w:rsidRPr="003805C4">
        <w:rPr>
          <w:rFonts w:ascii="Arial" w:eastAsia="Times New Roman" w:hAnsi="Arial" w:cs="Arial"/>
          <w:color w:val="000000" w:themeColor="text1"/>
          <w:sz w:val="22"/>
          <w:szCs w:val="22"/>
          <w:bdr w:val="none" w:sz="0" w:space="0" w:color="auto" w:frame="1"/>
          <w:lang w:eastAsia="es-CO"/>
        </w:rPr>
        <w:t xml:space="preserve">las medidas aplicadas por este Ministerio en virtud de la emergencia sanitaria [COVID-19], las cuales generaron impactos en el gasto y consumo </w:t>
      </w:r>
      <w:r w:rsidR="007C5770" w:rsidRPr="003805C4">
        <w:rPr>
          <w:rFonts w:ascii="Arial" w:eastAsia="Times New Roman" w:hAnsi="Arial" w:cs="Arial"/>
          <w:color w:val="000000" w:themeColor="text1"/>
          <w:sz w:val="22"/>
          <w:szCs w:val="22"/>
          <w:bdr w:val="none" w:sz="0" w:space="0" w:color="auto" w:frame="1"/>
          <w:lang w:eastAsia="es-CO"/>
        </w:rPr>
        <w:t xml:space="preserve">por el servicio de </w:t>
      </w:r>
      <w:r w:rsidRPr="003805C4">
        <w:rPr>
          <w:rFonts w:ascii="Arial" w:eastAsia="Times New Roman" w:hAnsi="Arial" w:cs="Arial"/>
          <w:color w:val="000000" w:themeColor="text1"/>
          <w:sz w:val="22"/>
          <w:szCs w:val="22"/>
          <w:bdr w:val="none" w:sz="0" w:space="0" w:color="auto" w:frame="1"/>
          <w:lang w:eastAsia="es-CO"/>
        </w:rPr>
        <w:t xml:space="preserve">acueducto y </w:t>
      </w:r>
      <w:r w:rsidR="006E1D6E" w:rsidRPr="003805C4">
        <w:rPr>
          <w:rFonts w:ascii="Arial" w:eastAsia="Times New Roman" w:hAnsi="Arial" w:cs="Arial"/>
          <w:color w:val="000000" w:themeColor="text1"/>
          <w:sz w:val="22"/>
          <w:szCs w:val="22"/>
          <w:bdr w:val="none" w:sz="0" w:space="0" w:color="auto" w:frame="1"/>
          <w:lang w:eastAsia="es-CO"/>
        </w:rPr>
        <w:t xml:space="preserve">el servicio de </w:t>
      </w:r>
      <w:r w:rsidRPr="003805C4">
        <w:rPr>
          <w:rFonts w:ascii="Arial" w:eastAsia="Times New Roman" w:hAnsi="Arial" w:cs="Arial"/>
          <w:color w:val="000000" w:themeColor="text1"/>
          <w:sz w:val="22"/>
          <w:szCs w:val="22"/>
          <w:bdr w:val="none" w:sz="0" w:space="0" w:color="auto" w:frame="1"/>
          <w:lang w:eastAsia="es-CO"/>
        </w:rPr>
        <w:t xml:space="preserve">aseo. </w:t>
      </w:r>
    </w:p>
    <w:p w14:paraId="4E8B32EA" w14:textId="4D2D12C0" w:rsidR="00787944" w:rsidRPr="00CA48AF" w:rsidRDefault="00787944" w:rsidP="002C29C3">
      <w:pPr>
        <w:pStyle w:val="Prrafodelista"/>
        <w:spacing w:line="168" w:lineRule="auto"/>
        <w:ind w:left="0"/>
        <w:contextualSpacing w:val="0"/>
        <w:rPr>
          <w:rFonts w:ascii="Arial" w:hAnsi="Arial" w:cs="Arial"/>
          <w:color w:val="000000"/>
          <w:sz w:val="22"/>
          <w:szCs w:val="22"/>
          <w:highlight w:val="yellow"/>
        </w:rPr>
      </w:pPr>
    </w:p>
    <w:p w14:paraId="52D8AB1E" w14:textId="1B2F4DE2" w:rsidR="004D6476" w:rsidRPr="003805C4" w:rsidRDefault="002C5E35" w:rsidP="002C5E35">
      <w:pPr>
        <w:pStyle w:val="Prrafodelista"/>
        <w:widowControl w:val="0"/>
        <w:ind w:left="0"/>
        <w:contextualSpacing w:val="0"/>
        <w:rPr>
          <w:rFonts w:ascii="Arial" w:hAnsi="Arial" w:cs="Arial"/>
          <w:color w:val="000000" w:themeColor="text1"/>
          <w:sz w:val="22"/>
          <w:szCs w:val="22"/>
        </w:rPr>
      </w:pPr>
      <w:r w:rsidRPr="003805C4">
        <w:rPr>
          <w:rFonts w:ascii="Arial" w:hAnsi="Arial" w:cs="Arial"/>
          <w:color w:val="000000" w:themeColor="text1"/>
          <w:sz w:val="22"/>
          <w:szCs w:val="22"/>
        </w:rPr>
        <w:t>D</w:t>
      </w:r>
      <w:r w:rsidR="004D6476" w:rsidRPr="003805C4">
        <w:rPr>
          <w:rFonts w:ascii="Arial" w:hAnsi="Arial" w:cs="Arial"/>
          <w:color w:val="000000" w:themeColor="text1"/>
          <w:sz w:val="22"/>
          <w:szCs w:val="22"/>
        </w:rPr>
        <w:t>e otra parte, para el análisis del servicio de acueducto y aseo</w:t>
      </w:r>
      <w:r w:rsidR="001809B1">
        <w:rPr>
          <w:rFonts w:ascii="Arial" w:hAnsi="Arial" w:cs="Arial"/>
          <w:color w:val="000000" w:themeColor="text1"/>
          <w:sz w:val="22"/>
          <w:szCs w:val="22"/>
        </w:rPr>
        <w:t xml:space="preserve"> </w:t>
      </w:r>
      <w:r w:rsidR="004D6476" w:rsidRPr="003805C4">
        <w:rPr>
          <w:rFonts w:ascii="Arial" w:hAnsi="Arial" w:cs="Arial"/>
          <w:color w:val="000000" w:themeColor="text1"/>
          <w:sz w:val="22"/>
          <w:szCs w:val="22"/>
        </w:rPr>
        <w:t xml:space="preserve">se </w:t>
      </w:r>
      <w:r w:rsidR="001809B1">
        <w:rPr>
          <w:rFonts w:ascii="Arial" w:hAnsi="Arial" w:cs="Arial"/>
          <w:color w:val="000000" w:themeColor="text1"/>
          <w:sz w:val="22"/>
          <w:szCs w:val="22"/>
        </w:rPr>
        <w:t xml:space="preserve">tomó </w:t>
      </w:r>
      <w:r w:rsidR="004D6476" w:rsidRPr="003805C4">
        <w:rPr>
          <w:rFonts w:ascii="Arial" w:hAnsi="Arial" w:cs="Arial"/>
          <w:color w:val="000000" w:themeColor="text1"/>
          <w:sz w:val="22"/>
          <w:szCs w:val="22"/>
        </w:rPr>
        <w:t>la porción del valor facturado y el consumo que le corresponde a este Ministerio, según la información enviada por la Subdirección de Servicios</w:t>
      </w:r>
      <w:r w:rsidR="00522B7E" w:rsidRPr="003805C4">
        <w:rPr>
          <w:rFonts w:ascii="Arial" w:hAnsi="Arial" w:cs="Arial"/>
          <w:color w:val="000000" w:themeColor="text1"/>
          <w:sz w:val="22"/>
          <w:szCs w:val="22"/>
        </w:rPr>
        <w:t xml:space="preserve"> y las obligaciones consultadas en el SIIF</w:t>
      </w:r>
      <w:r w:rsidR="004D6476" w:rsidRPr="003805C4">
        <w:rPr>
          <w:rFonts w:ascii="Arial" w:hAnsi="Arial" w:cs="Arial"/>
          <w:color w:val="000000" w:themeColor="text1"/>
          <w:sz w:val="22"/>
          <w:szCs w:val="22"/>
        </w:rPr>
        <w:t xml:space="preserve"> correspondiente a las sedes de</w:t>
      </w:r>
      <w:r w:rsidR="00EB1C76">
        <w:rPr>
          <w:rFonts w:ascii="Arial" w:hAnsi="Arial" w:cs="Arial"/>
          <w:color w:val="000000" w:themeColor="text1"/>
          <w:sz w:val="22"/>
          <w:szCs w:val="22"/>
        </w:rPr>
        <w:t>l</w:t>
      </w:r>
      <w:r w:rsidR="004D6476" w:rsidRPr="003805C4">
        <w:rPr>
          <w:rFonts w:ascii="Arial" w:hAnsi="Arial" w:cs="Arial"/>
          <w:color w:val="000000" w:themeColor="text1"/>
          <w:sz w:val="22"/>
          <w:szCs w:val="22"/>
        </w:rPr>
        <w:t xml:space="preserve"> </w:t>
      </w:r>
      <w:r w:rsidR="007C5770" w:rsidRPr="003805C4">
        <w:rPr>
          <w:rFonts w:ascii="Arial" w:hAnsi="Arial" w:cs="Arial"/>
          <w:color w:val="000000" w:themeColor="text1"/>
          <w:sz w:val="22"/>
          <w:szCs w:val="22"/>
        </w:rPr>
        <w:t xml:space="preserve">Edificio </w:t>
      </w:r>
      <w:r w:rsidR="004D6476" w:rsidRPr="003805C4">
        <w:rPr>
          <w:rFonts w:ascii="Arial" w:hAnsi="Arial" w:cs="Arial"/>
          <w:color w:val="000000" w:themeColor="text1"/>
          <w:sz w:val="22"/>
          <w:szCs w:val="22"/>
        </w:rPr>
        <w:t xml:space="preserve">San Agustín y Casas de Santa Bárbara para el </w:t>
      </w:r>
      <w:r w:rsidR="003805C4" w:rsidRPr="003805C4">
        <w:rPr>
          <w:rFonts w:ascii="Arial" w:hAnsi="Arial" w:cs="Arial"/>
          <w:color w:val="000000" w:themeColor="text1"/>
          <w:sz w:val="22"/>
          <w:szCs w:val="22"/>
        </w:rPr>
        <w:t xml:space="preserve">tercer </w:t>
      </w:r>
      <w:r w:rsidR="004D6476" w:rsidRPr="003805C4">
        <w:rPr>
          <w:rFonts w:ascii="Arial" w:hAnsi="Arial" w:cs="Arial"/>
          <w:color w:val="000000" w:themeColor="text1"/>
          <w:sz w:val="22"/>
          <w:szCs w:val="22"/>
        </w:rPr>
        <w:t xml:space="preserve">trimestre de 2020 y 2019. </w:t>
      </w:r>
    </w:p>
    <w:p w14:paraId="6E745F83" w14:textId="77777777" w:rsidR="003805C4" w:rsidRPr="00377E1C" w:rsidRDefault="003805C4" w:rsidP="002C5E35">
      <w:pPr>
        <w:pStyle w:val="Prrafodelista"/>
        <w:widowControl w:val="0"/>
        <w:ind w:left="0"/>
        <w:contextualSpacing w:val="0"/>
        <w:rPr>
          <w:rFonts w:ascii="Arial" w:hAnsi="Arial" w:cs="Arial"/>
          <w:color w:val="000000" w:themeColor="text1"/>
          <w:sz w:val="22"/>
          <w:szCs w:val="22"/>
        </w:rPr>
      </w:pPr>
    </w:p>
    <w:p w14:paraId="3F556095" w14:textId="527162E4" w:rsidR="004066EB" w:rsidRPr="00377E1C" w:rsidRDefault="00ED5205" w:rsidP="00A538A3">
      <w:pPr>
        <w:jc w:val="both"/>
        <w:rPr>
          <w:rFonts w:ascii="Arial" w:hAnsi="Arial" w:cs="Arial"/>
          <w:color w:val="000000"/>
          <w:sz w:val="22"/>
          <w:szCs w:val="22"/>
        </w:rPr>
      </w:pPr>
      <w:r w:rsidRPr="00377E1C">
        <w:rPr>
          <w:rFonts w:ascii="Arial" w:hAnsi="Arial" w:cs="Arial"/>
          <w:color w:val="000000" w:themeColor="text1"/>
          <w:sz w:val="22"/>
          <w:szCs w:val="22"/>
        </w:rPr>
        <w:t>Teniendo en cuenta, la periodicidad de facturación de las empresas prestadoras de servicios de acueducto y aseo</w:t>
      </w:r>
      <w:r w:rsidR="00B81A9D" w:rsidRPr="00377E1C">
        <w:rPr>
          <w:rFonts w:ascii="Arial" w:hAnsi="Arial" w:cs="Arial"/>
          <w:color w:val="000000" w:themeColor="text1"/>
          <w:sz w:val="22"/>
          <w:szCs w:val="22"/>
        </w:rPr>
        <w:t>, l</w:t>
      </w:r>
      <w:r w:rsidRPr="00377E1C">
        <w:rPr>
          <w:rFonts w:ascii="Arial" w:hAnsi="Arial" w:cs="Arial"/>
          <w:color w:val="000000" w:themeColor="text1"/>
          <w:sz w:val="22"/>
          <w:szCs w:val="22"/>
        </w:rPr>
        <w:t>os periodos contemplados para el análisis fueron los siguientes</w:t>
      </w:r>
      <w:r w:rsidRPr="00377E1C">
        <w:rPr>
          <w:rFonts w:ascii="Arial" w:hAnsi="Arial" w:cs="Arial"/>
          <w:color w:val="000000"/>
          <w:sz w:val="22"/>
          <w:szCs w:val="22"/>
        </w:rPr>
        <w:t xml:space="preserve">: </w:t>
      </w:r>
    </w:p>
    <w:p w14:paraId="2E26FCDF" w14:textId="269E0480" w:rsidR="00ED5205" w:rsidRPr="00CA48AF" w:rsidRDefault="00ED5205" w:rsidP="00A538A3">
      <w:pPr>
        <w:jc w:val="both"/>
        <w:rPr>
          <w:rFonts w:ascii="Arial" w:hAnsi="Arial" w:cs="Arial"/>
          <w:color w:val="000000"/>
          <w:sz w:val="22"/>
          <w:szCs w:val="22"/>
          <w:highlight w:val="yellow"/>
        </w:rPr>
      </w:pPr>
    </w:p>
    <w:tbl>
      <w:tblPr>
        <w:tblW w:w="0" w:type="auto"/>
        <w:jc w:val="center"/>
        <w:tblCellMar>
          <w:left w:w="70" w:type="dxa"/>
          <w:right w:w="70" w:type="dxa"/>
        </w:tblCellMar>
        <w:tblLook w:val="04A0" w:firstRow="1" w:lastRow="0" w:firstColumn="1" w:lastColumn="0" w:noHBand="0" w:noVBand="1"/>
      </w:tblPr>
      <w:tblGrid>
        <w:gridCol w:w="1833"/>
        <w:gridCol w:w="3178"/>
        <w:gridCol w:w="3643"/>
      </w:tblGrid>
      <w:tr w:rsidR="00ED783A" w:rsidRPr="003F752F" w14:paraId="5B48F3BF" w14:textId="77777777" w:rsidTr="003F752F">
        <w:trPr>
          <w:cantSplit/>
          <w:jc w:val="center"/>
        </w:trPr>
        <w:tc>
          <w:tcPr>
            <w:tcW w:w="1833" w:type="dxa"/>
            <w:tcBorders>
              <w:top w:val="single" w:sz="8" w:space="0" w:color="B8CCE4"/>
              <w:left w:val="single" w:sz="8" w:space="0" w:color="B8CCE4"/>
              <w:bottom w:val="single" w:sz="12" w:space="0" w:color="95B3D7"/>
              <w:right w:val="single" w:sz="8" w:space="0" w:color="B8CCE4"/>
            </w:tcBorders>
            <w:shd w:val="clear" w:color="auto" w:fill="4F81BD" w:themeFill="accent1"/>
            <w:noWrap/>
            <w:vAlign w:val="center"/>
            <w:hideMark/>
          </w:tcPr>
          <w:p w14:paraId="17DF967C" w14:textId="77777777" w:rsidR="00ED783A" w:rsidRPr="003F752F" w:rsidRDefault="00ED783A" w:rsidP="005C0D5C">
            <w:pPr>
              <w:widowControl w:val="0"/>
              <w:spacing w:before="80" w:after="100"/>
              <w:rPr>
                <w:rFonts w:ascii="Arial" w:hAnsi="Arial" w:cs="Arial"/>
                <w:b/>
                <w:bCs/>
                <w:color w:val="FFFFFF"/>
                <w:sz w:val="20"/>
                <w:szCs w:val="20"/>
              </w:rPr>
            </w:pPr>
            <w:r w:rsidRPr="003F752F">
              <w:rPr>
                <w:rFonts w:ascii="Arial" w:hAnsi="Arial" w:cs="Arial"/>
                <w:b/>
                <w:bCs/>
                <w:color w:val="FFFFFF"/>
                <w:sz w:val="20"/>
                <w:szCs w:val="20"/>
              </w:rPr>
              <w:t>Concepto</w:t>
            </w:r>
          </w:p>
        </w:tc>
        <w:tc>
          <w:tcPr>
            <w:tcW w:w="3178" w:type="dxa"/>
            <w:tcBorders>
              <w:top w:val="single" w:sz="8" w:space="0" w:color="B8CCE4"/>
              <w:left w:val="nil"/>
              <w:bottom w:val="single" w:sz="12" w:space="0" w:color="95B3D7"/>
              <w:right w:val="single" w:sz="8" w:space="0" w:color="B8CCE4"/>
            </w:tcBorders>
            <w:shd w:val="clear" w:color="auto" w:fill="4F81BD" w:themeFill="accent1"/>
            <w:vAlign w:val="center"/>
            <w:hideMark/>
          </w:tcPr>
          <w:p w14:paraId="779CE0E5" w14:textId="77777777" w:rsidR="00ED783A" w:rsidRPr="003F752F" w:rsidRDefault="00ED783A" w:rsidP="005C0D5C">
            <w:pPr>
              <w:widowControl w:val="0"/>
              <w:spacing w:before="80" w:after="100"/>
              <w:jc w:val="center"/>
              <w:rPr>
                <w:rFonts w:ascii="Arial" w:hAnsi="Arial" w:cs="Arial"/>
                <w:b/>
                <w:bCs/>
                <w:color w:val="FFFFFF"/>
                <w:sz w:val="20"/>
                <w:szCs w:val="20"/>
              </w:rPr>
            </w:pPr>
            <w:r w:rsidRPr="003F752F">
              <w:rPr>
                <w:rFonts w:ascii="Arial" w:hAnsi="Arial" w:cs="Arial"/>
                <w:b/>
                <w:bCs/>
                <w:color w:val="FFFFFF"/>
                <w:sz w:val="20"/>
                <w:szCs w:val="20"/>
              </w:rPr>
              <w:t>Vigencia 2020</w:t>
            </w:r>
          </w:p>
        </w:tc>
        <w:tc>
          <w:tcPr>
            <w:tcW w:w="0" w:type="auto"/>
            <w:tcBorders>
              <w:top w:val="single" w:sz="8" w:space="0" w:color="B8CCE4"/>
              <w:left w:val="nil"/>
              <w:bottom w:val="single" w:sz="12" w:space="0" w:color="95B3D7"/>
              <w:right w:val="single" w:sz="8" w:space="0" w:color="B8CCE4"/>
            </w:tcBorders>
            <w:shd w:val="clear" w:color="auto" w:fill="4F81BD" w:themeFill="accent1"/>
            <w:vAlign w:val="center"/>
            <w:hideMark/>
          </w:tcPr>
          <w:p w14:paraId="586CA6D4" w14:textId="77777777" w:rsidR="00ED783A" w:rsidRPr="003F752F" w:rsidRDefault="00ED783A" w:rsidP="005C0D5C">
            <w:pPr>
              <w:widowControl w:val="0"/>
              <w:spacing w:before="80" w:after="100"/>
              <w:jc w:val="center"/>
              <w:rPr>
                <w:rFonts w:ascii="Arial" w:hAnsi="Arial" w:cs="Arial"/>
                <w:b/>
                <w:bCs/>
                <w:color w:val="FFFFFF"/>
                <w:sz w:val="20"/>
                <w:szCs w:val="20"/>
              </w:rPr>
            </w:pPr>
            <w:r w:rsidRPr="003F752F">
              <w:rPr>
                <w:rFonts w:ascii="Arial" w:hAnsi="Arial" w:cs="Arial"/>
                <w:b/>
                <w:bCs/>
                <w:color w:val="FFFFFF"/>
                <w:sz w:val="20"/>
                <w:szCs w:val="20"/>
              </w:rPr>
              <w:t>Vigencia 2019</w:t>
            </w:r>
          </w:p>
        </w:tc>
      </w:tr>
      <w:tr w:rsidR="003F752F" w:rsidRPr="003F752F" w14:paraId="70D73070" w14:textId="77777777" w:rsidTr="003F752F">
        <w:trPr>
          <w:cantSplit/>
          <w:jc w:val="center"/>
        </w:trPr>
        <w:tc>
          <w:tcPr>
            <w:tcW w:w="1833" w:type="dxa"/>
            <w:tcBorders>
              <w:top w:val="nil"/>
              <w:left w:val="single" w:sz="8" w:space="0" w:color="B8CCE4"/>
              <w:bottom w:val="nil"/>
              <w:right w:val="single" w:sz="8" w:space="0" w:color="B8CCE4"/>
            </w:tcBorders>
            <w:shd w:val="clear" w:color="auto" w:fill="auto"/>
            <w:vAlign w:val="center"/>
            <w:hideMark/>
          </w:tcPr>
          <w:p w14:paraId="18BBD356" w14:textId="6942A7EB" w:rsidR="003F752F" w:rsidRPr="003F752F" w:rsidRDefault="003F752F" w:rsidP="003F752F">
            <w:pPr>
              <w:widowControl w:val="0"/>
              <w:spacing w:before="80" w:after="100"/>
              <w:jc w:val="center"/>
              <w:rPr>
                <w:rFonts w:ascii="Arial" w:hAnsi="Arial" w:cs="Arial"/>
                <w:b/>
                <w:bCs/>
                <w:color w:val="0F243E" w:themeColor="text2" w:themeShade="80"/>
                <w:sz w:val="20"/>
                <w:szCs w:val="20"/>
              </w:rPr>
            </w:pPr>
            <w:r w:rsidRPr="003F752F">
              <w:rPr>
                <w:rFonts w:ascii="Arial" w:hAnsi="Arial" w:cs="Arial"/>
                <w:b/>
                <w:bCs/>
                <w:color w:val="0F243E" w:themeColor="text2" w:themeShade="80"/>
                <w:sz w:val="20"/>
                <w:szCs w:val="20"/>
              </w:rPr>
              <w:t>Acueducto</w:t>
            </w:r>
          </w:p>
        </w:tc>
        <w:tc>
          <w:tcPr>
            <w:tcW w:w="3178" w:type="dxa"/>
            <w:vMerge w:val="restart"/>
            <w:tcBorders>
              <w:top w:val="nil"/>
              <w:left w:val="nil"/>
              <w:right w:val="single" w:sz="8" w:space="0" w:color="B8CCE4"/>
            </w:tcBorders>
            <w:shd w:val="clear" w:color="auto" w:fill="auto"/>
            <w:vAlign w:val="center"/>
          </w:tcPr>
          <w:p w14:paraId="78A741C3" w14:textId="10E3CCF4" w:rsidR="003F752F" w:rsidRPr="003F752F" w:rsidRDefault="003F752F" w:rsidP="003F752F">
            <w:pPr>
              <w:widowControl w:val="0"/>
              <w:spacing w:before="80" w:after="100"/>
              <w:jc w:val="center"/>
              <w:rPr>
                <w:rFonts w:ascii="Arial" w:hAnsi="Arial" w:cs="Arial"/>
                <w:color w:val="0F243E" w:themeColor="text2" w:themeShade="80"/>
                <w:sz w:val="20"/>
                <w:szCs w:val="20"/>
              </w:rPr>
            </w:pPr>
            <w:r w:rsidRPr="003F752F">
              <w:rPr>
                <w:rFonts w:ascii="Arial" w:hAnsi="Arial" w:cs="Arial"/>
                <w:color w:val="0F243E" w:themeColor="text2" w:themeShade="80"/>
                <w:sz w:val="20"/>
                <w:szCs w:val="20"/>
              </w:rPr>
              <w:t>5 de julio al 1° de septiembre de 2020</w:t>
            </w:r>
          </w:p>
        </w:tc>
        <w:tc>
          <w:tcPr>
            <w:tcW w:w="0" w:type="auto"/>
            <w:vMerge w:val="restart"/>
            <w:tcBorders>
              <w:top w:val="nil"/>
              <w:left w:val="nil"/>
              <w:right w:val="single" w:sz="8" w:space="0" w:color="B8CCE4"/>
            </w:tcBorders>
            <w:shd w:val="clear" w:color="auto" w:fill="auto"/>
            <w:vAlign w:val="center"/>
          </w:tcPr>
          <w:p w14:paraId="4392C688" w14:textId="49AE56D6" w:rsidR="003F752F" w:rsidRPr="003F752F" w:rsidRDefault="003F752F" w:rsidP="003F752F">
            <w:pPr>
              <w:jc w:val="both"/>
              <w:rPr>
                <w:rFonts w:ascii="Arial" w:hAnsi="Arial" w:cs="Arial"/>
                <w:color w:val="0F243E" w:themeColor="text2" w:themeShade="80"/>
                <w:sz w:val="20"/>
                <w:szCs w:val="20"/>
              </w:rPr>
            </w:pPr>
            <w:r w:rsidRPr="003F752F">
              <w:rPr>
                <w:rFonts w:ascii="Arial" w:hAnsi="Arial" w:cs="Arial"/>
                <w:color w:val="0F243E" w:themeColor="text2" w:themeShade="80"/>
                <w:sz w:val="20"/>
                <w:szCs w:val="20"/>
              </w:rPr>
              <w:t>11 de julio al 6 de septiembre de 2019</w:t>
            </w:r>
          </w:p>
        </w:tc>
      </w:tr>
      <w:tr w:rsidR="003F752F" w:rsidRPr="003F752F" w14:paraId="5B485709" w14:textId="77777777" w:rsidTr="003F752F">
        <w:trPr>
          <w:cantSplit/>
          <w:jc w:val="center"/>
        </w:trPr>
        <w:tc>
          <w:tcPr>
            <w:tcW w:w="1833" w:type="dxa"/>
            <w:tcBorders>
              <w:top w:val="nil"/>
              <w:left w:val="single" w:sz="8" w:space="0" w:color="B8CCE4"/>
              <w:bottom w:val="nil"/>
              <w:right w:val="single" w:sz="8" w:space="0" w:color="B8CCE4"/>
            </w:tcBorders>
            <w:shd w:val="clear" w:color="auto" w:fill="auto"/>
            <w:vAlign w:val="center"/>
          </w:tcPr>
          <w:p w14:paraId="0BFF15F7" w14:textId="77777777" w:rsidR="003F752F" w:rsidRPr="003F752F" w:rsidRDefault="003F752F" w:rsidP="003F752F">
            <w:pPr>
              <w:widowControl w:val="0"/>
              <w:spacing w:before="80" w:after="100"/>
              <w:jc w:val="center"/>
              <w:rPr>
                <w:rFonts w:ascii="Arial" w:hAnsi="Arial" w:cs="Arial"/>
                <w:b/>
                <w:bCs/>
                <w:color w:val="0F243E" w:themeColor="text2" w:themeShade="80"/>
                <w:sz w:val="20"/>
                <w:szCs w:val="20"/>
              </w:rPr>
            </w:pPr>
          </w:p>
        </w:tc>
        <w:tc>
          <w:tcPr>
            <w:tcW w:w="3178" w:type="dxa"/>
            <w:vMerge/>
            <w:tcBorders>
              <w:left w:val="nil"/>
              <w:bottom w:val="single" w:sz="8" w:space="0" w:color="B8CCE4"/>
              <w:right w:val="single" w:sz="8" w:space="0" w:color="B8CCE4"/>
            </w:tcBorders>
            <w:shd w:val="clear" w:color="auto" w:fill="auto"/>
            <w:vAlign w:val="center"/>
          </w:tcPr>
          <w:p w14:paraId="53FA5CA0" w14:textId="71FEBFA0" w:rsidR="003F752F" w:rsidRPr="003F752F" w:rsidRDefault="003F752F" w:rsidP="003F752F">
            <w:pPr>
              <w:widowControl w:val="0"/>
              <w:spacing w:before="80" w:after="100"/>
              <w:jc w:val="center"/>
              <w:rPr>
                <w:rFonts w:ascii="Arial" w:hAnsi="Arial" w:cs="Arial"/>
                <w:color w:val="0F243E" w:themeColor="text2" w:themeShade="80"/>
                <w:sz w:val="20"/>
                <w:szCs w:val="20"/>
              </w:rPr>
            </w:pPr>
          </w:p>
        </w:tc>
        <w:tc>
          <w:tcPr>
            <w:tcW w:w="0" w:type="auto"/>
            <w:vMerge/>
            <w:tcBorders>
              <w:left w:val="nil"/>
              <w:bottom w:val="single" w:sz="8" w:space="0" w:color="B8CCE4"/>
              <w:right w:val="single" w:sz="8" w:space="0" w:color="B8CCE4"/>
            </w:tcBorders>
            <w:shd w:val="clear" w:color="auto" w:fill="auto"/>
            <w:vAlign w:val="center"/>
          </w:tcPr>
          <w:p w14:paraId="46C0534C" w14:textId="67F51E95" w:rsidR="003F752F" w:rsidRPr="003F752F" w:rsidRDefault="003F752F" w:rsidP="003F752F">
            <w:pPr>
              <w:widowControl w:val="0"/>
              <w:spacing w:before="80" w:after="100"/>
              <w:jc w:val="both"/>
              <w:rPr>
                <w:rFonts w:ascii="Arial" w:hAnsi="Arial" w:cs="Arial"/>
                <w:color w:val="0F243E" w:themeColor="text2" w:themeShade="80"/>
                <w:sz w:val="20"/>
                <w:szCs w:val="20"/>
              </w:rPr>
            </w:pPr>
          </w:p>
        </w:tc>
      </w:tr>
      <w:tr w:rsidR="003F752F" w:rsidRPr="003F752F" w14:paraId="59D2EB56" w14:textId="77777777" w:rsidTr="003F752F">
        <w:trPr>
          <w:cantSplit/>
          <w:jc w:val="center"/>
        </w:trPr>
        <w:tc>
          <w:tcPr>
            <w:tcW w:w="1833" w:type="dxa"/>
            <w:vMerge w:val="restart"/>
            <w:tcBorders>
              <w:top w:val="single" w:sz="8" w:space="0" w:color="B8CCE4"/>
              <w:left w:val="single" w:sz="8" w:space="0" w:color="B8CCE4"/>
              <w:bottom w:val="single" w:sz="8" w:space="0" w:color="B8CCE4"/>
              <w:right w:val="single" w:sz="8" w:space="0" w:color="B8CCE4"/>
            </w:tcBorders>
            <w:shd w:val="clear" w:color="auto" w:fill="auto"/>
            <w:vAlign w:val="center"/>
            <w:hideMark/>
          </w:tcPr>
          <w:p w14:paraId="0A6A1B26" w14:textId="77777777" w:rsidR="003F752F" w:rsidRPr="003F752F" w:rsidRDefault="003F752F" w:rsidP="003F752F">
            <w:pPr>
              <w:widowControl w:val="0"/>
              <w:spacing w:before="80" w:after="100"/>
              <w:jc w:val="center"/>
              <w:rPr>
                <w:rFonts w:ascii="Arial" w:hAnsi="Arial" w:cs="Arial"/>
                <w:b/>
                <w:bCs/>
                <w:color w:val="0F243E" w:themeColor="text2" w:themeShade="80"/>
                <w:sz w:val="20"/>
                <w:szCs w:val="20"/>
              </w:rPr>
            </w:pPr>
            <w:r w:rsidRPr="003F752F">
              <w:rPr>
                <w:rFonts w:ascii="Arial" w:hAnsi="Arial" w:cs="Arial"/>
                <w:b/>
                <w:bCs/>
                <w:color w:val="0F243E" w:themeColor="text2" w:themeShade="80"/>
                <w:sz w:val="20"/>
                <w:szCs w:val="20"/>
              </w:rPr>
              <w:t>Aseo</w:t>
            </w:r>
          </w:p>
        </w:tc>
        <w:tc>
          <w:tcPr>
            <w:tcW w:w="3178" w:type="dxa"/>
            <w:tcBorders>
              <w:top w:val="nil"/>
              <w:left w:val="nil"/>
              <w:bottom w:val="single" w:sz="8" w:space="0" w:color="B8CCE4"/>
              <w:right w:val="single" w:sz="8" w:space="0" w:color="B8CCE4"/>
            </w:tcBorders>
            <w:shd w:val="clear" w:color="auto" w:fill="auto"/>
            <w:vAlign w:val="center"/>
          </w:tcPr>
          <w:p w14:paraId="23A027FF" w14:textId="50ED53B3" w:rsidR="003F752F" w:rsidRPr="003F752F" w:rsidRDefault="003F752F" w:rsidP="003F752F">
            <w:pPr>
              <w:widowControl w:val="0"/>
              <w:spacing w:before="80" w:after="100"/>
              <w:jc w:val="center"/>
              <w:rPr>
                <w:rFonts w:ascii="Arial" w:hAnsi="Arial" w:cs="Arial"/>
                <w:color w:val="0F243E" w:themeColor="text2" w:themeShade="80"/>
                <w:sz w:val="20"/>
                <w:szCs w:val="20"/>
              </w:rPr>
            </w:pPr>
            <w:r w:rsidRPr="003F752F">
              <w:rPr>
                <w:rFonts w:ascii="Arial" w:hAnsi="Arial" w:cs="Arial"/>
                <w:color w:val="0F243E" w:themeColor="text2" w:themeShade="80"/>
                <w:sz w:val="20"/>
                <w:szCs w:val="20"/>
              </w:rPr>
              <w:t>01 al 31 de julio de 2020</w:t>
            </w:r>
          </w:p>
        </w:tc>
        <w:tc>
          <w:tcPr>
            <w:tcW w:w="0" w:type="auto"/>
            <w:vMerge w:val="restart"/>
            <w:tcBorders>
              <w:top w:val="nil"/>
              <w:left w:val="single" w:sz="8" w:space="0" w:color="B8CCE4"/>
              <w:right w:val="single" w:sz="8" w:space="0" w:color="B8CCE4"/>
            </w:tcBorders>
            <w:shd w:val="clear" w:color="auto" w:fill="auto"/>
            <w:vAlign w:val="center"/>
          </w:tcPr>
          <w:p w14:paraId="522B1509" w14:textId="1EA1EE6C" w:rsidR="003F752F" w:rsidRPr="003F752F" w:rsidRDefault="003F752F" w:rsidP="003F752F">
            <w:pPr>
              <w:jc w:val="both"/>
              <w:rPr>
                <w:rFonts w:ascii="Arial" w:hAnsi="Arial" w:cs="Arial"/>
                <w:color w:val="0F243E" w:themeColor="text2" w:themeShade="80"/>
                <w:sz w:val="20"/>
                <w:szCs w:val="20"/>
              </w:rPr>
            </w:pPr>
            <w:r w:rsidRPr="003F752F">
              <w:rPr>
                <w:rFonts w:ascii="Arial" w:hAnsi="Arial" w:cs="Arial"/>
                <w:color w:val="0F243E" w:themeColor="text2" w:themeShade="80"/>
                <w:sz w:val="20"/>
                <w:szCs w:val="20"/>
              </w:rPr>
              <w:t xml:space="preserve">01 de julio al </w:t>
            </w:r>
            <w:r w:rsidR="002274DE">
              <w:rPr>
                <w:rFonts w:ascii="Arial" w:hAnsi="Arial" w:cs="Arial"/>
                <w:color w:val="0F243E" w:themeColor="text2" w:themeShade="80"/>
                <w:sz w:val="20"/>
                <w:szCs w:val="20"/>
              </w:rPr>
              <w:t>30</w:t>
            </w:r>
            <w:r w:rsidRPr="003F752F">
              <w:rPr>
                <w:rFonts w:ascii="Arial" w:hAnsi="Arial" w:cs="Arial"/>
                <w:color w:val="0F243E" w:themeColor="text2" w:themeShade="80"/>
                <w:sz w:val="20"/>
                <w:szCs w:val="20"/>
              </w:rPr>
              <w:t xml:space="preserve"> de </w:t>
            </w:r>
            <w:r w:rsidR="002274DE">
              <w:rPr>
                <w:rFonts w:ascii="Arial" w:hAnsi="Arial" w:cs="Arial"/>
                <w:color w:val="0F243E" w:themeColor="text2" w:themeShade="80"/>
                <w:sz w:val="20"/>
                <w:szCs w:val="20"/>
              </w:rPr>
              <w:t xml:space="preserve">septiembre </w:t>
            </w:r>
            <w:r w:rsidRPr="003F752F">
              <w:rPr>
                <w:rFonts w:ascii="Arial" w:hAnsi="Arial" w:cs="Arial"/>
                <w:color w:val="0F243E" w:themeColor="text2" w:themeShade="80"/>
                <w:sz w:val="20"/>
                <w:szCs w:val="20"/>
              </w:rPr>
              <w:t>de 2019</w:t>
            </w:r>
          </w:p>
        </w:tc>
      </w:tr>
      <w:tr w:rsidR="003F752F" w:rsidRPr="003F752F" w14:paraId="010F89F3" w14:textId="77777777" w:rsidTr="003F752F">
        <w:trPr>
          <w:cantSplit/>
          <w:jc w:val="center"/>
        </w:trPr>
        <w:tc>
          <w:tcPr>
            <w:tcW w:w="1833" w:type="dxa"/>
            <w:vMerge/>
            <w:tcBorders>
              <w:top w:val="single" w:sz="8" w:space="0" w:color="B8CCE4"/>
              <w:left w:val="single" w:sz="8" w:space="0" w:color="B8CCE4"/>
              <w:bottom w:val="single" w:sz="8" w:space="0" w:color="B8CCE4"/>
              <w:right w:val="single" w:sz="8" w:space="0" w:color="B8CCE4"/>
            </w:tcBorders>
            <w:shd w:val="clear" w:color="auto" w:fill="auto"/>
            <w:vAlign w:val="center"/>
            <w:hideMark/>
          </w:tcPr>
          <w:p w14:paraId="0B9B1FC2" w14:textId="77777777" w:rsidR="003F752F" w:rsidRPr="003F752F" w:rsidRDefault="003F752F" w:rsidP="003F752F">
            <w:pPr>
              <w:widowControl w:val="0"/>
              <w:spacing w:before="80" w:after="100"/>
              <w:rPr>
                <w:rFonts w:ascii="Arial" w:hAnsi="Arial" w:cs="Arial"/>
                <w:b/>
                <w:bCs/>
                <w:color w:val="0F243E" w:themeColor="text2" w:themeShade="80"/>
                <w:sz w:val="20"/>
                <w:szCs w:val="20"/>
              </w:rPr>
            </w:pPr>
          </w:p>
        </w:tc>
        <w:tc>
          <w:tcPr>
            <w:tcW w:w="3178" w:type="dxa"/>
            <w:tcBorders>
              <w:top w:val="nil"/>
              <w:left w:val="nil"/>
              <w:bottom w:val="single" w:sz="8" w:space="0" w:color="B8CCE4"/>
              <w:right w:val="single" w:sz="8" w:space="0" w:color="B8CCE4"/>
            </w:tcBorders>
            <w:shd w:val="clear" w:color="auto" w:fill="auto"/>
            <w:vAlign w:val="center"/>
          </w:tcPr>
          <w:p w14:paraId="591DFCF6" w14:textId="6CFEC1D4" w:rsidR="003F752F" w:rsidRPr="003F752F" w:rsidRDefault="003F752F" w:rsidP="003F752F">
            <w:pPr>
              <w:widowControl w:val="0"/>
              <w:spacing w:before="80" w:after="100"/>
              <w:jc w:val="center"/>
              <w:rPr>
                <w:rFonts w:ascii="Arial" w:hAnsi="Arial" w:cs="Arial"/>
                <w:color w:val="0F243E" w:themeColor="text2" w:themeShade="80"/>
                <w:sz w:val="20"/>
                <w:szCs w:val="20"/>
              </w:rPr>
            </w:pPr>
            <w:r w:rsidRPr="003F752F">
              <w:rPr>
                <w:rFonts w:ascii="Arial" w:hAnsi="Arial" w:cs="Arial"/>
                <w:color w:val="0F243E" w:themeColor="text2" w:themeShade="80"/>
                <w:sz w:val="20"/>
                <w:szCs w:val="20"/>
              </w:rPr>
              <w:t>01 al 30 de agosto de 2020</w:t>
            </w:r>
          </w:p>
        </w:tc>
        <w:tc>
          <w:tcPr>
            <w:tcW w:w="0" w:type="auto"/>
            <w:vMerge/>
            <w:tcBorders>
              <w:left w:val="single" w:sz="8" w:space="0" w:color="B8CCE4"/>
              <w:bottom w:val="single" w:sz="8" w:space="0" w:color="B8CCE4"/>
              <w:right w:val="single" w:sz="8" w:space="0" w:color="B8CCE4"/>
            </w:tcBorders>
            <w:shd w:val="clear" w:color="auto" w:fill="auto"/>
            <w:vAlign w:val="center"/>
          </w:tcPr>
          <w:p w14:paraId="6E7E5F01" w14:textId="50E90112" w:rsidR="003F752F" w:rsidRPr="003F752F" w:rsidRDefault="003F752F" w:rsidP="003F752F">
            <w:pPr>
              <w:widowControl w:val="0"/>
              <w:spacing w:before="80" w:after="100"/>
              <w:rPr>
                <w:rFonts w:ascii="Arial" w:hAnsi="Arial" w:cs="Arial"/>
                <w:color w:val="0F243E" w:themeColor="text2" w:themeShade="80"/>
                <w:sz w:val="20"/>
                <w:szCs w:val="20"/>
              </w:rPr>
            </w:pPr>
          </w:p>
        </w:tc>
      </w:tr>
    </w:tbl>
    <w:p w14:paraId="4F888653" w14:textId="77777777" w:rsidR="00FF4A50" w:rsidRPr="003F752F" w:rsidRDefault="00FF4A50" w:rsidP="00A538A3">
      <w:pPr>
        <w:jc w:val="both"/>
        <w:rPr>
          <w:rFonts w:ascii="Arial" w:hAnsi="Arial" w:cs="Arial"/>
          <w:color w:val="0F243E" w:themeColor="text2" w:themeShade="80"/>
          <w:sz w:val="20"/>
          <w:szCs w:val="20"/>
          <w:highlight w:val="yellow"/>
        </w:rPr>
      </w:pPr>
    </w:p>
    <w:p w14:paraId="411D5400" w14:textId="18DE86C3" w:rsidR="002274DE" w:rsidRPr="00950083" w:rsidRDefault="00950083" w:rsidP="005C0D5C">
      <w:pPr>
        <w:jc w:val="both"/>
        <w:rPr>
          <w:rFonts w:ascii="Arial" w:hAnsi="Arial" w:cs="Arial"/>
          <w:color w:val="201F1E"/>
          <w:sz w:val="22"/>
          <w:szCs w:val="22"/>
          <w:shd w:val="clear" w:color="auto" w:fill="FFFFFF"/>
        </w:rPr>
      </w:pPr>
      <w:r w:rsidRPr="00950083">
        <w:rPr>
          <w:rFonts w:ascii="Arial" w:hAnsi="Arial" w:cs="Arial"/>
          <w:sz w:val="22"/>
          <w:szCs w:val="22"/>
        </w:rPr>
        <w:t>Para el concepto de aseo</w:t>
      </w:r>
      <w:r w:rsidR="0026085F">
        <w:rPr>
          <w:rFonts w:ascii="Arial" w:hAnsi="Arial" w:cs="Arial"/>
          <w:sz w:val="22"/>
          <w:szCs w:val="22"/>
        </w:rPr>
        <w:t>,</w:t>
      </w:r>
      <w:r w:rsidRPr="00950083">
        <w:rPr>
          <w:rFonts w:ascii="Arial" w:hAnsi="Arial" w:cs="Arial"/>
          <w:sz w:val="22"/>
          <w:szCs w:val="22"/>
        </w:rPr>
        <w:t xml:space="preserve"> las variaciones se establecieron teniendo en cuenta el mes de julio y agosto de 2020 toda vez </w:t>
      </w:r>
      <w:r w:rsidR="0026085F" w:rsidRPr="00950083">
        <w:rPr>
          <w:rFonts w:ascii="Arial" w:hAnsi="Arial" w:cs="Arial"/>
          <w:sz w:val="22"/>
          <w:szCs w:val="22"/>
        </w:rPr>
        <w:t>que,</w:t>
      </w:r>
      <w:r w:rsidRPr="00950083">
        <w:rPr>
          <w:rFonts w:ascii="Arial" w:hAnsi="Arial" w:cs="Arial"/>
          <w:sz w:val="22"/>
          <w:szCs w:val="22"/>
        </w:rPr>
        <w:t xml:space="preserve"> para el servicio </w:t>
      </w:r>
      <w:r w:rsidR="004331E6" w:rsidRPr="00950083">
        <w:rPr>
          <w:rFonts w:ascii="Arial" w:hAnsi="Arial" w:cs="Arial"/>
          <w:color w:val="000000"/>
          <w:sz w:val="22"/>
          <w:szCs w:val="22"/>
        </w:rPr>
        <w:t>de</w:t>
      </w:r>
      <w:r w:rsidR="003F752F" w:rsidRPr="00950083">
        <w:rPr>
          <w:rFonts w:ascii="Arial" w:hAnsi="Arial" w:cs="Arial"/>
          <w:color w:val="000000"/>
          <w:sz w:val="22"/>
          <w:szCs w:val="22"/>
        </w:rPr>
        <w:t xml:space="preserve"> aseo</w:t>
      </w:r>
      <w:r w:rsidR="002274DE" w:rsidRPr="00950083">
        <w:rPr>
          <w:rFonts w:ascii="Arial" w:hAnsi="Arial" w:cs="Arial"/>
          <w:color w:val="000000"/>
          <w:sz w:val="22"/>
          <w:szCs w:val="22"/>
        </w:rPr>
        <w:t xml:space="preserve"> correspondiente al periodo de septiembre de 2020, la empresa Promoambie</w:t>
      </w:r>
      <w:r w:rsidR="00B12567">
        <w:rPr>
          <w:rFonts w:ascii="Arial" w:hAnsi="Arial" w:cs="Arial"/>
          <w:color w:val="000000"/>
          <w:sz w:val="22"/>
          <w:szCs w:val="22"/>
        </w:rPr>
        <w:t>n</w:t>
      </w:r>
      <w:r w:rsidR="002274DE" w:rsidRPr="00950083">
        <w:rPr>
          <w:rFonts w:ascii="Arial" w:hAnsi="Arial" w:cs="Arial"/>
          <w:color w:val="000000"/>
          <w:sz w:val="22"/>
          <w:szCs w:val="22"/>
        </w:rPr>
        <w:t>tal S.A expidió la</w:t>
      </w:r>
      <w:r w:rsidR="00853B54" w:rsidRPr="00950083">
        <w:rPr>
          <w:rFonts w:ascii="Arial" w:hAnsi="Arial" w:cs="Arial"/>
          <w:color w:val="000000"/>
          <w:sz w:val="22"/>
          <w:szCs w:val="22"/>
        </w:rPr>
        <w:t>s</w:t>
      </w:r>
      <w:r w:rsidR="002274DE" w:rsidRPr="00950083">
        <w:rPr>
          <w:rFonts w:ascii="Arial" w:hAnsi="Arial" w:cs="Arial"/>
          <w:color w:val="000000"/>
          <w:sz w:val="22"/>
          <w:szCs w:val="22"/>
        </w:rPr>
        <w:t xml:space="preserve"> factura</w:t>
      </w:r>
      <w:r w:rsidR="00853B54" w:rsidRPr="00950083">
        <w:rPr>
          <w:rFonts w:ascii="Arial" w:hAnsi="Arial" w:cs="Arial"/>
          <w:color w:val="000000"/>
          <w:sz w:val="22"/>
          <w:szCs w:val="22"/>
        </w:rPr>
        <w:t>s de las sedes de esta entidad con</w:t>
      </w:r>
      <w:r w:rsidR="002274DE" w:rsidRPr="00950083">
        <w:rPr>
          <w:rFonts w:ascii="Arial" w:hAnsi="Arial" w:cs="Arial"/>
          <w:color w:val="000000"/>
          <w:sz w:val="22"/>
          <w:szCs w:val="22"/>
        </w:rPr>
        <w:t xml:space="preserve"> valor a pagar cero (0). Al respecto, la Subdirección de Servicios indagó con dicha empresa</w:t>
      </w:r>
      <w:r w:rsidR="00E01E9E" w:rsidRPr="00950083">
        <w:rPr>
          <w:rFonts w:ascii="Arial" w:hAnsi="Arial" w:cs="Arial"/>
          <w:color w:val="000000"/>
          <w:sz w:val="22"/>
          <w:szCs w:val="22"/>
        </w:rPr>
        <w:t xml:space="preserve"> sobre el particular, informando </w:t>
      </w:r>
      <w:r w:rsidR="002274DE" w:rsidRPr="00950083">
        <w:rPr>
          <w:rFonts w:ascii="Arial" w:hAnsi="Arial" w:cs="Arial"/>
          <w:color w:val="000000"/>
          <w:sz w:val="22"/>
          <w:szCs w:val="22"/>
        </w:rPr>
        <w:t xml:space="preserve">mediante correo electrónico que lo anterior obedeció a </w:t>
      </w:r>
      <w:r w:rsidR="002274DE" w:rsidRPr="00950083">
        <w:rPr>
          <w:rFonts w:ascii="Arial" w:hAnsi="Arial" w:cs="Arial"/>
          <w:color w:val="201F1E"/>
          <w:sz w:val="22"/>
          <w:szCs w:val="22"/>
          <w:shd w:val="clear" w:color="auto" w:fill="FFFFFF"/>
        </w:rPr>
        <w:t xml:space="preserve">la aplicación de saldos a favor </w:t>
      </w:r>
      <w:r w:rsidR="00853B54" w:rsidRPr="00950083">
        <w:rPr>
          <w:rFonts w:ascii="Arial" w:hAnsi="Arial" w:cs="Arial"/>
          <w:color w:val="201F1E"/>
          <w:sz w:val="22"/>
          <w:szCs w:val="22"/>
          <w:shd w:val="clear" w:color="auto" w:fill="FFFFFF"/>
        </w:rPr>
        <w:t xml:space="preserve">del Ministerio de Hacienda y Crédito Público, </w:t>
      </w:r>
      <w:r w:rsidR="002274DE" w:rsidRPr="00950083">
        <w:rPr>
          <w:rFonts w:ascii="Arial" w:hAnsi="Arial" w:cs="Arial"/>
          <w:color w:val="201F1E"/>
          <w:sz w:val="22"/>
          <w:szCs w:val="22"/>
          <w:shd w:val="clear" w:color="auto" w:fill="FFFFFF"/>
        </w:rPr>
        <w:t>producto de la reliquidación de periodos anteriores</w:t>
      </w:r>
      <w:r w:rsidR="00853B54" w:rsidRPr="00950083">
        <w:rPr>
          <w:rFonts w:ascii="Arial" w:hAnsi="Arial" w:cs="Arial"/>
          <w:color w:val="201F1E"/>
          <w:sz w:val="22"/>
          <w:szCs w:val="22"/>
          <w:shd w:val="clear" w:color="auto" w:fill="FFFFFF"/>
        </w:rPr>
        <w:t xml:space="preserve"> en respuesta de la </w:t>
      </w:r>
      <w:r w:rsidR="002274DE" w:rsidRPr="00950083">
        <w:rPr>
          <w:rFonts w:ascii="Arial" w:hAnsi="Arial" w:cs="Arial"/>
          <w:color w:val="201F1E"/>
          <w:sz w:val="22"/>
          <w:szCs w:val="22"/>
          <w:shd w:val="clear" w:color="auto" w:fill="FFFFFF"/>
        </w:rPr>
        <w:t xml:space="preserve">PQR 678519 </w:t>
      </w:r>
      <w:r w:rsidR="00853B54" w:rsidRPr="00950083">
        <w:rPr>
          <w:rFonts w:ascii="Arial" w:hAnsi="Arial" w:cs="Arial"/>
          <w:color w:val="201F1E"/>
          <w:sz w:val="22"/>
          <w:szCs w:val="22"/>
          <w:shd w:val="clear" w:color="auto" w:fill="FFFFFF"/>
        </w:rPr>
        <w:t>interpuesta</w:t>
      </w:r>
      <w:r w:rsidRPr="00950083">
        <w:rPr>
          <w:rFonts w:ascii="Arial" w:hAnsi="Arial" w:cs="Arial"/>
          <w:color w:val="201F1E"/>
          <w:sz w:val="22"/>
          <w:szCs w:val="22"/>
          <w:shd w:val="clear" w:color="auto" w:fill="FFFFFF"/>
        </w:rPr>
        <w:t xml:space="preserve"> por esta entidad </w:t>
      </w:r>
      <w:r w:rsidR="00853B54" w:rsidRPr="00950083">
        <w:rPr>
          <w:rFonts w:ascii="Arial" w:hAnsi="Arial" w:cs="Arial"/>
          <w:color w:val="201F1E"/>
          <w:sz w:val="22"/>
          <w:szCs w:val="22"/>
          <w:shd w:val="clear" w:color="auto" w:fill="FFFFFF"/>
        </w:rPr>
        <w:t xml:space="preserve">ante </w:t>
      </w:r>
      <w:r w:rsidR="002274DE" w:rsidRPr="00950083">
        <w:rPr>
          <w:rFonts w:ascii="Arial" w:hAnsi="Arial" w:cs="Arial"/>
          <w:color w:val="201F1E"/>
          <w:sz w:val="22"/>
          <w:szCs w:val="22"/>
          <w:shd w:val="clear" w:color="auto" w:fill="FFFFFF"/>
        </w:rPr>
        <w:t>Promoambiental.</w:t>
      </w:r>
    </w:p>
    <w:p w14:paraId="538BBF2E" w14:textId="1EC1E47F" w:rsidR="00853B54" w:rsidRPr="00950083" w:rsidRDefault="00853B54" w:rsidP="005C0D5C">
      <w:pPr>
        <w:jc w:val="both"/>
        <w:rPr>
          <w:rFonts w:ascii="Arial" w:hAnsi="Arial" w:cs="Arial"/>
          <w:color w:val="201F1E"/>
          <w:sz w:val="22"/>
          <w:szCs w:val="22"/>
          <w:shd w:val="clear" w:color="auto" w:fill="FFFFFF"/>
        </w:rPr>
      </w:pPr>
    </w:p>
    <w:p w14:paraId="2C8B2BAB" w14:textId="743DB863" w:rsidR="00311214" w:rsidRDefault="00853B54" w:rsidP="005C0D5C">
      <w:pPr>
        <w:jc w:val="both"/>
        <w:rPr>
          <w:rFonts w:ascii="Arial" w:hAnsi="Arial" w:cs="Arial"/>
          <w:sz w:val="22"/>
          <w:szCs w:val="22"/>
        </w:rPr>
      </w:pPr>
      <w:r w:rsidRPr="0002489A">
        <w:rPr>
          <w:rFonts w:ascii="Arial" w:hAnsi="Arial" w:cs="Arial"/>
          <w:color w:val="201F1E"/>
          <w:sz w:val="22"/>
          <w:szCs w:val="22"/>
          <w:shd w:val="clear" w:color="auto" w:fill="FFFFFF"/>
        </w:rPr>
        <w:lastRenderedPageBreak/>
        <w:t xml:space="preserve">Sin embargo, la Subdirección de Servicios mediante Oficio </w:t>
      </w:r>
      <w:r w:rsidR="0002489A" w:rsidRPr="0002489A">
        <w:rPr>
          <w:rFonts w:ascii="Arial" w:hAnsi="Arial" w:cs="Arial"/>
          <w:sz w:val="22"/>
          <w:szCs w:val="22"/>
        </w:rPr>
        <w:t>2-2020-061110</w:t>
      </w:r>
      <w:r w:rsidR="0002489A" w:rsidRPr="0002489A">
        <w:rPr>
          <w:rFonts w:ascii="Arial" w:hAnsi="Arial" w:cs="Arial"/>
          <w:color w:val="201F1E"/>
          <w:sz w:val="22"/>
          <w:szCs w:val="22"/>
          <w:shd w:val="clear" w:color="auto" w:fill="FFFFFF"/>
        </w:rPr>
        <w:t xml:space="preserve"> del 23 de noviembre de 2020, </w:t>
      </w:r>
      <w:r w:rsidRPr="0002489A">
        <w:rPr>
          <w:rFonts w:ascii="Arial" w:hAnsi="Arial" w:cs="Arial"/>
          <w:color w:val="201F1E"/>
          <w:sz w:val="22"/>
          <w:szCs w:val="22"/>
          <w:shd w:val="clear" w:color="auto" w:fill="FFFFFF"/>
        </w:rPr>
        <w:t xml:space="preserve">interpuso nuevamente </w:t>
      </w:r>
      <w:r w:rsidR="00731F36">
        <w:rPr>
          <w:rFonts w:ascii="Arial" w:hAnsi="Arial" w:cs="Arial"/>
          <w:color w:val="201F1E"/>
          <w:sz w:val="22"/>
          <w:szCs w:val="22"/>
          <w:shd w:val="clear" w:color="auto" w:fill="FFFFFF"/>
        </w:rPr>
        <w:t xml:space="preserve">un </w:t>
      </w:r>
      <w:r w:rsidRPr="0002489A">
        <w:rPr>
          <w:rFonts w:ascii="Arial" w:hAnsi="Arial" w:cs="Arial"/>
          <w:color w:val="201F1E"/>
          <w:sz w:val="22"/>
          <w:szCs w:val="22"/>
          <w:shd w:val="clear" w:color="auto" w:fill="FFFFFF"/>
        </w:rPr>
        <w:t>derecho de petición ante la empresa Promoambienta</w:t>
      </w:r>
      <w:r w:rsidR="00911EAC">
        <w:rPr>
          <w:rFonts w:ascii="Arial" w:hAnsi="Arial" w:cs="Arial"/>
          <w:color w:val="201F1E"/>
          <w:sz w:val="22"/>
          <w:szCs w:val="22"/>
          <w:shd w:val="clear" w:color="auto" w:fill="FFFFFF"/>
        </w:rPr>
        <w:t>l</w:t>
      </w:r>
      <w:r w:rsidR="0002489A">
        <w:rPr>
          <w:rFonts w:ascii="Arial" w:hAnsi="Arial" w:cs="Arial"/>
          <w:color w:val="201F1E"/>
          <w:sz w:val="22"/>
          <w:szCs w:val="22"/>
          <w:shd w:val="clear" w:color="auto" w:fill="FFFFFF"/>
        </w:rPr>
        <w:t xml:space="preserve">, </w:t>
      </w:r>
      <w:r w:rsidR="0002489A" w:rsidRPr="0002489A">
        <w:rPr>
          <w:rFonts w:ascii="Arial" w:hAnsi="Arial" w:cs="Arial"/>
          <w:color w:val="201F1E"/>
          <w:sz w:val="22"/>
          <w:szCs w:val="22"/>
          <w:shd w:val="clear" w:color="auto" w:fill="FFFFFF"/>
        </w:rPr>
        <w:t xml:space="preserve">con el fin de solicitar </w:t>
      </w:r>
      <w:r w:rsidR="0002489A" w:rsidRPr="0002489A">
        <w:rPr>
          <w:rFonts w:ascii="Arial" w:hAnsi="Arial" w:cs="Arial"/>
          <w:sz w:val="22"/>
          <w:szCs w:val="22"/>
        </w:rPr>
        <w:t>las liquidaciones</w:t>
      </w:r>
      <w:r w:rsidR="0002489A">
        <w:rPr>
          <w:rFonts w:ascii="Arial" w:hAnsi="Arial" w:cs="Arial"/>
          <w:sz w:val="22"/>
          <w:szCs w:val="22"/>
        </w:rPr>
        <w:t xml:space="preserve"> </w:t>
      </w:r>
      <w:r w:rsidR="00731F36">
        <w:rPr>
          <w:rFonts w:ascii="Arial" w:hAnsi="Arial" w:cs="Arial"/>
          <w:sz w:val="22"/>
          <w:szCs w:val="22"/>
        </w:rPr>
        <w:t xml:space="preserve">realizadas, </w:t>
      </w:r>
      <w:r w:rsidR="0002489A">
        <w:rPr>
          <w:rFonts w:ascii="Arial" w:hAnsi="Arial" w:cs="Arial"/>
          <w:sz w:val="22"/>
          <w:szCs w:val="22"/>
        </w:rPr>
        <w:t>los</w:t>
      </w:r>
      <w:r w:rsidR="00731F36">
        <w:rPr>
          <w:rFonts w:ascii="Arial" w:hAnsi="Arial" w:cs="Arial"/>
          <w:sz w:val="22"/>
          <w:szCs w:val="22"/>
        </w:rPr>
        <w:t xml:space="preserve"> respectivos </w:t>
      </w:r>
      <w:r w:rsidR="0002489A">
        <w:rPr>
          <w:rFonts w:ascii="Arial" w:hAnsi="Arial" w:cs="Arial"/>
          <w:sz w:val="22"/>
          <w:szCs w:val="22"/>
        </w:rPr>
        <w:t>periodos</w:t>
      </w:r>
      <w:r w:rsidR="00731F36">
        <w:rPr>
          <w:rFonts w:ascii="Arial" w:hAnsi="Arial" w:cs="Arial"/>
          <w:sz w:val="22"/>
          <w:szCs w:val="22"/>
        </w:rPr>
        <w:t xml:space="preserve"> y</w:t>
      </w:r>
      <w:r w:rsidR="0002489A">
        <w:rPr>
          <w:rFonts w:ascii="Arial" w:hAnsi="Arial" w:cs="Arial"/>
          <w:sz w:val="22"/>
          <w:szCs w:val="22"/>
        </w:rPr>
        <w:t xml:space="preserve"> la </w:t>
      </w:r>
      <w:r w:rsidR="0002489A" w:rsidRPr="0002489A">
        <w:rPr>
          <w:rFonts w:ascii="Arial" w:hAnsi="Arial" w:cs="Arial"/>
          <w:sz w:val="22"/>
          <w:szCs w:val="22"/>
        </w:rPr>
        <w:t xml:space="preserve">aplicación </w:t>
      </w:r>
      <w:r w:rsidR="0002489A">
        <w:rPr>
          <w:rFonts w:ascii="Arial" w:hAnsi="Arial" w:cs="Arial"/>
          <w:sz w:val="22"/>
          <w:szCs w:val="22"/>
        </w:rPr>
        <w:t xml:space="preserve">de los </w:t>
      </w:r>
      <w:r w:rsidR="0002489A" w:rsidRPr="0002489A">
        <w:rPr>
          <w:rFonts w:ascii="Arial" w:hAnsi="Arial" w:cs="Arial"/>
          <w:sz w:val="22"/>
          <w:szCs w:val="22"/>
        </w:rPr>
        <w:t>valores que constituyeron</w:t>
      </w:r>
      <w:r w:rsidR="0002489A">
        <w:rPr>
          <w:rFonts w:ascii="Arial" w:hAnsi="Arial" w:cs="Arial"/>
          <w:sz w:val="22"/>
          <w:szCs w:val="22"/>
        </w:rPr>
        <w:t xml:space="preserve"> el</w:t>
      </w:r>
      <w:r w:rsidR="0002489A" w:rsidRPr="0002489A">
        <w:rPr>
          <w:rFonts w:ascii="Arial" w:hAnsi="Arial" w:cs="Arial"/>
          <w:sz w:val="22"/>
          <w:szCs w:val="22"/>
        </w:rPr>
        <w:t xml:space="preserve"> saldo a favor de este Ministerio </w:t>
      </w:r>
      <w:r w:rsidR="0002489A">
        <w:rPr>
          <w:rFonts w:ascii="Arial" w:hAnsi="Arial" w:cs="Arial"/>
          <w:sz w:val="22"/>
          <w:szCs w:val="22"/>
        </w:rPr>
        <w:t xml:space="preserve">concerniente al servicio de aseo </w:t>
      </w:r>
      <w:r w:rsidR="0002489A" w:rsidRPr="0002489A">
        <w:rPr>
          <w:rFonts w:ascii="Arial" w:hAnsi="Arial" w:cs="Arial"/>
          <w:sz w:val="22"/>
          <w:szCs w:val="22"/>
        </w:rPr>
        <w:t>de las</w:t>
      </w:r>
      <w:r w:rsidR="0002489A">
        <w:rPr>
          <w:rFonts w:ascii="Arial" w:hAnsi="Arial" w:cs="Arial"/>
          <w:sz w:val="22"/>
          <w:szCs w:val="22"/>
        </w:rPr>
        <w:t xml:space="preserve"> sedes Edificio San Agustín y Casas de Santa Bárbara. </w:t>
      </w:r>
    </w:p>
    <w:p w14:paraId="7881E56D" w14:textId="77777777" w:rsidR="00311214" w:rsidRDefault="00311214" w:rsidP="005C0D5C">
      <w:pPr>
        <w:jc w:val="both"/>
        <w:rPr>
          <w:rFonts w:ascii="Arial" w:hAnsi="Arial" w:cs="Arial"/>
          <w:sz w:val="22"/>
          <w:szCs w:val="22"/>
        </w:rPr>
      </w:pPr>
    </w:p>
    <w:p w14:paraId="071E2EE9" w14:textId="25D0D01E" w:rsidR="00604BC5" w:rsidRDefault="00604BC5" w:rsidP="005C0D5C">
      <w:pPr>
        <w:jc w:val="both"/>
        <w:rPr>
          <w:rFonts w:ascii="Arial" w:hAnsi="Arial" w:cs="Arial"/>
          <w:color w:val="000000"/>
          <w:sz w:val="22"/>
          <w:szCs w:val="22"/>
        </w:rPr>
      </w:pPr>
      <w:r w:rsidRPr="002D36FF">
        <w:rPr>
          <w:rFonts w:ascii="Arial" w:hAnsi="Arial" w:cs="Arial"/>
          <w:color w:val="000000"/>
          <w:sz w:val="22"/>
          <w:szCs w:val="22"/>
        </w:rPr>
        <w:t>En lo referente al servicio de acueducto, se realizó un análisis del comp</w:t>
      </w:r>
      <w:r w:rsidR="00DA1B05" w:rsidRPr="002D36FF">
        <w:rPr>
          <w:rFonts w:ascii="Arial" w:hAnsi="Arial" w:cs="Arial"/>
          <w:color w:val="000000"/>
          <w:sz w:val="22"/>
          <w:szCs w:val="22"/>
        </w:rPr>
        <w:t xml:space="preserve">ortamiento del gasto durante </w:t>
      </w:r>
      <w:r w:rsidR="006E1D6E" w:rsidRPr="002D36FF">
        <w:rPr>
          <w:rFonts w:ascii="Arial" w:hAnsi="Arial" w:cs="Arial"/>
          <w:color w:val="000000"/>
          <w:sz w:val="22"/>
          <w:szCs w:val="22"/>
        </w:rPr>
        <w:t xml:space="preserve">los periodos facturados </w:t>
      </w:r>
      <w:r w:rsidR="00E752E7">
        <w:rPr>
          <w:rFonts w:ascii="Arial" w:hAnsi="Arial" w:cs="Arial"/>
          <w:color w:val="000000"/>
          <w:sz w:val="22"/>
          <w:szCs w:val="22"/>
        </w:rPr>
        <w:t>en la</w:t>
      </w:r>
      <w:r w:rsidR="002D36FF">
        <w:rPr>
          <w:rFonts w:ascii="Arial" w:hAnsi="Arial" w:cs="Arial"/>
          <w:color w:val="000000"/>
          <w:sz w:val="22"/>
          <w:szCs w:val="22"/>
        </w:rPr>
        <w:t xml:space="preserve"> vigencia 2020 </w:t>
      </w:r>
      <w:r w:rsidRPr="002D36FF">
        <w:rPr>
          <w:rFonts w:ascii="Arial" w:hAnsi="Arial" w:cs="Arial"/>
          <w:color w:val="000000"/>
          <w:sz w:val="22"/>
          <w:szCs w:val="22"/>
        </w:rPr>
        <w:t>para las sedes</w:t>
      </w:r>
      <w:r w:rsidR="006E0BE5" w:rsidRPr="002D36FF">
        <w:rPr>
          <w:rFonts w:ascii="Arial" w:hAnsi="Arial" w:cs="Arial"/>
          <w:color w:val="000000"/>
          <w:sz w:val="22"/>
          <w:szCs w:val="22"/>
        </w:rPr>
        <w:t xml:space="preserve"> de</w:t>
      </w:r>
      <w:r w:rsidRPr="002D36FF">
        <w:rPr>
          <w:rFonts w:ascii="Arial" w:hAnsi="Arial" w:cs="Arial"/>
          <w:color w:val="000000"/>
          <w:sz w:val="22"/>
          <w:szCs w:val="22"/>
        </w:rPr>
        <w:t xml:space="preserve"> </w:t>
      </w:r>
      <w:r w:rsidR="006E0BE5" w:rsidRPr="002D36FF">
        <w:rPr>
          <w:rFonts w:ascii="Arial" w:hAnsi="Arial" w:cs="Arial"/>
          <w:color w:val="000000"/>
          <w:sz w:val="22"/>
          <w:szCs w:val="22"/>
        </w:rPr>
        <w:t xml:space="preserve">Casas de Santa Bárbara y Edificio San Agustín </w:t>
      </w:r>
      <w:r w:rsidRPr="002D36FF">
        <w:rPr>
          <w:rFonts w:ascii="Arial" w:hAnsi="Arial" w:cs="Arial"/>
          <w:color w:val="000000"/>
          <w:sz w:val="22"/>
          <w:szCs w:val="22"/>
        </w:rPr>
        <w:t>del Ministerio de Hacienda y Crédito Público, observ</w:t>
      </w:r>
      <w:r w:rsidR="00970A3E" w:rsidRPr="002D36FF">
        <w:rPr>
          <w:rFonts w:ascii="Arial" w:hAnsi="Arial" w:cs="Arial"/>
          <w:color w:val="000000"/>
          <w:sz w:val="22"/>
          <w:szCs w:val="22"/>
        </w:rPr>
        <w:t>ando</w:t>
      </w:r>
      <w:r w:rsidRPr="002D36FF">
        <w:rPr>
          <w:rFonts w:ascii="Arial" w:hAnsi="Arial" w:cs="Arial"/>
          <w:color w:val="000000"/>
          <w:sz w:val="22"/>
          <w:szCs w:val="22"/>
        </w:rPr>
        <w:t xml:space="preserve"> </w:t>
      </w:r>
      <w:r w:rsidR="0085355A" w:rsidRPr="002D36FF">
        <w:rPr>
          <w:rFonts w:ascii="Arial" w:hAnsi="Arial" w:cs="Arial"/>
          <w:color w:val="000000"/>
          <w:sz w:val="22"/>
          <w:szCs w:val="22"/>
        </w:rPr>
        <w:t xml:space="preserve">una tendencia decreciente </w:t>
      </w:r>
      <w:r w:rsidR="00E752E7">
        <w:rPr>
          <w:rFonts w:ascii="Arial" w:hAnsi="Arial" w:cs="Arial"/>
          <w:color w:val="000000"/>
          <w:sz w:val="22"/>
          <w:szCs w:val="22"/>
        </w:rPr>
        <w:t xml:space="preserve">para la sede de Casas de Santa Bárbara. Para la sede del Edificio de San Agustín se evidenció un </w:t>
      </w:r>
      <w:r w:rsidR="00A04879">
        <w:rPr>
          <w:rFonts w:ascii="Arial" w:hAnsi="Arial" w:cs="Arial"/>
          <w:color w:val="000000"/>
          <w:sz w:val="22"/>
          <w:szCs w:val="22"/>
        </w:rPr>
        <w:t>incremen</w:t>
      </w:r>
      <w:r w:rsidR="008F648E">
        <w:rPr>
          <w:rFonts w:ascii="Arial" w:hAnsi="Arial" w:cs="Arial"/>
          <w:color w:val="000000"/>
          <w:sz w:val="22"/>
          <w:szCs w:val="22"/>
        </w:rPr>
        <w:t xml:space="preserve">to </w:t>
      </w:r>
      <w:r w:rsidR="00A04879">
        <w:rPr>
          <w:rFonts w:ascii="Arial" w:hAnsi="Arial" w:cs="Arial"/>
          <w:color w:val="000000"/>
          <w:sz w:val="22"/>
          <w:szCs w:val="22"/>
        </w:rPr>
        <w:t>del</w:t>
      </w:r>
      <w:r w:rsidR="00E752E7">
        <w:rPr>
          <w:rFonts w:ascii="Arial" w:hAnsi="Arial" w:cs="Arial"/>
          <w:color w:val="000000"/>
          <w:sz w:val="22"/>
          <w:szCs w:val="22"/>
        </w:rPr>
        <w:t xml:space="preserve"> 14% comparado con el periodo inmediatamente anterior</w:t>
      </w:r>
      <w:r w:rsidR="00A04879">
        <w:rPr>
          <w:rFonts w:ascii="Arial" w:hAnsi="Arial" w:cs="Arial"/>
          <w:color w:val="000000"/>
          <w:sz w:val="22"/>
          <w:szCs w:val="22"/>
        </w:rPr>
        <w:t xml:space="preserve"> [mayo-junio]. </w:t>
      </w:r>
    </w:p>
    <w:p w14:paraId="2E320F62" w14:textId="5184E67C" w:rsidR="002D36FF" w:rsidRDefault="002D36FF" w:rsidP="005C0D5C">
      <w:pPr>
        <w:jc w:val="both"/>
        <w:rPr>
          <w:rFonts w:ascii="Arial" w:hAnsi="Arial" w:cs="Arial"/>
          <w:color w:val="000000"/>
          <w:sz w:val="22"/>
          <w:szCs w:val="22"/>
        </w:rPr>
      </w:pPr>
    </w:p>
    <w:p w14:paraId="728B129D" w14:textId="28F05C2B" w:rsidR="002D36FF" w:rsidRPr="002D36FF" w:rsidRDefault="001A6803" w:rsidP="005C0D5C">
      <w:pPr>
        <w:jc w:val="both"/>
        <w:rPr>
          <w:rFonts w:ascii="Arial" w:hAnsi="Arial" w:cs="Arial"/>
          <w:sz w:val="22"/>
          <w:szCs w:val="22"/>
          <w:lang w:eastAsia="en-US"/>
        </w:rPr>
      </w:pPr>
      <w:r>
        <w:rPr>
          <w:noProof/>
          <w:lang w:val="en-US" w:eastAsia="en-US"/>
        </w:rPr>
        <w:drawing>
          <wp:inline distT="0" distB="0" distL="0" distR="0" wp14:anchorId="280C9572" wp14:editId="55CBE689">
            <wp:extent cx="6124575" cy="2247900"/>
            <wp:effectExtent l="0" t="0" r="0" b="0"/>
            <wp:docPr id="1" name="Gráfico 1">
              <a:extLst xmlns:a="http://schemas.openxmlformats.org/drawingml/2006/main">
                <a:ext uri="{FF2B5EF4-FFF2-40B4-BE49-F238E27FC236}">
                  <a16:creationId xmlns:a16="http://schemas.microsoft.com/office/drawing/2014/main" id="{752564CE-F37C-4E2B-942B-CB2A279FB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368810C" w14:textId="77777777" w:rsidR="00442361" w:rsidRDefault="00442361" w:rsidP="00A538A3">
      <w:pPr>
        <w:jc w:val="both"/>
        <w:rPr>
          <w:rFonts w:ascii="Arial" w:hAnsi="Arial" w:cs="Arial"/>
          <w:color w:val="000000"/>
          <w:sz w:val="22"/>
          <w:szCs w:val="22"/>
        </w:rPr>
      </w:pPr>
    </w:p>
    <w:p w14:paraId="3CB96F04" w14:textId="0C20DDEE" w:rsidR="00CD4F8F" w:rsidRPr="00EB1906" w:rsidRDefault="00CD4F8F" w:rsidP="00A538A3">
      <w:pPr>
        <w:jc w:val="both"/>
        <w:rPr>
          <w:rFonts w:ascii="Arial" w:hAnsi="Arial" w:cs="Arial"/>
          <w:color w:val="000000"/>
          <w:sz w:val="22"/>
          <w:szCs w:val="22"/>
        </w:rPr>
      </w:pPr>
      <w:r w:rsidRPr="00EB1906">
        <w:rPr>
          <w:rFonts w:ascii="Arial" w:hAnsi="Arial" w:cs="Arial"/>
          <w:color w:val="000000"/>
          <w:sz w:val="22"/>
          <w:szCs w:val="22"/>
        </w:rPr>
        <w:t xml:space="preserve">Con respecto al </w:t>
      </w:r>
      <w:r w:rsidR="00923DA9" w:rsidRPr="00EB1906">
        <w:rPr>
          <w:rFonts w:ascii="Arial" w:hAnsi="Arial" w:cs="Arial"/>
          <w:color w:val="000000"/>
          <w:sz w:val="22"/>
          <w:szCs w:val="22"/>
        </w:rPr>
        <w:t xml:space="preserve">tercer </w:t>
      </w:r>
      <w:r w:rsidRPr="00EB1906">
        <w:rPr>
          <w:rFonts w:ascii="Arial" w:hAnsi="Arial" w:cs="Arial"/>
          <w:color w:val="000000"/>
          <w:sz w:val="22"/>
          <w:szCs w:val="22"/>
        </w:rPr>
        <w:t>trimestre de 2020 comparada con el mismo periodo de la vigencia 2019, se observó que para las dos sedes del Ministerio de Hacienda y Crédito Público el servicio de acueducto present</w:t>
      </w:r>
      <w:r w:rsidR="006E1D6E" w:rsidRPr="00EB1906">
        <w:rPr>
          <w:rFonts w:ascii="Arial" w:hAnsi="Arial" w:cs="Arial"/>
          <w:color w:val="000000"/>
          <w:sz w:val="22"/>
          <w:szCs w:val="22"/>
        </w:rPr>
        <w:t>ó</w:t>
      </w:r>
      <w:r w:rsidRPr="00EB1906">
        <w:rPr>
          <w:rFonts w:ascii="Arial" w:hAnsi="Arial" w:cs="Arial"/>
          <w:color w:val="000000"/>
          <w:sz w:val="22"/>
          <w:szCs w:val="22"/>
        </w:rPr>
        <w:t xml:space="preserve"> </w:t>
      </w:r>
      <w:r w:rsidRPr="00EB1906">
        <w:rPr>
          <w:rFonts w:ascii="Arial" w:hAnsi="Arial" w:cs="Arial"/>
          <w:bCs/>
          <w:color w:val="000000"/>
          <w:sz w:val="22"/>
          <w:szCs w:val="22"/>
        </w:rPr>
        <w:t>variaciones negativas</w:t>
      </w:r>
      <w:r w:rsidRPr="00EB1906">
        <w:rPr>
          <w:rFonts w:ascii="Arial" w:hAnsi="Arial" w:cs="Arial"/>
          <w:color w:val="000000"/>
          <w:sz w:val="22"/>
          <w:szCs w:val="22"/>
        </w:rPr>
        <w:t xml:space="preserve">, significando una </w:t>
      </w:r>
      <w:r w:rsidRPr="00EB1906">
        <w:rPr>
          <w:rFonts w:ascii="Arial" w:hAnsi="Arial" w:cs="Arial"/>
          <w:b/>
          <w:color w:val="000000"/>
          <w:sz w:val="22"/>
          <w:szCs w:val="22"/>
        </w:rPr>
        <w:t>reducción</w:t>
      </w:r>
      <w:r w:rsidRPr="00EB1906">
        <w:rPr>
          <w:rFonts w:ascii="Arial" w:hAnsi="Arial" w:cs="Arial"/>
          <w:color w:val="000000"/>
          <w:sz w:val="22"/>
          <w:szCs w:val="22"/>
        </w:rPr>
        <w:t xml:space="preserve"> en el gasto para la Sede San Agustín del 5</w:t>
      </w:r>
      <w:r w:rsidR="00923DA9" w:rsidRPr="00EB1906">
        <w:rPr>
          <w:rFonts w:ascii="Arial" w:hAnsi="Arial" w:cs="Arial"/>
          <w:color w:val="000000"/>
          <w:sz w:val="22"/>
          <w:szCs w:val="22"/>
        </w:rPr>
        <w:t>2</w:t>
      </w:r>
      <w:r w:rsidRPr="00EB1906">
        <w:rPr>
          <w:rFonts w:ascii="Arial" w:hAnsi="Arial" w:cs="Arial"/>
          <w:color w:val="000000"/>
          <w:sz w:val="22"/>
          <w:szCs w:val="22"/>
        </w:rPr>
        <w:t xml:space="preserve">% y para la Sede </w:t>
      </w:r>
      <w:r w:rsidR="006E1D6E" w:rsidRPr="00EB1906">
        <w:rPr>
          <w:rFonts w:ascii="Arial" w:hAnsi="Arial" w:cs="Arial"/>
          <w:color w:val="000000"/>
          <w:sz w:val="22"/>
          <w:szCs w:val="22"/>
        </w:rPr>
        <w:t xml:space="preserve">de </w:t>
      </w:r>
      <w:r w:rsidRPr="00EB1906">
        <w:rPr>
          <w:rFonts w:ascii="Arial" w:hAnsi="Arial" w:cs="Arial"/>
          <w:color w:val="000000"/>
          <w:sz w:val="22"/>
          <w:szCs w:val="22"/>
        </w:rPr>
        <w:t xml:space="preserve">Casas de Santa Bárbara el 42%.  </w:t>
      </w:r>
    </w:p>
    <w:p w14:paraId="56FB3F1D" w14:textId="7FB1118D" w:rsidR="00864E86" w:rsidRPr="00EB1906" w:rsidRDefault="00864E86" w:rsidP="00A538A3">
      <w:pPr>
        <w:jc w:val="both"/>
        <w:rPr>
          <w:rFonts w:ascii="Arial" w:hAnsi="Arial" w:cs="Arial"/>
          <w:color w:val="000000"/>
          <w:sz w:val="22"/>
          <w:szCs w:val="22"/>
          <w:highlight w:val="yellow"/>
        </w:rPr>
      </w:pPr>
    </w:p>
    <w:tbl>
      <w:tblPr>
        <w:tblStyle w:val="Tabladecuadrcula1clara-nfasis1"/>
        <w:tblW w:w="0" w:type="auto"/>
        <w:jc w:val="center"/>
        <w:tblLook w:val="04A0" w:firstRow="1" w:lastRow="0" w:firstColumn="1" w:lastColumn="0" w:noHBand="0" w:noVBand="1"/>
      </w:tblPr>
      <w:tblGrid>
        <w:gridCol w:w="2782"/>
        <w:gridCol w:w="2161"/>
        <w:gridCol w:w="2990"/>
      </w:tblGrid>
      <w:tr w:rsidR="00864E86" w:rsidRPr="00864E86" w14:paraId="0C8D9E4C" w14:textId="77777777" w:rsidTr="009C554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33" w:type="dxa"/>
            <w:gridSpan w:val="3"/>
            <w:shd w:val="clear" w:color="auto" w:fill="4F81BD" w:themeFill="accent1"/>
            <w:vAlign w:val="center"/>
            <w:hideMark/>
          </w:tcPr>
          <w:p w14:paraId="28D19D55" w14:textId="4F0B0235" w:rsidR="00864E86" w:rsidRPr="00864E86" w:rsidRDefault="00864E86" w:rsidP="009C554B">
            <w:pPr>
              <w:spacing w:before="40" w:after="60"/>
              <w:jc w:val="center"/>
              <w:rPr>
                <w:rFonts w:ascii="Arial" w:hAnsi="Arial" w:cs="Arial"/>
                <w:color w:val="000000"/>
                <w:sz w:val="20"/>
                <w:szCs w:val="20"/>
              </w:rPr>
            </w:pPr>
            <w:r w:rsidRPr="00864E86">
              <w:rPr>
                <w:rFonts w:ascii="Arial" w:hAnsi="Arial" w:cs="Arial"/>
                <w:color w:val="FFFFFF" w:themeColor="background1"/>
                <w:sz w:val="20"/>
                <w:szCs w:val="20"/>
              </w:rPr>
              <w:t>Valor Facturado III Trimestre   2020-2019 ($)</w:t>
            </w:r>
          </w:p>
        </w:tc>
      </w:tr>
      <w:tr w:rsidR="00864E86" w:rsidRPr="00864E86" w14:paraId="52FFF06B"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7933" w:type="dxa"/>
            <w:gridSpan w:val="3"/>
            <w:shd w:val="clear" w:color="auto" w:fill="DBE5F1" w:themeFill="accent1" w:themeFillTint="33"/>
            <w:vAlign w:val="center"/>
            <w:hideMark/>
          </w:tcPr>
          <w:p w14:paraId="2FFE89F9" w14:textId="7BF0E568" w:rsidR="00864E86" w:rsidRPr="00864E86" w:rsidRDefault="00864E86" w:rsidP="009C554B">
            <w:pPr>
              <w:spacing w:before="40" w:after="60"/>
              <w:jc w:val="center"/>
              <w:rPr>
                <w:rFonts w:ascii="Arial" w:hAnsi="Arial" w:cs="Arial"/>
                <w:color w:val="000000"/>
                <w:sz w:val="20"/>
                <w:szCs w:val="20"/>
              </w:rPr>
            </w:pPr>
            <w:r>
              <w:rPr>
                <w:rFonts w:ascii="Arial" w:hAnsi="Arial" w:cs="Arial"/>
                <w:color w:val="000000"/>
                <w:sz w:val="20"/>
                <w:szCs w:val="20"/>
              </w:rPr>
              <w:t xml:space="preserve">Servicio de </w:t>
            </w:r>
            <w:r w:rsidRPr="00864E86">
              <w:rPr>
                <w:rFonts w:ascii="Arial" w:hAnsi="Arial" w:cs="Arial"/>
                <w:color w:val="000000"/>
                <w:sz w:val="20"/>
                <w:szCs w:val="20"/>
              </w:rPr>
              <w:t xml:space="preserve">Acueducto </w:t>
            </w:r>
          </w:p>
        </w:tc>
      </w:tr>
      <w:tr w:rsidR="00864E86" w:rsidRPr="00864E86" w14:paraId="6F7ADE5A"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2782" w:type="dxa"/>
            <w:shd w:val="clear" w:color="auto" w:fill="DBE5F1" w:themeFill="accent1" w:themeFillTint="33"/>
            <w:vAlign w:val="center"/>
            <w:hideMark/>
          </w:tcPr>
          <w:p w14:paraId="3FB72657" w14:textId="77777777" w:rsidR="00864E86" w:rsidRPr="00864E86" w:rsidRDefault="00864E86" w:rsidP="009C554B">
            <w:pPr>
              <w:spacing w:before="40" w:after="60"/>
              <w:jc w:val="center"/>
              <w:rPr>
                <w:rFonts w:ascii="Arial" w:hAnsi="Arial" w:cs="Arial"/>
                <w:color w:val="000000"/>
                <w:sz w:val="20"/>
                <w:szCs w:val="20"/>
              </w:rPr>
            </w:pPr>
            <w:r w:rsidRPr="00864E86">
              <w:rPr>
                <w:rFonts w:ascii="Arial" w:hAnsi="Arial" w:cs="Arial"/>
                <w:color w:val="000000"/>
                <w:sz w:val="20"/>
                <w:szCs w:val="20"/>
              </w:rPr>
              <w:t>Periodo</w:t>
            </w:r>
          </w:p>
        </w:tc>
        <w:tc>
          <w:tcPr>
            <w:tcW w:w="0" w:type="auto"/>
            <w:shd w:val="clear" w:color="auto" w:fill="DBE5F1" w:themeFill="accent1" w:themeFillTint="33"/>
            <w:vAlign w:val="center"/>
            <w:hideMark/>
          </w:tcPr>
          <w:p w14:paraId="7046BFE7" w14:textId="77777777" w:rsidR="00864E86" w:rsidRPr="00864E86" w:rsidRDefault="00864E86" w:rsidP="009C554B">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864E86">
              <w:rPr>
                <w:rFonts w:ascii="Arial" w:hAnsi="Arial" w:cs="Arial"/>
                <w:b/>
                <w:bCs/>
                <w:color w:val="000000"/>
                <w:sz w:val="20"/>
                <w:szCs w:val="20"/>
              </w:rPr>
              <w:t xml:space="preserve">Edificio San Agustín </w:t>
            </w:r>
          </w:p>
        </w:tc>
        <w:tc>
          <w:tcPr>
            <w:tcW w:w="2990" w:type="dxa"/>
            <w:shd w:val="clear" w:color="auto" w:fill="DBE5F1" w:themeFill="accent1" w:themeFillTint="33"/>
            <w:vAlign w:val="center"/>
            <w:hideMark/>
          </w:tcPr>
          <w:p w14:paraId="653CFB20" w14:textId="77777777" w:rsidR="00864E86" w:rsidRPr="00864E86" w:rsidRDefault="00864E86" w:rsidP="009C554B">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864E86">
              <w:rPr>
                <w:rFonts w:ascii="Arial" w:hAnsi="Arial" w:cs="Arial"/>
                <w:b/>
                <w:bCs/>
                <w:color w:val="000000"/>
                <w:sz w:val="20"/>
                <w:szCs w:val="20"/>
              </w:rPr>
              <w:t>Casas de Santa Bárbara</w:t>
            </w:r>
          </w:p>
        </w:tc>
      </w:tr>
      <w:tr w:rsidR="00864E86" w:rsidRPr="00864E86" w14:paraId="48F38557"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2782" w:type="dxa"/>
            <w:vAlign w:val="center"/>
            <w:hideMark/>
          </w:tcPr>
          <w:p w14:paraId="57B119D5" w14:textId="1C12A807" w:rsidR="00864E86" w:rsidRPr="00864E86" w:rsidRDefault="00864E86" w:rsidP="009C554B">
            <w:pPr>
              <w:spacing w:before="40" w:after="60"/>
              <w:jc w:val="center"/>
              <w:rPr>
                <w:rFonts w:ascii="Arial" w:hAnsi="Arial" w:cs="Arial"/>
                <w:b w:val="0"/>
                <w:bCs w:val="0"/>
                <w:color w:val="0F243E" w:themeColor="text2" w:themeShade="80"/>
                <w:sz w:val="20"/>
                <w:szCs w:val="20"/>
              </w:rPr>
            </w:pPr>
            <w:r>
              <w:rPr>
                <w:rFonts w:ascii="Arial" w:hAnsi="Arial" w:cs="Arial"/>
                <w:b w:val="0"/>
                <w:bCs w:val="0"/>
                <w:color w:val="0F243E" w:themeColor="text2" w:themeShade="80"/>
                <w:sz w:val="20"/>
                <w:szCs w:val="20"/>
              </w:rPr>
              <w:t xml:space="preserve">III Trimestre </w:t>
            </w:r>
            <w:r w:rsidRPr="00864E86">
              <w:rPr>
                <w:rFonts w:ascii="Arial" w:hAnsi="Arial" w:cs="Arial"/>
                <w:b w:val="0"/>
                <w:bCs w:val="0"/>
                <w:color w:val="0F243E" w:themeColor="text2" w:themeShade="80"/>
                <w:sz w:val="20"/>
                <w:szCs w:val="20"/>
              </w:rPr>
              <w:t>2020</w:t>
            </w:r>
          </w:p>
        </w:tc>
        <w:tc>
          <w:tcPr>
            <w:tcW w:w="0" w:type="auto"/>
            <w:vAlign w:val="center"/>
            <w:hideMark/>
          </w:tcPr>
          <w:p w14:paraId="4038D306" w14:textId="77777777"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E86">
              <w:rPr>
                <w:rFonts w:ascii="Arial" w:hAnsi="Arial" w:cs="Arial"/>
                <w:color w:val="0F243E" w:themeColor="text2" w:themeShade="80"/>
                <w:sz w:val="20"/>
                <w:szCs w:val="20"/>
              </w:rPr>
              <w:t>5.462.671</w:t>
            </w:r>
          </w:p>
        </w:tc>
        <w:tc>
          <w:tcPr>
            <w:tcW w:w="2990" w:type="dxa"/>
            <w:vAlign w:val="center"/>
            <w:hideMark/>
          </w:tcPr>
          <w:p w14:paraId="5F04746E" w14:textId="77777777"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E86">
              <w:rPr>
                <w:rFonts w:ascii="Arial" w:hAnsi="Arial" w:cs="Arial"/>
                <w:color w:val="0F243E" w:themeColor="text2" w:themeShade="80"/>
                <w:sz w:val="20"/>
                <w:szCs w:val="20"/>
              </w:rPr>
              <w:t>2.267.540</w:t>
            </w:r>
          </w:p>
        </w:tc>
      </w:tr>
      <w:tr w:rsidR="00864E86" w:rsidRPr="00864E86" w14:paraId="79FDC8E2"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2782" w:type="dxa"/>
            <w:vAlign w:val="center"/>
            <w:hideMark/>
          </w:tcPr>
          <w:p w14:paraId="414F2B3B" w14:textId="54512121" w:rsidR="00864E86" w:rsidRPr="00864E86" w:rsidRDefault="00864E86" w:rsidP="009C554B">
            <w:pPr>
              <w:spacing w:before="40" w:after="60"/>
              <w:jc w:val="center"/>
              <w:rPr>
                <w:rFonts w:ascii="Arial" w:hAnsi="Arial" w:cs="Arial"/>
                <w:b w:val="0"/>
                <w:bCs w:val="0"/>
                <w:color w:val="0F243E" w:themeColor="text2" w:themeShade="80"/>
                <w:sz w:val="20"/>
                <w:szCs w:val="20"/>
              </w:rPr>
            </w:pPr>
            <w:r>
              <w:rPr>
                <w:rFonts w:ascii="Arial" w:hAnsi="Arial" w:cs="Arial"/>
                <w:b w:val="0"/>
                <w:bCs w:val="0"/>
                <w:color w:val="0F243E" w:themeColor="text2" w:themeShade="80"/>
                <w:sz w:val="20"/>
                <w:szCs w:val="20"/>
              </w:rPr>
              <w:t xml:space="preserve">III Trimestre </w:t>
            </w:r>
            <w:r w:rsidRPr="00864E86">
              <w:rPr>
                <w:rFonts w:ascii="Arial" w:hAnsi="Arial" w:cs="Arial"/>
                <w:b w:val="0"/>
                <w:bCs w:val="0"/>
                <w:color w:val="0F243E" w:themeColor="text2" w:themeShade="80"/>
                <w:sz w:val="20"/>
                <w:szCs w:val="20"/>
              </w:rPr>
              <w:t>2019</w:t>
            </w:r>
          </w:p>
        </w:tc>
        <w:tc>
          <w:tcPr>
            <w:tcW w:w="0" w:type="auto"/>
            <w:vAlign w:val="center"/>
            <w:hideMark/>
          </w:tcPr>
          <w:p w14:paraId="153A3AFF" w14:textId="77777777"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E86">
              <w:rPr>
                <w:rFonts w:ascii="Arial" w:hAnsi="Arial" w:cs="Arial"/>
                <w:color w:val="0F243E" w:themeColor="text2" w:themeShade="80"/>
                <w:sz w:val="20"/>
                <w:szCs w:val="20"/>
              </w:rPr>
              <w:t>11.292.791</w:t>
            </w:r>
          </w:p>
        </w:tc>
        <w:tc>
          <w:tcPr>
            <w:tcW w:w="2990" w:type="dxa"/>
            <w:vAlign w:val="center"/>
            <w:hideMark/>
          </w:tcPr>
          <w:p w14:paraId="75F603D4" w14:textId="77777777"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64E86">
              <w:rPr>
                <w:rFonts w:ascii="Arial" w:hAnsi="Arial" w:cs="Arial"/>
                <w:color w:val="0F243E" w:themeColor="text2" w:themeShade="80"/>
                <w:sz w:val="20"/>
                <w:szCs w:val="20"/>
              </w:rPr>
              <w:t>3.880.760</w:t>
            </w:r>
          </w:p>
        </w:tc>
      </w:tr>
      <w:tr w:rsidR="00864E86" w:rsidRPr="00864E86" w14:paraId="02A94D50"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2782" w:type="dxa"/>
            <w:shd w:val="clear" w:color="auto" w:fill="DBE5F1" w:themeFill="accent1" w:themeFillTint="33"/>
            <w:vAlign w:val="center"/>
            <w:hideMark/>
          </w:tcPr>
          <w:p w14:paraId="18108376" w14:textId="77777777" w:rsidR="00864E86" w:rsidRPr="00864E86" w:rsidRDefault="00864E86" w:rsidP="009C554B">
            <w:pPr>
              <w:spacing w:before="40" w:after="60"/>
              <w:jc w:val="center"/>
              <w:rPr>
                <w:rFonts w:ascii="Arial" w:hAnsi="Arial" w:cs="Arial"/>
                <w:color w:val="0F243E" w:themeColor="text2" w:themeShade="80"/>
                <w:sz w:val="20"/>
                <w:szCs w:val="20"/>
              </w:rPr>
            </w:pPr>
            <w:r w:rsidRPr="00864E86">
              <w:rPr>
                <w:rFonts w:ascii="Arial" w:hAnsi="Arial" w:cs="Arial"/>
                <w:color w:val="0F243E" w:themeColor="text2" w:themeShade="80"/>
                <w:sz w:val="20"/>
                <w:szCs w:val="20"/>
              </w:rPr>
              <w:t>Variación $</w:t>
            </w:r>
          </w:p>
        </w:tc>
        <w:tc>
          <w:tcPr>
            <w:tcW w:w="0" w:type="auto"/>
            <w:shd w:val="clear" w:color="auto" w:fill="DBE5F1" w:themeFill="accent1" w:themeFillTint="33"/>
            <w:vAlign w:val="center"/>
            <w:hideMark/>
          </w:tcPr>
          <w:p w14:paraId="4C8FF4FF" w14:textId="3CF0C3E7"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864E86">
              <w:rPr>
                <w:rFonts w:ascii="Arial" w:hAnsi="Arial" w:cs="Arial"/>
                <w:b/>
                <w:bCs/>
                <w:color w:val="0F243E" w:themeColor="text2" w:themeShade="80"/>
                <w:sz w:val="20"/>
                <w:szCs w:val="20"/>
              </w:rPr>
              <w:t>5.830.120</w:t>
            </w:r>
            <w:r>
              <w:rPr>
                <w:rFonts w:ascii="Arial" w:hAnsi="Arial" w:cs="Arial"/>
                <w:b/>
                <w:bCs/>
                <w:color w:val="0F243E" w:themeColor="text2" w:themeShade="80"/>
                <w:sz w:val="20"/>
                <w:szCs w:val="20"/>
              </w:rPr>
              <w:t>)</w:t>
            </w:r>
          </w:p>
        </w:tc>
        <w:tc>
          <w:tcPr>
            <w:tcW w:w="2990" w:type="dxa"/>
            <w:shd w:val="clear" w:color="auto" w:fill="DBE5F1" w:themeFill="accent1" w:themeFillTint="33"/>
            <w:vAlign w:val="center"/>
            <w:hideMark/>
          </w:tcPr>
          <w:p w14:paraId="49B6BE24" w14:textId="49C63F08" w:rsidR="00864E86" w:rsidRPr="00864E86" w:rsidRDefault="00864E86" w:rsidP="009C554B">
            <w:pPr>
              <w:spacing w:before="4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864E86">
              <w:rPr>
                <w:rFonts w:ascii="Arial" w:hAnsi="Arial" w:cs="Arial"/>
                <w:b/>
                <w:bCs/>
                <w:color w:val="0F243E" w:themeColor="text2" w:themeShade="80"/>
                <w:sz w:val="20"/>
                <w:szCs w:val="20"/>
              </w:rPr>
              <w:t>1.613.220</w:t>
            </w:r>
            <w:r>
              <w:rPr>
                <w:rFonts w:ascii="Arial" w:hAnsi="Arial" w:cs="Arial"/>
                <w:b/>
                <w:bCs/>
                <w:color w:val="0F243E" w:themeColor="text2" w:themeShade="80"/>
                <w:sz w:val="20"/>
                <w:szCs w:val="20"/>
              </w:rPr>
              <w:t>)</w:t>
            </w:r>
          </w:p>
        </w:tc>
      </w:tr>
      <w:tr w:rsidR="00864E86" w:rsidRPr="00864E86" w14:paraId="6BF0D12D" w14:textId="77777777" w:rsidTr="009C554B">
        <w:trPr>
          <w:cantSplit/>
          <w:jc w:val="center"/>
        </w:trPr>
        <w:tc>
          <w:tcPr>
            <w:cnfStyle w:val="001000000000" w:firstRow="0" w:lastRow="0" w:firstColumn="1" w:lastColumn="0" w:oddVBand="0" w:evenVBand="0" w:oddHBand="0" w:evenHBand="0" w:firstRowFirstColumn="0" w:firstRowLastColumn="0" w:lastRowFirstColumn="0" w:lastRowLastColumn="0"/>
            <w:tcW w:w="2782" w:type="dxa"/>
            <w:shd w:val="clear" w:color="auto" w:fill="DBE5F1" w:themeFill="accent1" w:themeFillTint="33"/>
            <w:vAlign w:val="center"/>
            <w:hideMark/>
          </w:tcPr>
          <w:p w14:paraId="3407AE8F" w14:textId="77777777" w:rsidR="00864E86" w:rsidRPr="00864E86" w:rsidRDefault="00864E86" w:rsidP="009C554B">
            <w:pPr>
              <w:spacing w:before="40" w:after="60"/>
              <w:jc w:val="center"/>
              <w:rPr>
                <w:rFonts w:ascii="Arial" w:hAnsi="Arial" w:cs="Arial"/>
                <w:color w:val="0F243E" w:themeColor="text2" w:themeShade="80"/>
                <w:sz w:val="20"/>
                <w:szCs w:val="20"/>
              </w:rPr>
            </w:pPr>
            <w:r w:rsidRPr="00864E86">
              <w:rPr>
                <w:rFonts w:ascii="Arial" w:hAnsi="Arial" w:cs="Arial"/>
                <w:color w:val="0F243E" w:themeColor="text2" w:themeShade="80"/>
                <w:sz w:val="20"/>
                <w:szCs w:val="20"/>
              </w:rPr>
              <w:t>Variación %</w:t>
            </w:r>
          </w:p>
        </w:tc>
        <w:tc>
          <w:tcPr>
            <w:tcW w:w="0" w:type="auto"/>
            <w:shd w:val="clear" w:color="auto" w:fill="DBE5F1" w:themeFill="accent1" w:themeFillTint="33"/>
            <w:vAlign w:val="center"/>
            <w:hideMark/>
          </w:tcPr>
          <w:p w14:paraId="25C07C25" w14:textId="5BFF1873" w:rsidR="00864E86" w:rsidRPr="00864E86" w:rsidRDefault="00864E86" w:rsidP="009C554B">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864E86">
              <w:rPr>
                <w:rFonts w:ascii="Arial" w:hAnsi="Arial" w:cs="Arial"/>
                <w:b/>
                <w:bCs/>
                <w:color w:val="0F243E" w:themeColor="text2" w:themeShade="80"/>
                <w:sz w:val="20"/>
                <w:szCs w:val="20"/>
              </w:rPr>
              <w:t>52%</w:t>
            </w:r>
            <w:r>
              <w:rPr>
                <w:rFonts w:ascii="Arial" w:hAnsi="Arial" w:cs="Arial"/>
                <w:b/>
                <w:bCs/>
                <w:color w:val="0F243E" w:themeColor="text2" w:themeShade="80"/>
                <w:sz w:val="20"/>
                <w:szCs w:val="20"/>
              </w:rPr>
              <w:t>)</w:t>
            </w:r>
          </w:p>
        </w:tc>
        <w:tc>
          <w:tcPr>
            <w:tcW w:w="2990" w:type="dxa"/>
            <w:shd w:val="clear" w:color="auto" w:fill="DBE5F1" w:themeFill="accent1" w:themeFillTint="33"/>
            <w:vAlign w:val="center"/>
            <w:hideMark/>
          </w:tcPr>
          <w:p w14:paraId="646759E7" w14:textId="440B00F1" w:rsidR="00864E86" w:rsidRPr="00864E86" w:rsidRDefault="00864E86" w:rsidP="009C554B">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F243E" w:themeColor="text2" w:themeShade="80"/>
                <w:sz w:val="20"/>
                <w:szCs w:val="20"/>
              </w:rPr>
              <w:t>(</w:t>
            </w:r>
            <w:r w:rsidRPr="00864E86">
              <w:rPr>
                <w:rFonts w:ascii="Arial" w:hAnsi="Arial" w:cs="Arial"/>
                <w:b/>
                <w:bCs/>
                <w:color w:val="0F243E" w:themeColor="text2" w:themeShade="80"/>
                <w:sz w:val="20"/>
                <w:szCs w:val="20"/>
              </w:rPr>
              <w:t>42%</w:t>
            </w:r>
            <w:r>
              <w:rPr>
                <w:rFonts w:ascii="Arial" w:hAnsi="Arial" w:cs="Arial"/>
                <w:b/>
                <w:bCs/>
                <w:color w:val="0F243E" w:themeColor="text2" w:themeShade="80"/>
                <w:sz w:val="20"/>
                <w:szCs w:val="20"/>
              </w:rPr>
              <w:t>)</w:t>
            </w:r>
          </w:p>
        </w:tc>
      </w:tr>
    </w:tbl>
    <w:p w14:paraId="46FB3C24" w14:textId="75AD41AC" w:rsidR="00864E86" w:rsidRDefault="00864E86" w:rsidP="00A538A3">
      <w:pPr>
        <w:jc w:val="both"/>
        <w:rPr>
          <w:rFonts w:ascii="Arial" w:hAnsi="Arial" w:cs="Arial"/>
          <w:color w:val="000000"/>
          <w:sz w:val="22"/>
          <w:szCs w:val="22"/>
          <w:highlight w:val="yellow"/>
        </w:rPr>
      </w:pPr>
    </w:p>
    <w:p w14:paraId="794F12C2" w14:textId="54798CEA" w:rsidR="00DD001D" w:rsidRPr="00DD001D" w:rsidRDefault="00DD001D" w:rsidP="00DD001D">
      <w:pPr>
        <w:jc w:val="both"/>
        <w:rPr>
          <w:rFonts w:ascii="Arial" w:hAnsi="Arial" w:cs="Arial"/>
          <w:b/>
          <w:bCs/>
          <w:color w:val="000000"/>
          <w:sz w:val="20"/>
          <w:szCs w:val="20"/>
        </w:rPr>
      </w:pPr>
      <w:r w:rsidRPr="00DD001D">
        <w:rPr>
          <w:rFonts w:ascii="Arial" w:hAnsi="Arial" w:cs="Arial"/>
          <w:color w:val="000000"/>
          <w:sz w:val="22"/>
          <w:szCs w:val="22"/>
        </w:rPr>
        <w:t xml:space="preserve">En términos globales, el gasto de servicio de acueducto </w:t>
      </w:r>
      <w:r>
        <w:rPr>
          <w:rFonts w:ascii="Arial" w:hAnsi="Arial" w:cs="Arial"/>
          <w:color w:val="000000"/>
          <w:sz w:val="22"/>
          <w:szCs w:val="22"/>
        </w:rPr>
        <w:t xml:space="preserve">para el tercer trimestre de 2020 comparado con el mismo periodo de 2019 presentó una </w:t>
      </w:r>
      <w:r w:rsidRPr="00DD001D">
        <w:rPr>
          <w:rFonts w:ascii="Arial" w:hAnsi="Arial" w:cs="Arial"/>
          <w:b/>
          <w:bCs/>
          <w:color w:val="000000"/>
          <w:sz w:val="22"/>
          <w:szCs w:val="22"/>
        </w:rPr>
        <w:t>disminución</w:t>
      </w:r>
      <w:r w:rsidRPr="00DD001D">
        <w:rPr>
          <w:rFonts w:ascii="Arial" w:hAnsi="Arial" w:cs="Arial"/>
          <w:color w:val="000000"/>
          <w:sz w:val="22"/>
          <w:szCs w:val="22"/>
        </w:rPr>
        <w:t xml:space="preserve"> </w:t>
      </w:r>
      <w:r>
        <w:rPr>
          <w:rFonts w:ascii="Arial" w:hAnsi="Arial" w:cs="Arial"/>
          <w:color w:val="000000"/>
          <w:sz w:val="22"/>
          <w:szCs w:val="22"/>
        </w:rPr>
        <w:t xml:space="preserve">de </w:t>
      </w:r>
      <w:r w:rsidRPr="00DD001D">
        <w:rPr>
          <w:rFonts w:ascii="Arial" w:hAnsi="Arial" w:cs="Arial"/>
          <w:color w:val="000000"/>
          <w:sz w:val="22"/>
          <w:szCs w:val="22"/>
        </w:rPr>
        <w:t>$7.443.340</w:t>
      </w:r>
      <w:r>
        <w:rPr>
          <w:rFonts w:ascii="Arial" w:hAnsi="Arial" w:cs="Arial"/>
          <w:color w:val="000000"/>
          <w:sz w:val="22"/>
          <w:szCs w:val="22"/>
        </w:rPr>
        <w:t xml:space="preserve"> equivalente al 49%. </w:t>
      </w:r>
    </w:p>
    <w:p w14:paraId="24A94838" w14:textId="77777777" w:rsidR="009C554B" w:rsidRDefault="009C554B" w:rsidP="00A538A3">
      <w:pPr>
        <w:jc w:val="both"/>
        <w:rPr>
          <w:rFonts w:ascii="Arial" w:hAnsi="Arial" w:cs="Arial"/>
          <w:color w:val="000000"/>
          <w:sz w:val="22"/>
          <w:szCs w:val="22"/>
        </w:rPr>
      </w:pPr>
    </w:p>
    <w:p w14:paraId="1BF50DC3" w14:textId="2D4AABB0" w:rsidR="00DD001D" w:rsidRDefault="00B33AF7" w:rsidP="00A538A3">
      <w:pPr>
        <w:jc w:val="both"/>
        <w:rPr>
          <w:rFonts w:ascii="Arial" w:hAnsi="Arial" w:cs="Arial"/>
          <w:color w:val="000000"/>
          <w:sz w:val="22"/>
          <w:szCs w:val="22"/>
        </w:rPr>
      </w:pPr>
      <w:r w:rsidRPr="00B33AF7">
        <w:rPr>
          <w:rFonts w:ascii="Arial" w:hAnsi="Arial" w:cs="Arial"/>
          <w:color w:val="000000"/>
          <w:sz w:val="22"/>
          <w:szCs w:val="22"/>
        </w:rPr>
        <w:t>De otra parte, se comparó el consumo en metros cúbicos [m</w:t>
      </w:r>
      <w:r w:rsidRPr="00B33AF7">
        <w:rPr>
          <w:rFonts w:ascii="Arial" w:hAnsi="Arial" w:cs="Arial"/>
          <w:color w:val="000000"/>
          <w:sz w:val="22"/>
          <w:szCs w:val="22"/>
          <w:vertAlign w:val="superscript"/>
        </w:rPr>
        <w:t>3</w:t>
      </w:r>
      <w:r w:rsidRPr="00B33AF7">
        <w:rPr>
          <w:rFonts w:ascii="Arial" w:hAnsi="Arial" w:cs="Arial"/>
          <w:color w:val="000000"/>
          <w:sz w:val="22"/>
          <w:szCs w:val="22"/>
        </w:rPr>
        <w:t>] de agua potable para l</w:t>
      </w:r>
      <w:r w:rsidR="00811066">
        <w:rPr>
          <w:rFonts w:ascii="Arial" w:hAnsi="Arial" w:cs="Arial"/>
          <w:color w:val="000000"/>
          <w:sz w:val="22"/>
          <w:szCs w:val="22"/>
        </w:rPr>
        <w:t>as sedes Edificio San Agustín y Casas de Santa Bárbara</w:t>
      </w:r>
      <w:r w:rsidRPr="00B33AF7">
        <w:rPr>
          <w:rFonts w:ascii="Arial" w:hAnsi="Arial" w:cs="Arial"/>
          <w:color w:val="000000"/>
          <w:sz w:val="22"/>
          <w:szCs w:val="22"/>
        </w:rPr>
        <w:t>, teniendo en cuenta los periodos facturados por l</w:t>
      </w:r>
      <w:r w:rsidR="00811066">
        <w:rPr>
          <w:rFonts w:ascii="Arial" w:hAnsi="Arial" w:cs="Arial"/>
          <w:color w:val="000000"/>
          <w:sz w:val="22"/>
          <w:szCs w:val="22"/>
        </w:rPr>
        <w:t>a</w:t>
      </w:r>
      <w:r w:rsidRPr="00B33AF7">
        <w:rPr>
          <w:rFonts w:ascii="Arial" w:hAnsi="Arial" w:cs="Arial"/>
          <w:color w:val="000000"/>
          <w:sz w:val="22"/>
          <w:szCs w:val="22"/>
        </w:rPr>
        <w:t xml:space="preserve"> empresa prestadora del servicio</w:t>
      </w:r>
      <w:r w:rsidR="00000737">
        <w:rPr>
          <w:rFonts w:ascii="Arial" w:hAnsi="Arial" w:cs="Arial"/>
          <w:color w:val="000000"/>
          <w:sz w:val="22"/>
          <w:szCs w:val="22"/>
        </w:rPr>
        <w:t xml:space="preserve"> en el tercer trimestre de 2020 y 2019. Como resultado se obtuvo que, las variaciones </w:t>
      </w:r>
      <w:r w:rsidR="0007661C">
        <w:rPr>
          <w:rFonts w:ascii="Arial" w:hAnsi="Arial" w:cs="Arial"/>
          <w:color w:val="000000"/>
          <w:sz w:val="22"/>
          <w:szCs w:val="22"/>
        </w:rPr>
        <w:t>del c</w:t>
      </w:r>
      <w:r w:rsidR="00000737">
        <w:rPr>
          <w:rFonts w:ascii="Arial" w:hAnsi="Arial" w:cs="Arial"/>
          <w:color w:val="000000"/>
          <w:sz w:val="22"/>
          <w:szCs w:val="22"/>
        </w:rPr>
        <w:t xml:space="preserve">onsumo en </w:t>
      </w:r>
      <w:r w:rsidR="00000737" w:rsidRPr="00B33AF7">
        <w:rPr>
          <w:rFonts w:ascii="Arial" w:hAnsi="Arial" w:cs="Arial"/>
          <w:color w:val="000000"/>
          <w:sz w:val="22"/>
          <w:szCs w:val="22"/>
        </w:rPr>
        <w:t>m</w:t>
      </w:r>
      <w:r w:rsidR="00C06602" w:rsidRPr="00B33AF7">
        <w:rPr>
          <w:rFonts w:ascii="Arial" w:hAnsi="Arial" w:cs="Arial"/>
          <w:color w:val="000000"/>
          <w:sz w:val="22"/>
          <w:szCs w:val="22"/>
          <w:vertAlign w:val="superscript"/>
        </w:rPr>
        <w:t>3</w:t>
      </w:r>
      <w:r w:rsidR="00C06602">
        <w:rPr>
          <w:rFonts w:ascii="Arial" w:hAnsi="Arial" w:cs="Arial"/>
          <w:color w:val="000000"/>
          <w:sz w:val="22"/>
          <w:szCs w:val="22"/>
          <w:vertAlign w:val="superscript"/>
        </w:rPr>
        <w:t xml:space="preserve"> </w:t>
      </w:r>
      <w:r w:rsidR="00C06602" w:rsidRPr="00C06602">
        <w:rPr>
          <w:rFonts w:ascii="Arial" w:hAnsi="Arial" w:cs="Arial"/>
          <w:color w:val="000000"/>
          <w:sz w:val="22"/>
          <w:szCs w:val="22"/>
        </w:rPr>
        <w:t>y e</w:t>
      </w:r>
      <w:r w:rsidR="00811066">
        <w:rPr>
          <w:rFonts w:ascii="Arial" w:hAnsi="Arial" w:cs="Arial"/>
          <w:color w:val="000000"/>
          <w:sz w:val="22"/>
          <w:szCs w:val="22"/>
        </w:rPr>
        <w:t>l</w:t>
      </w:r>
      <w:r w:rsidR="00C06602">
        <w:rPr>
          <w:rFonts w:ascii="Arial" w:hAnsi="Arial" w:cs="Arial"/>
          <w:color w:val="000000"/>
          <w:sz w:val="22"/>
          <w:szCs w:val="22"/>
        </w:rPr>
        <w:t xml:space="preserve"> valor de los gastos fueron iguales</w:t>
      </w:r>
      <w:r w:rsidR="0007661C">
        <w:rPr>
          <w:rFonts w:ascii="Arial" w:hAnsi="Arial" w:cs="Arial"/>
          <w:color w:val="000000"/>
          <w:sz w:val="22"/>
          <w:szCs w:val="22"/>
        </w:rPr>
        <w:t xml:space="preserve"> para las dos sedes analizadas. </w:t>
      </w:r>
      <w:r w:rsidR="00811066">
        <w:rPr>
          <w:rFonts w:ascii="Arial" w:hAnsi="Arial" w:cs="Arial"/>
          <w:color w:val="000000"/>
          <w:sz w:val="22"/>
          <w:szCs w:val="22"/>
        </w:rPr>
        <w:t xml:space="preserve">En cuanto a la variación total en metros cúbicos para las dos sedes del Ministerio de Hacienda y Crédito Público, se observó un </w:t>
      </w:r>
      <w:r w:rsidR="00811066" w:rsidRPr="00811066">
        <w:rPr>
          <w:rFonts w:ascii="Arial" w:hAnsi="Arial" w:cs="Arial"/>
          <w:b/>
          <w:bCs/>
          <w:color w:val="000000"/>
          <w:sz w:val="22"/>
          <w:szCs w:val="22"/>
        </w:rPr>
        <w:t xml:space="preserve">ahorro </w:t>
      </w:r>
      <w:r w:rsidR="00811066">
        <w:rPr>
          <w:rFonts w:ascii="Arial" w:hAnsi="Arial" w:cs="Arial"/>
          <w:color w:val="000000"/>
          <w:sz w:val="22"/>
          <w:szCs w:val="22"/>
        </w:rPr>
        <w:t xml:space="preserve">de 2.062 </w:t>
      </w:r>
      <w:r w:rsidR="00811066" w:rsidRPr="00B33AF7">
        <w:rPr>
          <w:rFonts w:ascii="Arial" w:hAnsi="Arial" w:cs="Arial"/>
          <w:color w:val="000000"/>
          <w:sz w:val="22"/>
          <w:szCs w:val="22"/>
        </w:rPr>
        <w:t>m</w:t>
      </w:r>
      <w:r w:rsidR="00811066" w:rsidRPr="00B33AF7">
        <w:rPr>
          <w:rFonts w:ascii="Arial" w:hAnsi="Arial" w:cs="Arial"/>
          <w:color w:val="000000"/>
          <w:sz w:val="22"/>
          <w:szCs w:val="22"/>
          <w:vertAlign w:val="superscript"/>
        </w:rPr>
        <w:t>3</w:t>
      </w:r>
      <w:r w:rsidR="00811066">
        <w:rPr>
          <w:rFonts w:ascii="Arial" w:hAnsi="Arial" w:cs="Arial"/>
          <w:color w:val="000000"/>
          <w:sz w:val="22"/>
          <w:szCs w:val="22"/>
        </w:rPr>
        <w:t xml:space="preserve"> correspondiente a un 50%. </w:t>
      </w:r>
    </w:p>
    <w:p w14:paraId="29870334" w14:textId="46B309C0" w:rsidR="00000737" w:rsidRPr="00B33AF7" w:rsidRDefault="00062EDB" w:rsidP="00A538A3">
      <w:pPr>
        <w:jc w:val="both"/>
        <w:rPr>
          <w:rFonts w:ascii="Arial" w:hAnsi="Arial" w:cs="Arial"/>
          <w:color w:val="000000"/>
          <w:sz w:val="22"/>
          <w:szCs w:val="22"/>
        </w:rPr>
      </w:pPr>
      <w:r>
        <w:rPr>
          <w:noProof/>
          <w:lang w:val="en-US" w:eastAsia="en-US"/>
        </w:rPr>
        <w:lastRenderedPageBreak/>
        <w:drawing>
          <wp:inline distT="0" distB="0" distL="0" distR="0" wp14:anchorId="5D89D394" wp14:editId="36EECED7">
            <wp:extent cx="6305550" cy="2914650"/>
            <wp:effectExtent l="0" t="0" r="0" b="0"/>
            <wp:docPr id="11" name="Gráfico 11">
              <a:extLst xmlns:a="http://schemas.openxmlformats.org/drawingml/2006/main">
                <a:ext uri="{FF2B5EF4-FFF2-40B4-BE49-F238E27FC236}">
                  <a16:creationId xmlns:a16="http://schemas.microsoft.com/office/drawing/2014/main" id="{B7A2B330-BC1A-49A3-ACC7-527145D8A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A9E9CF" w14:textId="77777777" w:rsidR="00EB1C76" w:rsidRDefault="00EB1C76" w:rsidP="00CD4F8F">
      <w:pPr>
        <w:jc w:val="both"/>
        <w:rPr>
          <w:rFonts w:ascii="Arial" w:hAnsi="Arial" w:cs="Arial"/>
          <w:color w:val="000000"/>
          <w:sz w:val="22"/>
          <w:szCs w:val="22"/>
        </w:rPr>
      </w:pPr>
    </w:p>
    <w:p w14:paraId="7C4B2791" w14:textId="077B9281" w:rsidR="00CD4F8F" w:rsidRPr="00DD001D" w:rsidRDefault="00CD4F8F" w:rsidP="00CD4F8F">
      <w:pPr>
        <w:jc w:val="both"/>
        <w:rPr>
          <w:rFonts w:ascii="Arial" w:hAnsi="Arial" w:cs="Arial"/>
          <w:sz w:val="22"/>
          <w:szCs w:val="22"/>
          <w:lang w:eastAsia="en-US"/>
        </w:rPr>
      </w:pPr>
      <w:r w:rsidRPr="00DD001D">
        <w:rPr>
          <w:rFonts w:ascii="Arial" w:hAnsi="Arial" w:cs="Arial"/>
          <w:color w:val="000000"/>
          <w:sz w:val="22"/>
          <w:szCs w:val="22"/>
        </w:rPr>
        <w:t xml:space="preserve">Frente a los resultados antes mencionados, se deduce que fueron originados por la medida implementada por esta entidad </w:t>
      </w:r>
      <w:r w:rsidRPr="00DD001D">
        <w:rPr>
          <w:rFonts w:ascii="Arial" w:hAnsi="Arial" w:cs="Arial"/>
          <w:sz w:val="22"/>
          <w:szCs w:val="22"/>
          <w:lang w:eastAsia="en-US"/>
        </w:rPr>
        <w:t xml:space="preserve">en virtud de la Emergencia Económica, Social y Ecológica derivado del COVID-19, en el cual aproximadamente el 80% de los servidores públicos estuvieron en la modalidad de trabajo en casa, es decir, no asistieron a las instalaciones de este Ministerio, generando un menor consumo de agua, en consecuencia, el valor del gasto se redujo durante el </w:t>
      </w:r>
      <w:r w:rsidR="00923DA9" w:rsidRPr="00DD001D">
        <w:rPr>
          <w:rFonts w:ascii="Arial" w:hAnsi="Arial" w:cs="Arial"/>
          <w:sz w:val="22"/>
          <w:szCs w:val="22"/>
          <w:lang w:eastAsia="en-US"/>
        </w:rPr>
        <w:t xml:space="preserve">tercer </w:t>
      </w:r>
      <w:r w:rsidRPr="00DD001D">
        <w:rPr>
          <w:rFonts w:ascii="Arial" w:hAnsi="Arial" w:cs="Arial"/>
          <w:sz w:val="22"/>
          <w:szCs w:val="22"/>
          <w:lang w:eastAsia="en-US"/>
        </w:rPr>
        <w:t>trimestre de 2020</w:t>
      </w:r>
      <w:r w:rsidR="00837130" w:rsidRPr="00DD001D">
        <w:rPr>
          <w:rFonts w:ascii="Arial" w:hAnsi="Arial" w:cs="Arial"/>
          <w:sz w:val="22"/>
          <w:szCs w:val="22"/>
          <w:lang w:eastAsia="en-US"/>
        </w:rPr>
        <w:t xml:space="preserve">. </w:t>
      </w:r>
    </w:p>
    <w:p w14:paraId="463290F7" w14:textId="1CF01CA3" w:rsidR="00CD4F8F" w:rsidRPr="00CA48AF" w:rsidRDefault="00CD4F8F" w:rsidP="00782478">
      <w:pPr>
        <w:spacing w:line="168" w:lineRule="auto"/>
        <w:jc w:val="both"/>
        <w:rPr>
          <w:rFonts w:ascii="Arial" w:hAnsi="Arial" w:cs="Arial"/>
          <w:color w:val="000000"/>
          <w:sz w:val="22"/>
          <w:szCs w:val="22"/>
          <w:highlight w:val="yellow"/>
        </w:rPr>
      </w:pPr>
    </w:p>
    <w:p w14:paraId="421BB29E" w14:textId="05B2F795" w:rsidR="002151E9" w:rsidRDefault="007854A2" w:rsidP="0044262C">
      <w:pPr>
        <w:jc w:val="both"/>
        <w:rPr>
          <w:rFonts w:ascii="Arial" w:hAnsi="Arial" w:cs="Arial"/>
          <w:color w:val="000000"/>
          <w:sz w:val="22"/>
          <w:szCs w:val="22"/>
        </w:rPr>
      </w:pPr>
      <w:r w:rsidRPr="003B0442">
        <w:rPr>
          <w:rFonts w:ascii="Arial" w:hAnsi="Arial" w:cs="Arial"/>
          <w:color w:val="000000"/>
          <w:sz w:val="22"/>
          <w:szCs w:val="22"/>
        </w:rPr>
        <w:t xml:space="preserve">Referente </w:t>
      </w:r>
      <w:r w:rsidR="002151E9" w:rsidRPr="003B0442">
        <w:rPr>
          <w:rFonts w:ascii="Arial" w:hAnsi="Arial" w:cs="Arial"/>
          <w:color w:val="000000"/>
          <w:sz w:val="22"/>
          <w:szCs w:val="22"/>
        </w:rPr>
        <w:t xml:space="preserve">al gasto del servicio de aseo durante </w:t>
      </w:r>
      <w:r w:rsidR="00DC06F0" w:rsidRPr="003B0442">
        <w:rPr>
          <w:rFonts w:ascii="Arial" w:hAnsi="Arial" w:cs="Arial"/>
          <w:color w:val="000000"/>
          <w:sz w:val="22"/>
          <w:szCs w:val="22"/>
        </w:rPr>
        <w:t xml:space="preserve">lo corrido de la </w:t>
      </w:r>
      <w:r w:rsidR="00502012" w:rsidRPr="003B0442">
        <w:rPr>
          <w:rFonts w:ascii="Arial" w:hAnsi="Arial" w:cs="Arial"/>
          <w:color w:val="000000"/>
          <w:sz w:val="22"/>
          <w:szCs w:val="22"/>
        </w:rPr>
        <w:t>vigencia 2020,</w:t>
      </w:r>
      <w:r w:rsidR="002151E9" w:rsidRPr="003B0442">
        <w:rPr>
          <w:rFonts w:ascii="Arial" w:hAnsi="Arial" w:cs="Arial"/>
          <w:color w:val="000000"/>
          <w:sz w:val="22"/>
          <w:szCs w:val="22"/>
        </w:rPr>
        <w:t xml:space="preserve"> presentó un</w:t>
      </w:r>
      <w:r w:rsidR="009D2792" w:rsidRPr="003B0442">
        <w:rPr>
          <w:rFonts w:ascii="Arial" w:hAnsi="Arial" w:cs="Arial"/>
          <w:color w:val="000000"/>
          <w:sz w:val="22"/>
          <w:szCs w:val="22"/>
        </w:rPr>
        <w:t xml:space="preserve"> comportamiento relativamente estable para las dos sedes de este Ministerio, con un leve crecimiento en el mes de junio para la sede Edificio de San Agustín,</w:t>
      </w:r>
      <w:r w:rsidR="003B0442">
        <w:rPr>
          <w:rFonts w:ascii="Arial" w:hAnsi="Arial" w:cs="Arial"/>
          <w:color w:val="000000"/>
          <w:sz w:val="22"/>
          <w:szCs w:val="22"/>
        </w:rPr>
        <w:t xml:space="preserve"> tal y como se evidencia en la siguiente gráfica</w:t>
      </w:r>
      <w:r w:rsidR="009D2792" w:rsidRPr="003B0442">
        <w:rPr>
          <w:rFonts w:ascii="Arial" w:hAnsi="Arial" w:cs="Arial"/>
          <w:color w:val="000000"/>
          <w:sz w:val="22"/>
          <w:szCs w:val="22"/>
        </w:rPr>
        <w:t xml:space="preserve">: </w:t>
      </w:r>
    </w:p>
    <w:p w14:paraId="3DD0D2DD" w14:textId="77777777" w:rsidR="001C07BC" w:rsidRPr="003B0442" w:rsidRDefault="001C07BC" w:rsidP="0044262C">
      <w:pPr>
        <w:jc w:val="both"/>
        <w:rPr>
          <w:rFonts w:ascii="Arial" w:hAnsi="Arial" w:cs="Arial"/>
          <w:color w:val="000000"/>
          <w:sz w:val="22"/>
          <w:szCs w:val="22"/>
        </w:rPr>
      </w:pPr>
    </w:p>
    <w:p w14:paraId="008B7788" w14:textId="3C0CDFBC" w:rsidR="009D2792" w:rsidRPr="00CA48AF" w:rsidRDefault="001C07BC" w:rsidP="0044262C">
      <w:pPr>
        <w:jc w:val="both"/>
        <w:rPr>
          <w:rFonts w:ascii="Arial" w:hAnsi="Arial" w:cs="Arial"/>
          <w:color w:val="000000"/>
          <w:sz w:val="22"/>
          <w:szCs w:val="22"/>
          <w:highlight w:val="yellow"/>
        </w:rPr>
      </w:pPr>
      <w:r>
        <w:rPr>
          <w:noProof/>
          <w:lang w:val="en-US" w:eastAsia="en-US"/>
        </w:rPr>
        <w:drawing>
          <wp:inline distT="0" distB="0" distL="0" distR="0" wp14:anchorId="54F011FA" wp14:editId="46480B20">
            <wp:extent cx="6120765" cy="3141895"/>
            <wp:effectExtent l="0" t="0" r="0" b="1905"/>
            <wp:docPr id="12" name="Gráfico 12">
              <a:extLst xmlns:a="http://schemas.openxmlformats.org/drawingml/2006/main">
                <a:ext uri="{FF2B5EF4-FFF2-40B4-BE49-F238E27FC236}">
                  <a16:creationId xmlns:a16="http://schemas.microsoft.com/office/drawing/2014/main" id="{E1861C43-59A5-4B42-8C67-275A261590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C3FC226" w14:textId="77777777" w:rsidR="007854A2" w:rsidRPr="00CA48AF" w:rsidRDefault="007854A2" w:rsidP="0044262C">
      <w:pPr>
        <w:jc w:val="both"/>
        <w:rPr>
          <w:rFonts w:ascii="Arial" w:hAnsi="Arial" w:cs="Arial"/>
          <w:color w:val="000000"/>
          <w:sz w:val="22"/>
          <w:szCs w:val="22"/>
          <w:highlight w:val="yellow"/>
        </w:rPr>
      </w:pPr>
    </w:p>
    <w:p w14:paraId="033B20C3" w14:textId="31B4E028" w:rsidR="008B3BDA" w:rsidRPr="00295E6A" w:rsidRDefault="008B3BDA" w:rsidP="00782478">
      <w:pPr>
        <w:jc w:val="both"/>
        <w:rPr>
          <w:rFonts w:ascii="Arial" w:hAnsi="Arial" w:cs="Arial"/>
          <w:color w:val="000000"/>
          <w:sz w:val="22"/>
          <w:szCs w:val="22"/>
        </w:rPr>
      </w:pPr>
      <w:r w:rsidRPr="00295E6A">
        <w:rPr>
          <w:rFonts w:ascii="Arial" w:hAnsi="Arial" w:cs="Arial"/>
          <w:color w:val="000000"/>
          <w:sz w:val="22"/>
          <w:szCs w:val="22"/>
        </w:rPr>
        <w:lastRenderedPageBreak/>
        <w:t>Al comparar</w:t>
      </w:r>
      <w:r w:rsidR="00EB1C76">
        <w:rPr>
          <w:rFonts w:ascii="Arial" w:hAnsi="Arial" w:cs="Arial"/>
          <w:color w:val="000000"/>
          <w:sz w:val="22"/>
          <w:szCs w:val="22"/>
        </w:rPr>
        <w:t>,</w:t>
      </w:r>
      <w:r w:rsidRPr="00295E6A">
        <w:rPr>
          <w:rFonts w:ascii="Arial" w:hAnsi="Arial" w:cs="Arial"/>
          <w:color w:val="000000"/>
          <w:sz w:val="22"/>
          <w:szCs w:val="22"/>
        </w:rPr>
        <w:t xml:space="preserve"> el gasto del </w:t>
      </w:r>
      <w:r w:rsidR="00295E6A">
        <w:rPr>
          <w:rFonts w:ascii="Arial" w:hAnsi="Arial" w:cs="Arial"/>
          <w:color w:val="000000"/>
          <w:sz w:val="22"/>
          <w:szCs w:val="22"/>
        </w:rPr>
        <w:t xml:space="preserve">tercer </w:t>
      </w:r>
      <w:r w:rsidRPr="00295E6A">
        <w:rPr>
          <w:rFonts w:ascii="Arial" w:hAnsi="Arial" w:cs="Arial"/>
          <w:color w:val="000000"/>
          <w:sz w:val="22"/>
          <w:szCs w:val="22"/>
        </w:rPr>
        <w:t>trimestre de 2020 con el mismo periodo de la vigencia 2019</w:t>
      </w:r>
      <w:r w:rsidR="00EB1C76">
        <w:rPr>
          <w:rFonts w:ascii="Arial" w:hAnsi="Arial" w:cs="Arial"/>
          <w:color w:val="000000"/>
          <w:sz w:val="22"/>
          <w:szCs w:val="22"/>
        </w:rPr>
        <w:t xml:space="preserve"> </w:t>
      </w:r>
      <w:r w:rsidRPr="00295E6A">
        <w:rPr>
          <w:rFonts w:ascii="Arial" w:hAnsi="Arial" w:cs="Arial"/>
          <w:color w:val="000000"/>
          <w:sz w:val="22"/>
          <w:szCs w:val="22"/>
        </w:rPr>
        <w:t>para las dos sedes: Edificio San Agustín y Casas de Santa Bárbara se observ</w:t>
      </w:r>
      <w:r w:rsidR="00502012" w:rsidRPr="00295E6A">
        <w:rPr>
          <w:rFonts w:ascii="Arial" w:hAnsi="Arial" w:cs="Arial"/>
          <w:color w:val="000000"/>
          <w:sz w:val="22"/>
          <w:szCs w:val="22"/>
        </w:rPr>
        <w:t>aron</w:t>
      </w:r>
      <w:r w:rsidRPr="00295E6A">
        <w:rPr>
          <w:rFonts w:ascii="Arial" w:hAnsi="Arial" w:cs="Arial"/>
          <w:color w:val="000000"/>
          <w:sz w:val="22"/>
          <w:szCs w:val="22"/>
        </w:rPr>
        <w:t xml:space="preserve"> </w:t>
      </w:r>
      <w:r w:rsidRPr="00295E6A">
        <w:rPr>
          <w:rFonts w:ascii="Arial" w:hAnsi="Arial" w:cs="Arial"/>
          <w:bCs/>
          <w:color w:val="000000"/>
          <w:sz w:val="22"/>
          <w:szCs w:val="22"/>
        </w:rPr>
        <w:t xml:space="preserve">variaciones </w:t>
      </w:r>
      <w:r w:rsidR="00295E6A">
        <w:rPr>
          <w:rFonts w:ascii="Arial" w:hAnsi="Arial" w:cs="Arial"/>
          <w:bCs/>
          <w:color w:val="000000"/>
          <w:sz w:val="22"/>
          <w:szCs w:val="22"/>
        </w:rPr>
        <w:t xml:space="preserve">negativas </w:t>
      </w:r>
      <w:r w:rsidR="00295E6A" w:rsidRPr="00295E6A">
        <w:rPr>
          <w:rFonts w:ascii="Arial" w:hAnsi="Arial" w:cs="Arial"/>
          <w:color w:val="000000"/>
          <w:sz w:val="22"/>
          <w:szCs w:val="22"/>
        </w:rPr>
        <w:t>correspondientes</w:t>
      </w:r>
      <w:r w:rsidRPr="00295E6A">
        <w:rPr>
          <w:rFonts w:ascii="Arial" w:hAnsi="Arial" w:cs="Arial"/>
          <w:color w:val="000000"/>
          <w:sz w:val="22"/>
          <w:szCs w:val="22"/>
        </w:rPr>
        <w:t xml:space="preserve"> </w:t>
      </w:r>
      <w:r w:rsidR="00C94502" w:rsidRPr="00295E6A">
        <w:rPr>
          <w:rFonts w:ascii="Arial" w:hAnsi="Arial" w:cs="Arial"/>
          <w:color w:val="000000"/>
          <w:sz w:val="22"/>
          <w:szCs w:val="22"/>
        </w:rPr>
        <w:t xml:space="preserve">a </w:t>
      </w:r>
      <w:r w:rsidR="00295E6A">
        <w:rPr>
          <w:rFonts w:ascii="Arial" w:hAnsi="Arial" w:cs="Arial"/>
          <w:color w:val="000000"/>
          <w:sz w:val="22"/>
          <w:szCs w:val="22"/>
        </w:rPr>
        <w:t xml:space="preserve">una </w:t>
      </w:r>
      <w:r w:rsidR="00295E6A" w:rsidRPr="00295E6A">
        <w:rPr>
          <w:rFonts w:ascii="Arial" w:hAnsi="Arial" w:cs="Arial"/>
          <w:b/>
          <w:bCs/>
          <w:color w:val="000000"/>
          <w:sz w:val="22"/>
          <w:szCs w:val="22"/>
        </w:rPr>
        <w:t>reducción</w:t>
      </w:r>
      <w:r w:rsidR="00295E6A">
        <w:rPr>
          <w:rFonts w:ascii="Arial" w:hAnsi="Arial" w:cs="Arial"/>
          <w:color w:val="000000"/>
          <w:sz w:val="22"/>
          <w:szCs w:val="22"/>
        </w:rPr>
        <w:t xml:space="preserve"> en el gasto de aseo del 29% para cada una de las sedes mencionadas. </w:t>
      </w:r>
    </w:p>
    <w:p w14:paraId="07D9C0DF" w14:textId="77777777" w:rsidR="008B3BDA" w:rsidRPr="00CA48AF" w:rsidRDefault="008B3BDA" w:rsidP="00782478">
      <w:pPr>
        <w:jc w:val="both"/>
        <w:rPr>
          <w:rFonts w:ascii="Arial" w:hAnsi="Arial" w:cs="Arial"/>
          <w:color w:val="000000"/>
          <w:sz w:val="22"/>
          <w:szCs w:val="22"/>
          <w:highlight w:val="yellow"/>
        </w:rPr>
      </w:pPr>
    </w:p>
    <w:p w14:paraId="6B619DC7" w14:textId="6C2C89EE" w:rsidR="00024F48" w:rsidRPr="00295E6A" w:rsidRDefault="005F0A40" w:rsidP="00502C52">
      <w:pPr>
        <w:jc w:val="both"/>
        <w:rPr>
          <w:rFonts w:ascii="Arial" w:hAnsi="Arial" w:cs="Arial"/>
          <w:sz w:val="22"/>
          <w:szCs w:val="22"/>
          <w:lang w:eastAsia="en-US"/>
        </w:rPr>
      </w:pPr>
      <w:r w:rsidRPr="00295E6A">
        <w:rPr>
          <w:rFonts w:ascii="Arial" w:hAnsi="Arial" w:cs="Arial"/>
          <w:sz w:val="22"/>
          <w:szCs w:val="22"/>
          <w:lang w:eastAsia="en-US"/>
        </w:rPr>
        <w:t xml:space="preserve">En términos </w:t>
      </w:r>
      <w:r w:rsidR="00502C52" w:rsidRPr="00295E6A">
        <w:rPr>
          <w:rFonts w:ascii="Arial" w:hAnsi="Arial" w:cs="Arial"/>
          <w:sz w:val="22"/>
          <w:szCs w:val="22"/>
          <w:lang w:eastAsia="en-US"/>
        </w:rPr>
        <w:t xml:space="preserve">globales, el gasto por servicio </w:t>
      </w:r>
      <w:r w:rsidR="00502012" w:rsidRPr="00295E6A">
        <w:rPr>
          <w:rFonts w:ascii="Arial" w:hAnsi="Arial" w:cs="Arial"/>
          <w:sz w:val="22"/>
          <w:szCs w:val="22"/>
          <w:lang w:eastAsia="en-US"/>
        </w:rPr>
        <w:t xml:space="preserve">aseo </w:t>
      </w:r>
      <w:r w:rsidR="00502C52" w:rsidRPr="00295E6A">
        <w:rPr>
          <w:rFonts w:ascii="Arial" w:hAnsi="Arial" w:cs="Arial"/>
          <w:sz w:val="22"/>
          <w:szCs w:val="22"/>
          <w:lang w:eastAsia="en-US"/>
        </w:rPr>
        <w:t>para las dos sedes de este Ministerio</w:t>
      </w:r>
      <w:r w:rsidR="004A423A" w:rsidRPr="00295E6A">
        <w:rPr>
          <w:rFonts w:ascii="Arial" w:hAnsi="Arial" w:cs="Arial"/>
          <w:sz w:val="22"/>
          <w:szCs w:val="22"/>
          <w:lang w:eastAsia="en-US"/>
        </w:rPr>
        <w:t xml:space="preserve"> [ Edificio San Agustín y Casas de Santa Bárbara]</w:t>
      </w:r>
      <w:r w:rsidR="00D82B91">
        <w:rPr>
          <w:rFonts w:ascii="Arial" w:hAnsi="Arial" w:cs="Arial"/>
          <w:sz w:val="22"/>
          <w:szCs w:val="22"/>
          <w:lang w:eastAsia="en-US"/>
        </w:rPr>
        <w:t xml:space="preserve"> </w:t>
      </w:r>
      <w:r w:rsidR="00502012" w:rsidRPr="00295E6A">
        <w:rPr>
          <w:rFonts w:ascii="Arial" w:hAnsi="Arial" w:cs="Arial"/>
          <w:sz w:val="22"/>
          <w:szCs w:val="22"/>
          <w:lang w:eastAsia="en-US"/>
        </w:rPr>
        <w:t>durante el</w:t>
      </w:r>
      <w:r w:rsidR="00031AD9" w:rsidRPr="00295E6A">
        <w:rPr>
          <w:rFonts w:ascii="Arial" w:hAnsi="Arial" w:cs="Arial"/>
          <w:sz w:val="22"/>
          <w:szCs w:val="22"/>
          <w:lang w:eastAsia="en-US"/>
        </w:rPr>
        <w:t xml:space="preserve"> </w:t>
      </w:r>
      <w:r w:rsidR="00295E6A" w:rsidRPr="00295E6A">
        <w:rPr>
          <w:rFonts w:ascii="Arial" w:hAnsi="Arial" w:cs="Arial"/>
          <w:sz w:val="22"/>
          <w:szCs w:val="22"/>
          <w:lang w:eastAsia="en-US"/>
        </w:rPr>
        <w:t xml:space="preserve">tercer </w:t>
      </w:r>
      <w:r w:rsidR="00031AD9" w:rsidRPr="00295E6A">
        <w:rPr>
          <w:rFonts w:ascii="Arial" w:hAnsi="Arial" w:cs="Arial"/>
          <w:sz w:val="22"/>
          <w:szCs w:val="22"/>
          <w:lang w:eastAsia="en-US"/>
        </w:rPr>
        <w:t xml:space="preserve">trimestre de 2020 comparada con el mismo periodo </w:t>
      </w:r>
      <w:r w:rsidR="00295E6A">
        <w:rPr>
          <w:rFonts w:ascii="Arial" w:hAnsi="Arial" w:cs="Arial"/>
          <w:sz w:val="22"/>
          <w:szCs w:val="22"/>
          <w:lang w:eastAsia="en-US"/>
        </w:rPr>
        <w:t xml:space="preserve">de la vigencia 2019, </w:t>
      </w:r>
      <w:r w:rsidR="00502C52" w:rsidRPr="00295E6A">
        <w:rPr>
          <w:rFonts w:ascii="Arial" w:hAnsi="Arial" w:cs="Arial"/>
          <w:sz w:val="22"/>
          <w:szCs w:val="22"/>
          <w:lang w:eastAsia="en-US"/>
        </w:rPr>
        <w:t>present</w:t>
      </w:r>
      <w:r w:rsidR="00295E6A" w:rsidRPr="00295E6A">
        <w:rPr>
          <w:rFonts w:ascii="Arial" w:hAnsi="Arial" w:cs="Arial"/>
          <w:sz w:val="22"/>
          <w:szCs w:val="22"/>
          <w:lang w:eastAsia="en-US"/>
        </w:rPr>
        <w:t xml:space="preserve">ó una </w:t>
      </w:r>
      <w:r w:rsidR="00716033" w:rsidRPr="00295E6A">
        <w:rPr>
          <w:rFonts w:ascii="Arial" w:hAnsi="Arial" w:cs="Arial"/>
          <w:b/>
          <w:sz w:val="22"/>
          <w:szCs w:val="22"/>
          <w:lang w:eastAsia="en-US"/>
        </w:rPr>
        <w:t>disminuci</w:t>
      </w:r>
      <w:r w:rsidR="00295E6A" w:rsidRPr="00295E6A">
        <w:rPr>
          <w:rFonts w:ascii="Arial" w:hAnsi="Arial" w:cs="Arial"/>
          <w:b/>
          <w:sz w:val="22"/>
          <w:szCs w:val="22"/>
          <w:lang w:eastAsia="en-US"/>
        </w:rPr>
        <w:t>ón</w:t>
      </w:r>
      <w:r w:rsidR="00716033" w:rsidRPr="00295E6A">
        <w:rPr>
          <w:rFonts w:ascii="Arial" w:hAnsi="Arial" w:cs="Arial"/>
          <w:sz w:val="22"/>
          <w:szCs w:val="22"/>
          <w:lang w:eastAsia="en-US"/>
        </w:rPr>
        <w:t xml:space="preserve"> en </w:t>
      </w:r>
      <w:r w:rsidR="00502012" w:rsidRPr="00295E6A">
        <w:rPr>
          <w:rFonts w:ascii="Arial" w:hAnsi="Arial" w:cs="Arial"/>
          <w:sz w:val="22"/>
          <w:szCs w:val="22"/>
          <w:lang w:eastAsia="en-US"/>
        </w:rPr>
        <w:t xml:space="preserve">el </w:t>
      </w:r>
      <w:r w:rsidR="00716033" w:rsidRPr="00295E6A">
        <w:rPr>
          <w:rFonts w:ascii="Arial" w:hAnsi="Arial" w:cs="Arial"/>
          <w:sz w:val="22"/>
          <w:szCs w:val="22"/>
          <w:lang w:eastAsia="en-US"/>
        </w:rPr>
        <w:t xml:space="preserve">gasto </w:t>
      </w:r>
      <w:r w:rsidR="00295E6A" w:rsidRPr="00295E6A">
        <w:rPr>
          <w:rFonts w:ascii="Arial" w:hAnsi="Arial" w:cs="Arial"/>
          <w:sz w:val="22"/>
          <w:szCs w:val="22"/>
          <w:lang w:eastAsia="en-US"/>
        </w:rPr>
        <w:t>de</w:t>
      </w:r>
      <w:r w:rsidR="00295E6A">
        <w:rPr>
          <w:rFonts w:ascii="Arial" w:hAnsi="Arial" w:cs="Arial"/>
          <w:sz w:val="22"/>
          <w:szCs w:val="22"/>
          <w:lang w:eastAsia="en-US"/>
        </w:rPr>
        <w:t xml:space="preserve"> $ 1.451.539 equivalente al 29%. </w:t>
      </w:r>
      <w:r w:rsidR="00295E6A" w:rsidRPr="00295E6A">
        <w:rPr>
          <w:rFonts w:ascii="Arial" w:hAnsi="Arial" w:cs="Arial"/>
          <w:sz w:val="22"/>
          <w:szCs w:val="22"/>
          <w:lang w:eastAsia="en-US"/>
        </w:rPr>
        <w:t xml:space="preserve"> </w:t>
      </w:r>
    </w:p>
    <w:p w14:paraId="355DC71B" w14:textId="77777777" w:rsidR="00024F48" w:rsidRPr="00CA48AF" w:rsidRDefault="00024F48" w:rsidP="00502C52">
      <w:pPr>
        <w:jc w:val="both"/>
        <w:rPr>
          <w:rFonts w:ascii="Arial" w:hAnsi="Arial" w:cs="Arial"/>
          <w:sz w:val="22"/>
          <w:szCs w:val="22"/>
          <w:highlight w:val="yellow"/>
          <w:lang w:eastAsia="en-US"/>
        </w:rPr>
      </w:pPr>
    </w:p>
    <w:tbl>
      <w:tblPr>
        <w:tblStyle w:val="Tabladecuadrcula1clara-nfasis1"/>
        <w:tblW w:w="5240" w:type="dxa"/>
        <w:jc w:val="center"/>
        <w:tblLook w:val="04A0" w:firstRow="1" w:lastRow="0" w:firstColumn="1" w:lastColumn="0" w:noHBand="0" w:noVBand="1"/>
      </w:tblPr>
      <w:tblGrid>
        <w:gridCol w:w="709"/>
        <w:gridCol w:w="2457"/>
        <w:gridCol w:w="2074"/>
      </w:tblGrid>
      <w:tr w:rsidR="00295E6A" w:rsidRPr="00295E6A" w14:paraId="65D89912" w14:textId="77777777" w:rsidTr="00295E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4F81BD" w:themeFill="accent1"/>
            <w:noWrap/>
            <w:textDirection w:val="btLr"/>
            <w:vAlign w:val="center"/>
            <w:hideMark/>
          </w:tcPr>
          <w:p w14:paraId="358F9F7F" w14:textId="2D07CF40" w:rsidR="00295E6A" w:rsidRPr="00295E6A" w:rsidRDefault="00295E6A" w:rsidP="001D2B36">
            <w:pPr>
              <w:spacing w:before="60" w:after="60"/>
              <w:jc w:val="center"/>
              <w:rPr>
                <w:rFonts w:ascii="Arial" w:hAnsi="Arial" w:cs="Arial"/>
                <w:color w:val="000000"/>
                <w:sz w:val="20"/>
                <w:szCs w:val="20"/>
              </w:rPr>
            </w:pPr>
            <w:r>
              <w:rPr>
                <w:rFonts w:ascii="Arial" w:hAnsi="Arial" w:cs="Arial"/>
                <w:color w:val="FFFFFF" w:themeColor="background1"/>
                <w:sz w:val="20"/>
                <w:szCs w:val="20"/>
              </w:rPr>
              <w:t>I</w:t>
            </w:r>
            <w:r w:rsidRPr="00295E6A">
              <w:rPr>
                <w:rFonts w:ascii="Arial" w:hAnsi="Arial" w:cs="Arial"/>
                <w:color w:val="FFFFFF" w:themeColor="background1"/>
                <w:sz w:val="20"/>
                <w:szCs w:val="20"/>
              </w:rPr>
              <w:t xml:space="preserve">II Trimestre </w:t>
            </w:r>
          </w:p>
        </w:tc>
        <w:tc>
          <w:tcPr>
            <w:tcW w:w="4531" w:type="dxa"/>
            <w:gridSpan w:val="2"/>
            <w:shd w:val="clear" w:color="auto" w:fill="4F81BD" w:themeFill="accent1"/>
            <w:vAlign w:val="center"/>
            <w:hideMark/>
          </w:tcPr>
          <w:p w14:paraId="61E6946A" w14:textId="58ABAD55" w:rsidR="00295E6A" w:rsidRPr="00295E6A" w:rsidRDefault="00295E6A" w:rsidP="001D2B36">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95E6A">
              <w:rPr>
                <w:rFonts w:ascii="Arial" w:hAnsi="Arial" w:cs="Arial"/>
                <w:color w:val="FFFFFF" w:themeColor="background1"/>
                <w:sz w:val="20"/>
                <w:szCs w:val="20"/>
              </w:rPr>
              <w:t>Valor Facturado por Aseo MHCP ($)</w:t>
            </w:r>
          </w:p>
        </w:tc>
      </w:tr>
      <w:tr w:rsidR="00295E6A" w:rsidRPr="00295E6A" w14:paraId="752FCDAD" w14:textId="77777777" w:rsidTr="00295E6A">
        <w:trPr>
          <w:trHeight w:val="571"/>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4F81BD" w:themeFill="accent1"/>
            <w:vAlign w:val="center"/>
            <w:hideMark/>
          </w:tcPr>
          <w:p w14:paraId="4E5C6286" w14:textId="77777777" w:rsidR="00295E6A" w:rsidRPr="00295E6A" w:rsidRDefault="00295E6A" w:rsidP="001D2B36">
            <w:pPr>
              <w:spacing w:before="60" w:after="60"/>
              <w:rPr>
                <w:rFonts w:ascii="Arial" w:hAnsi="Arial" w:cs="Arial"/>
                <w:b w:val="0"/>
                <w:bCs w:val="0"/>
                <w:color w:val="000000"/>
                <w:sz w:val="20"/>
                <w:szCs w:val="20"/>
              </w:rPr>
            </w:pPr>
          </w:p>
        </w:tc>
        <w:tc>
          <w:tcPr>
            <w:tcW w:w="2457" w:type="dxa"/>
            <w:shd w:val="clear" w:color="auto" w:fill="DBE5F1" w:themeFill="accent1" w:themeFillTint="33"/>
            <w:vAlign w:val="center"/>
            <w:hideMark/>
          </w:tcPr>
          <w:p w14:paraId="493C93E8" w14:textId="77777777" w:rsidR="00295E6A" w:rsidRPr="00295E6A" w:rsidRDefault="00295E6A"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95E6A">
              <w:rPr>
                <w:rFonts w:ascii="Arial" w:hAnsi="Arial" w:cs="Arial"/>
                <w:b/>
                <w:bCs/>
                <w:color w:val="0F243E" w:themeColor="text2" w:themeShade="80"/>
                <w:sz w:val="20"/>
                <w:szCs w:val="20"/>
              </w:rPr>
              <w:t>Periodo</w:t>
            </w:r>
          </w:p>
        </w:tc>
        <w:tc>
          <w:tcPr>
            <w:tcW w:w="2074" w:type="dxa"/>
            <w:shd w:val="clear" w:color="auto" w:fill="DBE5F1" w:themeFill="accent1" w:themeFillTint="33"/>
            <w:vAlign w:val="center"/>
            <w:hideMark/>
          </w:tcPr>
          <w:p w14:paraId="34031455" w14:textId="77777777" w:rsidR="00295E6A" w:rsidRPr="00295E6A" w:rsidRDefault="00295E6A" w:rsidP="001D2B36">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95E6A">
              <w:rPr>
                <w:rFonts w:ascii="Arial" w:hAnsi="Arial" w:cs="Arial"/>
                <w:b/>
                <w:bCs/>
                <w:color w:val="0F243E" w:themeColor="text2" w:themeShade="80"/>
                <w:sz w:val="20"/>
                <w:szCs w:val="20"/>
              </w:rPr>
              <w:t xml:space="preserve">Valor ($) </w:t>
            </w:r>
          </w:p>
        </w:tc>
      </w:tr>
      <w:tr w:rsidR="00295E6A" w:rsidRPr="00295E6A" w14:paraId="3DBE8841" w14:textId="77777777" w:rsidTr="00295E6A">
        <w:trPr>
          <w:trHeight w:val="514"/>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4F81BD" w:themeFill="accent1"/>
            <w:vAlign w:val="center"/>
            <w:hideMark/>
          </w:tcPr>
          <w:p w14:paraId="2AD72604" w14:textId="77777777" w:rsidR="00295E6A" w:rsidRPr="00295E6A" w:rsidRDefault="00295E6A" w:rsidP="00295E6A">
            <w:pPr>
              <w:spacing w:before="60" w:after="60"/>
              <w:rPr>
                <w:rFonts w:ascii="Arial" w:hAnsi="Arial" w:cs="Arial"/>
                <w:b w:val="0"/>
                <w:bCs w:val="0"/>
                <w:color w:val="000000"/>
                <w:sz w:val="20"/>
                <w:szCs w:val="20"/>
              </w:rPr>
            </w:pPr>
          </w:p>
        </w:tc>
        <w:tc>
          <w:tcPr>
            <w:tcW w:w="2457" w:type="dxa"/>
            <w:noWrap/>
            <w:vAlign w:val="center"/>
            <w:hideMark/>
          </w:tcPr>
          <w:p w14:paraId="1ADA3083" w14:textId="77777777" w:rsidR="00295E6A" w:rsidRPr="00295E6A" w:rsidRDefault="00295E6A" w:rsidP="00295E6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95E6A">
              <w:rPr>
                <w:rFonts w:ascii="Arial" w:hAnsi="Arial" w:cs="Arial"/>
                <w:color w:val="0F243E" w:themeColor="text2" w:themeShade="80"/>
                <w:sz w:val="20"/>
                <w:szCs w:val="20"/>
              </w:rPr>
              <w:t>2020</w:t>
            </w:r>
          </w:p>
        </w:tc>
        <w:tc>
          <w:tcPr>
            <w:tcW w:w="2074" w:type="dxa"/>
            <w:noWrap/>
            <w:vAlign w:val="center"/>
          </w:tcPr>
          <w:p w14:paraId="3F83C8E3" w14:textId="6B091B0B" w:rsidR="00295E6A" w:rsidRPr="00295E6A" w:rsidRDefault="00295E6A" w:rsidP="00295E6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00000"/>
                <w:sz w:val="20"/>
                <w:szCs w:val="20"/>
              </w:rPr>
              <w:t>3.515.108</w:t>
            </w:r>
          </w:p>
        </w:tc>
      </w:tr>
      <w:tr w:rsidR="00295E6A" w:rsidRPr="00295E6A" w14:paraId="20BC6260" w14:textId="77777777" w:rsidTr="00295E6A">
        <w:trPr>
          <w:trHeight w:val="407"/>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4F81BD" w:themeFill="accent1"/>
            <w:vAlign w:val="center"/>
            <w:hideMark/>
          </w:tcPr>
          <w:p w14:paraId="62C65EC8" w14:textId="77777777" w:rsidR="00295E6A" w:rsidRPr="00295E6A" w:rsidRDefault="00295E6A" w:rsidP="00295E6A">
            <w:pPr>
              <w:spacing w:before="60" w:after="60"/>
              <w:rPr>
                <w:rFonts w:ascii="Arial" w:hAnsi="Arial" w:cs="Arial"/>
                <w:b w:val="0"/>
                <w:bCs w:val="0"/>
                <w:color w:val="000000"/>
                <w:sz w:val="20"/>
                <w:szCs w:val="20"/>
              </w:rPr>
            </w:pPr>
          </w:p>
        </w:tc>
        <w:tc>
          <w:tcPr>
            <w:tcW w:w="2457" w:type="dxa"/>
            <w:noWrap/>
            <w:vAlign w:val="center"/>
            <w:hideMark/>
          </w:tcPr>
          <w:p w14:paraId="6F2F09E0" w14:textId="77777777" w:rsidR="00295E6A" w:rsidRPr="00295E6A" w:rsidRDefault="00295E6A" w:rsidP="00295E6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95E6A">
              <w:rPr>
                <w:rFonts w:ascii="Arial" w:hAnsi="Arial" w:cs="Arial"/>
                <w:color w:val="0F243E" w:themeColor="text2" w:themeShade="80"/>
                <w:sz w:val="20"/>
                <w:szCs w:val="20"/>
              </w:rPr>
              <w:t>2019</w:t>
            </w:r>
          </w:p>
        </w:tc>
        <w:tc>
          <w:tcPr>
            <w:tcW w:w="2074" w:type="dxa"/>
            <w:noWrap/>
            <w:vAlign w:val="center"/>
          </w:tcPr>
          <w:p w14:paraId="7A9AD3CD" w14:textId="575F6B62" w:rsidR="00295E6A" w:rsidRPr="00295E6A" w:rsidRDefault="00295E6A" w:rsidP="00295E6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Pr>
                <w:rFonts w:ascii="Arial" w:hAnsi="Arial" w:cs="Arial"/>
                <w:color w:val="000000"/>
                <w:sz w:val="20"/>
                <w:szCs w:val="20"/>
              </w:rPr>
              <w:t>4.966.647</w:t>
            </w:r>
          </w:p>
        </w:tc>
      </w:tr>
      <w:tr w:rsidR="00295E6A" w:rsidRPr="00295E6A" w14:paraId="1386E9E7" w14:textId="77777777" w:rsidTr="00295E6A">
        <w:trPr>
          <w:trHeight w:val="413"/>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4F81BD" w:themeFill="accent1"/>
            <w:vAlign w:val="center"/>
            <w:hideMark/>
          </w:tcPr>
          <w:p w14:paraId="0828A7F4" w14:textId="77777777" w:rsidR="00295E6A" w:rsidRPr="00295E6A" w:rsidRDefault="00295E6A" w:rsidP="00295E6A">
            <w:pPr>
              <w:spacing w:before="60" w:after="60"/>
              <w:rPr>
                <w:rFonts w:ascii="Arial" w:hAnsi="Arial" w:cs="Arial"/>
                <w:b w:val="0"/>
                <w:bCs w:val="0"/>
                <w:color w:val="000000"/>
                <w:sz w:val="20"/>
                <w:szCs w:val="20"/>
              </w:rPr>
            </w:pPr>
          </w:p>
        </w:tc>
        <w:tc>
          <w:tcPr>
            <w:tcW w:w="2457" w:type="dxa"/>
            <w:shd w:val="clear" w:color="auto" w:fill="DBE5F1" w:themeFill="accent1" w:themeFillTint="33"/>
            <w:noWrap/>
            <w:vAlign w:val="center"/>
            <w:hideMark/>
          </w:tcPr>
          <w:p w14:paraId="1ABFE484" w14:textId="77777777" w:rsidR="00295E6A" w:rsidRPr="00295E6A" w:rsidRDefault="00295E6A" w:rsidP="00295E6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95E6A">
              <w:rPr>
                <w:rFonts w:ascii="Arial" w:hAnsi="Arial" w:cs="Arial"/>
                <w:b/>
                <w:bCs/>
                <w:color w:val="0F243E" w:themeColor="text2" w:themeShade="80"/>
                <w:sz w:val="20"/>
                <w:szCs w:val="20"/>
              </w:rPr>
              <w:t>Variación en $</w:t>
            </w:r>
          </w:p>
        </w:tc>
        <w:tc>
          <w:tcPr>
            <w:tcW w:w="2074" w:type="dxa"/>
            <w:shd w:val="clear" w:color="auto" w:fill="DBE5F1" w:themeFill="accent1" w:themeFillTint="33"/>
            <w:noWrap/>
            <w:vAlign w:val="center"/>
          </w:tcPr>
          <w:p w14:paraId="4EAE65DF" w14:textId="6D9524D8" w:rsidR="00295E6A" w:rsidRPr="00295E6A" w:rsidRDefault="00295E6A" w:rsidP="00295E6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00000"/>
                <w:sz w:val="20"/>
                <w:szCs w:val="20"/>
              </w:rPr>
              <w:t>(1.451.539)</w:t>
            </w:r>
          </w:p>
        </w:tc>
      </w:tr>
      <w:tr w:rsidR="00295E6A" w:rsidRPr="00CA48AF" w14:paraId="64089F83" w14:textId="77777777" w:rsidTr="00295E6A">
        <w:trPr>
          <w:trHeight w:val="419"/>
          <w:jc w:val="center"/>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4F81BD" w:themeFill="accent1"/>
            <w:vAlign w:val="center"/>
            <w:hideMark/>
          </w:tcPr>
          <w:p w14:paraId="62FE8CA3" w14:textId="77777777" w:rsidR="00295E6A" w:rsidRPr="00295E6A" w:rsidRDefault="00295E6A" w:rsidP="00295E6A">
            <w:pPr>
              <w:spacing w:before="60" w:after="60"/>
              <w:rPr>
                <w:rFonts w:ascii="Arial" w:hAnsi="Arial" w:cs="Arial"/>
                <w:b w:val="0"/>
                <w:bCs w:val="0"/>
                <w:color w:val="000000"/>
                <w:sz w:val="20"/>
                <w:szCs w:val="20"/>
              </w:rPr>
            </w:pPr>
          </w:p>
        </w:tc>
        <w:tc>
          <w:tcPr>
            <w:tcW w:w="2457" w:type="dxa"/>
            <w:shd w:val="clear" w:color="auto" w:fill="DBE5F1" w:themeFill="accent1" w:themeFillTint="33"/>
            <w:noWrap/>
            <w:vAlign w:val="center"/>
            <w:hideMark/>
          </w:tcPr>
          <w:p w14:paraId="5A663051" w14:textId="77777777" w:rsidR="00295E6A" w:rsidRPr="00295E6A" w:rsidRDefault="00295E6A" w:rsidP="00295E6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95E6A">
              <w:rPr>
                <w:rFonts w:ascii="Arial" w:hAnsi="Arial" w:cs="Arial"/>
                <w:b/>
                <w:bCs/>
                <w:color w:val="0F243E" w:themeColor="text2" w:themeShade="80"/>
                <w:sz w:val="20"/>
                <w:szCs w:val="20"/>
              </w:rPr>
              <w:t xml:space="preserve">Variación en % </w:t>
            </w:r>
          </w:p>
        </w:tc>
        <w:tc>
          <w:tcPr>
            <w:tcW w:w="2074" w:type="dxa"/>
            <w:shd w:val="clear" w:color="auto" w:fill="DBE5F1" w:themeFill="accent1" w:themeFillTint="33"/>
            <w:noWrap/>
            <w:vAlign w:val="center"/>
          </w:tcPr>
          <w:p w14:paraId="1D586ADF" w14:textId="58112C8D" w:rsidR="00295E6A" w:rsidRPr="00295E6A" w:rsidRDefault="00295E6A" w:rsidP="00295E6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Pr>
                <w:rFonts w:ascii="Arial" w:hAnsi="Arial" w:cs="Arial"/>
                <w:b/>
                <w:bCs/>
                <w:color w:val="000000"/>
                <w:sz w:val="20"/>
                <w:szCs w:val="20"/>
              </w:rPr>
              <w:t>(29%)</w:t>
            </w:r>
          </w:p>
        </w:tc>
      </w:tr>
    </w:tbl>
    <w:p w14:paraId="5BDC561E" w14:textId="790CD545" w:rsidR="005F0A40" w:rsidRPr="00CA48AF" w:rsidRDefault="005F0A40" w:rsidP="005C0D5C">
      <w:pPr>
        <w:ind w:left="142" w:hanging="142"/>
        <w:rPr>
          <w:highlight w:val="yellow"/>
          <w:lang w:eastAsia="en-US"/>
        </w:rPr>
      </w:pPr>
    </w:p>
    <w:p w14:paraId="283BE0A9" w14:textId="53D581AD" w:rsidR="00E01EE3" w:rsidRPr="00752044" w:rsidRDefault="00A9626D" w:rsidP="005C0D5C">
      <w:pPr>
        <w:jc w:val="both"/>
        <w:rPr>
          <w:rFonts w:ascii="Arial" w:eastAsiaTheme="minorHAnsi" w:hAnsi="Arial" w:cs="Arial"/>
          <w:color w:val="000000"/>
          <w:sz w:val="22"/>
          <w:szCs w:val="22"/>
          <w:lang w:eastAsia="en-US"/>
        </w:rPr>
      </w:pPr>
      <w:r w:rsidRPr="00752044">
        <w:rPr>
          <w:rFonts w:ascii="Arial" w:eastAsiaTheme="minorHAnsi" w:hAnsi="Arial" w:cs="Arial"/>
          <w:color w:val="000000"/>
          <w:sz w:val="22"/>
          <w:szCs w:val="22"/>
          <w:lang w:eastAsia="en-US"/>
        </w:rPr>
        <w:t>Finalmente, f</w:t>
      </w:r>
      <w:r w:rsidR="00461578" w:rsidRPr="00752044">
        <w:rPr>
          <w:rFonts w:ascii="Arial" w:eastAsiaTheme="minorHAnsi" w:hAnsi="Arial" w:cs="Arial"/>
          <w:color w:val="000000"/>
          <w:sz w:val="22"/>
          <w:szCs w:val="22"/>
          <w:lang w:eastAsia="en-US"/>
        </w:rPr>
        <w:t>rente a</w:t>
      </w:r>
      <w:r w:rsidR="00502C52" w:rsidRPr="00752044">
        <w:rPr>
          <w:rFonts w:ascii="Arial" w:eastAsiaTheme="minorHAnsi" w:hAnsi="Arial" w:cs="Arial"/>
          <w:color w:val="000000"/>
          <w:sz w:val="22"/>
          <w:szCs w:val="22"/>
          <w:lang w:eastAsia="en-US"/>
        </w:rPr>
        <w:t xml:space="preserve"> las variaciones de servicio de acueducto</w:t>
      </w:r>
      <w:r w:rsidRPr="00752044">
        <w:rPr>
          <w:rFonts w:ascii="Arial" w:eastAsiaTheme="minorHAnsi" w:hAnsi="Arial" w:cs="Arial"/>
          <w:color w:val="000000"/>
          <w:sz w:val="22"/>
          <w:szCs w:val="22"/>
          <w:lang w:eastAsia="en-US"/>
        </w:rPr>
        <w:t xml:space="preserve"> </w:t>
      </w:r>
      <w:r w:rsidR="00F107E2" w:rsidRPr="00752044">
        <w:rPr>
          <w:rFonts w:ascii="Arial" w:eastAsiaTheme="minorHAnsi" w:hAnsi="Arial" w:cs="Arial"/>
          <w:color w:val="000000"/>
          <w:sz w:val="22"/>
          <w:szCs w:val="22"/>
          <w:lang w:eastAsia="en-US"/>
        </w:rPr>
        <w:t xml:space="preserve">si bien se observó reducciones en el gasto, lo anterior, </w:t>
      </w:r>
      <w:r w:rsidR="00E01EE3" w:rsidRPr="00752044">
        <w:rPr>
          <w:rFonts w:ascii="Arial" w:eastAsiaTheme="minorHAnsi" w:hAnsi="Arial" w:cs="Arial"/>
          <w:color w:val="000000"/>
          <w:sz w:val="22"/>
          <w:szCs w:val="22"/>
          <w:lang w:eastAsia="en-US"/>
        </w:rPr>
        <w:t xml:space="preserve">se </w:t>
      </w:r>
      <w:r w:rsidR="00F107E2" w:rsidRPr="00752044">
        <w:rPr>
          <w:rFonts w:ascii="Arial" w:eastAsiaTheme="minorHAnsi" w:hAnsi="Arial" w:cs="Arial"/>
          <w:color w:val="000000"/>
          <w:sz w:val="22"/>
          <w:szCs w:val="22"/>
          <w:lang w:eastAsia="en-US"/>
        </w:rPr>
        <w:t xml:space="preserve">concluye que fueron originadas por las </w:t>
      </w:r>
      <w:r w:rsidR="00461578" w:rsidRPr="00752044">
        <w:rPr>
          <w:rFonts w:ascii="Arial" w:eastAsiaTheme="minorHAnsi" w:hAnsi="Arial" w:cs="Arial"/>
          <w:color w:val="000000"/>
          <w:sz w:val="22"/>
          <w:szCs w:val="22"/>
          <w:lang w:eastAsia="en-US"/>
        </w:rPr>
        <w:t>medida</w:t>
      </w:r>
      <w:r w:rsidR="00E01EE3" w:rsidRPr="00752044">
        <w:rPr>
          <w:rFonts w:ascii="Arial" w:eastAsiaTheme="minorHAnsi" w:hAnsi="Arial" w:cs="Arial"/>
          <w:color w:val="000000"/>
          <w:sz w:val="22"/>
          <w:szCs w:val="22"/>
          <w:lang w:eastAsia="en-US"/>
        </w:rPr>
        <w:t xml:space="preserve">s adoptadas por este </w:t>
      </w:r>
      <w:r w:rsidR="00087440" w:rsidRPr="00752044">
        <w:rPr>
          <w:rFonts w:ascii="Arial" w:eastAsiaTheme="minorHAnsi" w:hAnsi="Arial" w:cs="Arial"/>
          <w:color w:val="000000"/>
          <w:sz w:val="22"/>
          <w:szCs w:val="22"/>
          <w:lang w:eastAsia="en-US"/>
        </w:rPr>
        <w:t xml:space="preserve">Ministerio </w:t>
      </w:r>
      <w:r w:rsidR="00461578" w:rsidRPr="00752044">
        <w:rPr>
          <w:rFonts w:ascii="Arial" w:eastAsiaTheme="minorHAnsi" w:hAnsi="Arial" w:cs="Arial"/>
          <w:color w:val="000000"/>
          <w:sz w:val="22"/>
          <w:szCs w:val="22"/>
          <w:lang w:eastAsia="en-US"/>
        </w:rPr>
        <w:t xml:space="preserve">en virtud de la Emergencia Económica, Social y Ecológica derivado del COVID-19, </w:t>
      </w:r>
      <w:r w:rsidR="00F107E2" w:rsidRPr="00752044">
        <w:rPr>
          <w:rFonts w:ascii="Arial" w:eastAsiaTheme="minorHAnsi" w:hAnsi="Arial" w:cs="Arial"/>
          <w:color w:val="000000"/>
          <w:sz w:val="22"/>
          <w:szCs w:val="22"/>
          <w:lang w:eastAsia="en-US"/>
        </w:rPr>
        <w:t xml:space="preserve">entre las cuales </w:t>
      </w:r>
      <w:r w:rsidR="00E01EE3" w:rsidRPr="00752044">
        <w:rPr>
          <w:rFonts w:ascii="Arial" w:eastAsiaTheme="minorHAnsi" w:hAnsi="Arial" w:cs="Arial"/>
          <w:color w:val="000000"/>
          <w:sz w:val="22"/>
          <w:szCs w:val="22"/>
          <w:lang w:eastAsia="en-US"/>
        </w:rPr>
        <w:t>implement</w:t>
      </w:r>
      <w:r w:rsidR="00A408E8" w:rsidRPr="00752044">
        <w:rPr>
          <w:rFonts w:ascii="Arial" w:eastAsiaTheme="minorHAnsi" w:hAnsi="Arial" w:cs="Arial"/>
          <w:color w:val="000000"/>
          <w:sz w:val="22"/>
          <w:szCs w:val="22"/>
          <w:lang w:eastAsia="en-US"/>
        </w:rPr>
        <w:t>ó</w:t>
      </w:r>
      <w:r w:rsidR="00E01EE3" w:rsidRPr="00752044">
        <w:rPr>
          <w:rFonts w:ascii="Arial" w:eastAsiaTheme="minorHAnsi" w:hAnsi="Arial" w:cs="Arial"/>
          <w:color w:val="000000"/>
          <w:sz w:val="22"/>
          <w:szCs w:val="22"/>
          <w:lang w:eastAsia="en-US"/>
        </w:rPr>
        <w:t xml:space="preserve"> </w:t>
      </w:r>
      <w:r w:rsidR="00F107E2" w:rsidRPr="00752044">
        <w:rPr>
          <w:rFonts w:ascii="Arial" w:eastAsiaTheme="minorHAnsi" w:hAnsi="Arial" w:cs="Arial"/>
          <w:color w:val="000000"/>
          <w:sz w:val="22"/>
          <w:szCs w:val="22"/>
          <w:lang w:eastAsia="en-US"/>
        </w:rPr>
        <w:t>la modalidad de</w:t>
      </w:r>
      <w:r w:rsidR="00E01EE3" w:rsidRPr="00752044">
        <w:rPr>
          <w:rFonts w:ascii="Arial" w:eastAsiaTheme="minorHAnsi" w:hAnsi="Arial" w:cs="Arial"/>
          <w:color w:val="000000"/>
          <w:sz w:val="22"/>
          <w:szCs w:val="22"/>
          <w:lang w:eastAsia="en-US"/>
        </w:rPr>
        <w:t xml:space="preserve"> trabajo en casa </w:t>
      </w:r>
      <w:r w:rsidR="00F107E2" w:rsidRPr="00752044">
        <w:rPr>
          <w:rFonts w:ascii="Arial" w:eastAsiaTheme="minorHAnsi" w:hAnsi="Arial" w:cs="Arial"/>
          <w:color w:val="000000"/>
          <w:sz w:val="22"/>
          <w:szCs w:val="22"/>
          <w:lang w:eastAsia="en-US"/>
        </w:rPr>
        <w:t>a partir del 20 de marzo de 2020</w:t>
      </w:r>
      <w:r w:rsidR="00A408E8" w:rsidRPr="00752044">
        <w:rPr>
          <w:rFonts w:ascii="Arial" w:eastAsiaTheme="minorHAnsi" w:hAnsi="Arial" w:cs="Arial"/>
          <w:color w:val="000000"/>
          <w:sz w:val="22"/>
          <w:szCs w:val="22"/>
          <w:lang w:eastAsia="en-US"/>
        </w:rPr>
        <w:t xml:space="preserve"> permaneciendo dicha modalidad durante el </w:t>
      </w:r>
      <w:r w:rsidR="00911EAC" w:rsidRPr="00752044">
        <w:rPr>
          <w:rFonts w:ascii="Arial" w:eastAsiaTheme="minorHAnsi" w:hAnsi="Arial" w:cs="Arial"/>
          <w:color w:val="000000"/>
          <w:sz w:val="22"/>
          <w:szCs w:val="22"/>
          <w:lang w:eastAsia="en-US"/>
        </w:rPr>
        <w:t>tercer trimestre</w:t>
      </w:r>
      <w:r w:rsidR="00A408E8" w:rsidRPr="00752044">
        <w:rPr>
          <w:rFonts w:ascii="Arial" w:eastAsiaTheme="minorHAnsi" w:hAnsi="Arial" w:cs="Arial"/>
          <w:color w:val="000000"/>
          <w:sz w:val="22"/>
          <w:szCs w:val="22"/>
          <w:lang w:eastAsia="en-US"/>
        </w:rPr>
        <w:t xml:space="preserve"> de 2020</w:t>
      </w:r>
      <w:r w:rsidR="00FE0525" w:rsidRPr="00752044">
        <w:rPr>
          <w:rFonts w:ascii="Arial" w:eastAsiaTheme="minorHAnsi" w:hAnsi="Arial" w:cs="Arial"/>
          <w:color w:val="000000"/>
          <w:sz w:val="22"/>
          <w:szCs w:val="22"/>
          <w:lang w:eastAsia="en-US"/>
        </w:rPr>
        <w:t xml:space="preserve"> para aproximadamente el 80% del personal vinculado con el Ministerio de Hacienda y Crédito Público. </w:t>
      </w:r>
    </w:p>
    <w:p w14:paraId="0D69CF75" w14:textId="7B664F96" w:rsidR="00E01EE3" w:rsidRPr="00752044" w:rsidRDefault="00E01EE3" w:rsidP="005C0D5C">
      <w:pPr>
        <w:jc w:val="both"/>
        <w:rPr>
          <w:rFonts w:ascii="Arial" w:eastAsiaTheme="minorHAnsi" w:hAnsi="Arial" w:cs="Arial"/>
          <w:color w:val="000000"/>
          <w:sz w:val="22"/>
          <w:szCs w:val="22"/>
          <w:lang w:eastAsia="en-US"/>
        </w:rPr>
      </w:pPr>
    </w:p>
    <w:p w14:paraId="2BE7E227" w14:textId="6B1FBC56" w:rsidR="00911EAC" w:rsidRPr="00752044" w:rsidRDefault="00087440" w:rsidP="005C0D5C">
      <w:pPr>
        <w:jc w:val="both"/>
        <w:rPr>
          <w:rFonts w:ascii="Arial" w:eastAsiaTheme="minorHAnsi" w:hAnsi="Arial" w:cs="Arial"/>
          <w:color w:val="000000"/>
          <w:sz w:val="22"/>
          <w:szCs w:val="22"/>
          <w:lang w:eastAsia="en-US"/>
        </w:rPr>
      </w:pPr>
      <w:r w:rsidRPr="00752044">
        <w:rPr>
          <w:rFonts w:ascii="Arial" w:eastAsiaTheme="minorHAnsi" w:hAnsi="Arial" w:cs="Arial"/>
          <w:color w:val="000000"/>
          <w:sz w:val="22"/>
          <w:szCs w:val="22"/>
          <w:lang w:eastAsia="en-US"/>
        </w:rPr>
        <w:t>En relación al servicio de aseo, se infiere que las variaciones obtenidas</w:t>
      </w:r>
      <w:r w:rsidR="00396D90" w:rsidRPr="00752044">
        <w:rPr>
          <w:rFonts w:ascii="Arial" w:eastAsiaTheme="minorHAnsi" w:hAnsi="Arial" w:cs="Arial"/>
          <w:color w:val="000000"/>
          <w:sz w:val="22"/>
          <w:szCs w:val="22"/>
          <w:lang w:eastAsia="en-US"/>
        </w:rPr>
        <w:t xml:space="preserve"> </w:t>
      </w:r>
      <w:r w:rsidR="00911EAC" w:rsidRPr="00752044">
        <w:rPr>
          <w:rFonts w:ascii="Arial" w:eastAsiaTheme="minorHAnsi" w:hAnsi="Arial" w:cs="Arial"/>
          <w:color w:val="000000"/>
          <w:sz w:val="22"/>
          <w:szCs w:val="22"/>
          <w:lang w:eastAsia="en-US"/>
        </w:rPr>
        <w:t xml:space="preserve">se originaron de la </w:t>
      </w:r>
      <w:r w:rsidR="001F5D24" w:rsidRPr="00752044">
        <w:rPr>
          <w:rFonts w:ascii="Arial" w:eastAsiaTheme="minorHAnsi" w:hAnsi="Arial" w:cs="Arial"/>
          <w:color w:val="000000"/>
          <w:sz w:val="22"/>
          <w:szCs w:val="22"/>
          <w:lang w:eastAsia="en-US"/>
        </w:rPr>
        <w:t xml:space="preserve">situación descrita relacionada con </w:t>
      </w:r>
      <w:r w:rsidR="00911EAC" w:rsidRPr="00752044">
        <w:rPr>
          <w:rFonts w:ascii="Arial" w:eastAsiaTheme="minorHAnsi" w:hAnsi="Arial" w:cs="Arial"/>
          <w:color w:val="000000"/>
          <w:sz w:val="22"/>
          <w:szCs w:val="22"/>
          <w:lang w:eastAsia="en-US"/>
        </w:rPr>
        <w:t xml:space="preserve">el periodo de septiembre de 2020, toda vez que la empresa Promoambiental efectuó la aplicación de un saldo a favor del Ministerio de Hacienda y Crédito Público, producto de la reliquidación de periodos anteriores en respuesta de la PQR 678519 interpuesta ante dicha empresa. Por tal motivo, en el mes de septiembre de 2020 no se generó valor a pagar. </w:t>
      </w:r>
    </w:p>
    <w:p w14:paraId="73DA9586" w14:textId="2556E9CC" w:rsidR="00911EAC" w:rsidRDefault="00911EAC" w:rsidP="005C0D5C">
      <w:pPr>
        <w:jc w:val="both"/>
        <w:rPr>
          <w:rFonts w:ascii="Arial" w:hAnsi="Arial" w:cs="Arial"/>
          <w:sz w:val="22"/>
          <w:szCs w:val="22"/>
          <w:lang w:eastAsia="en-US"/>
        </w:rPr>
      </w:pPr>
    </w:p>
    <w:p w14:paraId="1253FCCC" w14:textId="77777777" w:rsidR="00394F29" w:rsidRDefault="00394F29" w:rsidP="005C0D5C">
      <w:pPr>
        <w:jc w:val="both"/>
        <w:rPr>
          <w:rFonts w:ascii="Arial" w:hAnsi="Arial" w:cs="Arial"/>
          <w:sz w:val="22"/>
          <w:szCs w:val="22"/>
          <w:lang w:eastAsia="en-US"/>
        </w:rPr>
      </w:pPr>
    </w:p>
    <w:p w14:paraId="3D1DDA49" w14:textId="77777777" w:rsidR="005C0D5C" w:rsidRPr="000A22B9" w:rsidRDefault="005C0D5C" w:rsidP="005C0D5C">
      <w:pPr>
        <w:tabs>
          <w:tab w:val="left" w:pos="142"/>
          <w:tab w:val="left" w:pos="284"/>
        </w:tabs>
        <w:spacing w:line="168" w:lineRule="auto"/>
        <w:rPr>
          <w:rFonts w:ascii="Arial" w:hAnsi="Arial" w:cs="Arial"/>
          <w:b/>
          <w:color w:val="000000" w:themeColor="text1"/>
        </w:rPr>
      </w:pPr>
    </w:p>
    <w:p w14:paraId="456C549C" w14:textId="18480A99" w:rsidR="003F456A" w:rsidRPr="000A22B9" w:rsidRDefault="003F456A" w:rsidP="00353FD8">
      <w:pPr>
        <w:pStyle w:val="Prrafodelista"/>
        <w:numPr>
          <w:ilvl w:val="0"/>
          <w:numId w:val="12"/>
        </w:numPr>
        <w:tabs>
          <w:tab w:val="left" w:pos="142"/>
          <w:tab w:val="left" w:pos="284"/>
        </w:tabs>
        <w:rPr>
          <w:rFonts w:ascii="Arial" w:hAnsi="Arial" w:cs="Arial"/>
          <w:b/>
          <w:color w:val="000000" w:themeColor="text1"/>
        </w:rPr>
      </w:pPr>
      <w:r w:rsidRPr="000A22B9">
        <w:rPr>
          <w:rFonts w:ascii="Arial" w:hAnsi="Arial" w:cs="Arial"/>
          <w:b/>
          <w:color w:val="000000" w:themeColor="text1"/>
        </w:rPr>
        <w:t>RECOMENDACIONES GENERALES</w:t>
      </w:r>
    </w:p>
    <w:p w14:paraId="67F6B3DE" w14:textId="0790E48D" w:rsidR="003F456A" w:rsidRPr="000A22B9" w:rsidRDefault="003F456A" w:rsidP="003F456A">
      <w:pPr>
        <w:pStyle w:val="Prrafodelista"/>
        <w:ind w:left="360"/>
        <w:contextualSpacing w:val="0"/>
        <w:rPr>
          <w:rFonts w:ascii="Arial" w:hAnsi="Arial" w:cs="Arial"/>
          <w:b/>
          <w:color w:val="000000" w:themeColor="text1"/>
        </w:rPr>
      </w:pPr>
    </w:p>
    <w:p w14:paraId="3DA5A618" w14:textId="6037872F" w:rsidR="00AD6C15" w:rsidRPr="00B107C0" w:rsidRDefault="00AD6C15" w:rsidP="00AD6C15">
      <w:pPr>
        <w:pStyle w:val="Prrafodelista"/>
        <w:numPr>
          <w:ilvl w:val="0"/>
          <w:numId w:val="42"/>
        </w:numPr>
        <w:rPr>
          <w:rFonts w:ascii="Arial" w:hAnsi="Arial" w:cs="Arial"/>
          <w:bCs/>
          <w:color w:val="000000" w:themeColor="text1"/>
          <w:sz w:val="22"/>
          <w:szCs w:val="22"/>
        </w:rPr>
      </w:pPr>
      <w:r w:rsidRPr="00B107C0">
        <w:rPr>
          <w:rFonts w:ascii="Arial" w:hAnsi="Arial" w:cs="Arial"/>
          <w:color w:val="000000"/>
          <w:sz w:val="22"/>
          <w:szCs w:val="22"/>
        </w:rPr>
        <w:t>Continuar implementando medidas y controles que permitan optimizar los recursos públicos, en consideración con lo previsto en el marco normativo de austeridad del gasto público, especialmente, en aquellos conceptos en los cuales, como resultado del análisis presentado se evidenciaron</w:t>
      </w:r>
      <w:r w:rsidR="00B107C0" w:rsidRPr="00B107C0">
        <w:rPr>
          <w:rFonts w:ascii="Arial" w:hAnsi="Arial" w:cs="Arial"/>
          <w:color w:val="000000"/>
          <w:sz w:val="22"/>
          <w:szCs w:val="22"/>
        </w:rPr>
        <w:t xml:space="preserve"> </w:t>
      </w:r>
      <w:r w:rsidRPr="00B107C0">
        <w:rPr>
          <w:rFonts w:ascii="Arial" w:hAnsi="Arial" w:cs="Arial"/>
          <w:color w:val="000000"/>
          <w:sz w:val="22"/>
          <w:szCs w:val="22"/>
        </w:rPr>
        <w:t>variaciones positivas.</w:t>
      </w:r>
    </w:p>
    <w:p w14:paraId="3C46FD87" w14:textId="77777777" w:rsidR="00B107C0" w:rsidRPr="00B107C0" w:rsidRDefault="00B107C0" w:rsidP="00B107C0">
      <w:pPr>
        <w:pStyle w:val="Prrafodelista"/>
        <w:ind w:left="360"/>
        <w:rPr>
          <w:rFonts w:ascii="Arial" w:hAnsi="Arial" w:cs="Arial"/>
          <w:bCs/>
          <w:color w:val="000000" w:themeColor="text1"/>
          <w:sz w:val="22"/>
          <w:szCs w:val="22"/>
        </w:rPr>
      </w:pPr>
    </w:p>
    <w:p w14:paraId="1D735BF0" w14:textId="210551D5" w:rsidR="00B107C0" w:rsidRPr="00B107C0" w:rsidRDefault="00B107C0" w:rsidP="00B107C0">
      <w:pPr>
        <w:pStyle w:val="Prrafodelista"/>
        <w:widowControl w:val="0"/>
        <w:numPr>
          <w:ilvl w:val="0"/>
          <w:numId w:val="42"/>
        </w:numPr>
        <w:rPr>
          <w:rFonts w:ascii="Arial" w:hAnsi="Arial" w:cs="Arial"/>
          <w:bCs/>
          <w:color w:val="000000" w:themeColor="text1"/>
          <w:sz w:val="22"/>
          <w:szCs w:val="22"/>
        </w:rPr>
      </w:pPr>
      <w:r w:rsidRPr="00B107C0">
        <w:rPr>
          <w:rFonts w:ascii="Arial" w:hAnsi="Arial" w:cs="Arial"/>
          <w:color w:val="000000"/>
          <w:sz w:val="22"/>
          <w:szCs w:val="22"/>
          <w:shd w:val="clear" w:color="auto" w:fill="FFFFFF"/>
        </w:rPr>
        <w:t xml:space="preserve">De igual forma, </w:t>
      </w:r>
      <w:r w:rsidRPr="00B107C0">
        <w:rPr>
          <w:rFonts w:ascii="Arial" w:hAnsi="Arial" w:cs="Arial"/>
          <w:color w:val="000000"/>
          <w:sz w:val="22"/>
          <w:szCs w:val="22"/>
        </w:rPr>
        <w:t>se recomendó a la</w:t>
      </w:r>
      <w:r w:rsidR="00A134D4">
        <w:rPr>
          <w:rFonts w:ascii="Arial" w:hAnsi="Arial" w:cs="Arial"/>
          <w:color w:val="000000"/>
          <w:sz w:val="22"/>
          <w:szCs w:val="22"/>
        </w:rPr>
        <w:t xml:space="preserve"> Dirección de Tecnología y a la</w:t>
      </w:r>
      <w:r w:rsidRPr="00B107C0">
        <w:rPr>
          <w:rFonts w:ascii="Arial" w:hAnsi="Arial" w:cs="Arial"/>
          <w:color w:val="000000"/>
          <w:sz w:val="22"/>
          <w:szCs w:val="22"/>
        </w:rPr>
        <w:t xml:space="preserve"> Subdirección de Servicios</w:t>
      </w:r>
      <w:r w:rsidRPr="00B107C0">
        <w:rPr>
          <w:rFonts w:ascii="Arial" w:hAnsi="Arial" w:cs="Arial"/>
          <w:sz w:val="22"/>
          <w:szCs w:val="22"/>
        </w:rPr>
        <w:t xml:space="preserve"> </w:t>
      </w:r>
      <w:r w:rsidR="00A134D4">
        <w:rPr>
          <w:rFonts w:ascii="Arial" w:hAnsi="Arial" w:cs="Arial"/>
          <w:sz w:val="22"/>
          <w:szCs w:val="22"/>
        </w:rPr>
        <w:t xml:space="preserve">continuar aplicando los </w:t>
      </w:r>
      <w:r w:rsidRPr="00B107C0">
        <w:rPr>
          <w:rFonts w:ascii="Arial" w:hAnsi="Arial" w:cs="Arial"/>
          <w:color w:val="000000"/>
          <w:sz w:val="22"/>
          <w:szCs w:val="22"/>
          <w:shd w:val="clear" w:color="auto" w:fill="FFFFFF"/>
        </w:rPr>
        <w:t>control</w:t>
      </w:r>
      <w:r w:rsidR="00A134D4">
        <w:rPr>
          <w:rFonts w:ascii="Arial" w:hAnsi="Arial" w:cs="Arial"/>
          <w:color w:val="000000"/>
          <w:sz w:val="22"/>
          <w:szCs w:val="22"/>
          <w:shd w:val="clear" w:color="auto" w:fill="FFFFFF"/>
        </w:rPr>
        <w:t>es</w:t>
      </w:r>
      <w:r w:rsidRPr="00B107C0">
        <w:rPr>
          <w:rFonts w:ascii="Arial" w:hAnsi="Arial" w:cs="Arial"/>
          <w:color w:val="000000"/>
          <w:sz w:val="22"/>
          <w:szCs w:val="22"/>
          <w:shd w:val="clear" w:color="auto" w:fill="FFFFFF"/>
        </w:rPr>
        <w:t xml:space="preserve"> que permita dar continuidad a las políticas de uso eficiente </w:t>
      </w:r>
      <w:r w:rsidR="00232EF3">
        <w:rPr>
          <w:rFonts w:ascii="Arial" w:hAnsi="Arial" w:cs="Arial"/>
          <w:color w:val="000000"/>
          <w:sz w:val="22"/>
          <w:szCs w:val="22"/>
          <w:shd w:val="clear" w:color="auto" w:fill="FFFFFF"/>
        </w:rPr>
        <w:t>del consumo del papel</w:t>
      </w:r>
      <w:r w:rsidRPr="00B107C0">
        <w:rPr>
          <w:rFonts w:ascii="Arial" w:hAnsi="Arial" w:cs="Arial"/>
          <w:sz w:val="22"/>
          <w:szCs w:val="22"/>
        </w:rPr>
        <w:t xml:space="preserve">, así mismo, </w:t>
      </w:r>
      <w:r w:rsidRPr="00B107C0">
        <w:rPr>
          <w:rFonts w:ascii="Arial" w:hAnsi="Arial" w:cs="Arial"/>
          <w:color w:val="000000"/>
          <w:sz w:val="22"/>
          <w:szCs w:val="22"/>
          <w:shd w:val="clear" w:color="auto" w:fill="FFFFFF"/>
        </w:rPr>
        <w:t xml:space="preserve">fortalecer las campañas de sensibilización del ahorro de papel. </w:t>
      </w:r>
    </w:p>
    <w:p w14:paraId="6D9AC0B4" w14:textId="77777777" w:rsidR="00B107C0" w:rsidRPr="00B107C0" w:rsidRDefault="00B107C0" w:rsidP="00B107C0">
      <w:pPr>
        <w:pStyle w:val="Prrafodelista"/>
        <w:ind w:left="360"/>
        <w:rPr>
          <w:rFonts w:ascii="Arial" w:hAnsi="Arial" w:cs="Arial"/>
          <w:bCs/>
          <w:color w:val="000000" w:themeColor="text1"/>
          <w:sz w:val="22"/>
          <w:szCs w:val="22"/>
        </w:rPr>
      </w:pPr>
    </w:p>
    <w:p w14:paraId="6B3DDB4B" w14:textId="460A4925" w:rsidR="00AD6C15" w:rsidRDefault="00AD6C15" w:rsidP="00AD6C15">
      <w:pPr>
        <w:jc w:val="both"/>
        <w:rPr>
          <w:rFonts w:ascii="Arial" w:hAnsi="Arial" w:cs="Arial"/>
          <w:bCs/>
          <w:color w:val="000000" w:themeColor="text1"/>
          <w:sz w:val="22"/>
          <w:szCs w:val="22"/>
        </w:rPr>
      </w:pPr>
      <w:bookmarkStart w:id="6" w:name="_GoBack"/>
      <w:bookmarkEnd w:id="6"/>
    </w:p>
    <w:p w14:paraId="13A4F7C5" w14:textId="77777777" w:rsidR="00232EF3" w:rsidRDefault="00232EF3" w:rsidP="00AD6C15">
      <w:pPr>
        <w:jc w:val="both"/>
        <w:rPr>
          <w:rFonts w:ascii="Arial" w:hAnsi="Arial" w:cs="Arial"/>
          <w:bCs/>
          <w:color w:val="000000" w:themeColor="text1"/>
          <w:sz w:val="22"/>
          <w:szCs w:val="22"/>
        </w:rPr>
      </w:pPr>
    </w:p>
    <w:p w14:paraId="635F4924" w14:textId="77777777" w:rsidR="00856F33" w:rsidRPr="00B107C0" w:rsidRDefault="00856F33" w:rsidP="00AD6C15">
      <w:pPr>
        <w:jc w:val="both"/>
        <w:rPr>
          <w:rFonts w:ascii="Arial" w:hAnsi="Arial" w:cs="Arial"/>
          <w:bCs/>
          <w:color w:val="000000" w:themeColor="text1"/>
          <w:sz w:val="22"/>
          <w:szCs w:val="22"/>
        </w:rPr>
      </w:pPr>
    </w:p>
    <w:p w14:paraId="5032AC21" w14:textId="6271626E" w:rsidR="001845F2" w:rsidRPr="0090455E" w:rsidRDefault="001845F2" w:rsidP="00353FD8">
      <w:pPr>
        <w:pStyle w:val="Prrafodelista"/>
        <w:numPr>
          <w:ilvl w:val="0"/>
          <w:numId w:val="12"/>
        </w:numPr>
        <w:tabs>
          <w:tab w:val="left" w:pos="426"/>
        </w:tabs>
        <w:rPr>
          <w:rFonts w:ascii="Arial" w:hAnsi="Arial" w:cs="Arial"/>
          <w:b/>
        </w:rPr>
      </w:pPr>
      <w:r w:rsidRPr="0090455E">
        <w:rPr>
          <w:rFonts w:ascii="Arial" w:hAnsi="Arial" w:cs="Arial"/>
          <w:b/>
        </w:rPr>
        <w:lastRenderedPageBreak/>
        <w:t>CONCLUSIONES</w:t>
      </w:r>
    </w:p>
    <w:p w14:paraId="2B054040" w14:textId="77777777" w:rsidR="00964399" w:rsidRPr="0090455E" w:rsidRDefault="00964399" w:rsidP="0025754D">
      <w:pPr>
        <w:pStyle w:val="Prrafodelista"/>
        <w:tabs>
          <w:tab w:val="left" w:pos="426"/>
        </w:tabs>
        <w:spacing w:line="168" w:lineRule="auto"/>
        <w:ind w:left="357"/>
        <w:rPr>
          <w:rFonts w:ascii="Arial" w:hAnsi="Arial" w:cs="Arial"/>
          <w:b/>
        </w:rPr>
      </w:pPr>
    </w:p>
    <w:p w14:paraId="0B12E411" w14:textId="2B1DED87" w:rsidR="007A24F9" w:rsidRPr="0090455E" w:rsidRDefault="00486DDC" w:rsidP="00964399">
      <w:pPr>
        <w:pStyle w:val="Prrafodelista"/>
        <w:ind w:left="0"/>
        <w:contextualSpacing w:val="0"/>
        <w:rPr>
          <w:rFonts w:ascii="Arial" w:hAnsi="Arial" w:cs="Arial"/>
          <w:color w:val="000000" w:themeColor="text1"/>
          <w:sz w:val="22"/>
          <w:szCs w:val="22"/>
          <w:bdr w:val="none" w:sz="0" w:space="0" w:color="auto" w:frame="1"/>
        </w:rPr>
      </w:pPr>
      <w:r w:rsidRPr="0090455E">
        <w:rPr>
          <w:rFonts w:ascii="Arial" w:hAnsi="Arial" w:cs="Arial"/>
          <w:color w:val="000000"/>
          <w:sz w:val="22"/>
          <w:szCs w:val="22"/>
        </w:rPr>
        <w:t>El Ministerio de Hacienda y Crédito Público en concordancia con las disposiciones establecidas</w:t>
      </w:r>
      <w:r w:rsidR="007A24F9" w:rsidRPr="0090455E">
        <w:rPr>
          <w:rFonts w:ascii="Arial" w:hAnsi="Arial" w:cs="Arial"/>
          <w:color w:val="000000" w:themeColor="text1"/>
          <w:sz w:val="22"/>
          <w:szCs w:val="22"/>
        </w:rPr>
        <w:t xml:space="preserve"> en virtud de </w:t>
      </w:r>
      <w:r w:rsidR="007A24F9" w:rsidRPr="0090455E">
        <w:rPr>
          <w:rFonts w:ascii="Arial" w:hAnsi="Arial" w:cs="Arial"/>
          <w:color w:val="000000" w:themeColor="text1"/>
          <w:sz w:val="22"/>
          <w:szCs w:val="22"/>
          <w:bdr w:val="none" w:sz="0" w:space="0" w:color="auto" w:frame="1"/>
        </w:rPr>
        <w:t xml:space="preserve">la Emergencia Económica, Social y Ecológica [Covid-19] decretada por el Gobierno Nacional, </w:t>
      </w:r>
      <w:r w:rsidRPr="0090455E">
        <w:rPr>
          <w:rFonts w:ascii="Arial" w:hAnsi="Arial" w:cs="Arial"/>
          <w:color w:val="000000" w:themeColor="text1"/>
          <w:sz w:val="22"/>
          <w:szCs w:val="22"/>
          <w:bdr w:val="none" w:sz="0" w:space="0" w:color="auto" w:frame="1"/>
        </w:rPr>
        <w:t xml:space="preserve">adoptó medidas las cuales impactaron el comportamiento de los gastos durante el </w:t>
      </w:r>
      <w:r w:rsidR="0090455E" w:rsidRPr="0090455E">
        <w:rPr>
          <w:rFonts w:ascii="Arial" w:hAnsi="Arial" w:cs="Arial"/>
          <w:color w:val="000000" w:themeColor="text1"/>
          <w:sz w:val="22"/>
          <w:szCs w:val="22"/>
          <w:bdr w:val="none" w:sz="0" w:space="0" w:color="auto" w:frame="1"/>
        </w:rPr>
        <w:t xml:space="preserve">tercer </w:t>
      </w:r>
      <w:r w:rsidRPr="0090455E">
        <w:rPr>
          <w:rFonts w:ascii="Arial" w:hAnsi="Arial" w:cs="Arial"/>
          <w:color w:val="000000" w:themeColor="text1"/>
          <w:sz w:val="22"/>
          <w:szCs w:val="22"/>
          <w:bdr w:val="none" w:sz="0" w:space="0" w:color="auto" w:frame="1"/>
        </w:rPr>
        <w:t xml:space="preserve"> trimestre de 2020, permitiendo obtener</w:t>
      </w:r>
      <w:r w:rsidR="009A1222" w:rsidRPr="0090455E">
        <w:rPr>
          <w:rFonts w:ascii="Arial" w:hAnsi="Arial" w:cs="Arial"/>
          <w:color w:val="000000" w:themeColor="text1"/>
          <w:sz w:val="22"/>
          <w:szCs w:val="22"/>
          <w:bdr w:val="none" w:sz="0" w:space="0" w:color="auto" w:frame="1"/>
        </w:rPr>
        <w:t xml:space="preserve"> para ciertos conceptos</w:t>
      </w:r>
      <w:r w:rsidRPr="0090455E">
        <w:rPr>
          <w:rFonts w:ascii="Arial" w:hAnsi="Arial" w:cs="Arial"/>
          <w:color w:val="000000" w:themeColor="text1"/>
          <w:sz w:val="22"/>
          <w:szCs w:val="22"/>
          <w:bdr w:val="none" w:sz="0" w:space="0" w:color="auto" w:frame="1"/>
        </w:rPr>
        <w:t xml:space="preserve"> reducciones en las variables del valor de los gastos, consumo </w:t>
      </w:r>
      <w:r w:rsidR="00E5441F" w:rsidRPr="0090455E">
        <w:rPr>
          <w:rFonts w:ascii="Arial" w:hAnsi="Arial" w:cs="Arial"/>
          <w:color w:val="000000" w:themeColor="text1"/>
          <w:sz w:val="22"/>
          <w:szCs w:val="22"/>
          <w:bdr w:val="none" w:sz="0" w:space="0" w:color="auto" w:frame="1"/>
        </w:rPr>
        <w:t xml:space="preserve">y </w:t>
      </w:r>
      <w:r w:rsidRPr="0090455E">
        <w:rPr>
          <w:rFonts w:ascii="Arial" w:hAnsi="Arial" w:cs="Arial"/>
          <w:color w:val="000000" w:themeColor="text1"/>
          <w:sz w:val="22"/>
          <w:szCs w:val="22"/>
          <w:bdr w:val="none" w:sz="0" w:space="0" w:color="auto" w:frame="1"/>
        </w:rPr>
        <w:t>cantidades</w:t>
      </w:r>
      <w:r w:rsidR="009A1222" w:rsidRPr="0090455E">
        <w:rPr>
          <w:rFonts w:ascii="Arial" w:hAnsi="Arial" w:cs="Arial"/>
          <w:color w:val="000000" w:themeColor="text1"/>
          <w:sz w:val="22"/>
          <w:szCs w:val="22"/>
          <w:bdr w:val="none" w:sz="0" w:space="0" w:color="auto" w:frame="1"/>
        </w:rPr>
        <w:t>,</w:t>
      </w:r>
      <w:r w:rsidRPr="0090455E">
        <w:rPr>
          <w:rFonts w:ascii="Arial" w:hAnsi="Arial" w:cs="Arial"/>
          <w:color w:val="000000" w:themeColor="text1"/>
          <w:sz w:val="22"/>
          <w:szCs w:val="22"/>
          <w:bdr w:val="none" w:sz="0" w:space="0" w:color="auto" w:frame="1"/>
        </w:rPr>
        <w:t xml:space="preserve"> </w:t>
      </w:r>
      <w:r w:rsidR="00925005">
        <w:rPr>
          <w:rFonts w:ascii="Arial" w:hAnsi="Arial" w:cs="Arial"/>
          <w:color w:val="000000" w:themeColor="text1"/>
          <w:sz w:val="22"/>
          <w:szCs w:val="22"/>
          <w:bdr w:val="none" w:sz="0" w:space="0" w:color="auto" w:frame="1"/>
        </w:rPr>
        <w:t>tales como</w:t>
      </w:r>
      <w:r w:rsidR="00955AC7" w:rsidRPr="0090455E">
        <w:rPr>
          <w:rFonts w:ascii="Arial" w:hAnsi="Arial" w:cs="Arial"/>
          <w:color w:val="000000" w:themeColor="text1"/>
          <w:sz w:val="22"/>
          <w:szCs w:val="22"/>
          <w:bdr w:val="none" w:sz="0" w:space="0" w:color="auto" w:frame="1"/>
        </w:rPr>
        <w:t xml:space="preserve">, </w:t>
      </w:r>
      <w:r w:rsidR="003E7DC5" w:rsidRPr="0090455E">
        <w:rPr>
          <w:rFonts w:ascii="Arial" w:hAnsi="Arial" w:cs="Arial"/>
          <w:color w:val="000000" w:themeColor="text1"/>
          <w:sz w:val="22"/>
          <w:szCs w:val="22"/>
          <w:bdr w:val="none" w:sz="0" w:space="0" w:color="auto" w:frame="1"/>
        </w:rPr>
        <w:t>horas extras, viáticos y pasajes aéreos,</w:t>
      </w:r>
      <w:r w:rsidRPr="0090455E">
        <w:rPr>
          <w:rFonts w:ascii="Arial" w:hAnsi="Arial" w:cs="Arial"/>
          <w:color w:val="000000" w:themeColor="text1"/>
          <w:sz w:val="22"/>
          <w:szCs w:val="22"/>
          <w:bdr w:val="none" w:sz="0" w:space="0" w:color="auto" w:frame="1"/>
        </w:rPr>
        <w:t xml:space="preserve"> gastos relacionados con los vehículos oficiales (garajes</w:t>
      </w:r>
      <w:r w:rsidR="002B3146">
        <w:rPr>
          <w:rFonts w:ascii="Arial" w:hAnsi="Arial" w:cs="Arial"/>
          <w:color w:val="000000" w:themeColor="text1"/>
          <w:sz w:val="22"/>
          <w:szCs w:val="22"/>
          <w:bdr w:val="none" w:sz="0" w:space="0" w:color="auto" w:frame="1"/>
        </w:rPr>
        <w:t xml:space="preserve"> </w:t>
      </w:r>
      <w:r w:rsidRPr="0090455E">
        <w:rPr>
          <w:rFonts w:ascii="Arial" w:hAnsi="Arial" w:cs="Arial"/>
          <w:color w:val="000000" w:themeColor="text1"/>
          <w:sz w:val="22"/>
          <w:szCs w:val="22"/>
          <w:bdr w:val="none" w:sz="0" w:space="0" w:color="auto" w:frame="1"/>
        </w:rPr>
        <w:t>y combustibles)</w:t>
      </w:r>
      <w:r w:rsidR="00E5441F" w:rsidRPr="0090455E">
        <w:rPr>
          <w:rFonts w:ascii="Arial" w:hAnsi="Arial" w:cs="Arial"/>
          <w:color w:val="000000" w:themeColor="text1"/>
          <w:sz w:val="22"/>
          <w:szCs w:val="22"/>
          <w:bdr w:val="none" w:sz="0" w:space="0" w:color="auto" w:frame="1"/>
        </w:rPr>
        <w:t xml:space="preserve"> y servicio de energía y acueducto. </w:t>
      </w:r>
    </w:p>
    <w:p w14:paraId="1FB075A3" w14:textId="4F9DBEFD" w:rsidR="00E5441F" w:rsidRPr="0090455E" w:rsidRDefault="00E5441F" w:rsidP="0025754D">
      <w:pPr>
        <w:pStyle w:val="Prrafodelista"/>
        <w:tabs>
          <w:tab w:val="left" w:pos="426"/>
        </w:tabs>
        <w:spacing w:line="168" w:lineRule="auto"/>
        <w:ind w:left="357"/>
        <w:rPr>
          <w:rFonts w:ascii="Arial" w:hAnsi="Arial" w:cs="Arial"/>
          <w:b/>
          <w:color w:val="000000"/>
          <w:sz w:val="22"/>
          <w:szCs w:val="22"/>
        </w:rPr>
      </w:pPr>
    </w:p>
    <w:p w14:paraId="54B621C1" w14:textId="36080B6C" w:rsidR="009A1222" w:rsidRPr="0090455E" w:rsidRDefault="009A1222" w:rsidP="009A1222">
      <w:pPr>
        <w:jc w:val="both"/>
        <w:rPr>
          <w:rFonts w:ascii="Arial" w:hAnsi="Arial" w:cs="Arial"/>
          <w:sz w:val="22"/>
          <w:szCs w:val="22"/>
        </w:rPr>
      </w:pPr>
      <w:r w:rsidRPr="0090455E">
        <w:rPr>
          <w:rFonts w:ascii="Arial" w:hAnsi="Arial" w:cs="Arial"/>
          <w:sz w:val="22"/>
          <w:szCs w:val="22"/>
        </w:rPr>
        <w:t xml:space="preserve">Sin embargo, el Ministerio de Hacienda y Crédito Público ha venido aplicando controles y medidas de austeridad del gasto que permitieron lograr ahorros y disminuciones para el </w:t>
      </w:r>
      <w:r w:rsidR="0090455E" w:rsidRPr="0090455E">
        <w:rPr>
          <w:rFonts w:ascii="Arial" w:hAnsi="Arial" w:cs="Arial"/>
          <w:sz w:val="22"/>
          <w:szCs w:val="22"/>
        </w:rPr>
        <w:t xml:space="preserve">tercer </w:t>
      </w:r>
      <w:r w:rsidRPr="0090455E">
        <w:rPr>
          <w:rFonts w:ascii="Arial" w:hAnsi="Arial" w:cs="Arial"/>
          <w:sz w:val="22"/>
          <w:szCs w:val="22"/>
        </w:rPr>
        <w:t>trimestre de 2020</w:t>
      </w:r>
      <w:r w:rsidR="00955AC7" w:rsidRPr="0090455E">
        <w:rPr>
          <w:rFonts w:ascii="Arial" w:hAnsi="Arial" w:cs="Arial"/>
          <w:sz w:val="22"/>
          <w:szCs w:val="22"/>
        </w:rPr>
        <w:t xml:space="preserve"> comparado con el mismo periodo de 2019, </w:t>
      </w:r>
      <w:r w:rsidR="00F65E30" w:rsidRPr="0090455E">
        <w:rPr>
          <w:rFonts w:ascii="Arial" w:hAnsi="Arial" w:cs="Arial"/>
          <w:sz w:val="22"/>
          <w:szCs w:val="22"/>
        </w:rPr>
        <w:t>a manera de ejemplo,</w:t>
      </w:r>
      <w:r w:rsidR="00955AC7" w:rsidRPr="0090455E">
        <w:rPr>
          <w:rFonts w:ascii="Arial" w:hAnsi="Arial" w:cs="Arial"/>
          <w:sz w:val="22"/>
          <w:szCs w:val="22"/>
        </w:rPr>
        <w:t xml:space="preserve"> los gastos por</w:t>
      </w:r>
      <w:r w:rsidR="00F65E30" w:rsidRPr="0090455E">
        <w:rPr>
          <w:rFonts w:ascii="Arial" w:hAnsi="Arial" w:cs="Arial"/>
          <w:sz w:val="22"/>
          <w:szCs w:val="22"/>
        </w:rPr>
        <w:t xml:space="preserve"> servicio de telefonía celular, </w:t>
      </w:r>
      <w:r w:rsidRPr="0090455E">
        <w:rPr>
          <w:rFonts w:ascii="Arial" w:hAnsi="Arial" w:cs="Arial"/>
          <w:sz w:val="22"/>
          <w:szCs w:val="22"/>
        </w:rPr>
        <w:t xml:space="preserve">cumpliendo de forma razonable con las directrices y parámetros definidos en la Directiva Presidencial 09 de 2018 y el Decreto 1009 de 2020.  </w:t>
      </w:r>
    </w:p>
    <w:p w14:paraId="1BB9F5A8" w14:textId="6A39CBDE" w:rsidR="009A1222" w:rsidRPr="0090455E" w:rsidRDefault="009A1222" w:rsidP="0025754D">
      <w:pPr>
        <w:pStyle w:val="Prrafodelista"/>
        <w:tabs>
          <w:tab w:val="left" w:pos="426"/>
        </w:tabs>
        <w:spacing w:line="168" w:lineRule="auto"/>
        <w:ind w:left="357"/>
        <w:rPr>
          <w:rFonts w:ascii="Arial" w:hAnsi="Arial" w:cs="Arial"/>
          <w:sz w:val="22"/>
          <w:szCs w:val="22"/>
        </w:rPr>
      </w:pPr>
    </w:p>
    <w:p w14:paraId="2497C5AB" w14:textId="251304BB" w:rsidR="00EB1906" w:rsidRDefault="001044BD" w:rsidP="00964399">
      <w:pPr>
        <w:jc w:val="both"/>
        <w:rPr>
          <w:rFonts w:ascii="Arial" w:hAnsi="Arial" w:cs="Arial"/>
          <w:sz w:val="22"/>
          <w:szCs w:val="22"/>
        </w:rPr>
      </w:pPr>
      <w:r w:rsidRPr="0090455E">
        <w:rPr>
          <w:rFonts w:ascii="Arial" w:hAnsi="Arial" w:cs="Arial"/>
          <w:sz w:val="22"/>
          <w:szCs w:val="22"/>
        </w:rPr>
        <w:t>A continuación, se presenta una sí</w:t>
      </w:r>
      <w:r w:rsidR="00A72014" w:rsidRPr="0090455E">
        <w:rPr>
          <w:rFonts w:ascii="Arial" w:hAnsi="Arial" w:cs="Arial"/>
          <w:sz w:val="22"/>
          <w:szCs w:val="22"/>
        </w:rPr>
        <w:t>ntesis por componente</w:t>
      </w:r>
      <w:r w:rsidR="00955AC7" w:rsidRPr="0090455E">
        <w:rPr>
          <w:rFonts w:ascii="Arial" w:hAnsi="Arial" w:cs="Arial"/>
          <w:sz w:val="22"/>
          <w:szCs w:val="22"/>
        </w:rPr>
        <w:t xml:space="preserve"> según los</w:t>
      </w:r>
      <w:r w:rsidR="00A72014" w:rsidRPr="0090455E">
        <w:rPr>
          <w:rFonts w:ascii="Arial" w:hAnsi="Arial" w:cs="Arial"/>
          <w:sz w:val="22"/>
          <w:szCs w:val="22"/>
        </w:rPr>
        <w:t xml:space="preserve"> gasto</w:t>
      </w:r>
      <w:r w:rsidR="00955AC7" w:rsidRPr="0090455E">
        <w:rPr>
          <w:rFonts w:ascii="Arial" w:hAnsi="Arial" w:cs="Arial"/>
          <w:sz w:val="22"/>
          <w:szCs w:val="22"/>
        </w:rPr>
        <w:t>s</w:t>
      </w:r>
      <w:r w:rsidR="008D0A29" w:rsidRPr="0090455E">
        <w:rPr>
          <w:rFonts w:ascii="Arial" w:hAnsi="Arial" w:cs="Arial"/>
          <w:sz w:val="22"/>
          <w:szCs w:val="22"/>
        </w:rPr>
        <w:t xml:space="preserve"> verificados,</w:t>
      </w:r>
      <w:r w:rsidR="008A36F2" w:rsidRPr="0090455E">
        <w:rPr>
          <w:rFonts w:ascii="Arial" w:hAnsi="Arial" w:cs="Arial"/>
          <w:sz w:val="22"/>
          <w:szCs w:val="22"/>
        </w:rPr>
        <w:t xml:space="preserve"> indicando el respectivo impacto por las medidas aplicadas por la emergencia sanitaria del COVID -19 y aquellos que fueron propios de las acciones direccionadas a co</w:t>
      </w:r>
      <w:r w:rsidR="0015624E" w:rsidRPr="0090455E">
        <w:rPr>
          <w:rFonts w:ascii="Arial" w:hAnsi="Arial" w:cs="Arial"/>
          <w:sz w:val="22"/>
          <w:szCs w:val="22"/>
        </w:rPr>
        <w:t>ntribuir con la austeridad del g</w:t>
      </w:r>
      <w:r w:rsidR="008A36F2" w:rsidRPr="0090455E">
        <w:rPr>
          <w:rFonts w:ascii="Arial" w:hAnsi="Arial" w:cs="Arial"/>
          <w:sz w:val="22"/>
          <w:szCs w:val="22"/>
        </w:rPr>
        <w:t>asto</w:t>
      </w:r>
      <w:r w:rsidR="00D334A5" w:rsidRPr="0090455E">
        <w:rPr>
          <w:rFonts w:ascii="Arial" w:hAnsi="Arial" w:cs="Arial"/>
          <w:sz w:val="22"/>
          <w:szCs w:val="22"/>
        </w:rPr>
        <w:t xml:space="preserve">, así: </w:t>
      </w:r>
    </w:p>
    <w:p w14:paraId="65A93B45" w14:textId="77777777" w:rsidR="00EB1906" w:rsidRPr="0090455E" w:rsidRDefault="00EB1906" w:rsidP="00964399">
      <w:pPr>
        <w:jc w:val="both"/>
        <w:rPr>
          <w:rFonts w:ascii="Arial" w:hAnsi="Arial" w:cs="Arial"/>
          <w:sz w:val="22"/>
          <w:szCs w:val="22"/>
        </w:rPr>
      </w:pPr>
    </w:p>
    <w:tbl>
      <w:tblPr>
        <w:tblStyle w:val="Tabladecuadrcula1clara-nfasis1"/>
        <w:tblW w:w="7508" w:type="dxa"/>
        <w:jc w:val="center"/>
        <w:tblLook w:val="04A0" w:firstRow="1" w:lastRow="0" w:firstColumn="1" w:lastColumn="0" w:noHBand="0" w:noVBand="1"/>
      </w:tblPr>
      <w:tblGrid>
        <w:gridCol w:w="1599"/>
        <w:gridCol w:w="5909"/>
      </w:tblGrid>
      <w:tr w:rsidR="003004C3" w:rsidRPr="009C554B" w14:paraId="56973673" w14:textId="77777777" w:rsidTr="00EB1906">
        <w:trPr>
          <w:cnfStyle w:val="100000000000" w:firstRow="1" w:lastRow="0" w:firstColumn="0" w:lastColumn="0" w:oddVBand="0" w:evenVBand="0" w:oddHBand="0"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4F81BD" w:themeColor="accent1"/>
              <w:left w:val="single" w:sz="4" w:space="0" w:color="4F81BD" w:themeColor="accent1"/>
              <w:bottom w:val="single" w:sz="4" w:space="0" w:color="4F81BD" w:themeColor="accent1"/>
            </w:tcBorders>
            <w:noWrap/>
            <w:hideMark/>
          </w:tcPr>
          <w:p w14:paraId="71E11453" w14:textId="499CCF92" w:rsidR="003004C3" w:rsidRPr="009C554B" w:rsidRDefault="003004C3" w:rsidP="003004C3">
            <w:pPr>
              <w:rPr>
                <w:rFonts w:ascii="Arial" w:hAnsi="Arial" w:cs="Arial"/>
                <w:color w:val="000000"/>
                <w:sz w:val="20"/>
                <w:szCs w:val="20"/>
                <w:highlight w:val="yellow"/>
              </w:rPr>
            </w:pPr>
            <w:r w:rsidRPr="009C554B">
              <w:rPr>
                <w:rFonts w:ascii="Arial" w:hAnsi="Arial" w:cs="Arial"/>
                <w:noProof/>
                <w:color w:val="000000"/>
                <w:sz w:val="20"/>
                <w:szCs w:val="20"/>
                <w:highlight w:val="yellow"/>
                <w:lang w:val="en-US" w:eastAsia="en-US"/>
              </w:rPr>
              <w:drawing>
                <wp:anchor distT="0" distB="0" distL="114300" distR="114300" simplePos="0" relativeHeight="252322816" behindDoc="0" locked="0" layoutInCell="1" allowOverlap="1" wp14:anchorId="76F4C60C" wp14:editId="4346DE9C">
                  <wp:simplePos x="0" y="0"/>
                  <wp:positionH relativeFrom="column">
                    <wp:posOffset>157514</wp:posOffset>
                  </wp:positionH>
                  <wp:positionV relativeFrom="paragraph">
                    <wp:posOffset>37950</wp:posOffset>
                  </wp:positionV>
                  <wp:extent cx="349708" cy="255270"/>
                  <wp:effectExtent l="0" t="0" r="0" b="0"/>
                  <wp:wrapNone/>
                  <wp:docPr id="32" name="Imagen 32" descr="Marca de verificación o garrapatas icono en círculo rojo Foto de archivo - 33223458">
                    <a:extLst xmlns:a="http://schemas.openxmlformats.org/drawingml/2006/main">
                      <a:ext uri="{FF2B5EF4-FFF2-40B4-BE49-F238E27FC236}">
                        <a16:creationId xmlns:a16="http://schemas.microsoft.com/office/drawing/2014/main" id="{E0109989-55F1-4D7A-A4CE-5CD9307BBCA6}"/>
                      </a:ext>
                    </a:extLst>
                  </wp:docPr>
                  <wp:cNvGraphicFramePr/>
                  <a:graphic xmlns:a="http://schemas.openxmlformats.org/drawingml/2006/main">
                    <a:graphicData uri="http://schemas.openxmlformats.org/drawingml/2006/picture">
                      <pic:pic xmlns:pic="http://schemas.openxmlformats.org/drawingml/2006/picture">
                        <pic:nvPicPr>
                          <pic:cNvPr id="16" name="Imagen 15" descr="Marca de verificación o garrapatas icono en círculo rojo Foto de archivo - 33223458">
                            <a:extLst>
                              <a:ext uri="{FF2B5EF4-FFF2-40B4-BE49-F238E27FC236}">
                                <a16:creationId xmlns:a16="http://schemas.microsoft.com/office/drawing/2014/main" id="{E0109989-55F1-4D7A-A4CE-5CD9307BBCA6}"/>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1791" cy="256790"/>
                          </a:xfrm>
                          <a:prstGeom prst="rect">
                            <a:avLst/>
                          </a:prstGeom>
                          <a:noFill/>
                        </pic:spPr>
                      </pic:pic>
                    </a:graphicData>
                  </a:graphic>
                  <wp14:sizeRelH relativeFrom="page">
                    <wp14:pctWidth>0</wp14:pctWidth>
                  </wp14:sizeRelH>
                  <wp14:sizeRelV relativeFrom="page">
                    <wp14:pctHeight>0</wp14:pctHeight>
                  </wp14:sizeRelV>
                </wp:anchor>
              </w:drawing>
            </w:r>
          </w:p>
          <w:p w14:paraId="45A5E1C7" w14:textId="32D63ABC" w:rsidR="003004C3" w:rsidRPr="009C554B" w:rsidRDefault="003004C3" w:rsidP="003004C3">
            <w:pPr>
              <w:rPr>
                <w:rFonts w:ascii="Arial" w:hAnsi="Arial" w:cs="Arial"/>
                <w:color w:val="000000"/>
                <w:sz w:val="20"/>
                <w:szCs w:val="20"/>
                <w:highlight w:val="yellow"/>
              </w:rPr>
            </w:pPr>
          </w:p>
        </w:tc>
        <w:tc>
          <w:tcPr>
            <w:tcW w:w="5909" w:type="dxa"/>
            <w:tcBorders>
              <w:top w:val="single" w:sz="4" w:space="0" w:color="4F81BD" w:themeColor="accent1"/>
              <w:bottom w:val="single" w:sz="4" w:space="0" w:color="4F81BD" w:themeColor="accent1"/>
              <w:right w:val="single" w:sz="4" w:space="0" w:color="4F81BD" w:themeColor="accent1"/>
            </w:tcBorders>
            <w:vAlign w:val="center"/>
            <w:hideMark/>
          </w:tcPr>
          <w:p w14:paraId="07D3775F" w14:textId="1688F1AA" w:rsidR="003004C3" w:rsidRPr="009C554B" w:rsidRDefault="003004C3" w:rsidP="003004C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9C554B">
              <w:rPr>
                <w:rFonts w:ascii="Arial" w:hAnsi="Arial" w:cs="Arial"/>
                <w:color w:val="0F243E" w:themeColor="text2" w:themeShade="80"/>
                <w:sz w:val="20"/>
                <w:szCs w:val="20"/>
              </w:rPr>
              <w:t>Disminución Medidas COVID-19</w:t>
            </w:r>
          </w:p>
        </w:tc>
      </w:tr>
      <w:tr w:rsidR="003004C3" w:rsidRPr="009C554B" w14:paraId="32CC9F05" w14:textId="77777777" w:rsidTr="00053CF5">
        <w:trPr>
          <w:trHeight w:val="547"/>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4F81BD" w:themeColor="accent1"/>
              <w:left w:val="single" w:sz="4" w:space="0" w:color="4F81BD" w:themeColor="accent1"/>
              <w:bottom w:val="single" w:sz="4" w:space="0" w:color="4F81BD" w:themeColor="accent1"/>
            </w:tcBorders>
            <w:noWrap/>
            <w:hideMark/>
          </w:tcPr>
          <w:p w14:paraId="0210C9CD" w14:textId="4C06EF0C" w:rsidR="003004C3" w:rsidRPr="009C554B" w:rsidRDefault="003004C3" w:rsidP="003004C3">
            <w:pPr>
              <w:rPr>
                <w:rFonts w:ascii="Arial" w:hAnsi="Arial" w:cs="Arial"/>
                <w:color w:val="000000"/>
                <w:sz w:val="20"/>
                <w:szCs w:val="20"/>
                <w:highlight w:val="yellow"/>
              </w:rPr>
            </w:pPr>
            <w:r w:rsidRPr="009C554B">
              <w:rPr>
                <w:rFonts w:ascii="Arial" w:hAnsi="Arial" w:cs="Arial"/>
                <w:noProof/>
                <w:color w:val="000000"/>
                <w:sz w:val="20"/>
                <w:szCs w:val="20"/>
                <w:highlight w:val="yellow"/>
                <w:lang w:val="en-US" w:eastAsia="en-US"/>
              </w:rPr>
              <w:drawing>
                <wp:anchor distT="0" distB="0" distL="114300" distR="114300" simplePos="0" relativeHeight="252323840" behindDoc="0" locked="0" layoutInCell="1" allowOverlap="1" wp14:anchorId="275EC3C8" wp14:editId="637EE4BB">
                  <wp:simplePos x="0" y="0"/>
                  <wp:positionH relativeFrom="column">
                    <wp:posOffset>157513</wp:posOffset>
                  </wp:positionH>
                  <wp:positionV relativeFrom="paragraph">
                    <wp:posOffset>36228</wp:posOffset>
                  </wp:positionV>
                  <wp:extent cx="333691" cy="257175"/>
                  <wp:effectExtent l="0" t="0" r="9525" b="0"/>
                  <wp:wrapNone/>
                  <wp:docPr id="30" name="Imagen 30" descr="Marca de verificación o garrapatas icono en círculo verde Foto de archivo - 31219780">
                    <a:extLst xmlns:a="http://schemas.openxmlformats.org/drawingml/2006/main">
                      <a:ext uri="{FF2B5EF4-FFF2-40B4-BE49-F238E27FC236}">
                        <a16:creationId xmlns:a16="http://schemas.microsoft.com/office/drawing/2014/main" id="{751EF74B-7683-4041-B2C2-6AA554754EA0}"/>
                      </a:ext>
                    </a:extLst>
                  </wp:docPr>
                  <wp:cNvGraphicFramePr/>
                  <a:graphic xmlns:a="http://schemas.openxmlformats.org/drawingml/2006/main">
                    <a:graphicData uri="http://schemas.openxmlformats.org/drawingml/2006/picture">
                      <pic:pic xmlns:pic="http://schemas.openxmlformats.org/drawingml/2006/picture">
                        <pic:nvPicPr>
                          <pic:cNvPr id="17" name="Imagen 16" descr="Marca de verificación o garrapatas icono en círculo verde Foto de archivo - 31219780">
                            <a:extLst>
                              <a:ext uri="{FF2B5EF4-FFF2-40B4-BE49-F238E27FC236}">
                                <a16:creationId xmlns:a16="http://schemas.microsoft.com/office/drawing/2014/main" id="{751EF74B-7683-4041-B2C2-6AA554754EA0}"/>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3691" cy="257175"/>
                          </a:xfrm>
                          <a:prstGeom prst="rect">
                            <a:avLst/>
                          </a:prstGeom>
                          <a:noFill/>
                        </pic:spPr>
                      </pic:pic>
                    </a:graphicData>
                  </a:graphic>
                  <wp14:sizeRelH relativeFrom="page">
                    <wp14:pctWidth>0</wp14:pctWidth>
                  </wp14:sizeRelH>
                  <wp14:sizeRelV relativeFrom="page">
                    <wp14:pctHeight>0</wp14:pctHeight>
                  </wp14:sizeRelV>
                </wp:anchor>
              </w:drawing>
            </w:r>
          </w:p>
          <w:p w14:paraId="304B00B6" w14:textId="3E0071A3" w:rsidR="003004C3" w:rsidRPr="009C554B" w:rsidRDefault="003004C3" w:rsidP="003004C3">
            <w:pPr>
              <w:rPr>
                <w:rFonts w:ascii="Arial" w:hAnsi="Arial" w:cs="Arial"/>
                <w:color w:val="000000"/>
                <w:sz w:val="20"/>
                <w:szCs w:val="20"/>
                <w:highlight w:val="yellow"/>
              </w:rPr>
            </w:pPr>
          </w:p>
        </w:tc>
        <w:tc>
          <w:tcPr>
            <w:tcW w:w="5909" w:type="dxa"/>
            <w:tcBorders>
              <w:top w:val="single" w:sz="4" w:space="0" w:color="4F81BD" w:themeColor="accent1"/>
              <w:bottom w:val="single" w:sz="4" w:space="0" w:color="4F81BD" w:themeColor="accent1"/>
              <w:right w:val="single" w:sz="4" w:space="0" w:color="4F81BD" w:themeColor="accent1"/>
            </w:tcBorders>
            <w:vAlign w:val="center"/>
            <w:hideMark/>
          </w:tcPr>
          <w:p w14:paraId="48670236" w14:textId="45D6E536" w:rsidR="003004C3" w:rsidRPr="009C554B" w:rsidRDefault="003004C3" w:rsidP="003004C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554B">
              <w:rPr>
                <w:rFonts w:ascii="Arial" w:hAnsi="Arial" w:cs="Arial"/>
                <w:b/>
                <w:bCs/>
                <w:color w:val="0F243E" w:themeColor="text2" w:themeShade="80"/>
                <w:sz w:val="20"/>
                <w:szCs w:val="20"/>
              </w:rPr>
              <w:t>Disminución Medidas de Austeridad del Gasto MHCP</w:t>
            </w:r>
          </w:p>
        </w:tc>
      </w:tr>
      <w:tr w:rsidR="003004C3" w:rsidRPr="009C554B" w14:paraId="70BF8D3B" w14:textId="77777777" w:rsidTr="00053CF5">
        <w:trPr>
          <w:trHeight w:val="557"/>
          <w:jc w:val="center"/>
        </w:trPr>
        <w:tc>
          <w:tcPr>
            <w:cnfStyle w:val="001000000000" w:firstRow="0" w:lastRow="0" w:firstColumn="1" w:lastColumn="0" w:oddVBand="0" w:evenVBand="0" w:oddHBand="0" w:evenHBand="0" w:firstRowFirstColumn="0" w:firstRowLastColumn="0" w:lastRowFirstColumn="0" w:lastRowLastColumn="0"/>
            <w:tcW w:w="1599" w:type="dxa"/>
            <w:tcBorders>
              <w:top w:val="single" w:sz="4" w:space="0" w:color="4F81BD" w:themeColor="accent1"/>
              <w:left w:val="single" w:sz="4" w:space="0" w:color="4F81BD" w:themeColor="accent1"/>
              <w:bottom w:val="single" w:sz="4" w:space="0" w:color="4F81BD" w:themeColor="accent1"/>
            </w:tcBorders>
            <w:noWrap/>
            <w:hideMark/>
          </w:tcPr>
          <w:p w14:paraId="6EFD4EA4" w14:textId="3214418C" w:rsidR="003004C3" w:rsidRPr="009C554B" w:rsidRDefault="003004C3" w:rsidP="003004C3">
            <w:pPr>
              <w:rPr>
                <w:rFonts w:ascii="Arial" w:hAnsi="Arial" w:cs="Arial"/>
                <w:color w:val="000000"/>
                <w:sz w:val="20"/>
                <w:szCs w:val="20"/>
                <w:highlight w:val="yellow"/>
              </w:rPr>
            </w:pPr>
            <w:r w:rsidRPr="009C554B">
              <w:rPr>
                <w:rFonts w:ascii="Arial" w:hAnsi="Arial" w:cs="Arial"/>
                <w:noProof/>
                <w:color w:val="000000"/>
                <w:sz w:val="20"/>
                <w:szCs w:val="20"/>
                <w:highlight w:val="yellow"/>
                <w:lang w:val="en-US" w:eastAsia="en-US"/>
              </w:rPr>
              <w:drawing>
                <wp:anchor distT="0" distB="0" distL="114300" distR="114300" simplePos="0" relativeHeight="252324864" behindDoc="0" locked="0" layoutInCell="1" allowOverlap="1" wp14:anchorId="79898839" wp14:editId="15F04530">
                  <wp:simplePos x="0" y="0"/>
                  <wp:positionH relativeFrom="column">
                    <wp:posOffset>213851</wp:posOffset>
                  </wp:positionH>
                  <wp:positionV relativeFrom="paragraph">
                    <wp:posOffset>46659</wp:posOffset>
                  </wp:positionV>
                  <wp:extent cx="260019" cy="227965"/>
                  <wp:effectExtent l="0" t="0" r="6985" b="635"/>
                  <wp:wrapNone/>
                  <wp:docPr id="29" name="Imagen 29"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E8361974-A633-40E4-890D-C3B952B7F631}"/>
                      </a:ext>
                    </a:extLst>
                  </wp:docPr>
                  <wp:cNvGraphicFramePr/>
                  <a:graphic xmlns:a="http://schemas.openxmlformats.org/drawingml/2006/main">
                    <a:graphicData uri="http://schemas.openxmlformats.org/drawingml/2006/picture">
                      <pic:pic xmlns:pic="http://schemas.openxmlformats.org/drawingml/2006/picture">
                        <pic:nvPicPr>
                          <pic:cNvPr id="20" name="Imagen 19" descr="Ilustración de Signo De Exclamación De Círculo Naranja Icono De Aviso De  Atención y más Vectores Libres de Derechos de Alerta - iStock">
                            <a:extLst>
                              <a:ext uri="{FF2B5EF4-FFF2-40B4-BE49-F238E27FC236}">
                                <a16:creationId xmlns:a16="http://schemas.microsoft.com/office/drawing/2014/main" id="{E8361974-A633-40E4-890D-C3B952B7F63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1278" cy="229069"/>
                          </a:xfrm>
                          <a:prstGeom prst="rect">
                            <a:avLst/>
                          </a:prstGeom>
                          <a:noFill/>
                        </pic:spPr>
                      </pic:pic>
                    </a:graphicData>
                  </a:graphic>
                  <wp14:sizeRelH relativeFrom="page">
                    <wp14:pctWidth>0</wp14:pctWidth>
                  </wp14:sizeRelH>
                  <wp14:sizeRelV relativeFrom="page">
                    <wp14:pctHeight>0</wp14:pctHeight>
                  </wp14:sizeRelV>
                </wp:anchor>
              </w:drawing>
            </w:r>
          </w:p>
          <w:p w14:paraId="473F94D6" w14:textId="77777777" w:rsidR="003004C3" w:rsidRPr="009C554B" w:rsidRDefault="003004C3" w:rsidP="003004C3">
            <w:pPr>
              <w:rPr>
                <w:rFonts w:ascii="Arial" w:hAnsi="Arial" w:cs="Arial"/>
                <w:color w:val="000000"/>
                <w:sz w:val="20"/>
                <w:szCs w:val="20"/>
                <w:highlight w:val="yellow"/>
              </w:rPr>
            </w:pPr>
          </w:p>
        </w:tc>
        <w:tc>
          <w:tcPr>
            <w:tcW w:w="5909" w:type="dxa"/>
            <w:tcBorders>
              <w:top w:val="single" w:sz="4" w:space="0" w:color="4F81BD" w:themeColor="accent1"/>
              <w:bottom w:val="single" w:sz="4" w:space="0" w:color="4F81BD" w:themeColor="accent1"/>
              <w:right w:val="single" w:sz="4" w:space="0" w:color="4F81BD" w:themeColor="accent1"/>
            </w:tcBorders>
            <w:vAlign w:val="center"/>
            <w:hideMark/>
          </w:tcPr>
          <w:p w14:paraId="6D3DA3BD" w14:textId="77777777" w:rsidR="003004C3" w:rsidRPr="009C554B" w:rsidRDefault="003004C3" w:rsidP="003004C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9C554B">
              <w:rPr>
                <w:rFonts w:ascii="Arial" w:hAnsi="Arial" w:cs="Arial"/>
                <w:b/>
                <w:bCs/>
                <w:color w:val="0F243E" w:themeColor="text2" w:themeShade="80"/>
                <w:sz w:val="20"/>
                <w:szCs w:val="20"/>
              </w:rPr>
              <w:t xml:space="preserve">Incrementos </w:t>
            </w:r>
          </w:p>
        </w:tc>
      </w:tr>
    </w:tbl>
    <w:p w14:paraId="12EB9EC1" w14:textId="4DE2F1A0" w:rsidR="00053CF5" w:rsidRDefault="00053CF5" w:rsidP="00257A7F">
      <w:pPr>
        <w:pStyle w:val="Prrafodelista"/>
        <w:ind w:left="360"/>
        <w:rPr>
          <w:rFonts w:ascii="Arial" w:hAnsi="Arial" w:cs="Arial"/>
          <w:b/>
          <w:sz w:val="22"/>
          <w:szCs w:val="22"/>
          <w:highlight w:val="yellow"/>
        </w:rPr>
      </w:pPr>
    </w:p>
    <w:p w14:paraId="165C6F47" w14:textId="05EC7097" w:rsidR="00BA413C" w:rsidRDefault="00BA413C" w:rsidP="00257A7F">
      <w:pPr>
        <w:pStyle w:val="Prrafodelista"/>
        <w:ind w:left="360"/>
        <w:rPr>
          <w:rFonts w:ascii="Arial" w:hAnsi="Arial" w:cs="Arial"/>
          <w:b/>
          <w:sz w:val="22"/>
          <w:szCs w:val="22"/>
          <w:highlight w:val="yellow"/>
        </w:rPr>
      </w:pPr>
    </w:p>
    <w:p w14:paraId="5AA809D6" w14:textId="77777777" w:rsidR="000374A7" w:rsidRPr="00CA48AF" w:rsidRDefault="000374A7" w:rsidP="00257A7F">
      <w:pPr>
        <w:pStyle w:val="Prrafodelista"/>
        <w:ind w:left="360"/>
        <w:rPr>
          <w:rFonts w:ascii="Arial" w:hAnsi="Arial" w:cs="Arial"/>
          <w:b/>
          <w:sz w:val="22"/>
          <w:szCs w:val="22"/>
          <w:highlight w:val="yellow"/>
        </w:rPr>
      </w:pPr>
    </w:p>
    <w:p w14:paraId="1068B2B3" w14:textId="3CE483D1" w:rsidR="00D334A5" w:rsidRPr="008F5722" w:rsidRDefault="00D334A5" w:rsidP="00053CF5">
      <w:pPr>
        <w:jc w:val="both"/>
        <w:rPr>
          <w:rFonts w:ascii="Arial" w:hAnsi="Arial" w:cs="Arial"/>
          <w:b/>
          <w:color w:val="0F243E" w:themeColor="text2" w:themeShade="80"/>
          <w:sz w:val="22"/>
          <w:szCs w:val="22"/>
        </w:rPr>
      </w:pPr>
      <w:r w:rsidRPr="008F5722">
        <w:rPr>
          <w:rFonts w:ascii="Arial" w:hAnsi="Arial" w:cs="Arial"/>
          <w:b/>
          <w:color w:val="0F243E" w:themeColor="text2" w:themeShade="80"/>
          <w:sz w:val="22"/>
          <w:szCs w:val="22"/>
        </w:rPr>
        <w:t>MODIFICACIÓN DE LAS PLANTAS DE PERSONAL, ESTRUCTURAS ADMINISTRATIVAS Y GASTOS DE PERSONAL</w:t>
      </w:r>
    </w:p>
    <w:tbl>
      <w:tblPr>
        <w:tblStyle w:val="Tabladecuadrcula1clara-nfasis1"/>
        <w:tblW w:w="9776" w:type="dxa"/>
        <w:tblLook w:val="04A0" w:firstRow="1" w:lastRow="0" w:firstColumn="1" w:lastColumn="0" w:noHBand="0" w:noVBand="1"/>
      </w:tblPr>
      <w:tblGrid>
        <w:gridCol w:w="1017"/>
        <w:gridCol w:w="820"/>
        <w:gridCol w:w="1139"/>
        <w:gridCol w:w="1391"/>
        <w:gridCol w:w="1088"/>
        <w:gridCol w:w="1203"/>
        <w:gridCol w:w="3118"/>
      </w:tblGrid>
      <w:tr w:rsidR="00765A77" w:rsidRPr="00BB36A2" w14:paraId="47A2BEFC" w14:textId="77777777" w:rsidTr="00087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4F81BD" w:themeFill="accent1"/>
            <w:vAlign w:val="center"/>
            <w:hideMark/>
          </w:tcPr>
          <w:p w14:paraId="7149C629" w14:textId="77777777" w:rsidR="00765A77" w:rsidRPr="00BB36A2" w:rsidRDefault="00765A77" w:rsidP="00257A7F">
            <w:pPr>
              <w:widowControl w:val="0"/>
              <w:jc w:val="center"/>
              <w:rPr>
                <w:rFonts w:ascii="Arial" w:hAnsi="Arial" w:cs="Arial"/>
                <w:b w:val="0"/>
                <w:bCs w:val="0"/>
                <w:color w:val="FFFFFF"/>
                <w:sz w:val="20"/>
                <w:szCs w:val="20"/>
              </w:rPr>
            </w:pPr>
            <w:r w:rsidRPr="00BB36A2">
              <w:rPr>
                <w:rFonts w:ascii="Arial" w:hAnsi="Arial" w:cs="Arial"/>
                <w:color w:val="FFFFFF"/>
                <w:sz w:val="20"/>
                <w:szCs w:val="20"/>
              </w:rPr>
              <w:t>Numeral Informe</w:t>
            </w:r>
          </w:p>
          <w:p w14:paraId="116F3FAF" w14:textId="3643F520" w:rsidR="00765A77" w:rsidRPr="00BB36A2" w:rsidRDefault="00765A77" w:rsidP="00257A7F">
            <w:pPr>
              <w:widowControl w:val="0"/>
              <w:jc w:val="center"/>
              <w:rPr>
                <w:rFonts w:ascii="Arial" w:hAnsi="Arial" w:cs="Arial"/>
                <w:color w:val="FFFFFF"/>
                <w:sz w:val="20"/>
                <w:szCs w:val="20"/>
              </w:rPr>
            </w:pPr>
            <w:r w:rsidRPr="00BB36A2">
              <w:rPr>
                <w:rFonts w:ascii="Arial" w:hAnsi="Arial" w:cs="Arial"/>
                <w:color w:val="FFFFFF"/>
                <w:sz w:val="20"/>
                <w:szCs w:val="20"/>
              </w:rPr>
              <w:t> </w:t>
            </w:r>
          </w:p>
        </w:tc>
        <w:tc>
          <w:tcPr>
            <w:tcW w:w="820" w:type="dxa"/>
            <w:vMerge w:val="restart"/>
            <w:shd w:val="clear" w:color="auto" w:fill="4F81BD" w:themeFill="accent1"/>
            <w:vAlign w:val="center"/>
            <w:hideMark/>
          </w:tcPr>
          <w:p w14:paraId="73EAE3E7"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B36A2">
              <w:rPr>
                <w:rFonts w:ascii="Arial" w:hAnsi="Arial" w:cs="Arial"/>
                <w:color w:val="FFFFFF"/>
                <w:sz w:val="20"/>
                <w:szCs w:val="20"/>
              </w:rPr>
              <w:t>Ítem</w:t>
            </w:r>
          </w:p>
        </w:tc>
        <w:tc>
          <w:tcPr>
            <w:tcW w:w="1139" w:type="dxa"/>
            <w:vMerge w:val="restart"/>
            <w:shd w:val="clear" w:color="auto" w:fill="4F81BD" w:themeFill="accent1"/>
            <w:vAlign w:val="center"/>
            <w:hideMark/>
          </w:tcPr>
          <w:p w14:paraId="15361220"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B36A2">
              <w:rPr>
                <w:rFonts w:ascii="Arial" w:hAnsi="Arial" w:cs="Arial"/>
                <w:color w:val="FFFFFF"/>
                <w:sz w:val="20"/>
                <w:szCs w:val="20"/>
              </w:rPr>
              <w:t>Concepto</w:t>
            </w:r>
          </w:p>
        </w:tc>
        <w:tc>
          <w:tcPr>
            <w:tcW w:w="3682" w:type="dxa"/>
            <w:gridSpan w:val="3"/>
            <w:shd w:val="clear" w:color="auto" w:fill="4F81BD" w:themeFill="accent1"/>
            <w:vAlign w:val="center"/>
            <w:hideMark/>
          </w:tcPr>
          <w:p w14:paraId="56621D2E"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B36A2">
              <w:rPr>
                <w:rFonts w:ascii="Arial" w:hAnsi="Arial" w:cs="Arial"/>
                <w:color w:val="FFFFFF"/>
                <w:sz w:val="20"/>
                <w:szCs w:val="20"/>
              </w:rPr>
              <w:t xml:space="preserve">Impacto del Resultado </w:t>
            </w:r>
          </w:p>
        </w:tc>
        <w:tc>
          <w:tcPr>
            <w:tcW w:w="3118" w:type="dxa"/>
            <w:vMerge w:val="restart"/>
            <w:shd w:val="clear" w:color="auto" w:fill="4F81BD" w:themeFill="accent1"/>
            <w:vAlign w:val="center"/>
            <w:hideMark/>
          </w:tcPr>
          <w:p w14:paraId="0D065976"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B36A2">
              <w:rPr>
                <w:rFonts w:ascii="Arial" w:hAnsi="Arial" w:cs="Arial"/>
                <w:color w:val="FFFFFF"/>
                <w:sz w:val="20"/>
                <w:szCs w:val="20"/>
                <w:shd w:val="clear" w:color="auto" w:fill="4F81BD" w:themeFill="accent1"/>
              </w:rPr>
              <w:t>Observación de</w:t>
            </w:r>
            <w:r w:rsidRPr="00BB36A2">
              <w:rPr>
                <w:rFonts w:ascii="Arial" w:hAnsi="Arial" w:cs="Arial"/>
                <w:color w:val="FFFFFF"/>
                <w:sz w:val="20"/>
                <w:szCs w:val="20"/>
              </w:rPr>
              <w:t xml:space="preserve"> la Variación </w:t>
            </w:r>
          </w:p>
        </w:tc>
      </w:tr>
      <w:tr w:rsidR="00765A77" w:rsidRPr="00BB36A2" w14:paraId="60B0C204" w14:textId="77777777" w:rsidTr="00087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4F81BD" w:themeFill="accent1"/>
            <w:vAlign w:val="center"/>
            <w:hideMark/>
          </w:tcPr>
          <w:p w14:paraId="4985AF73" w14:textId="7F4410E9" w:rsidR="00765A77" w:rsidRPr="00BB36A2" w:rsidRDefault="00765A77" w:rsidP="00257A7F">
            <w:pPr>
              <w:widowControl w:val="0"/>
              <w:jc w:val="center"/>
              <w:rPr>
                <w:rFonts w:ascii="Arial" w:hAnsi="Arial" w:cs="Arial"/>
                <w:color w:val="FFFFFF"/>
                <w:sz w:val="20"/>
                <w:szCs w:val="20"/>
              </w:rPr>
            </w:pPr>
          </w:p>
        </w:tc>
        <w:tc>
          <w:tcPr>
            <w:tcW w:w="820" w:type="dxa"/>
            <w:vMerge/>
            <w:shd w:val="clear" w:color="auto" w:fill="4F81BD" w:themeFill="accent1"/>
            <w:vAlign w:val="center"/>
            <w:hideMark/>
          </w:tcPr>
          <w:p w14:paraId="28A8A9D1" w14:textId="77777777" w:rsidR="00765A77" w:rsidRPr="00BB36A2"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1139" w:type="dxa"/>
            <w:vMerge/>
            <w:shd w:val="clear" w:color="auto" w:fill="4F81BD" w:themeFill="accent1"/>
            <w:vAlign w:val="center"/>
            <w:hideMark/>
          </w:tcPr>
          <w:p w14:paraId="69878500" w14:textId="77777777" w:rsidR="00765A77" w:rsidRPr="00BB36A2"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c>
          <w:tcPr>
            <w:tcW w:w="1391" w:type="dxa"/>
            <w:shd w:val="clear" w:color="auto" w:fill="4F81BD" w:themeFill="accent1"/>
            <w:vAlign w:val="center"/>
            <w:hideMark/>
          </w:tcPr>
          <w:p w14:paraId="0F06352F"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BB36A2">
              <w:rPr>
                <w:rFonts w:ascii="Arial" w:hAnsi="Arial" w:cs="Arial"/>
                <w:bCs w:val="0"/>
                <w:color w:val="FFFFFF"/>
                <w:sz w:val="20"/>
                <w:szCs w:val="20"/>
              </w:rPr>
              <w:t>Medidas de Austeridad MHCP</w:t>
            </w:r>
          </w:p>
        </w:tc>
        <w:tc>
          <w:tcPr>
            <w:tcW w:w="1088" w:type="dxa"/>
            <w:shd w:val="clear" w:color="auto" w:fill="4F81BD" w:themeFill="accent1"/>
            <w:vAlign w:val="center"/>
            <w:hideMark/>
          </w:tcPr>
          <w:p w14:paraId="7C32F9ED"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BB36A2">
              <w:rPr>
                <w:rFonts w:ascii="Arial" w:hAnsi="Arial" w:cs="Arial"/>
                <w:bCs w:val="0"/>
                <w:color w:val="FFFFFF"/>
                <w:sz w:val="20"/>
                <w:szCs w:val="20"/>
              </w:rPr>
              <w:t>Medidas COVID-19</w:t>
            </w:r>
          </w:p>
        </w:tc>
        <w:tc>
          <w:tcPr>
            <w:tcW w:w="1203" w:type="dxa"/>
            <w:shd w:val="clear" w:color="auto" w:fill="4F81BD" w:themeFill="accent1"/>
            <w:vAlign w:val="center"/>
            <w:hideMark/>
          </w:tcPr>
          <w:p w14:paraId="4AAAFF98" w14:textId="77777777" w:rsidR="00765A77" w:rsidRPr="00BB36A2" w:rsidRDefault="00765A77" w:rsidP="00257A7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BB36A2">
              <w:rPr>
                <w:rFonts w:ascii="Arial" w:hAnsi="Arial" w:cs="Arial"/>
                <w:bCs w:val="0"/>
                <w:color w:val="FFFFFF"/>
                <w:sz w:val="20"/>
                <w:szCs w:val="20"/>
              </w:rPr>
              <w:t>Variación %</w:t>
            </w:r>
          </w:p>
        </w:tc>
        <w:tc>
          <w:tcPr>
            <w:tcW w:w="3118" w:type="dxa"/>
            <w:vMerge/>
            <w:shd w:val="clear" w:color="auto" w:fill="4F81BD" w:themeFill="accent1"/>
            <w:vAlign w:val="center"/>
            <w:hideMark/>
          </w:tcPr>
          <w:p w14:paraId="1D1C45DC" w14:textId="77777777" w:rsidR="00765A77" w:rsidRPr="00BB36A2" w:rsidRDefault="00765A77" w:rsidP="00257A7F">
            <w:pPr>
              <w:widowControl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r>
      <w:tr w:rsidR="00765A77" w:rsidRPr="00BB36A2" w14:paraId="471B0D4D" w14:textId="77777777" w:rsidTr="000374A7">
        <w:trPr>
          <w:trHeight w:val="2516"/>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780FFD06" w14:textId="77777777" w:rsidR="00765A77" w:rsidRPr="008F5722" w:rsidRDefault="00765A77" w:rsidP="00257A7F">
            <w:pPr>
              <w:widowControl w:val="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2.1</w:t>
            </w:r>
          </w:p>
        </w:tc>
        <w:tc>
          <w:tcPr>
            <w:tcW w:w="820" w:type="dxa"/>
            <w:vMerge w:val="restart"/>
            <w:textDirection w:val="btLr"/>
            <w:vAlign w:val="center"/>
            <w:hideMark/>
          </w:tcPr>
          <w:p w14:paraId="186ACCC3"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Planta de Personal </w:t>
            </w:r>
          </w:p>
        </w:tc>
        <w:tc>
          <w:tcPr>
            <w:tcW w:w="1139" w:type="dxa"/>
            <w:vAlign w:val="center"/>
            <w:hideMark/>
          </w:tcPr>
          <w:p w14:paraId="543E18CD"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91" w:type="dxa"/>
            <w:vAlign w:val="center"/>
            <w:hideMark/>
          </w:tcPr>
          <w:p w14:paraId="6D4A40A5" w14:textId="122081A0" w:rsidR="00765A77" w:rsidRPr="008F5722" w:rsidRDefault="009F30EE"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93472" behindDoc="0" locked="0" layoutInCell="1" allowOverlap="1" wp14:anchorId="7C2F341A" wp14:editId="605BBDBD">
                  <wp:simplePos x="0" y="0"/>
                  <wp:positionH relativeFrom="column">
                    <wp:posOffset>210185</wp:posOffset>
                  </wp:positionH>
                  <wp:positionV relativeFrom="paragraph">
                    <wp:posOffset>-64135</wp:posOffset>
                  </wp:positionV>
                  <wp:extent cx="333375" cy="295275"/>
                  <wp:effectExtent l="0" t="0" r="9525" b="9525"/>
                  <wp:wrapNone/>
                  <wp:docPr id="8" name="Imagen 8"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r w:rsidR="00765A77" w:rsidRPr="008F5722">
              <w:rPr>
                <w:rFonts w:ascii="Arial" w:hAnsi="Arial" w:cs="Arial"/>
                <w:b/>
                <w:bCs/>
                <w:color w:val="0F243E" w:themeColor="text2" w:themeShade="80"/>
                <w:sz w:val="20"/>
                <w:szCs w:val="20"/>
              </w:rPr>
              <w:t> </w:t>
            </w:r>
          </w:p>
        </w:tc>
        <w:tc>
          <w:tcPr>
            <w:tcW w:w="1088" w:type="dxa"/>
            <w:vAlign w:val="center"/>
            <w:hideMark/>
          </w:tcPr>
          <w:p w14:paraId="549EE16B" w14:textId="4F898A2E"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203" w:type="dxa"/>
            <w:vAlign w:val="center"/>
            <w:hideMark/>
          </w:tcPr>
          <w:p w14:paraId="6E3A99DD" w14:textId="091EA8BF" w:rsidR="00765A77" w:rsidRPr="008F5722" w:rsidRDefault="009F30EE"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17%</w:t>
            </w:r>
          </w:p>
        </w:tc>
        <w:tc>
          <w:tcPr>
            <w:tcW w:w="3118" w:type="dxa"/>
            <w:vAlign w:val="center"/>
            <w:hideMark/>
          </w:tcPr>
          <w:p w14:paraId="592DA4E0" w14:textId="3C2C0DF8" w:rsidR="00765A77" w:rsidRPr="008F5722" w:rsidRDefault="00710F39" w:rsidP="00710F39">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valor del gasto se incrementó en parte debido al incremento de salarios y prestaciones establecido en Decreto 304 del 27 de febrero de 2020 del 5,12%, así mismo, la prima de servicios para las vigencias analizadas [2020 comparado 2019], se obligaron en periodos diferentes. </w:t>
            </w:r>
          </w:p>
        </w:tc>
      </w:tr>
      <w:tr w:rsidR="00765A77" w:rsidRPr="00BB36A2" w14:paraId="7D19B2E9" w14:textId="77777777" w:rsidTr="00087CC0">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73DA1A56" w14:textId="77777777" w:rsidR="00765A77" w:rsidRPr="008F5722" w:rsidRDefault="00765A77" w:rsidP="00257A7F">
            <w:pPr>
              <w:widowControl w:val="0"/>
              <w:rPr>
                <w:rFonts w:ascii="Arial" w:hAnsi="Arial" w:cs="Arial"/>
                <w:color w:val="0F243E" w:themeColor="text2" w:themeShade="80"/>
                <w:sz w:val="20"/>
                <w:szCs w:val="20"/>
              </w:rPr>
            </w:pPr>
          </w:p>
        </w:tc>
        <w:tc>
          <w:tcPr>
            <w:tcW w:w="820" w:type="dxa"/>
            <w:vMerge/>
            <w:vAlign w:val="center"/>
            <w:hideMark/>
          </w:tcPr>
          <w:p w14:paraId="11314D81" w14:textId="77777777"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2B7715DF" w14:textId="4E51A584" w:rsidR="00765A77" w:rsidRPr="008F5722" w:rsidRDefault="006754A9"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C</w:t>
            </w:r>
            <w:r w:rsidR="00765A77" w:rsidRPr="008F5722">
              <w:rPr>
                <w:rFonts w:ascii="Arial" w:hAnsi="Arial" w:cs="Arial"/>
                <w:color w:val="0F243E" w:themeColor="text2" w:themeShade="80"/>
                <w:sz w:val="20"/>
                <w:szCs w:val="20"/>
              </w:rPr>
              <w:t>antidad</w:t>
            </w:r>
          </w:p>
        </w:tc>
        <w:tc>
          <w:tcPr>
            <w:tcW w:w="1391" w:type="dxa"/>
            <w:vAlign w:val="center"/>
            <w:hideMark/>
          </w:tcPr>
          <w:p w14:paraId="128ED4D8" w14:textId="06B5EEE8"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27936" behindDoc="0" locked="0" layoutInCell="1" allowOverlap="1" wp14:anchorId="183615A2" wp14:editId="0A550535">
                  <wp:simplePos x="0" y="0"/>
                  <wp:positionH relativeFrom="column">
                    <wp:posOffset>186055</wp:posOffset>
                  </wp:positionH>
                  <wp:positionV relativeFrom="paragraph">
                    <wp:posOffset>-31750</wp:posOffset>
                  </wp:positionV>
                  <wp:extent cx="333375" cy="295275"/>
                  <wp:effectExtent l="0" t="0" r="9525" b="9525"/>
                  <wp:wrapNone/>
                  <wp:docPr id="43" name="Imagen 43"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088" w:type="dxa"/>
            <w:vAlign w:val="center"/>
            <w:hideMark/>
          </w:tcPr>
          <w:p w14:paraId="0C882B3A" w14:textId="77777777"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203" w:type="dxa"/>
            <w:vAlign w:val="center"/>
            <w:hideMark/>
          </w:tcPr>
          <w:p w14:paraId="5EEF11DB" w14:textId="46AB57AD"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1,</w:t>
            </w:r>
            <w:r w:rsidR="00BB36A2" w:rsidRPr="008F5722">
              <w:rPr>
                <w:rFonts w:ascii="Arial" w:hAnsi="Arial" w:cs="Arial"/>
                <w:b/>
                <w:bCs/>
                <w:color w:val="0F243E" w:themeColor="text2" w:themeShade="80"/>
                <w:sz w:val="20"/>
                <w:szCs w:val="20"/>
              </w:rPr>
              <w:t>2</w:t>
            </w:r>
            <w:r w:rsidRPr="008F5722">
              <w:rPr>
                <w:rFonts w:ascii="Arial" w:hAnsi="Arial" w:cs="Arial"/>
                <w:b/>
                <w:bCs/>
                <w:color w:val="0F243E" w:themeColor="text2" w:themeShade="80"/>
                <w:sz w:val="20"/>
                <w:szCs w:val="20"/>
              </w:rPr>
              <w:t>%</w:t>
            </w:r>
          </w:p>
        </w:tc>
        <w:tc>
          <w:tcPr>
            <w:tcW w:w="3118" w:type="dxa"/>
            <w:vAlign w:val="center"/>
            <w:hideMark/>
          </w:tcPr>
          <w:p w14:paraId="148CEAD5" w14:textId="270D1C52" w:rsidR="00765A77" w:rsidRPr="008F5722" w:rsidRDefault="00BB36A2"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La planta de personal se incrementó en 8 funcionarios al comparar el tercer trimestre de 2020 con el mismo periodo de 2019.</w:t>
            </w:r>
          </w:p>
        </w:tc>
      </w:tr>
      <w:tr w:rsidR="00765A77" w:rsidRPr="00BB36A2" w14:paraId="168DCB97" w14:textId="77777777" w:rsidTr="00087CC0">
        <w:trPr>
          <w:trHeight w:val="1460"/>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5DF18410" w14:textId="77777777" w:rsidR="00765A77" w:rsidRPr="008F5722" w:rsidRDefault="00765A77" w:rsidP="00257A7F">
            <w:pPr>
              <w:widowControl w:val="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lastRenderedPageBreak/>
              <w:t>2.2</w:t>
            </w:r>
          </w:p>
        </w:tc>
        <w:tc>
          <w:tcPr>
            <w:tcW w:w="820" w:type="dxa"/>
            <w:vMerge w:val="restart"/>
            <w:textDirection w:val="btLr"/>
            <w:vAlign w:val="center"/>
            <w:hideMark/>
          </w:tcPr>
          <w:p w14:paraId="1564378D"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Horas Extras</w:t>
            </w:r>
          </w:p>
        </w:tc>
        <w:tc>
          <w:tcPr>
            <w:tcW w:w="1139" w:type="dxa"/>
            <w:vAlign w:val="center"/>
            <w:hideMark/>
          </w:tcPr>
          <w:p w14:paraId="40B3D89D"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91" w:type="dxa"/>
            <w:vAlign w:val="center"/>
            <w:hideMark/>
          </w:tcPr>
          <w:p w14:paraId="4E89E84F" w14:textId="77777777"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088" w:type="dxa"/>
            <w:vAlign w:val="center"/>
            <w:hideMark/>
          </w:tcPr>
          <w:p w14:paraId="1BA20069" w14:textId="1AE43396"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noProof/>
                <w:color w:val="0F243E" w:themeColor="text2" w:themeShade="80"/>
                <w:sz w:val="20"/>
                <w:szCs w:val="20"/>
                <w:lang w:val="en-US" w:eastAsia="en-US"/>
              </w:rPr>
              <w:drawing>
                <wp:anchor distT="0" distB="0" distL="114300" distR="114300" simplePos="0" relativeHeight="252331008" behindDoc="0" locked="0" layoutInCell="1" allowOverlap="1" wp14:anchorId="6DE89388" wp14:editId="4A34A680">
                  <wp:simplePos x="0" y="0"/>
                  <wp:positionH relativeFrom="column">
                    <wp:posOffset>7620</wp:posOffset>
                  </wp:positionH>
                  <wp:positionV relativeFrom="paragraph">
                    <wp:posOffset>116205</wp:posOffset>
                  </wp:positionV>
                  <wp:extent cx="533400" cy="457200"/>
                  <wp:effectExtent l="0" t="0" r="0" b="0"/>
                  <wp:wrapNone/>
                  <wp:docPr id="42" name="Imagen 42" descr="Marca de verificación o garrapatas icono en círculo rojo Foto de archivo - 33223458">
                    <a:extLst xmlns:a="http://schemas.openxmlformats.org/drawingml/2006/main">
                      <a:ext uri="{FF2B5EF4-FFF2-40B4-BE49-F238E27FC236}">
                        <a16:creationId xmlns:a16="http://schemas.microsoft.com/office/drawing/2014/main" id="{973B64D9-B240-426D-935C-D57DDB2D3B57}"/>
                      </a:ext>
                    </a:extLst>
                  </wp:docPr>
                  <wp:cNvGraphicFramePr/>
                  <a:graphic xmlns:a="http://schemas.openxmlformats.org/drawingml/2006/main">
                    <a:graphicData uri="http://schemas.openxmlformats.org/drawingml/2006/picture">
                      <pic:pic xmlns:pic="http://schemas.openxmlformats.org/drawingml/2006/picture">
                        <pic:nvPicPr>
                          <pic:cNvPr id="26" name="Imagen 25" descr="Marca de verificación o garrapatas icono en círculo rojo Foto de archivo - 33223458">
                            <a:extLst>
                              <a:ext uri="{FF2B5EF4-FFF2-40B4-BE49-F238E27FC236}">
                                <a16:creationId xmlns:a16="http://schemas.microsoft.com/office/drawing/2014/main" id="{973B64D9-B240-426D-935C-D57DDB2D3B57}"/>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03" w:type="dxa"/>
            <w:vAlign w:val="center"/>
            <w:hideMark/>
          </w:tcPr>
          <w:p w14:paraId="30F66A3A" w14:textId="40B50CE6"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1353CC" w:rsidRPr="008F5722">
              <w:rPr>
                <w:rFonts w:ascii="Arial" w:hAnsi="Arial" w:cs="Arial"/>
                <w:b/>
                <w:bCs/>
                <w:color w:val="0F243E" w:themeColor="text2" w:themeShade="80"/>
                <w:sz w:val="20"/>
                <w:szCs w:val="20"/>
              </w:rPr>
              <w:t>64</w:t>
            </w:r>
            <w:r w:rsidRPr="008F5722">
              <w:rPr>
                <w:rFonts w:ascii="Arial" w:hAnsi="Arial" w:cs="Arial"/>
                <w:b/>
                <w:bCs/>
                <w:color w:val="0F243E" w:themeColor="text2" w:themeShade="80"/>
                <w:sz w:val="20"/>
                <w:szCs w:val="20"/>
              </w:rPr>
              <w:t>%)</w:t>
            </w:r>
          </w:p>
        </w:tc>
        <w:tc>
          <w:tcPr>
            <w:tcW w:w="3118" w:type="dxa"/>
            <w:vMerge w:val="restart"/>
            <w:vAlign w:val="center"/>
            <w:hideMark/>
          </w:tcPr>
          <w:p w14:paraId="785601BE" w14:textId="1FA171FD" w:rsidR="00765A77" w:rsidRPr="008F5722"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gasto y cantidad de horas extras se afectó debido a que </w:t>
            </w:r>
            <w:r w:rsidR="001353CC" w:rsidRPr="008F5722">
              <w:rPr>
                <w:rFonts w:ascii="Arial" w:hAnsi="Arial" w:cs="Arial"/>
                <w:color w:val="0F243E" w:themeColor="text2" w:themeShade="80"/>
                <w:sz w:val="20"/>
                <w:szCs w:val="20"/>
              </w:rPr>
              <w:t xml:space="preserve">este Ministerio </w:t>
            </w:r>
            <w:r w:rsidRPr="008F5722">
              <w:rPr>
                <w:rFonts w:ascii="Arial" w:hAnsi="Arial" w:cs="Arial"/>
                <w:color w:val="0F243E" w:themeColor="text2" w:themeShade="80"/>
                <w:sz w:val="20"/>
                <w:szCs w:val="20"/>
              </w:rPr>
              <w:t>autoriz</w:t>
            </w:r>
            <w:r w:rsidR="002C7750" w:rsidRPr="008F5722">
              <w:rPr>
                <w:rFonts w:ascii="Arial" w:hAnsi="Arial" w:cs="Arial"/>
                <w:color w:val="0F243E" w:themeColor="text2" w:themeShade="80"/>
                <w:sz w:val="20"/>
                <w:szCs w:val="20"/>
              </w:rPr>
              <w:t>ó</w:t>
            </w:r>
            <w:r w:rsidR="001353CC" w:rsidRPr="008F5722">
              <w:rPr>
                <w:rFonts w:ascii="Arial" w:hAnsi="Arial" w:cs="Arial"/>
                <w:color w:val="0F243E" w:themeColor="text2" w:themeShade="80"/>
                <w:sz w:val="20"/>
                <w:szCs w:val="20"/>
              </w:rPr>
              <w:t xml:space="preserve"> </w:t>
            </w:r>
            <w:r w:rsidRPr="008F5722">
              <w:rPr>
                <w:rFonts w:ascii="Arial" w:hAnsi="Arial" w:cs="Arial"/>
                <w:color w:val="0F243E" w:themeColor="text2" w:themeShade="80"/>
                <w:sz w:val="20"/>
                <w:szCs w:val="20"/>
              </w:rPr>
              <w:t xml:space="preserve">horas extras </w:t>
            </w:r>
            <w:r w:rsidR="002C7750" w:rsidRPr="008F5722">
              <w:rPr>
                <w:rFonts w:ascii="Arial" w:hAnsi="Arial" w:cs="Arial"/>
                <w:color w:val="0F243E" w:themeColor="text2" w:themeShade="80"/>
                <w:sz w:val="20"/>
                <w:szCs w:val="20"/>
              </w:rPr>
              <w:t xml:space="preserve">solo </w:t>
            </w:r>
            <w:r w:rsidRPr="008F5722">
              <w:rPr>
                <w:rFonts w:ascii="Arial" w:hAnsi="Arial" w:cs="Arial"/>
                <w:color w:val="0F243E" w:themeColor="text2" w:themeShade="80"/>
                <w:sz w:val="20"/>
                <w:szCs w:val="20"/>
              </w:rPr>
              <w:t xml:space="preserve">para </w:t>
            </w:r>
            <w:r w:rsidR="001353CC" w:rsidRPr="008F5722">
              <w:rPr>
                <w:rFonts w:ascii="Arial" w:hAnsi="Arial" w:cs="Arial"/>
                <w:color w:val="0F243E" w:themeColor="text2" w:themeShade="80"/>
                <w:sz w:val="20"/>
                <w:szCs w:val="20"/>
              </w:rPr>
              <w:t xml:space="preserve">los funcionarios que se desempeñan como </w:t>
            </w:r>
            <w:r w:rsidRPr="008F5722">
              <w:rPr>
                <w:rFonts w:ascii="Arial" w:hAnsi="Arial" w:cs="Arial"/>
                <w:color w:val="0F243E" w:themeColor="text2" w:themeShade="80"/>
                <w:sz w:val="20"/>
                <w:szCs w:val="20"/>
              </w:rPr>
              <w:t>conductor</w:t>
            </w:r>
            <w:r w:rsidR="002C7750" w:rsidRPr="008F5722">
              <w:rPr>
                <w:rFonts w:ascii="Arial" w:hAnsi="Arial" w:cs="Arial"/>
                <w:color w:val="0F243E" w:themeColor="text2" w:themeShade="80"/>
                <w:sz w:val="20"/>
                <w:szCs w:val="20"/>
              </w:rPr>
              <w:t>es, en virtud de la Emergencia Sanitaria derivada del COVID-19.</w:t>
            </w:r>
          </w:p>
        </w:tc>
      </w:tr>
      <w:tr w:rsidR="00FA6FE2" w:rsidRPr="00BB36A2" w14:paraId="184A44F1" w14:textId="77777777" w:rsidTr="00087CC0">
        <w:trPr>
          <w:trHeight w:val="1393"/>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58C8132E" w14:textId="77777777" w:rsidR="00765A77" w:rsidRPr="008F5722" w:rsidRDefault="00765A77" w:rsidP="00257A7F">
            <w:pPr>
              <w:widowControl w:val="0"/>
              <w:rPr>
                <w:rFonts w:ascii="Arial" w:hAnsi="Arial" w:cs="Arial"/>
                <w:color w:val="0F243E" w:themeColor="text2" w:themeShade="80"/>
                <w:sz w:val="20"/>
                <w:szCs w:val="20"/>
              </w:rPr>
            </w:pPr>
          </w:p>
        </w:tc>
        <w:tc>
          <w:tcPr>
            <w:tcW w:w="820" w:type="dxa"/>
            <w:vMerge/>
            <w:vAlign w:val="center"/>
            <w:hideMark/>
          </w:tcPr>
          <w:p w14:paraId="0E94B5D0" w14:textId="77777777"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7A0FA7D4"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Cantidad</w:t>
            </w:r>
          </w:p>
        </w:tc>
        <w:tc>
          <w:tcPr>
            <w:tcW w:w="1391" w:type="dxa"/>
            <w:vAlign w:val="center"/>
            <w:hideMark/>
          </w:tcPr>
          <w:p w14:paraId="45A663DB"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088" w:type="dxa"/>
            <w:vAlign w:val="center"/>
            <w:hideMark/>
          </w:tcPr>
          <w:p w14:paraId="1B519B82" w14:textId="4B4427A3"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noProof/>
                <w:color w:val="0F243E" w:themeColor="text2" w:themeShade="80"/>
                <w:sz w:val="20"/>
                <w:szCs w:val="20"/>
                <w:lang w:val="en-US" w:eastAsia="en-US"/>
              </w:rPr>
              <w:drawing>
                <wp:anchor distT="0" distB="0" distL="114300" distR="114300" simplePos="0" relativeHeight="252332032" behindDoc="0" locked="0" layoutInCell="1" allowOverlap="1" wp14:anchorId="0E70C4A4" wp14:editId="582DC2DB">
                  <wp:simplePos x="0" y="0"/>
                  <wp:positionH relativeFrom="column">
                    <wp:posOffset>7620</wp:posOffset>
                  </wp:positionH>
                  <wp:positionV relativeFrom="paragraph">
                    <wp:posOffset>-3175</wp:posOffset>
                  </wp:positionV>
                  <wp:extent cx="533400" cy="457200"/>
                  <wp:effectExtent l="0" t="0" r="0" b="0"/>
                  <wp:wrapNone/>
                  <wp:docPr id="41" name="Imagen 41" descr="Marca de verificación o garrapatas icono en círculo rojo Foto de archivo - 33223458">
                    <a:extLst xmlns:a="http://schemas.openxmlformats.org/drawingml/2006/main">
                      <a:ext uri="{FF2B5EF4-FFF2-40B4-BE49-F238E27FC236}">
                        <a16:creationId xmlns:a16="http://schemas.microsoft.com/office/drawing/2014/main" id="{D1BC5849-CD31-464D-865B-B215C6381478}"/>
                      </a:ext>
                    </a:extLst>
                  </wp:docPr>
                  <wp:cNvGraphicFramePr/>
                  <a:graphic xmlns:a="http://schemas.openxmlformats.org/drawingml/2006/main">
                    <a:graphicData uri="http://schemas.openxmlformats.org/drawingml/2006/picture">
                      <pic:pic xmlns:pic="http://schemas.openxmlformats.org/drawingml/2006/picture">
                        <pic:nvPicPr>
                          <pic:cNvPr id="27" name="Imagen 26" descr="Marca de verificación o garrapatas icono en círculo rojo Foto de archivo - 33223458">
                            <a:extLst>
                              <a:ext uri="{FF2B5EF4-FFF2-40B4-BE49-F238E27FC236}">
                                <a16:creationId xmlns:a16="http://schemas.microsoft.com/office/drawing/2014/main" id="{D1BC5849-CD31-464D-865B-B215C6381478}"/>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203" w:type="dxa"/>
            <w:vAlign w:val="center"/>
            <w:hideMark/>
          </w:tcPr>
          <w:p w14:paraId="24C780A0" w14:textId="55A146E8"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1353CC" w:rsidRPr="008F5722">
              <w:rPr>
                <w:rFonts w:ascii="Arial" w:hAnsi="Arial" w:cs="Arial"/>
                <w:b/>
                <w:bCs/>
                <w:color w:val="0F243E" w:themeColor="text2" w:themeShade="80"/>
                <w:sz w:val="20"/>
                <w:szCs w:val="20"/>
              </w:rPr>
              <w:t>67</w:t>
            </w:r>
            <w:r w:rsidRPr="008F5722">
              <w:rPr>
                <w:rFonts w:ascii="Arial" w:hAnsi="Arial" w:cs="Arial"/>
                <w:b/>
                <w:bCs/>
                <w:color w:val="0F243E" w:themeColor="text2" w:themeShade="80"/>
                <w:sz w:val="20"/>
                <w:szCs w:val="20"/>
              </w:rPr>
              <w:t>%)</w:t>
            </w:r>
          </w:p>
        </w:tc>
        <w:tc>
          <w:tcPr>
            <w:tcW w:w="3118" w:type="dxa"/>
            <w:vMerge/>
            <w:vAlign w:val="center"/>
            <w:hideMark/>
          </w:tcPr>
          <w:p w14:paraId="149E4F06" w14:textId="77777777" w:rsidR="00765A77" w:rsidRPr="008F5722" w:rsidRDefault="00765A77"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765A77" w:rsidRPr="00BB36A2" w14:paraId="2746CAB8" w14:textId="77777777" w:rsidTr="00087CC0">
        <w:trPr>
          <w:trHeight w:val="1555"/>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FFFFFF" w:themeFill="background1"/>
            <w:vAlign w:val="center"/>
            <w:hideMark/>
          </w:tcPr>
          <w:p w14:paraId="74438805" w14:textId="77777777" w:rsidR="00765A77" w:rsidRPr="008F5722" w:rsidRDefault="00765A77" w:rsidP="00257A7F">
            <w:pPr>
              <w:widowControl w:val="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2.3</w:t>
            </w:r>
          </w:p>
        </w:tc>
        <w:tc>
          <w:tcPr>
            <w:tcW w:w="820" w:type="dxa"/>
            <w:vMerge w:val="restart"/>
            <w:textDirection w:val="btLr"/>
            <w:vAlign w:val="center"/>
            <w:hideMark/>
          </w:tcPr>
          <w:p w14:paraId="5DC62A0A" w14:textId="31F5BF4D"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Contratación </w:t>
            </w:r>
            <w:r w:rsidR="003F5ED5" w:rsidRPr="008F5722">
              <w:rPr>
                <w:rFonts w:ascii="Arial" w:hAnsi="Arial" w:cs="Arial"/>
                <w:b/>
                <w:bCs/>
                <w:color w:val="0F243E" w:themeColor="text2" w:themeShade="80"/>
                <w:sz w:val="20"/>
                <w:szCs w:val="20"/>
              </w:rPr>
              <w:t xml:space="preserve">Suscrita </w:t>
            </w:r>
            <w:r w:rsidRPr="008F5722">
              <w:rPr>
                <w:rFonts w:ascii="Arial" w:hAnsi="Arial" w:cs="Arial"/>
                <w:b/>
                <w:bCs/>
                <w:color w:val="0F243E" w:themeColor="text2" w:themeShade="80"/>
                <w:sz w:val="20"/>
                <w:szCs w:val="20"/>
              </w:rPr>
              <w:t xml:space="preserve">Servicios Profesionales </w:t>
            </w:r>
          </w:p>
        </w:tc>
        <w:tc>
          <w:tcPr>
            <w:tcW w:w="1139" w:type="dxa"/>
            <w:vAlign w:val="center"/>
            <w:hideMark/>
          </w:tcPr>
          <w:p w14:paraId="1647B626" w14:textId="77777777" w:rsidR="00765A77" w:rsidRPr="008F572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91" w:type="dxa"/>
            <w:vAlign w:val="center"/>
            <w:hideMark/>
          </w:tcPr>
          <w:p w14:paraId="58239496" w14:textId="1D0731C4" w:rsidR="00765A77" w:rsidRPr="008F5722" w:rsidRDefault="006D5BB2"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95520" behindDoc="0" locked="0" layoutInCell="1" allowOverlap="1" wp14:anchorId="380CE06E" wp14:editId="494E5E34">
                  <wp:simplePos x="0" y="0"/>
                  <wp:positionH relativeFrom="column">
                    <wp:posOffset>171450</wp:posOffset>
                  </wp:positionH>
                  <wp:positionV relativeFrom="paragraph">
                    <wp:posOffset>-38100</wp:posOffset>
                  </wp:positionV>
                  <wp:extent cx="333375" cy="295275"/>
                  <wp:effectExtent l="0" t="0" r="9525" b="9525"/>
                  <wp:wrapNone/>
                  <wp:docPr id="14" name="Imagen 14"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088" w:type="dxa"/>
            <w:vAlign w:val="center"/>
            <w:hideMark/>
          </w:tcPr>
          <w:p w14:paraId="680834F4" w14:textId="77777777" w:rsidR="00765A77" w:rsidRPr="008F572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203" w:type="dxa"/>
            <w:vAlign w:val="center"/>
            <w:hideMark/>
          </w:tcPr>
          <w:p w14:paraId="1DE45527" w14:textId="4F4D18BF" w:rsidR="00765A77" w:rsidRPr="008F5722" w:rsidRDefault="006D5BB2"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41%</w:t>
            </w:r>
          </w:p>
        </w:tc>
        <w:tc>
          <w:tcPr>
            <w:tcW w:w="3118" w:type="dxa"/>
            <w:vMerge w:val="restart"/>
            <w:vAlign w:val="center"/>
            <w:hideMark/>
          </w:tcPr>
          <w:p w14:paraId="5BA36AD8" w14:textId="22A68DB5" w:rsidR="00765A77" w:rsidRPr="008F5722" w:rsidRDefault="006D5BB2" w:rsidP="00257A7F">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comportamiento </w:t>
            </w:r>
            <w:r w:rsidR="00396934" w:rsidRPr="008F5722">
              <w:rPr>
                <w:rFonts w:ascii="Arial" w:hAnsi="Arial" w:cs="Arial"/>
                <w:color w:val="0F243E" w:themeColor="text2" w:themeShade="80"/>
                <w:sz w:val="20"/>
                <w:szCs w:val="20"/>
              </w:rPr>
              <w:t xml:space="preserve">de la contratación suscrita durante el tercer trimestre de 2020 comparado con la vigencia 2019, </w:t>
            </w:r>
            <w:r w:rsidR="00633172" w:rsidRPr="008F5722">
              <w:rPr>
                <w:rFonts w:ascii="Arial" w:hAnsi="Arial" w:cs="Arial"/>
                <w:color w:val="0F243E" w:themeColor="text2" w:themeShade="80"/>
                <w:sz w:val="20"/>
                <w:szCs w:val="20"/>
              </w:rPr>
              <w:t xml:space="preserve">presentó incrementos debido a la contratación de </w:t>
            </w:r>
            <w:r w:rsidRPr="008F5722">
              <w:rPr>
                <w:rFonts w:ascii="Arial" w:hAnsi="Arial" w:cs="Arial"/>
                <w:color w:val="0F243E" w:themeColor="text2" w:themeShade="80"/>
                <w:sz w:val="20"/>
                <w:szCs w:val="20"/>
              </w:rPr>
              <w:t>servicios profesionales requeridos para cumplir con la misionalidad y las funciones asignada a esta Entidad.</w:t>
            </w:r>
            <w:r w:rsidR="00396934" w:rsidRPr="008F5722">
              <w:rPr>
                <w:rFonts w:ascii="Arial" w:hAnsi="Arial" w:cs="Arial"/>
                <w:color w:val="0F243E" w:themeColor="text2" w:themeShade="80"/>
                <w:sz w:val="20"/>
                <w:szCs w:val="20"/>
              </w:rPr>
              <w:t xml:space="preserve"> </w:t>
            </w:r>
          </w:p>
        </w:tc>
      </w:tr>
      <w:tr w:rsidR="00FA6FE2" w:rsidRPr="00CA48AF" w14:paraId="0340CE3F" w14:textId="77777777" w:rsidTr="00087CC0">
        <w:trPr>
          <w:trHeight w:val="1704"/>
        </w:trPr>
        <w:tc>
          <w:tcPr>
            <w:cnfStyle w:val="001000000000" w:firstRow="0" w:lastRow="0" w:firstColumn="1" w:lastColumn="0" w:oddVBand="0" w:evenVBand="0" w:oddHBand="0" w:evenHBand="0" w:firstRowFirstColumn="0" w:firstRowLastColumn="0" w:lastRowFirstColumn="0" w:lastRowLastColumn="0"/>
            <w:tcW w:w="1017" w:type="dxa"/>
            <w:vMerge/>
            <w:shd w:val="clear" w:color="auto" w:fill="FFFFFF" w:themeFill="background1"/>
            <w:vAlign w:val="center"/>
            <w:hideMark/>
          </w:tcPr>
          <w:p w14:paraId="61DBBE0C" w14:textId="77777777" w:rsidR="00765A77" w:rsidRPr="00BB36A2" w:rsidRDefault="00765A77" w:rsidP="00257A7F">
            <w:pPr>
              <w:widowControl w:val="0"/>
              <w:rPr>
                <w:rFonts w:ascii="Arial" w:hAnsi="Arial" w:cs="Arial"/>
                <w:color w:val="FFFFFF"/>
                <w:sz w:val="20"/>
                <w:szCs w:val="20"/>
              </w:rPr>
            </w:pPr>
          </w:p>
        </w:tc>
        <w:tc>
          <w:tcPr>
            <w:tcW w:w="820" w:type="dxa"/>
            <w:vMerge/>
            <w:vAlign w:val="center"/>
            <w:hideMark/>
          </w:tcPr>
          <w:p w14:paraId="4616BDF5" w14:textId="77777777" w:rsidR="00765A77" w:rsidRPr="00BB36A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p>
        </w:tc>
        <w:tc>
          <w:tcPr>
            <w:tcW w:w="1139" w:type="dxa"/>
            <w:vAlign w:val="center"/>
            <w:hideMark/>
          </w:tcPr>
          <w:p w14:paraId="7182338C" w14:textId="77777777" w:rsidR="00765A77" w:rsidRPr="00BB36A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BB36A2">
              <w:rPr>
                <w:rFonts w:ascii="Arial" w:hAnsi="Arial" w:cs="Arial"/>
                <w:color w:val="0F243E"/>
                <w:sz w:val="20"/>
                <w:szCs w:val="20"/>
              </w:rPr>
              <w:t>Cantidad</w:t>
            </w:r>
          </w:p>
        </w:tc>
        <w:tc>
          <w:tcPr>
            <w:tcW w:w="1391" w:type="dxa"/>
            <w:vAlign w:val="center"/>
            <w:hideMark/>
          </w:tcPr>
          <w:p w14:paraId="2B007001" w14:textId="5E80D5D1" w:rsidR="00765A77" w:rsidRPr="00BB36A2" w:rsidRDefault="006D5BB2"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BB36A2">
              <w:rPr>
                <w:rFonts w:ascii="Arial" w:hAnsi="Arial" w:cs="Arial"/>
                <w:b/>
                <w:bCs/>
                <w:noProof/>
                <w:color w:val="0F243E"/>
                <w:sz w:val="20"/>
                <w:szCs w:val="20"/>
                <w:lang w:val="en-US" w:eastAsia="en-US"/>
              </w:rPr>
              <w:drawing>
                <wp:anchor distT="0" distB="0" distL="114300" distR="114300" simplePos="0" relativeHeight="252397568" behindDoc="0" locked="0" layoutInCell="1" allowOverlap="1" wp14:anchorId="0F97A678" wp14:editId="0448F714">
                  <wp:simplePos x="0" y="0"/>
                  <wp:positionH relativeFrom="column">
                    <wp:posOffset>180975</wp:posOffset>
                  </wp:positionH>
                  <wp:positionV relativeFrom="paragraph">
                    <wp:posOffset>-55245</wp:posOffset>
                  </wp:positionV>
                  <wp:extent cx="333375" cy="295275"/>
                  <wp:effectExtent l="0" t="0" r="9525" b="9525"/>
                  <wp:wrapNone/>
                  <wp:docPr id="16" name="Imagen 16"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088" w:type="dxa"/>
            <w:vAlign w:val="center"/>
            <w:hideMark/>
          </w:tcPr>
          <w:p w14:paraId="4AD5B0CD" w14:textId="77777777" w:rsidR="00765A77" w:rsidRPr="00BB36A2" w:rsidRDefault="00765A77"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BB36A2">
              <w:rPr>
                <w:rFonts w:ascii="Arial" w:hAnsi="Arial" w:cs="Arial"/>
                <w:color w:val="0F243E"/>
                <w:sz w:val="20"/>
                <w:szCs w:val="20"/>
              </w:rPr>
              <w:t> </w:t>
            </w:r>
          </w:p>
        </w:tc>
        <w:tc>
          <w:tcPr>
            <w:tcW w:w="1203" w:type="dxa"/>
            <w:vAlign w:val="center"/>
            <w:hideMark/>
          </w:tcPr>
          <w:p w14:paraId="02EC8B88" w14:textId="7FF7CA93" w:rsidR="00765A77" w:rsidRPr="00BB36A2" w:rsidRDefault="006D5BB2" w:rsidP="00257A7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Pr>
                <w:rFonts w:ascii="Arial" w:hAnsi="Arial" w:cs="Arial"/>
                <w:b/>
                <w:bCs/>
                <w:color w:val="0F243E"/>
                <w:sz w:val="20"/>
                <w:szCs w:val="20"/>
              </w:rPr>
              <w:t>25%</w:t>
            </w:r>
          </w:p>
        </w:tc>
        <w:tc>
          <w:tcPr>
            <w:tcW w:w="3118" w:type="dxa"/>
            <w:vMerge/>
            <w:vAlign w:val="center"/>
            <w:hideMark/>
          </w:tcPr>
          <w:p w14:paraId="47B198D4" w14:textId="77777777" w:rsidR="00765A77" w:rsidRPr="00BB36A2" w:rsidRDefault="00765A77" w:rsidP="00257A7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bl>
    <w:p w14:paraId="33C0DAD4" w14:textId="0FA69212" w:rsidR="00353FD8" w:rsidRDefault="005D7EC3" w:rsidP="00ED746C">
      <w:pPr>
        <w:spacing w:line="168" w:lineRule="auto"/>
        <w:jc w:val="both"/>
        <w:rPr>
          <w:rFonts w:ascii="Arial" w:hAnsi="Arial" w:cs="Arial"/>
          <w:sz w:val="22"/>
          <w:szCs w:val="22"/>
          <w:highlight w:val="yellow"/>
        </w:rPr>
      </w:pPr>
      <w:r w:rsidRPr="00CA48AF">
        <w:rPr>
          <w:rFonts w:ascii="Arial" w:hAnsi="Arial" w:cs="Arial"/>
          <w:sz w:val="22"/>
          <w:szCs w:val="22"/>
          <w:highlight w:val="yellow"/>
        </w:rPr>
        <w:t xml:space="preserve"> </w:t>
      </w:r>
    </w:p>
    <w:p w14:paraId="043E69A6" w14:textId="77777777" w:rsidR="00087CC0" w:rsidRPr="00CA48AF" w:rsidRDefault="00087CC0" w:rsidP="00ED746C">
      <w:pPr>
        <w:spacing w:line="168" w:lineRule="auto"/>
        <w:jc w:val="both"/>
        <w:rPr>
          <w:rFonts w:ascii="Arial" w:hAnsi="Arial" w:cs="Arial"/>
          <w:sz w:val="22"/>
          <w:szCs w:val="22"/>
          <w:highlight w:val="yellow"/>
        </w:rPr>
      </w:pPr>
    </w:p>
    <w:p w14:paraId="5B533F4E" w14:textId="77777777" w:rsidR="00ED746C" w:rsidRPr="00CA48AF" w:rsidRDefault="00ED746C" w:rsidP="00964399">
      <w:pPr>
        <w:jc w:val="both"/>
        <w:rPr>
          <w:rFonts w:ascii="Arial" w:hAnsi="Arial" w:cs="Arial"/>
          <w:color w:val="0F243E" w:themeColor="text2" w:themeShade="80"/>
          <w:sz w:val="22"/>
          <w:szCs w:val="22"/>
          <w:highlight w:val="yellow"/>
        </w:rPr>
      </w:pPr>
    </w:p>
    <w:p w14:paraId="2EB536EC" w14:textId="0AF89BED" w:rsidR="00AA4955" w:rsidRPr="008F5722" w:rsidRDefault="00AA4955" w:rsidP="00ED746C">
      <w:pPr>
        <w:rPr>
          <w:rFonts w:ascii="Arial" w:hAnsi="Arial" w:cs="Arial"/>
          <w:b/>
          <w:color w:val="0F243E" w:themeColor="text2" w:themeShade="80"/>
          <w:sz w:val="22"/>
          <w:szCs w:val="22"/>
        </w:rPr>
      </w:pPr>
      <w:r w:rsidRPr="008F5722">
        <w:rPr>
          <w:rFonts w:ascii="Arial" w:hAnsi="Arial" w:cs="Arial"/>
          <w:b/>
          <w:color w:val="0F243E" w:themeColor="text2" w:themeShade="80"/>
          <w:sz w:val="22"/>
          <w:szCs w:val="22"/>
        </w:rPr>
        <w:t>GASTOS DE PASAJES Y VIÁTICOS</w:t>
      </w:r>
    </w:p>
    <w:tbl>
      <w:tblPr>
        <w:tblStyle w:val="Tabladecuadrcula1clara-nfasis1"/>
        <w:tblW w:w="9776" w:type="dxa"/>
        <w:tblLook w:val="04A0" w:firstRow="1" w:lastRow="0" w:firstColumn="1" w:lastColumn="0" w:noHBand="0" w:noVBand="1"/>
      </w:tblPr>
      <w:tblGrid>
        <w:gridCol w:w="1103"/>
        <w:gridCol w:w="628"/>
        <w:gridCol w:w="1514"/>
        <w:gridCol w:w="1142"/>
        <w:gridCol w:w="1229"/>
        <w:gridCol w:w="4160"/>
      </w:tblGrid>
      <w:tr w:rsidR="00AA4955" w:rsidRPr="00F1028A" w14:paraId="023EA723" w14:textId="77777777" w:rsidTr="00087CC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1B44CF1C" w14:textId="77777777" w:rsidR="00AA4955" w:rsidRPr="00F1028A" w:rsidRDefault="00AA4955" w:rsidP="00AA4955">
            <w:pPr>
              <w:jc w:val="center"/>
              <w:rPr>
                <w:rFonts w:ascii="Arial" w:hAnsi="Arial" w:cs="Arial"/>
                <w:color w:val="FFFFFF"/>
                <w:sz w:val="20"/>
                <w:szCs w:val="20"/>
              </w:rPr>
            </w:pPr>
            <w:r w:rsidRPr="00F1028A">
              <w:rPr>
                <w:rFonts w:ascii="Arial" w:hAnsi="Arial" w:cs="Arial"/>
                <w:color w:val="FFFFFF"/>
                <w:sz w:val="20"/>
                <w:szCs w:val="20"/>
              </w:rPr>
              <w:t>Numeral Informe</w:t>
            </w:r>
          </w:p>
        </w:tc>
        <w:tc>
          <w:tcPr>
            <w:tcW w:w="0" w:type="auto"/>
            <w:vMerge w:val="restart"/>
            <w:shd w:val="clear" w:color="auto" w:fill="4F81BD" w:themeFill="accent1"/>
            <w:vAlign w:val="center"/>
            <w:hideMark/>
          </w:tcPr>
          <w:p w14:paraId="39CA2F94" w14:textId="77777777" w:rsidR="00AA4955" w:rsidRPr="00F1028A"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1028A">
              <w:rPr>
                <w:rFonts w:ascii="Arial" w:hAnsi="Arial" w:cs="Arial"/>
                <w:color w:val="FFFFFF"/>
                <w:sz w:val="20"/>
                <w:szCs w:val="20"/>
              </w:rPr>
              <w:t>Ítem</w:t>
            </w:r>
          </w:p>
        </w:tc>
        <w:tc>
          <w:tcPr>
            <w:tcW w:w="1514" w:type="dxa"/>
            <w:vMerge w:val="restart"/>
            <w:shd w:val="clear" w:color="auto" w:fill="4F81BD" w:themeFill="accent1"/>
            <w:vAlign w:val="center"/>
            <w:hideMark/>
          </w:tcPr>
          <w:p w14:paraId="1C900268" w14:textId="77777777" w:rsidR="00AA4955" w:rsidRPr="00F1028A"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1028A">
              <w:rPr>
                <w:rFonts w:ascii="Arial" w:hAnsi="Arial" w:cs="Arial"/>
                <w:color w:val="FFFFFF"/>
                <w:sz w:val="20"/>
                <w:szCs w:val="20"/>
              </w:rPr>
              <w:t>Concepto</w:t>
            </w:r>
          </w:p>
        </w:tc>
        <w:tc>
          <w:tcPr>
            <w:tcW w:w="2371" w:type="dxa"/>
            <w:gridSpan w:val="2"/>
            <w:shd w:val="clear" w:color="auto" w:fill="4F81BD" w:themeFill="accent1"/>
            <w:vAlign w:val="center"/>
            <w:hideMark/>
          </w:tcPr>
          <w:p w14:paraId="5BB907C0" w14:textId="77777777" w:rsidR="00AA4955" w:rsidRPr="00F1028A"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1028A">
              <w:rPr>
                <w:rFonts w:ascii="Arial" w:hAnsi="Arial" w:cs="Arial"/>
                <w:color w:val="FFFFFF"/>
                <w:sz w:val="20"/>
                <w:szCs w:val="20"/>
              </w:rPr>
              <w:t xml:space="preserve">Impacto del Resultado </w:t>
            </w:r>
          </w:p>
        </w:tc>
        <w:tc>
          <w:tcPr>
            <w:tcW w:w="4160" w:type="dxa"/>
            <w:vMerge w:val="restart"/>
            <w:shd w:val="clear" w:color="auto" w:fill="4F81BD" w:themeFill="accent1"/>
            <w:vAlign w:val="center"/>
            <w:hideMark/>
          </w:tcPr>
          <w:p w14:paraId="646B44E3" w14:textId="77777777" w:rsidR="00AA4955" w:rsidRPr="00F1028A" w:rsidRDefault="00AA4955" w:rsidP="00AA495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F1028A">
              <w:rPr>
                <w:rFonts w:ascii="Arial" w:hAnsi="Arial" w:cs="Arial"/>
                <w:color w:val="FFFFFF"/>
                <w:sz w:val="20"/>
                <w:szCs w:val="20"/>
              </w:rPr>
              <w:t xml:space="preserve">Observación de la Variación </w:t>
            </w:r>
          </w:p>
        </w:tc>
      </w:tr>
      <w:tr w:rsidR="00AA4955" w:rsidRPr="00F1028A" w14:paraId="73204EB5" w14:textId="77777777" w:rsidTr="00087CC0">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89EA80E" w14:textId="77777777" w:rsidR="00AA4955" w:rsidRPr="00F1028A" w:rsidRDefault="00AA4955" w:rsidP="00AA4955">
            <w:pPr>
              <w:rPr>
                <w:rFonts w:ascii="Arial" w:hAnsi="Arial" w:cs="Arial"/>
                <w:color w:val="FFFFFF"/>
                <w:sz w:val="20"/>
                <w:szCs w:val="20"/>
              </w:rPr>
            </w:pPr>
          </w:p>
        </w:tc>
        <w:tc>
          <w:tcPr>
            <w:tcW w:w="0" w:type="auto"/>
            <w:vMerge/>
            <w:vAlign w:val="center"/>
            <w:hideMark/>
          </w:tcPr>
          <w:p w14:paraId="39A1FFB9" w14:textId="77777777" w:rsidR="00AA4955" w:rsidRPr="00F1028A"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514" w:type="dxa"/>
            <w:vMerge/>
            <w:vAlign w:val="center"/>
            <w:hideMark/>
          </w:tcPr>
          <w:p w14:paraId="16DC3680" w14:textId="77777777" w:rsidR="00AA4955" w:rsidRPr="00F1028A"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142" w:type="dxa"/>
            <w:shd w:val="clear" w:color="auto" w:fill="4F81BD" w:themeFill="accent1"/>
            <w:vAlign w:val="center"/>
            <w:hideMark/>
          </w:tcPr>
          <w:p w14:paraId="19237B42" w14:textId="77777777" w:rsidR="00AA4955" w:rsidRPr="00F1028A"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F1028A">
              <w:rPr>
                <w:rFonts w:ascii="Arial" w:hAnsi="Arial" w:cs="Arial"/>
                <w:b/>
                <w:bCs/>
                <w:color w:val="FFFFFF"/>
                <w:sz w:val="20"/>
                <w:szCs w:val="20"/>
              </w:rPr>
              <w:t>Medidas COVID-19</w:t>
            </w:r>
          </w:p>
        </w:tc>
        <w:tc>
          <w:tcPr>
            <w:tcW w:w="1229" w:type="dxa"/>
            <w:shd w:val="clear" w:color="auto" w:fill="4F81BD" w:themeFill="accent1"/>
            <w:vAlign w:val="center"/>
            <w:hideMark/>
          </w:tcPr>
          <w:p w14:paraId="013C53A5" w14:textId="77777777" w:rsidR="00AA4955" w:rsidRPr="00F1028A"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F1028A">
              <w:rPr>
                <w:rFonts w:ascii="Arial" w:hAnsi="Arial" w:cs="Arial"/>
                <w:b/>
                <w:bCs/>
                <w:color w:val="FFFFFF"/>
                <w:sz w:val="20"/>
                <w:szCs w:val="20"/>
              </w:rPr>
              <w:t>Variación %</w:t>
            </w:r>
          </w:p>
        </w:tc>
        <w:tc>
          <w:tcPr>
            <w:tcW w:w="4160" w:type="dxa"/>
            <w:vMerge/>
            <w:vAlign w:val="center"/>
            <w:hideMark/>
          </w:tcPr>
          <w:p w14:paraId="02618B0E" w14:textId="77777777" w:rsidR="00AA4955" w:rsidRPr="00F1028A"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AA4955" w:rsidRPr="00F1028A" w14:paraId="54FA9CB8" w14:textId="77777777" w:rsidTr="00087CC0">
        <w:trPr>
          <w:cantSplit/>
          <w:trHeight w:val="95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39786B0D" w14:textId="77777777" w:rsidR="00AA4955" w:rsidRPr="008F5722" w:rsidRDefault="00AA4955" w:rsidP="00AA4955">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3</w:t>
            </w:r>
          </w:p>
        </w:tc>
        <w:tc>
          <w:tcPr>
            <w:tcW w:w="0" w:type="auto"/>
            <w:vMerge w:val="restart"/>
            <w:textDirection w:val="btLr"/>
            <w:vAlign w:val="center"/>
            <w:hideMark/>
          </w:tcPr>
          <w:p w14:paraId="5BAFB59A" w14:textId="77777777" w:rsidR="00AA4955" w:rsidRPr="008F5722" w:rsidRDefault="00AA4955" w:rsidP="00AA4955">
            <w:pPr>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Gastos de Pasajes y Viáticos</w:t>
            </w:r>
          </w:p>
        </w:tc>
        <w:tc>
          <w:tcPr>
            <w:tcW w:w="1514" w:type="dxa"/>
            <w:vAlign w:val="center"/>
            <w:hideMark/>
          </w:tcPr>
          <w:p w14:paraId="7ED6B3A7" w14:textId="7C6D5E7E"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 Pasaje Aéreos</w:t>
            </w:r>
          </w:p>
        </w:tc>
        <w:tc>
          <w:tcPr>
            <w:tcW w:w="1142" w:type="dxa"/>
            <w:vMerge w:val="restart"/>
            <w:noWrap/>
            <w:vAlign w:val="center"/>
            <w:hideMark/>
          </w:tcPr>
          <w:p w14:paraId="0DB6FE4A" w14:textId="35534655"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F5722">
              <w:rPr>
                <w:rFonts w:ascii="Calibri" w:hAnsi="Calibri" w:cs="Calibri"/>
                <w:noProof/>
                <w:color w:val="0F243E" w:themeColor="text2" w:themeShade="80"/>
                <w:sz w:val="22"/>
                <w:szCs w:val="22"/>
                <w:lang w:val="en-US" w:eastAsia="en-US"/>
              </w:rPr>
              <w:drawing>
                <wp:anchor distT="0" distB="0" distL="114300" distR="114300" simplePos="0" relativeHeight="252334080" behindDoc="0" locked="0" layoutInCell="1" allowOverlap="1" wp14:anchorId="7EE1108C" wp14:editId="125C581F">
                  <wp:simplePos x="0" y="0"/>
                  <wp:positionH relativeFrom="column">
                    <wp:posOffset>-7620</wp:posOffset>
                  </wp:positionH>
                  <wp:positionV relativeFrom="paragraph">
                    <wp:posOffset>-72390</wp:posOffset>
                  </wp:positionV>
                  <wp:extent cx="533400" cy="457200"/>
                  <wp:effectExtent l="0" t="0" r="0" b="0"/>
                  <wp:wrapNone/>
                  <wp:docPr id="50" name="Imagen 50" descr="Marca de verificación o garrapatas icono en círculo rojo Foto de archivo - 33223458">
                    <a:extLst xmlns:a="http://schemas.openxmlformats.org/drawingml/2006/main">
                      <a:ext uri="{FF2B5EF4-FFF2-40B4-BE49-F238E27FC236}">
                        <a16:creationId xmlns:a16="http://schemas.microsoft.com/office/drawing/2014/main" id="{DE57D1DF-3275-4C90-913A-21EB028D806E}"/>
                      </a:ext>
                    </a:extLst>
                  </wp:docPr>
                  <wp:cNvGraphicFramePr/>
                  <a:graphic xmlns:a="http://schemas.openxmlformats.org/drawingml/2006/main">
                    <a:graphicData uri="http://schemas.openxmlformats.org/drawingml/2006/picture">
                      <pic:pic xmlns:pic="http://schemas.openxmlformats.org/drawingml/2006/picture">
                        <pic:nvPicPr>
                          <pic:cNvPr id="3" name="Imagen 2" descr="Marca de verificación o garrapatas icono en círculo rojo Foto de archivo - 33223458">
                            <a:extLst>
                              <a:ext uri="{FF2B5EF4-FFF2-40B4-BE49-F238E27FC236}">
                                <a16:creationId xmlns:a16="http://schemas.microsoft.com/office/drawing/2014/main" id="{DE57D1DF-3275-4C90-913A-21EB028D806E}"/>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3E200B49" w14:textId="3A67FBAA"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229" w:type="dxa"/>
            <w:vAlign w:val="center"/>
            <w:hideMark/>
          </w:tcPr>
          <w:p w14:paraId="6E5DB5CD" w14:textId="3C1910E3"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F1028A" w:rsidRPr="008F5722">
              <w:rPr>
                <w:rFonts w:ascii="Arial" w:hAnsi="Arial" w:cs="Arial"/>
                <w:b/>
                <w:bCs/>
                <w:color w:val="0F243E" w:themeColor="text2" w:themeShade="80"/>
                <w:sz w:val="20"/>
                <w:szCs w:val="20"/>
              </w:rPr>
              <w:t>99,8</w:t>
            </w:r>
            <w:r w:rsidRPr="008F5722">
              <w:rPr>
                <w:rFonts w:ascii="Arial" w:hAnsi="Arial" w:cs="Arial"/>
                <w:b/>
                <w:bCs/>
                <w:color w:val="0F243E" w:themeColor="text2" w:themeShade="80"/>
                <w:sz w:val="20"/>
                <w:szCs w:val="20"/>
              </w:rPr>
              <w:t>%)</w:t>
            </w:r>
          </w:p>
        </w:tc>
        <w:tc>
          <w:tcPr>
            <w:tcW w:w="4160" w:type="dxa"/>
            <w:vMerge w:val="restart"/>
            <w:vAlign w:val="center"/>
            <w:hideMark/>
          </w:tcPr>
          <w:p w14:paraId="1C1461DA" w14:textId="54ED6D6F" w:rsidR="00AA4955" w:rsidRPr="00F1028A" w:rsidRDefault="00E555E2" w:rsidP="003E781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Se presentaron disminuciones en el</w:t>
            </w:r>
            <w:r w:rsidR="00AA4955" w:rsidRPr="008F5722">
              <w:rPr>
                <w:rFonts w:ascii="Arial" w:hAnsi="Arial" w:cs="Arial"/>
                <w:color w:val="0F243E" w:themeColor="text2" w:themeShade="80"/>
                <w:sz w:val="20"/>
                <w:szCs w:val="20"/>
              </w:rPr>
              <w:t xml:space="preserve"> gast</w:t>
            </w:r>
            <w:r w:rsidRPr="008F5722">
              <w:rPr>
                <w:rFonts w:ascii="Arial" w:hAnsi="Arial" w:cs="Arial"/>
                <w:color w:val="0F243E" w:themeColor="text2" w:themeShade="80"/>
                <w:sz w:val="20"/>
                <w:szCs w:val="20"/>
              </w:rPr>
              <w:t xml:space="preserve">o, derivadas de </w:t>
            </w:r>
            <w:r w:rsidR="00AA4955" w:rsidRPr="008F5722">
              <w:rPr>
                <w:rFonts w:ascii="Arial" w:hAnsi="Arial" w:cs="Arial"/>
                <w:color w:val="0F243E" w:themeColor="text2" w:themeShade="80"/>
                <w:sz w:val="20"/>
                <w:szCs w:val="20"/>
              </w:rPr>
              <w:t>las directrices impartidas por el Gobierno Nacional en los Decretos 439, 569 y 636 de 2020 con ocasión a la emergencia sanitaria (COVID-19)</w:t>
            </w:r>
            <w:r w:rsidR="003E7810" w:rsidRPr="008F5722">
              <w:rPr>
                <w:rFonts w:ascii="Arial" w:hAnsi="Arial" w:cs="Arial"/>
                <w:color w:val="0F243E" w:themeColor="text2" w:themeShade="80"/>
                <w:sz w:val="20"/>
                <w:szCs w:val="20"/>
              </w:rPr>
              <w:t xml:space="preserve"> </w:t>
            </w:r>
            <w:r w:rsidR="00AA4955" w:rsidRPr="008F5722">
              <w:rPr>
                <w:rFonts w:ascii="Arial" w:hAnsi="Arial" w:cs="Arial"/>
                <w:color w:val="0F243E" w:themeColor="text2" w:themeShade="80"/>
                <w:sz w:val="20"/>
                <w:szCs w:val="20"/>
              </w:rPr>
              <w:t xml:space="preserve">y las directrices internas establecidas por este Ministerio referente </w:t>
            </w:r>
            <w:r w:rsidR="00752FA0" w:rsidRPr="008F5722">
              <w:rPr>
                <w:rFonts w:ascii="Arial" w:hAnsi="Arial" w:cs="Arial"/>
                <w:color w:val="0F243E" w:themeColor="text2" w:themeShade="80"/>
                <w:sz w:val="20"/>
                <w:szCs w:val="20"/>
              </w:rPr>
              <w:t>a las comisiones</w:t>
            </w:r>
            <w:r w:rsidR="00AA4955" w:rsidRPr="008F5722">
              <w:rPr>
                <w:rFonts w:ascii="Arial" w:hAnsi="Arial" w:cs="Arial"/>
                <w:color w:val="0F243E" w:themeColor="text2" w:themeShade="80"/>
                <w:sz w:val="20"/>
                <w:szCs w:val="20"/>
              </w:rPr>
              <w:t xml:space="preserve"> </w:t>
            </w:r>
            <w:r w:rsidR="003E7810" w:rsidRPr="008F5722">
              <w:rPr>
                <w:rFonts w:ascii="Arial" w:hAnsi="Arial" w:cs="Arial"/>
                <w:color w:val="0F243E" w:themeColor="text2" w:themeShade="80"/>
                <w:sz w:val="20"/>
                <w:szCs w:val="20"/>
              </w:rPr>
              <w:t xml:space="preserve">de servicio </w:t>
            </w:r>
            <w:r w:rsidR="00AA4955" w:rsidRPr="008F5722">
              <w:rPr>
                <w:rFonts w:ascii="Arial" w:hAnsi="Arial" w:cs="Arial"/>
                <w:color w:val="0F243E" w:themeColor="text2" w:themeShade="80"/>
                <w:sz w:val="20"/>
                <w:szCs w:val="20"/>
              </w:rPr>
              <w:t xml:space="preserve">al interior.  </w:t>
            </w:r>
          </w:p>
        </w:tc>
      </w:tr>
      <w:tr w:rsidR="00AA4955" w:rsidRPr="00F1028A" w14:paraId="25647B71" w14:textId="77777777" w:rsidTr="00087CC0">
        <w:trPr>
          <w:cantSplit/>
          <w:trHeight w:val="114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D5B2559" w14:textId="77777777" w:rsidR="00AA4955" w:rsidRPr="008F5722" w:rsidRDefault="00AA4955" w:rsidP="00AA4955">
            <w:pPr>
              <w:rPr>
                <w:rFonts w:ascii="Arial" w:hAnsi="Arial" w:cs="Arial"/>
                <w:color w:val="0F243E" w:themeColor="text2" w:themeShade="80"/>
                <w:sz w:val="20"/>
                <w:szCs w:val="20"/>
              </w:rPr>
            </w:pPr>
          </w:p>
        </w:tc>
        <w:tc>
          <w:tcPr>
            <w:tcW w:w="0" w:type="auto"/>
            <w:vMerge/>
            <w:vAlign w:val="center"/>
            <w:hideMark/>
          </w:tcPr>
          <w:p w14:paraId="1CB48D64" w14:textId="77777777"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514" w:type="dxa"/>
            <w:vAlign w:val="center"/>
            <w:hideMark/>
          </w:tcPr>
          <w:p w14:paraId="55A108CC" w14:textId="77777777"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 Viáticos</w:t>
            </w:r>
          </w:p>
        </w:tc>
        <w:tc>
          <w:tcPr>
            <w:tcW w:w="1142" w:type="dxa"/>
            <w:vMerge/>
            <w:vAlign w:val="center"/>
            <w:hideMark/>
          </w:tcPr>
          <w:p w14:paraId="1DDB614A" w14:textId="77777777"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229" w:type="dxa"/>
            <w:vAlign w:val="center"/>
            <w:hideMark/>
          </w:tcPr>
          <w:p w14:paraId="04300BEF" w14:textId="2FA63EDB"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(-9</w:t>
            </w:r>
            <w:r w:rsidR="00F1028A" w:rsidRPr="008F5722">
              <w:rPr>
                <w:rFonts w:ascii="Arial" w:hAnsi="Arial" w:cs="Arial"/>
                <w:b/>
                <w:bCs/>
                <w:color w:val="0F243E" w:themeColor="text2" w:themeShade="80"/>
                <w:sz w:val="20"/>
                <w:szCs w:val="20"/>
              </w:rPr>
              <w:t>4</w:t>
            </w:r>
            <w:r w:rsidRPr="008F5722">
              <w:rPr>
                <w:rFonts w:ascii="Arial" w:hAnsi="Arial" w:cs="Arial"/>
                <w:b/>
                <w:bCs/>
                <w:color w:val="0F243E" w:themeColor="text2" w:themeShade="80"/>
                <w:sz w:val="20"/>
                <w:szCs w:val="20"/>
              </w:rPr>
              <w:t>%)</w:t>
            </w:r>
          </w:p>
        </w:tc>
        <w:tc>
          <w:tcPr>
            <w:tcW w:w="4160" w:type="dxa"/>
            <w:vMerge/>
            <w:vAlign w:val="center"/>
            <w:hideMark/>
          </w:tcPr>
          <w:p w14:paraId="42467E34" w14:textId="77777777" w:rsidR="00AA4955" w:rsidRPr="00F1028A"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r w:rsidR="00AA4955" w:rsidRPr="00F1028A" w14:paraId="1B44459A" w14:textId="77777777" w:rsidTr="00087CC0">
        <w:trPr>
          <w:cantSplit/>
          <w:trHeight w:val="1681"/>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AE05CC5" w14:textId="77777777" w:rsidR="00AA4955" w:rsidRPr="008F5722" w:rsidRDefault="00AA4955" w:rsidP="00AA4955">
            <w:pPr>
              <w:rPr>
                <w:rFonts w:ascii="Arial" w:hAnsi="Arial" w:cs="Arial"/>
                <w:color w:val="0F243E" w:themeColor="text2" w:themeShade="80"/>
                <w:sz w:val="20"/>
                <w:szCs w:val="20"/>
              </w:rPr>
            </w:pPr>
          </w:p>
        </w:tc>
        <w:tc>
          <w:tcPr>
            <w:tcW w:w="0" w:type="auto"/>
            <w:vMerge/>
            <w:vAlign w:val="center"/>
            <w:hideMark/>
          </w:tcPr>
          <w:p w14:paraId="2C53A651" w14:textId="77777777"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514" w:type="dxa"/>
            <w:vAlign w:val="center"/>
            <w:hideMark/>
          </w:tcPr>
          <w:p w14:paraId="20204679" w14:textId="1B768C0B"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w:t>
            </w:r>
            <w:r w:rsidR="00F1028A" w:rsidRPr="008F5722">
              <w:rPr>
                <w:rFonts w:ascii="Arial" w:hAnsi="Arial" w:cs="Arial"/>
                <w:color w:val="0F243E" w:themeColor="text2" w:themeShade="80"/>
                <w:sz w:val="20"/>
                <w:szCs w:val="20"/>
              </w:rPr>
              <w:t xml:space="preserve"> Total del</w:t>
            </w:r>
            <w:r w:rsidRPr="008F5722">
              <w:rPr>
                <w:rFonts w:ascii="Arial" w:hAnsi="Arial" w:cs="Arial"/>
                <w:color w:val="0F243E" w:themeColor="text2" w:themeShade="80"/>
                <w:sz w:val="20"/>
                <w:szCs w:val="20"/>
              </w:rPr>
              <w:t xml:space="preserve"> Gasto Viáticos y Pasajes</w:t>
            </w:r>
          </w:p>
        </w:tc>
        <w:tc>
          <w:tcPr>
            <w:tcW w:w="1142" w:type="dxa"/>
            <w:vMerge/>
            <w:vAlign w:val="center"/>
            <w:hideMark/>
          </w:tcPr>
          <w:p w14:paraId="113C49A8" w14:textId="77777777" w:rsidR="00AA4955" w:rsidRPr="008F5722" w:rsidRDefault="00AA4955" w:rsidP="00AA4955">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229" w:type="dxa"/>
            <w:vAlign w:val="center"/>
            <w:hideMark/>
          </w:tcPr>
          <w:p w14:paraId="50E26043" w14:textId="1E67C1AD" w:rsidR="00AA4955" w:rsidRPr="008F5722" w:rsidRDefault="00AA4955" w:rsidP="00AA49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(-9</w:t>
            </w:r>
            <w:r w:rsidR="00F1028A" w:rsidRPr="008F5722">
              <w:rPr>
                <w:rFonts w:ascii="Arial" w:hAnsi="Arial" w:cs="Arial"/>
                <w:b/>
                <w:bCs/>
                <w:color w:val="0F243E" w:themeColor="text2" w:themeShade="80"/>
                <w:sz w:val="20"/>
                <w:szCs w:val="20"/>
              </w:rPr>
              <w:t>7</w:t>
            </w:r>
            <w:r w:rsidRPr="008F5722">
              <w:rPr>
                <w:rFonts w:ascii="Arial" w:hAnsi="Arial" w:cs="Arial"/>
                <w:b/>
                <w:bCs/>
                <w:color w:val="0F243E" w:themeColor="text2" w:themeShade="80"/>
                <w:sz w:val="20"/>
                <w:szCs w:val="20"/>
              </w:rPr>
              <w:t>%)</w:t>
            </w:r>
          </w:p>
        </w:tc>
        <w:tc>
          <w:tcPr>
            <w:tcW w:w="4160" w:type="dxa"/>
            <w:vMerge/>
            <w:vAlign w:val="center"/>
            <w:hideMark/>
          </w:tcPr>
          <w:p w14:paraId="1793C6F4" w14:textId="77777777" w:rsidR="00AA4955" w:rsidRPr="00F1028A" w:rsidRDefault="00AA4955" w:rsidP="00AA4955">
            <w:pP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p>
        </w:tc>
      </w:tr>
    </w:tbl>
    <w:p w14:paraId="19ED1414" w14:textId="47175AA0" w:rsidR="0034147A" w:rsidRPr="00F1028A" w:rsidRDefault="0034147A" w:rsidP="00ED746C">
      <w:pPr>
        <w:spacing w:line="168" w:lineRule="auto"/>
        <w:jc w:val="both"/>
        <w:rPr>
          <w:rFonts w:ascii="Arial" w:hAnsi="Arial" w:cs="Arial"/>
          <w:b/>
          <w:sz w:val="22"/>
          <w:szCs w:val="22"/>
        </w:rPr>
      </w:pPr>
    </w:p>
    <w:p w14:paraId="65FC8536" w14:textId="1DDDEA72" w:rsidR="0025754D" w:rsidRDefault="0025754D" w:rsidP="00ED746C">
      <w:pPr>
        <w:spacing w:line="168" w:lineRule="auto"/>
        <w:jc w:val="both"/>
        <w:rPr>
          <w:rFonts w:ascii="Arial" w:hAnsi="Arial" w:cs="Arial"/>
          <w:b/>
          <w:sz w:val="22"/>
          <w:szCs w:val="22"/>
          <w:highlight w:val="yellow"/>
        </w:rPr>
      </w:pPr>
    </w:p>
    <w:p w14:paraId="6577DB99" w14:textId="77777777" w:rsidR="00087CC0" w:rsidRPr="00CA48AF" w:rsidRDefault="00087CC0" w:rsidP="00ED746C">
      <w:pPr>
        <w:spacing w:line="168" w:lineRule="auto"/>
        <w:jc w:val="both"/>
        <w:rPr>
          <w:rFonts w:ascii="Arial" w:hAnsi="Arial" w:cs="Arial"/>
          <w:b/>
          <w:sz w:val="22"/>
          <w:szCs w:val="22"/>
          <w:highlight w:val="yellow"/>
        </w:rPr>
      </w:pPr>
    </w:p>
    <w:p w14:paraId="3727F9BD" w14:textId="77777777" w:rsidR="0034147A" w:rsidRPr="008F5722" w:rsidRDefault="0034147A" w:rsidP="00ED746C">
      <w:pPr>
        <w:spacing w:line="264" w:lineRule="auto"/>
        <w:rPr>
          <w:rFonts w:ascii="Arial" w:hAnsi="Arial" w:cs="Arial"/>
          <w:b/>
          <w:color w:val="0F243E" w:themeColor="text2" w:themeShade="80"/>
          <w:sz w:val="22"/>
          <w:szCs w:val="22"/>
        </w:rPr>
      </w:pPr>
      <w:r w:rsidRPr="008F5722">
        <w:rPr>
          <w:rFonts w:ascii="Arial" w:hAnsi="Arial" w:cs="Arial"/>
          <w:b/>
          <w:color w:val="0F243E" w:themeColor="text2" w:themeShade="80"/>
          <w:sz w:val="22"/>
          <w:szCs w:val="22"/>
        </w:rPr>
        <w:lastRenderedPageBreak/>
        <w:t>VEHÍCULOS OFICIALES</w:t>
      </w:r>
    </w:p>
    <w:tbl>
      <w:tblPr>
        <w:tblStyle w:val="Tabladecuadrcula1clara-nfasis1"/>
        <w:tblW w:w="9776" w:type="dxa"/>
        <w:tblLayout w:type="fixed"/>
        <w:tblLook w:val="04A0" w:firstRow="1" w:lastRow="0" w:firstColumn="1" w:lastColumn="0" w:noHBand="0" w:noVBand="1"/>
      </w:tblPr>
      <w:tblGrid>
        <w:gridCol w:w="1040"/>
        <w:gridCol w:w="628"/>
        <w:gridCol w:w="1162"/>
        <w:gridCol w:w="1276"/>
        <w:gridCol w:w="1134"/>
        <w:gridCol w:w="1134"/>
        <w:gridCol w:w="3402"/>
      </w:tblGrid>
      <w:tr w:rsidR="0034147A" w:rsidRPr="00CC59B1" w14:paraId="0814388F" w14:textId="77777777" w:rsidTr="00087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0" w:type="dxa"/>
            <w:vMerge w:val="restart"/>
            <w:shd w:val="clear" w:color="auto" w:fill="4F81BD" w:themeFill="accent1"/>
            <w:vAlign w:val="center"/>
            <w:hideMark/>
          </w:tcPr>
          <w:p w14:paraId="11E8E6BF" w14:textId="77777777" w:rsidR="0034147A" w:rsidRPr="00CC59B1" w:rsidRDefault="0034147A" w:rsidP="0034147A">
            <w:pPr>
              <w:jc w:val="center"/>
              <w:rPr>
                <w:rFonts w:ascii="Arial" w:hAnsi="Arial" w:cs="Arial"/>
                <w:color w:val="FFFFFF"/>
                <w:sz w:val="20"/>
                <w:szCs w:val="20"/>
              </w:rPr>
            </w:pPr>
            <w:r w:rsidRPr="00CC59B1">
              <w:rPr>
                <w:rFonts w:ascii="Arial" w:hAnsi="Arial" w:cs="Arial"/>
                <w:color w:val="FFFFFF"/>
                <w:sz w:val="20"/>
                <w:szCs w:val="20"/>
              </w:rPr>
              <w:t>Numeral Informe</w:t>
            </w:r>
          </w:p>
        </w:tc>
        <w:tc>
          <w:tcPr>
            <w:tcW w:w="628" w:type="dxa"/>
            <w:vMerge w:val="restart"/>
            <w:shd w:val="clear" w:color="auto" w:fill="4F81BD" w:themeFill="accent1"/>
            <w:vAlign w:val="center"/>
            <w:hideMark/>
          </w:tcPr>
          <w:p w14:paraId="2EE8EFC6" w14:textId="77777777" w:rsidR="0034147A" w:rsidRPr="00CC59B1"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C59B1">
              <w:rPr>
                <w:rFonts w:ascii="Arial" w:hAnsi="Arial" w:cs="Arial"/>
                <w:color w:val="FFFFFF"/>
                <w:sz w:val="20"/>
                <w:szCs w:val="20"/>
              </w:rPr>
              <w:t>Ítem</w:t>
            </w:r>
          </w:p>
        </w:tc>
        <w:tc>
          <w:tcPr>
            <w:tcW w:w="1162" w:type="dxa"/>
            <w:vMerge w:val="restart"/>
            <w:shd w:val="clear" w:color="auto" w:fill="4F81BD" w:themeFill="accent1"/>
            <w:vAlign w:val="center"/>
            <w:hideMark/>
          </w:tcPr>
          <w:p w14:paraId="39435639" w14:textId="77777777" w:rsidR="0034147A" w:rsidRPr="00CC59B1"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C59B1">
              <w:rPr>
                <w:rFonts w:ascii="Arial" w:hAnsi="Arial" w:cs="Arial"/>
                <w:color w:val="FFFFFF"/>
                <w:sz w:val="20"/>
                <w:szCs w:val="20"/>
              </w:rPr>
              <w:t>Concepto</w:t>
            </w:r>
          </w:p>
        </w:tc>
        <w:tc>
          <w:tcPr>
            <w:tcW w:w="3544" w:type="dxa"/>
            <w:gridSpan w:val="3"/>
            <w:shd w:val="clear" w:color="auto" w:fill="4F81BD" w:themeFill="accent1"/>
            <w:vAlign w:val="center"/>
            <w:hideMark/>
          </w:tcPr>
          <w:p w14:paraId="674F93A2" w14:textId="77777777" w:rsidR="0034147A" w:rsidRPr="00CC59B1"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C59B1">
              <w:rPr>
                <w:rFonts w:ascii="Arial" w:hAnsi="Arial" w:cs="Arial"/>
                <w:color w:val="FFFFFF"/>
                <w:sz w:val="20"/>
                <w:szCs w:val="20"/>
              </w:rPr>
              <w:t xml:space="preserve">Impacto del Resultado </w:t>
            </w:r>
          </w:p>
        </w:tc>
        <w:tc>
          <w:tcPr>
            <w:tcW w:w="3402" w:type="dxa"/>
            <w:vMerge w:val="restart"/>
            <w:shd w:val="clear" w:color="auto" w:fill="4F81BD" w:themeFill="accent1"/>
            <w:vAlign w:val="center"/>
            <w:hideMark/>
          </w:tcPr>
          <w:p w14:paraId="72DFA044" w14:textId="77777777" w:rsidR="0034147A" w:rsidRPr="00CC59B1" w:rsidRDefault="0034147A" w:rsidP="0034147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CC59B1">
              <w:rPr>
                <w:rFonts w:ascii="Arial" w:hAnsi="Arial" w:cs="Arial"/>
                <w:color w:val="FFFFFF"/>
                <w:sz w:val="20"/>
                <w:szCs w:val="20"/>
              </w:rPr>
              <w:t xml:space="preserve">Observación de la Variación </w:t>
            </w:r>
          </w:p>
        </w:tc>
      </w:tr>
      <w:tr w:rsidR="0034147A" w:rsidRPr="00CC59B1" w14:paraId="07ED03E3" w14:textId="77777777" w:rsidTr="00087CC0">
        <w:trPr>
          <w:trHeight w:val="890"/>
        </w:trPr>
        <w:tc>
          <w:tcPr>
            <w:cnfStyle w:val="001000000000" w:firstRow="0" w:lastRow="0" w:firstColumn="1" w:lastColumn="0" w:oddVBand="0" w:evenVBand="0" w:oddHBand="0" w:evenHBand="0" w:firstRowFirstColumn="0" w:firstRowLastColumn="0" w:lastRowFirstColumn="0" w:lastRowLastColumn="0"/>
            <w:tcW w:w="1040" w:type="dxa"/>
            <w:vMerge/>
            <w:vAlign w:val="center"/>
            <w:hideMark/>
          </w:tcPr>
          <w:p w14:paraId="0ACA7023" w14:textId="77777777" w:rsidR="0034147A" w:rsidRPr="00CC59B1" w:rsidRDefault="0034147A" w:rsidP="0034147A">
            <w:pPr>
              <w:rPr>
                <w:rFonts w:ascii="Arial" w:hAnsi="Arial" w:cs="Arial"/>
                <w:color w:val="FFFFFF"/>
                <w:sz w:val="20"/>
                <w:szCs w:val="20"/>
              </w:rPr>
            </w:pPr>
          </w:p>
        </w:tc>
        <w:tc>
          <w:tcPr>
            <w:tcW w:w="628" w:type="dxa"/>
            <w:vMerge/>
            <w:vAlign w:val="center"/>
            <w:hideMark/>
          </w:tcPr>
          <w:p w14:paraId="133CAC4F" w14:textId="77777777" w:rsidR="0034147A" w:rsidRPr="00CC59B1"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162" w:type="dxa"/>
            <w:vMerge/>
            <w:vAlign w:val="center"/>
            <w:hideMark/>
          </w:tcPr>
          <w:p w14:paraId="19AB1204" w14:textId="77777777" w:rsidR="0034147A" w:rsidRPr="00CC59B1"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276" w:type="dxa"/>
            <w:shd w:val="clear" w:color="auto" w:fill="4F81BD" w:themeFill="accent1"/>
            <w:vAlign w:val="center"/>
            <w:hideMark/>
          </w:tcPr>
          <w:p w14:paraId="52DEE996" w14:textId="77777777" w:rsidR="0034147A" w:rsidRPr="00CC59B1"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CC59B1">
              <w:rPr>
                <w:rFonts w:ascii="Arial" w:hAnsi="Arial" w:cs="Arial"/>
                <w:b/>
                <w:bCs/>
                <w:color w:val="FFFFFF"/>
                <w:sz w:val="20"/>
                <w:szCs w:val="20"/>
              </w:rPr>
              <w:t>Medidas de Austeridad MHCP</w:t>
            </w:r>
          </w:p>
        </w:tc>
        <w:tc>
          <w:tcPr>
            <w:tcW w:w="1134" w:type="dxa"/>
            <w:shd w:val="clear" w:color="auto" w:fill="4F81BD" w:themeFill="accent1"/>
            <w:vAlign w:val="center"/>
            <w:hideMark/>
          </w:tcPr>
          <w:p w14:paraId="4CB3F9EE" w14:textId="77777777" w:rsidR="0034147A" w:rsidRPr="00CC59B1"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CC59B1">
              <w:rPr>
                <w:rFonts w:ascii="Arial" w:hAnsi="Arial" w:cs="Arial"/>
                <w:b/>
                <w:bCs/>
                <w:color w:val="FFFFFF"/>
                <w:sz w:val="20"/>
                <w:szCs w:val="20"/>
              </w:rPr>
              <w:t>Medidas COVID-19</w:t>
            </w:r>
          </w:p>
        </w:tc>
        <w:tc>
          <w:tcPr>
            <w:tcW w:w="1134" w:type="dxa"/>
            <w:shd w:val="clear" w:color="auto" w:fill="4F81BD" w:themeFill="accent1"/>
            <w:vAlign w:val="center"/>
            <w:hideMark/>
          </w:tcPr>
          <w:p w14:paraId="2F880284" w14:textId="77777777" w:rsidR="0034147A" w:rsidRPr="00CC59B1"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CC59B1">
              <w:rPr>
                <w:rFonts w:ascii="Arial" w:hAnsi="Arial" w:cs="Arial"/>
                <w:b/>
                <w:bCs/>
                <w:color w:val="FFFFFF"/>
                <w:sz w:val="20"/>
                <w:szCs w:val="20"/>
              </w:rPr>
              <w:t>Variación %</w:t>
            </w:r>
          </w:p>
        </w:tc>
        <w:tc>
          <w:tcPr>
            <w:tcW w:w="3402" w:type="dxa"/>
            <w:vMerge/>
            <w:vAlign w:val="center"/>
            <w:hideMark/>
          </w:tcPr>
          <w:p w14:paraId="0FD560BE" w14:textId="77777777" w:rsidR="0034147A" w:rsidRPr="00CC59B1" w:rsidRDefault="0034147A" w:rsidP="0034147A">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34147A" w:rsidRPr="00CC59B1" w14:paraId="11E1629C" w14:textId="77777777" w:rsidTr="00087CC0">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2ABACB0C" w14:textId="77777777" w:rsidR="0034147A" w:rsidRPr="008F5722" w:rsidRDefault="0034147A" w:rsidP="00B7131E">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5</w:t>
            </w:r>
          </w:p>
        </w:tc>
        <w:tc>
          <w:tcPr>
            <w:tcW w:w="628" w:type="dxa"/>
            <w:textDirection w:val="btLr"/>
            <w:vAlign w:val="center"/>
            <w:hideMark/>
          </w:tcPr>
          <w:p w14:paraId="5B0C4BF2" w14:textId="77777777" w:rsidR="0034147A" w:rsidRPr="008F5722"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Esquema de Seguridad</w:t>
            </w:r>
          </w:p>
        </w:tc>
        <w:tc>
          <w:tcPr>
            <w:tcW w:w="1162" w:type="dxa"/>
            <w:vAlign w:val="center"/>
            <w:hideMark/>
          </w:tcPr>
          <w:p w14:paraId="01CA72C9" w14:textId="77777777" w:rsidR="0034147A" w:rsidRPr="008F5722" w:rsidRDefault="0034147A" w:rsidP="00C8643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276" w:type="dxa"/>
            <w:vAlign w:val="center"/>
            <w:hideMark/>
          </w:tcPr>
          <w:p w14:paraId="4EA243C3" w14:textId="40235DCA" w:rsidR="0034147A" w:rsidRPr="008F5722"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noProof/>
                <w:color w:val="0F243E" w:themeColor="text2" w:themeShade="80"/>
                <w:sz w:val="20"/>
                <w:szCs w:val="20"/>
                <w:lang w:val="en-US" w:eastAsia="en-US"/>
              </w:rPr>
              <w:drawing>
                <wp:anchor distT="0" distB="0" distL="114300" distR="114300" simplePos="0" relativeHeight="252337152" behindDoc="0" locked="0" layoutInCell="1" allowOverlap="1" wp14:anchorId="557011FF" wp14:editId="6FA84448">
                  <wp:simplePos x="0" y="0"/>
                  <wp:positionH relativeFrom="column">
                    <wp:posOffset>104140</wp:posOffset>
                  </wp:positionH>
                  <wp:positionV relativeFrom="paragraph">
                    <wp:posOffset>5080</wp:posOffset>
                  </wp:positionV>
                  <wp:extent cx="542925" cy="457200"/>
                  <wp:effectExtent l="0" t="0" r="9525" b="0"/>
                  <wp:wrapNone/>
                  <wp:docPr id="57" name="Imagen 57"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420E7944" w14:textId="77777777" w:rsidR="0034147A" w:rsidRPr="008F5722"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w:t>
            </w:r>
          </w:p>
        </w:tc>
        <w:tc>
          <w:tcPr>
            <w:tcW w:w="1134" w:type="dxa"/>
            <w:vAlign w:val="center"/>
            <w:hideMark/>
          </w:tcPr>
          <w:p w14:paraId="404F05FC" w14:textId="1C649DEF" w:rsidR="0034147A" w:rsidRPr="008F5722" w:rsidRDefault="0034147A" w:rsidP="0034147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CC59B1" w:rsidRPr="008F5722">
              <w:rPr>
                <w:rFonts w:ascii="Arial" w:hAnsi="Arial" w:cs="Arial"/>
                <w:b/>
                <w:bCs/>
                <w:color w:val="0F243E" w:themeColor="text2" w:themeShade="80"/>
                <w:sz w:val="20"/>
                <w:szCs w:val="20"/>
              </w:rPr>
              <w:t>12</w:t>
            </w:r>
            <w:r w:rsidRPr="008F5722">
              <w:rPr>
                <w:rFonts w:ascii="Arial" w:hAnsi="Arial" w:cs="Arial"/>
                <w:b/>
                <w:bCs/>
                <w:color w:val="0F243E" w:themeColor="text2" w:themeShade="80"/>
                <w:sz w:val="20"/>
                <w:szCs w:val="20"/>
              </w:rPr>
              <w:t>%)</w:t>
            </w:r>
          </w:p>
        </w:tc>
        <w:tc>
          <w:tcPr>
            <w:tcW w:w="3402" w:type="dxa"/>
            <w:vAlign w:val="center"/>
            <w:hideMark/>
          </w:tcPr>
          <w:p w14:paraId="32A57E0C" w14:textId="5679E4D2" w:rsidR="0034147A" w:rsidRPr="008F5722" w:rsidRDefault="0034147A" w:rsidP="00B7131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gasto disminuyó debido a </w:t>
            </w:r>
            <w:r w:rsidR="00B7131E" w:rsidRPr="008F5722">
              <w:rPr>
                <w:rFonts w:ascii="Arial" w:hAnsi="Arial" w:cs="Arial"/>
                <w:color w:val="0F243E" w:themeColor="text2" w:themeShade="80"/>
                <w:sz w:val="20"/>
                <w:szCs w:val="20"/>
              </w:rPr>
              <w:t>que,</w:t>
            </w:r>
            <w:r w:rsidRPr="008F5722">
              <w:rPr>
                <w:rFonts w:ascii="Arial" w:hAnsi="Arial" w:cs="Arial"/>
                <w:color w:val="0F243E" w:themeColor="text2" w:themeShade="80"/>
                <w:sz w:val="20"/>
                <w:szCs w:val="20"/>
              </w:rPr>
              <w:t xml:space="preserve"> en el periodo de 2019</w:t>
            </w:r>
            <w:r w:rsidR="00B7131E" w:rsidRPr="008F5722">
              <w:rPr>
                <w:rFonts w:ascii="Arial" w:hAnsi="Arial" w:cs="Arial"/>
                <w:color w:val="0F243E" w:themeColor="text2" w:themeShade="80"/>
                <w:sz w:val="20"/>
                <w:szCs w:val="20"/>
              </w:rPr>
              <w:t xml:space="preserve"> </w:t>
            </w:r>
            <w:r w:rsidRPr="008F5722">
              <w:rPr>
                <w:rFonts w:ascii="Arial" w:hAnsi="Arial" w:cs="Arial"/>
                <w:color w:val="0F243E" w:themeColor="text2" w:themeShade="80"/>
                <w:sz w:val="20"/>
                <w:szCs w:val="20"/>
              </w:rPr>
              <w:t>se había contemplado</w:t>
            </w:r>
            <w:r w:rsidR="00BA47BD" w:rsidRPr="008F5722">
              <w:rPr>
                <w:rFonts w:ascii="Arial" w:hAnsi="Arial" w:cs="Arial"/>
                <w:color w:val="0F243E" w:themeColor="text2" w:themeShade="80"/>
                <w:sz w:val="20"/>
                <w:szCs w:val="20"/>
              </w:rPr>
              <w:t xml:space="preserve"> el</w:t>
            </w:r>
            <w:r w:rsidRPr="008F5722">
              <w:rPr>
                <w:rFonts w:ascii="Arial" w:hAnsi="Arial" w:cs="Arial"/>
                <w:color w:val="0F243E" w:themeColor="text2" w:themeShade="80"/>
                <w:sz w:val="20"/>
                <w:szCs w:val="20"/>
              </w:rPr>
              <w:t xml:space="preserve"> esquema de seguridad para el Viceministro General y Viceministro Técnico. Éste último renunció a la entidad a partir del 15 de </w:t>
            </w:r>
            <w:r w:rsidR="00B7131E" w:rsidRPr="008F5722">
              <w:rPr>
                <w:rFonts w:ascii="Arial" w:hAnsi="Arial" w:cs="Arial"/>
                <w:color w:val="0F243E" w:themeColor="text2" w:themeShade="80"/>
                <w:sz w:val="20"/>
                <w:szCs w:val="20"/>
              </w:rPr>
              <w:t>septiembre</w:t>
            </w:r>
            <w:r w:rsidRPr="008F5722">
              <w:rPr>
                <w:rFonts w:ascii="Arial" w:hAnsi="Arial" w:cs="Arial"/>
                <w:color w:val="0F243E" w:themeColor="text2" w:themeShade="80"/>
                <w:sz w:val="20"/>
                <w:szCs w:val="20"/>
              </w:rPr>
              <w:t xml:space="preserve"> de 2019. </w:t>
            </w:r>
          </w:p>
        </w:tc>
      </w:tr>
      <w:tr w:rsidR="0034147A" w:rsidRPr="00CC59B1" w14:paraId="7C62F260" w14:textId="77777777" w:rsidTr="00087CC0">
        <w:trPr>
          <w:trHeight w:val="4057"/>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0E90C2C2" w14:textId="77777777" w:rsidR="0034147A" w:rsidRPr="008F5722" w:rsidRDefault="0034147A" w:rsidP="00024F48">
            <w:pPr>
              <w:spacing w:before="20" w:after="4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5.1</w:t>
            </w:r>
          </w:p>
        </w:tc>
        <w:tc>
          <w:tcPr>
            <w:tcW w:w="628" w:type="dxa"/>
            <w:textDirection w:val="btLr"/>
            <w:vAlign w:val="center"/>
            <w:hideMark/>
          </w:tcPr>
          <w:p w14:paraId="628C35E9"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Mantenimiento Parque Automotor</w:t>
            </w:r>
          </w:p>
        </w:tc>
        <w:tc>
          <w:tcPr>
            <w:tcW w:w="1162" w:type="dxa"/>
            <w:vAlign w:val="center"/>
            <w:hideMark/>
          </w:tcPr>
          <w:p w14:paraId="37FD16A5"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276" w:type="dxa"/>
            <w:vAlign w:val="center"/>
            <w:hideMark/>
          </w:tcPr>
          <w:p w14:paraId="035A7A1B" w14:textId="7E25E90D" w:rsidR="0034147A" w:rsidRPr="008F5722" w:rsidRDefault="00A24A88"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99616" behindDoc="0" locked="0" layoutInCell="1" allowOverlap="1" wp14:anchorId="0F6A9D66" wp14:editId="450DC174">
                  <wp:simplePos x="0" y="0"/>
                  <wp:positionH relativeFrom="column">
                    <wp:posOffset>149225</wp:posOffset>
                  </wp:positionH>
                  <wp:positionV relativeFrom="paragraph">
                    <wp:posOffset>57150</wp:posOffset>
                  </wp:positionV>
                  <wp:extent cx="333375" cy="295275"/>
                  <wp:effectExtent l="0" t="0" r="9525" b="9525"/>
                  <wp:wrapNone/>
                  <wp:docPr id="24" name="Imagen 24"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r w:rsidR="0034147A" w:rsidRPr="008F5722">
              <w:rPr>
                <w:rFonts w:ascii="Arial" w:hAnsi="Arial" w:cs="Arial"/>
                <w:color w:val="0F243E" w:themeColor="text2" w:themeShade="80"/>
                <w:sz w:val="20"/>
                <w:szCs w:val="20"/>
              </w:rPr>
              <w:t> </w:t>
            </w:r>
          </w:p>
        </w:tc>
        <w:tc>
          <w:tcPr>
            <w:tcW w:w="1134" w:type="dxa"/>
            <w:vAlign w:val="center"/>
            <w:hideMark/>
          </w:tcPr>
          <w:p w14:paraId="410B2032" w14:textId="492580AC" w:rsidR="0034147A" w:rsidRPr="008F5722" w:rsidRDefault="00A24A88"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401664" behindDoc="0" locked="0" layoutInCell="1" allowOverlap="1" wp14:anchorId="3EC622F2" wp14:editId="5FED752D">
                  <wp:simplePos x="0" y="0"/>
                  <wp:positionH relativeFrom="column">
                    <wp:posOffset>133350</wp:posOffset>
                  </wp:positionH>
                  <wp:positionV relativeFrom="paragraph">
                    <wp:posOffset>76835</wp:posOffset>
                  </wp:positionV>
                  <wp:extent cx="333375" cy="295275"/>
                  <wp:effectExtent l="0" t="0" r="9525" b="9525"/>
                  <wp:wrapNone/>
                  <wp:docPr id="35" name="Imagen 35"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62DEF574" w14:textId="33CB6B5D" w:rsidR="0034147A" w:rsidRPr="008F5722" w:rsidRDefault="00A24A88"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67%</w:t>
            </w:r>
          </w:p>
        </w:tc>
        <w:tc>
          <w:tcPr>
            <w:tcW w:w="3402" w:type="dxa"/>
            <w:vAlign w:val="center"/>
            <w:hideMark/>
          </w:tcPr>
          <w:p w14:paraId="1C198943" w14:textId="15A9186E" w:rsidR="0034147A" w:rsidRPr="008F5722"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 Los gastos se </w:t>
            </w:r>
            <w:r w:rsidR="00A24A88" w:rsidRPr="008F5722">
              <w:rPr>
                <w:rFonts w:ascii="Arial" w:hAnsi="Arial" w:cs="Arial"/>
                <w:color w:val="0F243E" w:themeColor="text2" w:themeShade="80"/>
                <w:sz w:val="20"/>
                <w:szCs w:val="20"/>
              </w:rPr>
              <w:t>incrementaron, teniendo en cuenta que, durante el tercer trimestre de 2020 se intensificó el mantenimiento básico según las medidas de bioseguridad exigidas, así mismo, fue necesario solicitar el mantenimiento para aquellos vehículos que por las restricciones de movilidad durante la etapa de aislamiento preventivo obligatorio fueron aplazados.</w:t>
            </w:r>
          </w:p>
          <w:p w14:paraId="1E7B546F" w14:textId="15F82A44" w:rsidR="00A24A88" w:rsidRPr="008F5722" w:rsidRDefault="000740D9"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Adicionalmente, en la vigencia 2020 se aumentó en 2 vehículos entregados al MHCP en figura de destinación provisional por parte de la SAE. </w:t>
            </w:r>
          </w:p>
        </w:tc>
      </w:tr>
      <w:tr w:rsidR="0034147A" w:rsidRPr="00CC59B1" w14:paraId="3654C431" w14:textId="77777777" w:rsidTr="00087CC0">
        <w:trPr>
          <w:trHeight w:val="1154"/>
        </w:trPr>
        <w:tc>
          <w:tcPr>
            <w:cnfStyle w:val="001000000000" w:firstRow="0" w:lastRow="0" w:firstColumn="1" w:lastColumn="0" w:oddVBand="0" w:evenVBand="0" w:oddHBand="0" w:evenHBand="0" w:firstRowFirstColumn="0" w:firstRowLastColumn="0" w:lastRowFirstColumn="0" w:lastRowLastColumn="0"/>
            <w:tcW w:w="1040" w:type="dxa"/>
            <w:vMerge w:val="restart"/>
            <w:vAlign w:val="center"/>
            <w:hideMark/>
          </w:tcPr>
          <w:p w14:paraId="7AF934B9" w14:textId="77777777" w:rsidR="0034147A" w:rsidRPr="008F5722" w:rsidRDefault="0034147A" w:rsidP="00024F48">
            <w:pPr>
              <w:spacing w:before="20" w:after="4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5.2</w:t>
            </w:r>
          </w:p>
        </w:tc>
        <w:tc>
          <w:tcPr>
            <w:tcW w:w="628" w:type="dxa"/>
            <w:vMerge w:val="restart"/>
            <w:textDirection w:val="btLr"/>
            <w:vAlign w:val="center"/>
            <w:hideMark/>
          </w:tcPr>
          <w:p w14:paraId="4568941E"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Combustible</w:t>
            </w:r>
          </w:p>
        </w:tc>
        <w:tc>
          <w:tcPr>
            <w:tcW w:w="1162" w:type="dxa"/>
            <w:vAlign w:val="center"/>
            <w:hideMark/>
          </w:tcPr>
          <w:p w14:paraId="580726ED"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276" w:type="dxa"/>
            <w:vAlign w:val="center"/>
            <w:hideMark/>
          </w:tcPr>
          <w:p w14:paraId="256D3EBF"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134" w:type="dxa"/>
            <w:vMerge w:val="restart"/>
            <w:noWrap/>
            <w:vAlign w:val="center"/>
            <w:hideMark/>
          </w:tcPr>
          <w:p w14:paraId="6B0CE765" w14:textId="5EC8654C" w:rsidR="0034147A" w:rsidRPr="008F5722" w:rsidRDefault="00015804"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F5722">
              <w:rPr>
                <w:rFonts w:ascii="Arial" w:hAnsi="Arial" w:cs="Arial"/>
                <w:noProof/>
                <w:color w:val="0F243E" w:themeColor="text2" w:themeShade="80"/>
                <w:sz w:val="20"/>
                <w:szCs w:val="20"/>
                <w:lang w:val="en-US" w:eastAsia="en-US"/>
              </w:rPr>
              <w:drawing>
                <wp:anchor distT="0" distB="0" distL="114300" distR="114300" simplePos="0" relativeHeight="252343296" behindDoc="0" locked="0" layoutInCell="1" allowOverlap="1" wp14:anchorId="4CF909CE" wp14:editId="743829AC">
                  <wp:simplePos x="0" y="0"/>
                  <wp:positionH relativeFrom="column">
                    <wp:posOffset>-19050</wp:posOffset>
                  </wp:positionH>
                  <wp:positionV relativeFrom="paragraph">
                    <wp:posOffset>-80645</wp:posOffset>
                  </wp:positionV>
                  <wp:extent cx="533400" cy="457200"/>
                  <wp:effectExtent l="0" t="0" r="0" b="0"/>
                  <wp:wrapNone/>
                  <wp:docPr id="58" name="Imagen 58" descr="Marca de verificación o garrapatas icono en círculo rojo Foto de archivo - 33223458">
                    <a:extLst xmlns:a="http://schemas.openxmlformats.org/drawingml/2006/main">
                      <a:ext uri="{FF2B5EF4-FFF2-40B4-BE49-F238E27FC236}">
                        <a16:creationId xmlns:a16="http://schemas.microsoft.com/office/drawing/2014/main" id="{FC37577C-9510-4A1D-A2A6-257E3A92679E}"/>
                      </a:ext>
                    </a:extLst>
                  </wp:docPr>
                  <wp:cNvGraphicFramePr/>
                  <a:graphic xmlns:a="http://schemas.openxmlformats.org/drawingml/2006/main">
                    <a:graphicData uri="http://schemas.openxmlformats.org/drawingml/2006/picture">
                      <pic:pic xmlns:pic="http://schemas.openxmlformats.org/drawingml/2006/picture">
                        <pic:nvPicPr>
                          <pic:cNvPr id="6" name="Imagen 5" descr="Marca de verificación o garrapatas icono en círculo rojo Foto de archivo - 33223458">
                            <a:extLst>
                              <a:ext uri="{FF2B5EF4-FFF2-40B4-BE49-F238E27FC236}">
                                <a16:creationId xmlns:a16="http://schemas.microsoft.com/office/drawing/2014/main" id="{FC37577C-9510-4A1D-A2A6-257E3A92679E}"/>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4837B974" w14:textId="5AE35889" w:rsidR="0034147A" w:rsidRPr="008F5722"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34" w:type="dxa"/>
            <w:vAlign w:val="center"/>
            <w:hideMark/>
          </w:tcPr>
          <w:p w14:paraId="1CD263CB" w14:textId="09B36AA5"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(-7</w:t>
            </w:r>
            <w:r w:rsidR="000740D9" w:rsidRPr="008F5722">
              <w:rPr>
                <w:rFonts w:ascii="Arial" w:hAnsi="Arial" w:cs="Arial"/>
                <w:b/>
                <w:bCs/>
                <w:color w:val="0F243E" w:themeColor="text2" w:themeShade="80"/>
                <w:sz w:val="20"/>
                <w:szCs w:val="20"/>
              </w:rPr>
              <w:t>2</w:t>
            </w:r>
            <w:r w:rsidRPr="008F5722">
              <w:rPr>
                <w:rFonts w:ascii="Arial" w:hAnsi="Arial" w:cs="Arial"/>
                <w:b/>
                <w:bCs/>
                <w:color w:val="0F243E" w:themeColor="text2" w:themeShade="80"/>
                <w:sz w:val="20"/>
                <w:szCs w:val="20"/>
              </w:rPr>
              <w:t>%)</w:t>
            </w:r>
          </w:p>
        </w:tc>
        <w:tc>
          <w:tcPr>
            <w:tcW w:w="3402" w:type="dxa"/>
            <w:vMerge w:val="restart"/>
            <w:vAlign w:val="center"/>
            <w:hideMark/>
          </w:tcPr>
          <w:p w14:paraId="4E4B359E" w14:textId="2853E7CA" w:rsidR="0034147A" w:rsidRPr="008F5722"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Las disminuciones para este </w:t>
            </w:r>
            <w:r w:rsidR="00F4290B" w:rsidRPr="008F5722">
              <w:rPr>
                <w:rFonts w:ascii="Arial" w:hAnsi="Arial" w:cs="Arial"/>
                <w:color w:val="0F243E" w:themeColor="text2" w:themeShade="80"/>
                <w:sz w:val="20"/>
                <w:szCs w:val="20"/>
              </w:rPr>
              <w:t>concepto</w:t>
            </w:r>
            <w:r w:rsidRPr="008F5722">
              <w:rPr>
                <w:rFonts w:ascii="Arial" w:hAnsi="Arial" w:cs="Arial"/>
                <w:color w:val="0F243E" w:themeColor="text2" w:themeShade="80"/>
                <w:sz w:val="20"/>
                <w:szCs w:val="20"/>
              </w:rPr>
              <w:t xml:space="preserve"> fueron consecuencia de las restricciones de movilidad con ocasión a la emergencia sanitaria [COVID-19], por tal razón, los vehículos oficiales no fueron utilizados en su totalidad y por ende no fue necesario el consumo de combustible que habitualmente se venía generando. </w:t>
            </w:r>
          </w:p>
        </w:tc>
      </w:tr>
      <w:tr w:rsidR="0034147A" w:rsidRPr="00CC59B1" w14:paraId="4752F49C" w14:textId="77777777" w:rsidTr="00087CC0">
        <w:trPr>
          <w:trHeight w:val="677"/>
        </w:trPr>
        <w:tc>
          <w:tcPr>
            <w:cnfStyle w:val="001000000000" w:firstRow="0" w:lastRow="0" w:firstColumn="1" w:lastColumn="0" w:oddVBand="0" w:evenVBand="0" w:oddHBand="0" w:evenHBand="0" w:firstRowFirstColumn="0" w:firstRowLastColumn="0" w:lastRowFirstColumn="0" w:lastRowLastColumn="0"/>
            <w:tcW w:w="1040" w:type="dxa"/>
            <w:vMerge/>
            <w:vAlign w:val="center"/>
            <w:hideMark/>
          </w:tcPr>
          <w:p w14:paraId="6CF764D0" w14:textId="77777777" w:rsidR="0034147A" w:rsidRPr="008F5722" w:rsidRDefault="0034147A" w:rsidP="00024F48">
            <w:pPr>
              <w:spacing w:before="20" w:after="40"/>
              <w:rPr>
                <w:rFonts w:ascii="Arial" w:hAnsi="Arial" w:cs="Arial"/>
                <w:color w:val="0F243E" w:themeColor="text2" w:themeShade="80"/>
                <w:sz w:val="20"/>
                <w:szCs w:val="20"/>
              </w:rPr>
            </w:pPr>
          </w:p>
        </w:tc>
        <w:tc>
          <w:tcPr>
            <w:tcW w:w="628" w:type="dxa"/>
            <w:vMerge/>
            <w:vAlign w:val="center"/>
            <w:hideMark/>
          </w:tcPr>
          <w:p w14:paraId="69E377AC" w14:textId="77777777" w:rsidR="0034147A" w:rsidRPr="008F5722"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62" w:type="dxa"/>
            <w:vAlign w:val="center"/>
            <w:hideMark/>
          </w:tcPr>
          <w:p w14:paraId="5672E1EB"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Cantidad en Galones</w:t>
            </w:r>
          </w:p>
        </w:tc>
        <w:tc>
          <w:tcPr>
            <w:tcW w:w="1276" w:type="dxa"/>
            <w:vAlign w:val="center"/>
            <w:hideMark/>
          </w:tcPr>
          <w:p w14:paraId="1051C572"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134" w:type="dxa"/>
            <w:vMerge/>
            <w:vAlign w:val="center"/>
            <w:hideMark/>
          </w:tcPr>
          <w:p w14:paraId="2C106E6C" w14:textId="77777777" w:rsidR="0034147A" w:rsidRPr="008F5722"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34" w:type="dxa"/>
            <w:vAlign w:val="center"/>
            <w:hideMark/>
          </w:tcPr>
          <w:p w14:paraId="0D68EE11" w14:textId="6B35C580"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0740D9" w:rsidRPr="008F5722">
              <w:rPr>
                <w:rFonts w:ascii="Arial" w:hAnsi="Arial" w:cs="Arial"/>
                <w:b/>
                <w:bCs/>
                <w:color w:val="0F243E" w:themeColor="text2" w:themeShade="80"/>
                <w:sz w:val="20"/>
                <w:szCs w:val="20"/>
              </w:rPr>
              <w:t>68</w:t>
            </w:r>
            <w:r w:rsidRPr="008F5722">
              <w:rPr>
                <w:rFonts w:ascii="Arial" w:hAnsi="Arial" w:cs="Arial"/>
                <w:b/>
                <w:bCs/>
                <w:color w:val="0F243E" w:themeColor="text2" w:themeShade="80"/>
                <w:sz w:val="20"/>
                <w:szCs w:val="20"/>
              </w:rPr>
              <w:t>%)</w:t>
            </w:r>
          </w:p>
        </w:tc>
        <w:tc>
          <w:tcPr>
            <w:tcW w:w="3402" w:type="dxa"/>
            <w:vMerge/>
            <w:vAlign w:val="center"/>
            <w:hideMark/>
          </w:tcPr>
          <w:p w14:paraId="0D81CAEF" w14:textId="77777777" w:rsidR="0034147A" w:rsidRPr="008F5722" w:rsidRDefault="0034147A" w:rsidP="00024F48">
            <w:pPr>
              <w:spacing w:before="2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34147A" w:rsidRPr="00CA48AF" w14:paraId="4C93063C" w14:textId="77777777" w:rsidTr="00087CC0">
        <w:trPr>
          <w:trHeight w:val="2234"/>
        </w:trPr>
        <w:tc>
          <w:tcPr>
            <w:cnfStyle w:val="001000000000" w:firstRow="0" w:lastRow="0" w:firstColumn="1" w:lastColumn="0" w:oddVBand="0" w:evenVBand="0" w:oddHBand="0" w:evenHBand="0" w:firstRowFirstColumn="0" w:firstRowLastColumn="0" w:lastRowFirstColumn="0" w:lastRowLastColumn="0"/>
            <w:tcW w:w="1040" w:type="dxa"/>
            <w:vAlign w:val="center"/>
            <w:hideMark/>
          </w:tcPr>
          <w:p w14:paraId="547EF0F1" w14:textId="4F5E3E28" w:rsidR="0034147A" w:rsidRPr="008F5722" w:rsidRDefault="0034147A" w:rsidP="00024F48">
            <w:pPr>
              <w:spacing w:before="20" w:after="4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5.3</w:t>
            </w:r>
          </w:p>
        </w:tc>
        <w:tc>
          <w:tcPr>
            <w:tcW w:w="628" w:type="dxa"/>
            <w:textDirection w:val="btLr"/>
            <w:vAlign w:val="center"/>
            <w:hideMark/>
          </w:tcPr>
          <w:p w14:paraId="24EE3973"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Garajes</w:t>
            </w:r>
          </w:p>
        </w:tc>
        <w:tc>
          <w:tcPr>
            <w:tcW w:w="1162" w:type="dxa"/>
            <w:vAlign w:val="center"/>
            <w:hideMark/>
          </w:tcPr>
          <w:p w14:paraId="621EB9D5"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276" w:type="dxa"/>
            <w:vAlign w:val="center"/>
            <w:hideMark/>
          </w:tcPr>
          <w:p w14:paraId="4FCBFE0A" w14:textId="77777777"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w:t>
            </w:r>
          </w:p>
        </w:tc>
        <w:tc>
          <w:tcPr>
            <w:tcW w:w="1134" w:type="dxa"/>
            <w:vAlign w:val="center"/>
            <w:hideMark/>
          </w:tcPr>
          <w:p w14:paraId="5FDDA16B" w14:textId="36F898A0"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noProof/>
                <w:color w:val="0F243E" w:themeColor="text2" w:themeShade="80"/>
                <w:sz w:val="20"/>
                <w:szCs w:val="20"/>
                <w:lang w:val="en-US" w:eastAsia="en-US"/>
              </w:rPr>
              <w:drawing>
                <wp:anchor distT="0" distB="0" distL="114300" distR="114300" simplePos="0" relativeHeight="252339200" behindDoc="0" locked="0" layoutInCell="1" allowOverlap="1" wp14:anchorId="4238A398" wp14:editId="02AB35FA">
                  <wp:simplePos x="0" y="0"/>
                  <wp:positionH relativeFrom="column">
                    <wp:posOffset>-10795</wp:posOffset>
                  </wp:positionH>
                  <wp:positionV relativeFrom="paragraph">
                    <wp:posOffset>-85725</wp:posOffset>
                  </wp:positionV>
                  <wp:extent cx="533400" cy="457200"/>
                  <wp:effectExtent l="0" t="0" r="0" b="0"/>
                  <wp:wrapNone/>
                  <wp:docPr id="51" name="Imagen 51" descr="Marca de verificación o garrapatas icono en círculo rojo Foto de archivo - 33223458">
                    <a:extLst xmlns:a="http://schemas.openxmlformats.org/drawingml/2006/main">
                      <a:ext uri="{FF2B5EF4-FFF2-40B4-BE49-F238E27FC236}">
                        <a16:creationId xmlns:a16="http://schemas.microsoft.com/office/drawing/2014/main" id="{22C1D82F-2069-4A8C-B85B-1669CCC318E3}"/>
                      </a:ext>
                    </a:extLst>
                  </wp:docPr>
                  <wp:cNvGraphicFramePr/>
                  <a:graphic xmlns:a="http://schemas.openxmlformats.org/drawingml/2006/main">
                    <a:graphicData uri="http://schemas.openxmlformats.org/drawingml/2006/picture">
                      <pic:pic xmlns:pic="http://schemas.openxmlformats.org/drawingml/2006/picture">
                        <pic:nvPicPr>
                          <pic:cNvPr id="11" name="Imagen 10" descr="Marca de verificación o garrapatas icono en círculo rojo Foto de archivo - 33223458">
                            <a:extLst>
                              <a:ext uri="{FF2B5EF4-FFF2-40B4-BE49-F238E27FC236}">
                                <a16:creationId xmlns:a16="http://schemas.microsoft.com/office/drawing/2014/main" id="{22C1D82F-2069-4A8C-B85B-1669CCC318E3}"/>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hideMark/>
          </w:tcPr>
          <w:p w14:paraId="54867344" w14:textId="54DE796A" w:rsidR="0034147A" w:rsidRPr="008F5722" w:rsidRDefault="0034147A" w:rsidP="00024F48">
            <w:pPr>
              <w:spacing w:before="2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B17BFC" w:rsidRPr="008F5722">
              <w:rPr>
                <w:rFonts w:ascii="Arial" w:hAnsi="Arial" w:cs="Arial"/>
                <w:b/>
                <w:bCs/>
                <w:color w:val="0F243E" w:themeColor="text2" w:themeShade="80"/>
                <w:sz w:val="20"/>
                <w:szCs w:val="20"/>
              </w:rPr>
              <w:t>29</w:t>
            </w:r>
            <w:r w:rsidRPr="008F5722">
              <w:rPr>
                <w:rFonts w:ascii="Arial" w:hAnsi="Arial" w:cs="Arial"/>
                <w:b/>
                <w:bCs/>
                <w:color w:val="0F243E" w:themeColor="text2" w:themeShade="80"/>
                <w:sz w:val="20"/>
                <w:szCs w:val="20"/>
              </w:rPr>
              <w:t>%)</w:t>
            </w:r>
          </w:p>
        </w:tc>
        <w:tc>
          <w:tcPr>
            <w:tcW w:w="3402" w:type="dxa"/>
            <w:vAlign w:val="center"/>
            <w:hideMark/>
          </w:tcPr>
          <w:p w14:paraId="4500D909" w14:textId="4CEA65BD" w:rsidR="0034147A" w:rsidRPr="008F5722" w:rsidRDefault="0034147A" w:rsidP="00024F48">
            <w:pPr>
              <w:spacing w:before="2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Debido a las restricciones de movilidad establecidas por el Gobierno Nación y Distrital durante el periodo de aislamiento preventivo obligatorio, generó que para ciertos casos los vehículos oficiales estuvieron en el parqueadero de las instalaciones de este Ministerio, sin generar gastos </w:t>
            </w:r>
            <w:r w:rsidR="0015624E" w:rsidRPr="008F5722">
              <w:rPr>
                <w:rFonts w:ascii="Arial" w:hAnsi="Arial" w:cs="Arial"/>
                <w:color w:val="0F243E" w:themeColor="text2" w:themeShade="80"/>
                <w:sz w:val="20"/>
                <w:szCs w:val="20"/>
              </w:rPr>
              <w:t xml:space="preserve">adicionales </w:t>
            </w:r>
            <w:r w:rsidRPr="008F5722">
              <w:rPr>
                <w:rFonts w:ascii="Arial" w:hAnsi="Arial" w:cs="Arial"/>
                <w:color w:val="0F243E" w:themeColor="text2" w:themeShade="80"/>
                <w:sz w:val="20"/>
                <w:szCs w:val="20"/>
              </w:rPr>
              <w:t xml:space="preserve">por servicio de garajes y/o parqueaderos. </w:t>
            </w:r>
          </w:p>
        </w:tc>
      </w:tr>
    </w:tbl>
    <w:p w14:paraId="13CF30EA" w14:textId="4B5DCD9D" w:rsidR="0034147A" w:rsidRPr="00CA48AF" w:rsidRDefault="0034147A" w:rsidP="0025754D">
      <w:pPr>
        <w:spacing w:line="168" w:lineRule="auto"/>
        <w:jc w:val="both"/>
        <w:rPr>
          <w:rFonts w:ascii="Arial" w:hAnsi="Arial" w:cs="Arial"/>
          <w:sz w:val="22"/>
          <w:szCs w:val="22"/>
          <w:highlight w:val="yellow"/>
        </w:rPr>
      </w:pPr>
    </w:p>
    <w:p w14:paraId="68A5DDC5" w14:textId="423061A9" w:rsidR="00ED746C" w:rsidRDefault="00ED746C" w:rsidP="00024F48">
      <w:pPr>
        <w:spacing w:line="168" w:lineRule="auto"/>
        <w:jc w:val="both"/>
        <w:rPr>
          <w:rFonts w:ascii="Arial" w:hAnsi="Arial" w:cs="Arial"/>
          <w:color w:val="0F243E" w:themeColor="text2" w:themeShade="80"/>
          <w:sz w:val="22"/>
          <w:szCs w:val="22"/>
          <w:highlight w:val="yellow"/>
        </w:rPr>
      </w:pPr>
    </w:p>
    <w:p w14:paraId="551F6B82" w14:textId="0BCC84CA" w:rsidR="00087CC0" w:rsidRDefault="00087CC0" w:rsidP="00024F48">
      <w:pPr>
        <w:spacing w:line="168" w:lineRule="auto"/>
        <w:jc w:val="both"/>
        <w:rPr>
          <w:rFonts w:ascii="Arial" w:hAnsi="Arial" w:cs="Arial"/>
          <w:color w:val="0F243E" w:themeColor="text2" w:themeShade="80"/>
          <w:sz w:val="22"/>
          <w:szCs w:val="22"/>
          <w:highlight w:val="yellow"/>
        </w:rPr>
      </w:pPr>
    </w:p>
    <w:p w14:paraId="400EF3D4" w14:textId="77777777" w:rsidR="00D951CA" w:rsidRDefault="00D951CA" w:rsidP="00024F48">
      <w:pPr>
        <w:spacing w:line="168" w:lineRule="auto"/>
        <w:jc w:val="both"/>
        <w:rPr>
          <w:rFonts w:ascii="Arial" w:hAnsi="Arial" w:cs="Arial"/>
          <w:color w:val="0F243E" w:themeColor="text2" w:themeShade="80"/>
          <w:sz w:val="22"/>
          <w:szCs w:val="22"/>
          <w:highlight w:val="yellow"/>
        </w:rPr>
      </w:pPr>
    </w:p>
    <w:p w14:paraId="1E5E4A20" w14:textId="77777777" w:rsidR="00087CC0" w:rsidRPr="00CA48AF" w:rsidRDefault="00087CC0" w:rsidP="00024F48">
      <w:pPr>
        <w:spacing w:line="168" w:lineRule="auto"/>
        <w:jc w:val="both"/>
        <w:rPr>
          <w:rFonts w:ascii="Arial" w:hAnsi="Arial" w:cs="Arial"/>
          <w:color w:val="0F243E" w:themeColor="text2" w:themeShade="80"/>
          <w:sz w:val="22"/>
          <w:szCs w:val="22"/>
          <w:highlight w:val="yellow"/>
        </w:rPr>
      </w:pPr>
    </w:p>
    <w:p w14:paraId="368E0A3B" w14:textId="77777777" w:rsidR="00C8643D" w:rsidRPr="008F5722" w:rsidRDefault="00C8643D" w:rsidP="00ED746C">
      <w:pPr>
        <w:spacing w:line="264" w:lineRule="auto"/>
        <w:rPr>
          <w:rFonts w:ascii="Arial" w:hAnsi="Arial" w:cs="Arial"/>
          <w:b/>
          <w:color w:val="0F243E" w:themeColor="text2" w:themeShade="80"/>
          <w:sz w:val="22"/>
          <w:szCs w:val="22"/>
        </w:rPr>
      </w:pPr>
      <w:r w:rsidRPr="008F5722">
        <w:rPr>
          <w:rFonts w:ascii="Arial" w:hAnsi="Arial" w:cs="Arial"/>
          <w:b/>
          <w:color w:val="0F243E" w:themeColor="text2" w:themeShade="80"/>
          <w:sz w:val="22"/>
          <w:szCs w:val="22"/>
        </w:rPr>
        <w:lastRenderedPageBreak/>
        <w:t>PAPELERÍA Y TELEFONÍA</w:t>
      </w:r>
    </w:p>
    <w:tbl>
      <w:tblPr>
        <w:tblStyle w:val="Tabladecuadrcula1clara-nfasis1"/>
        <w:tblW w:w="0" w:type="auto"/>
        <w:tblLayout w:type="fixed"/>
        <w:tblLook w:val="04A0" w:firstRow="1" w:lastRow="0" w:firstColumn="1" w:lastColumn="0" w:noHBand="0" w:noVBand="1"/>
      </w:tblPr>
      <w:tblGrid>
        <w:gridCol w:w="1038"/>
        <w:gridCol w:w="800"/>
        <w:gridCol w:w="1386"/>
        <w:gridCol w:w="1309"/>
        <w:gridCol w:w="1214"/>
        <w:gridCol w:w="1194"/>
        <w:gridCol w:w="2693"/>
      </w:tblGrid>
      <w:tr w:rsidR="0025754D" w:rsidRPr="00AA5214" w14:paraId="1A9AE5F6" w14:textId="77777777" w:rsidTr="00087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vMerge w:val="restart"/>
            <w:shd w:val="clear" w:color="auto" w:fill="4F81BD" w:themeFill="accent1"/>
            <w:vAlign w:val="center"/>
            <w:hideMark/>
          </w:tcPr>
          <w:p w14:paraId="222265A8" w14:textId="77777777" w:rsidR="00C8643D" w:rsidRPr="00BA413C" w:rsidRDefault="00C8643D" w:rsidP="00087CC0">
            <w:pPr>
              <w:jc w:val="center"/>
              <w:rPr>
                <w:rFonts w:ascii="Arial" w:hAnsi="Arial" w:cs="Arial"/>
                <w:color w:val="FFFFFF"/>
                <w:sz w:val="20"/>
                <w:szCs w:val="20"/>
              </w:rPr>
            </w:pPr>
            <w:r w:rsidRPr="00BA413C">
              <w:rPr>
                <w:rFonts w:ascii="Arial" w:hAnsi="Arial" w:cs="Arial"/>
                <w:color w:val="FFFFFF"/>
                <w:sz w:val="20"/>
                <w:szCs w:val="20"/>
              </w:rPr>
              <w:t>Numeral Informe</w:t>
            </w:r>
          </w:p>
        </w:tc>
        <w:tc>
          <w:tcPr>
            <w:tcW w:w="800" w:type="dxa"/>
            <w:vMerge w:val="restart"/>
            <w:shd w:val="clear" w:color="auto" w:fill="4F81BD" w:themeFill="accent1"/>
            <w:vAlign w:val="center"/>
            <w:hideMark/>
          </w:tcPr>
          <w:p w14:paraId="1CA29495" w14:textId="77777777" w:rsidR="00C8643D" w:rsidRPr="00BA413C" w:rsidRDefault="00C8643D" w:rsidP="00087CC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A413C">
              <w:rPr>
                <w:rFonts w:ascii="Arial" w:hAnsi="Arial" w:cs="Arial"/>
                <w:color w:val="FFFFFF"/>
                <w:sz w:val="20"/>
                <w:szCs w:val="20"/>
              </w:rPr>
              <w:t>Ítem</w:t>
            </w:r>
          </w:p>
        </w:tc>
        <w:tc>
          <w:tcPr>
            <w:tcW w:w="1386" w:type="dxa"/>
            <w:vMerge w:val="restart"/>
            <w:shd w:val="clear" w:color="auto" w:fill="4F81BD" w:themeFill="accent1"/>
            <w:vAlign w:val="center"/>
            <w:hideMark/>
          </w:tcPr>
          <w:p w14:paraId="242AD499" w14:textId="77777777" w:rsidR="00C8643D" w:rsidRPr="00BA413C" w:rsidRDefault="00C8643D" w:rsidP="00087CC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A413C">
              <w:rPr>
                <w:rFonts w:ascii="Arial" w:hAnsi="Arial" w:cs="Arial"/>
                <w:color w:val="FFFFFF"/>
                <w:sz w:val="20"/>
                <w:szCs w:val="20"/>
              </w:rPr>
              <w:t>Concepto</w:t>
            </w:r>
          </w:p>
        </w:tc>
        <w:tc>
          <w:tcPr>
            <w:tcW w:w="3717" w:type="dxa"/>
            <w:gridSpan w:val="3"/>
            <w:shd w:val="clear" w:color="auto" w:fill="4F81BD" w:themeFill="accent1"/>
            <w:vAlign w:val="center"/>
            <w:hideMark/>
          </w:tcPr>
          <w:p w14:paraId="1A2ABB77" w14:textId="77777777" w:rsidR="00C8643D" w:rsidRPr="00BA413C" w:rsidRDefault="00C8643D" w:rsidP="00087CC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BA413C">
              <w:rPr>
                <w:rFonts w:ascii="Arial" w:hAnsi="Arial" w:cs="Arial"/>
                <w:color w:val="FFFFFF"/>
                <w:sz w:val="20"/>
                <w:szCs w:val="20"/>
              </w:rPr>
              <w:t xml:space="preserve">Impacto del Resultado </w:t>
            </w:r>
          </w:p>
        </w:tc>
        <w:tc>
          <w:tcPr>
            <w:tcW w:w="2693" w:type="dxa"/>
            <w:vMerge w:val="restart"/>
            <w:shd w:val="clear" w:color="auto" w:fill="4F81BD" w:themeFill="accent1"/>
            <w:vAlign w:val="center"/>
            <w:hideMark/>
          </w:tcPr>
          <w:p w14:paraId="74667B73" w14:textId="77777777" w:rsidR="00C8643D" w:rsidRPr="00AA5214" w:rsidRDefault="00C8643D" w:rsidP="00087CC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AA5214">
              <w:rPr>
                <w:rFonts w:ascii="Arial" w:hAnsi="Arial" w:cs="Arial"/>
                <w:color w:val="FFFFFF"/>
                <w:sz w:val="20"/>
                <w:szCs w:val="20"/>
              </w:rPr>
              <w:t xml:space="preserve">Observación de la Variación </w:t>
            </w:r>
          </w:p>
        </w:tc>
      </w:tr>
      <w:tr w:rsidR="0025754D" w:rsidRPr="00AA5214" w14:paraId="1F9C5779" w14:textId="77777777" w:rsidTr="00087CC0">
        <w:tc>
          <w:tcPr>
            <w:cnfStyle w:val="001000000000" w:firstRow="0" w:lastRow="0" w:firstColumn="1" w:lastColumn="0" w:oddVBand="0" w:evenVBand="0" w:oddHBand="0" w:evenHBand="0" w:firstRowFirstColumn="0" w:firstRowLastColumn="0" w:lastRowFirstColumn="0" w:lastRowLastColumn="0"/>
            <w:tcW w:w="1038" w:type="dxa"/>
            <w:vMerge/>
            <w:vAlign w:val="center"/>
            <w:hideMark/>
          </w:tcPr>
          <w:p w14:paraId="4374D985" w14:textId="77777777" w:rsidR="00C8643D" w:rsidRPr="00BA413C" w:rsidRDefault="00C8643D" w:rsidP="00087CC0">
            <w:pPr>
              <w:rPr>
                <w:rFonts w:ascii="Arial" w:hAnsi="Arial" w:cs="Arial"/>
                <w:color w:val="FFFFFF"/>
                <w:sz w:val="20"/>
                <w:szCs w:val="20"/>
              </w:rPr>
            </w:pPr>
          </w:p>
        </w:tc>
        <w:tc>
          <w:tcPr>
            <w:tcW w:w="800" w:type="dxa"/>
            <w:vMerge/>
            <w:vAlign w:val="center"/>
            <w:hideMark/>
          </w:tcPr>
          <w:p w14:paraId="74C9A445" w14:textId="77777777" w:rsidR="00C8643D" w:rsidRPr="00BA413C" w:rsidRDefault="00C8643D" w:rsidP="00087CC0">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386" w:type="dxa"/>
            <w:vMerge/>
            <w:vAlign w:val="center"/>
            <w:hideMark/>
          </w:tcPr>
          <w:p w14:paraId="76AFECEA" w14:textId="77777777" w:rsidR="00C8643D" w:rsidRPr="00BA413C" w:rsidRDefault="00C8643D" w:rsidP="00087CC0">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c>
          <w:tcPr>
            <w:tcW w:w="1309" w:type="dxa"/>
            <w:shd w:val="clear" w:color="auto" w:fill="4F81BD" w:themeFill="accent1"/>
            <w:vAlign w:val="center"/>
            <w:hideMark/>
          </w:tcPr>
          <w:p w14:paraId="5620C4F8" w14:textId="27FC68BB" w:rsidR="00C8643D" w:rsidRPr="00BA413C"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BA413C">
              <w:rPr>
                <w:rFonts w:ascii="Arial" w:hAnsi="Arial" w:cs="Arial"/>
                <w:b/>
                <w:bCs/>
                <w:color w:val="FFFFFF"/>
                <w:sz w:val="20"/>
                <w:szCs w:val="20"/>
              </w:rPr>
              <w:t>Medidas de Austeridad</w:t>
            </w:r>
            <w:r w:rsidR="00ED746C" w:rsidRPr="00BA413C">
              <w:rPr>
                <w:rFonts w:ascii="Arial" w:hAnsi="Arial" w:cs="Arial"/>
                <w:b/>
                <w:bCs/>
                <w:color w:val="FFFFFF"/>
                <w:sz w:val="20"/>
                <w:szCs w:val="20"/>
              </w:rPr>
              <w:t xml:space="preserve"> MHCP</w:t>
            </w:r>
          </w:p>
        </w:tc>
        <w:tc>
          <w:tcPr>
            <w:tcW w:w="1214" w:type="dxa"/>
            <w:shd w:val="clear" w:color="auto" w:fill="4F81BD" w:themeFill="accent1"/>
            <w:vAlign w:val="center"/>
            <w:hideMark/>
          </w:tcPr>
          <w:p w14:paraId="42313097" w14:textId="77777777" w:rsidR="00C8643D" w:rsidRPr="00BA413C"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BA413C">
              <w:rPr>
                <w:rFonts w:ascii="Arial" w:hAnsi="Arial" w:cs="Arial"/>
                <w:b/>
                <w:bCs/>
                <w:color w:val="FFFFFF"/>
                <w:sz w:val="20"/>
                <w:szCs w:val="20"/>
              </w:rPr>
              <w:t>Medidas COVID-19</w:t>
            </w:r>
          </w:p>
        </w:tc>
        <w:tc>
          <w:tcPr>
            <w:tcW w:w="1194" w:type="dxa"/>
            <w:shd w:val="clear" w:color="auto" w:fill="4F81BD" w:themeFill="accent1"/>
            <w:vAlign w:val="center"/>
            <w:hideMark/>
          </w:tcPr>
          <w:p w14:paraId="7421EA2B" w14:textId="77777777" w:rsidR="00C8643D" w:rsidRPr="00BA413C"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BA413C">
              <w:rPr>
                <w:rFonts w:ascii="Arial" w:hAnsi="Arial" w:cs="Arial"/>
                <w:b/>
                <w:bCs/>
                <w:color w:val="FFFFFF"/>
                <w:sz w:val="20"/>
                <w:szCs w:val="20"/>
              </w:rPr>
              <w:t>Variación %</w:t>
            </w:r>
          </w:p>
        </w:tc>
        <w:tc>
          <w:tcPr>
            <w:tcW w:w="2693" w:type="dxa"/>
            <w:vMerge/>
            <w:vAlign w:val="center"/>
            <w:hideMark/>
          </w:tcPr>
          <w:p w14:paraId="5421613E" w14:textId="77777777" w:rsidR="00C8643D" w:rsidRPr="00AA5214" w:rsidRDefault="00C8643D" w:rsidP="00087CC0">
            <w:pP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25754D" w:rsidRPr="008F5722" w14:paraId="4FB6868E" w14:textId="77777777" w:rsidTr="00087CC0">
        <w:trPr>
          <w:trHeight w:val="1011"/>
        </w:trPr>
        <w:tc>
          <w:tcPr>
            <w:cnfStyle w:val="001000000000" w:firstRow="0" w:lastRow="0" w:firstColumn="1" w:lastColumn="0" w:oddVBand="0" w:evenVBand="0" w:oddHBand="0" w:evenHBand="0" w:firstRowFirstColumn="0" w:firstRowLastColumn="0" w:lastRowFirstColumn="0" w:lastRowLastColumn="0"/>
            <w:tcW w:w="1038" w:type="dxa"/>
            <w:vMerge w:val="restart"/>
            <w:vAlign w:val="center"/>
            <w:hideMark/>
          </w:tcPr>
          <w:p w14:paraId="4BD48F87" w14:textId="77777777" w:rsidR="00C8643D" w:rsidRPr="008F5722" w:rsidRDefault="00C8643D" w:rsidP="00087CC0">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7.1</w:t>
            </w:r>
          </w:p>
        </w:tc>
        <w:tc>
          <w:tcPr>
            <w:tcW w:w="800" w:type="dxa"/>
            <w:vMerge w:val="restart"/>
            <w:textDirection w:val="btLr"/>
            <w:vAlign w:val="center"/>
            <w:hideMark/>
          </w:tcPr>
          <w:p w14:paraId="34930E54"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Servicios Digitales</w:t>
            </w:r>
          </w:p>
        </w:tc>
        <w:tc>
          <w:tcPr>
            <w:tcW w:w="1386" w:type="dxa"/>
            <w:vAlign w:val="center"/>
            <w:hideMark/>
          </w:tcPr>
          <w:p w14:paraId="08996FA8" w14:textId="23C4BF23" w:rsidR="00C8643D" w:rsidRPr="008F5722" w:rsidRDefault="003E7810"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Costo d</w:t>
            </w:r>
            <w:r w:rsidR="00C8643D" w:rsidRPr="008F5722">
              <w:rPr>
                <w:rFonts w:ascii="Arial" w:hAnsi="Arial" w:cs="Arial"/>
                <w:b/>
                <w:bCs/>
                <w:color w:val="0F243E" w:themeColor="text2" w:themeShade="80"/>
                <w:sz w:val="20"/>
                <w:szCs w:val="20"/>
              </w:rPr>
              <w:t xml:space="preserve">el </w:t>
            </w:r>
            <w:r w:rsidRPr="008F5722">
              <w:rPr>
                <w:rFonts w:ascii="Arial" w:hAnsi="Arial" w:cs="Arial"/>
                <w:b/>
                <w:bCs/>
                <w:color w:val="0F243E" w:themeColor="text2" w:themeShade="80"/>
                <w:sz w:val="20"/>
                <w:szCs w:val="20"/>
              </w:rPr>
              <w:t>Consumo</w:t>
            </w:r>
          </w:p>
        </w:tc>
        <w:tc>
          <w:tcPr>
            <w:tcW w:w="1309" w:type="dxa"/>
            <w:vAlign w:val="center"/>
            <w:hideMark/>
          </w:tcPr>
          <w:p w14:paraId="015D29EC"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 </w:t>
            </w:r>
          </w:p>
        </w:tc>
        <w:tc>
          <w:tcPr>
            <w:tcW w:w="1214" w:type="dxa"/>
            <w:vAlign w:val="center"/>
            <w:hideMark/>
          </w:tcPr>
          <w:p w14:paraId="6E1DE473" w14:textId="2EFF8B2D"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47392" behindDoc="0" locked="0" layoutInCell="1" allowOverlap="1" wp14:anchorId="18939883" wp14:editId="53CAD376">
                  <wp:simplePos x="0" y="0"/>
                  <wp:positionH relativeFrom="column">
                    <wp:posOffset>43815</wp:posOffset>
                  </wp:positionH>
                  <wp:positionV relativeFrom="paragraph">
                    <wp:posOffset>10795</wp:posOffset>
                  </wp:positionV>
                  <wp:extent cx="533400" cy="438150"/>
                  <wp:effectExtent l="0" t="0" r="0" b="0"/>
                  <wp:wrapNone/>
                  <wp:docPr id="74" name="Imagen 74" descr="Marca de verificación o garrapatas icono en círculo rojo Foto de archivo - 33223458">
                    <a:extLst xmlns:a="http://schemas.openxmlformats.org/drawingml/2006/main">
                      <a:ext uri="{FF2B5EF4-FFF2-40B4-BE49-F238E27FC236}">
                        <a16:creationId xmlns:a16="http://schemas.microsoft.com/office/drawing/2014/main" id="{F197D5B9-2D0B-48CC-9205-B849E8AABDC3}"/>
                      </a:ext>
                    </a:extLst>
                  </wp:docPr>
                  <wp:cNvGraphicFramePr/>
                  <a:graphic xmlns:a="http://schemas.openxmlformats.org/drawingml/2006/main">
                    <a:graphicData uri="http://schemas.openxmlformats.org/drawingml/2006/picture">
                      <pic:pic xmlns:pic="http://schemas.openxmlformats.org/drawingml/2006/picture">
                        <pic:nvPicPr>
                          <pic:cNvPr id="8" name="Imagen 7" descr="Marca de verificación o garrapatas icono en círculo rojo Foto de archivo - 33223458">
                            <a:extLst>
                              <a:ext uri="{FF2B5EF4-FFF2-40B4-BE49-F238E27FC236}">
                                <a16:creationId xmlns:a16="http://schemas.microsoft.com/office/drawing/2014/main" id="{F197D5B9-2D0B-48CC-9205-B849E8AABDC3}"/>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0BD205F2" w14:textId="2B3AA1E4"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(-9</w:t>
            </w:r>
            <w:r w:rsidR="00126267" w:rsidRPr="008F5722">
              <w:rPr>
                <w:rFonts w:ascii="Arial" w:hAnsi="Arial" w:cs="Arial"/>
                <w:b/>
                <w:bCs/>
                <w:color w:val="0F243E" w:themeColor="text2" w:themeShade="80"/>
                <w:sz w:val="20"/>
                <w:szCs w:val="20"/>
              </w:rPr>
              <w:t>8</w:t>
            </w:r>
            <w:r w:rsidRPr="008F5722">
              <w:rPr>
                <w:rFonts w:ascii="Arial" w:hAnsi="Arial" w:cs="Arial"/>
                <w:b/>
                <w:bCs/>
                <w:color w:val="0F243E" w:themeColor="text2" w:themeShade="80"/>
                <w:sz w:val="20"/>
                <w:szCs w:val="20"/>
              </w:rPr>
              <w:t>,</w:t>
            </w:r>
            <w:r w:rsidR="00126267" w:rsidRPr="008F5722">
              <w:rPr>
                <w:rFonts w:ascii="Arial" w:hAnsi="Arial" w:cs="Arial"/>
                <w:b/>
                <w:bCs/>
                <w:color w:val="0F243E" w:themeColor="text2" w:themeShade="80"/>
                <w:sz w:val="20"/>
                <w:szCs w:val="20"/>
              </w:rPr>
              <w:t>7</w:t>
            </w:r>
            <w:r w:rsidRPr="008F5722">
              <w:rPr>
                <w:rFonts w:ascii="Arial" w:hAnsi="Arial" w:cs="Arial"/>
                <w:b/>
                <w:bCs/>
                <w:color w:val="0F243E" w:themeColor="text2" w:themeShade="80"/>
                <w:sz w:val="20"/>
                <w:szCs w:val="20"/>
              </w:rPr>
              <w:t>)</w:t>
            </w:r>
          </w:p>
        </w:tc>
        <w:tc>
          <w:tcPr>
            <w:tcW w:w="2693" w:type="dxa"/>
            <w:vMerge w:val="restart"/>
            <w:vAlign w:val="center"/>
            <w:hideMark/>
          </w:tcPr>
          <w:p w14:paraId="133ABECD" w14:textId="0890452A" w:rsidR="00C8643D" w:rsidRPr="008F5722" w:rsidRDefault="00C8643D" w:rsidP="00087C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gasto y consumo de papel presentó disminución debido a que esta entidad implementó durante el </w:t>
            </w:r>
            <w:r w:rsidR="003C644F" w:rsidRPr="008F5722">
              <w:rPr>
                <w:rFonts w:ascii="Arial" w:hAnsi="Arial" w:cs="Arial"/>
                <w:color w:val="0F243E" w:themeColor="text2" w:themeShade="80"/>
                <w:sz w:val="20"/>
                <w:szCs w:val="20"/>
              </w:rPr>
              <w:t xml:space="preserve">tercer trimestre de 2020 </w:t>
            </w:r>
            <w:r w:rsidRPr="008F5722">
              <w:rPr>
                <w:rFonts w:ascii="Arial" w:hAnsi="Arial" w:cs="Arial"/>
                <w:color w:val="0F243E" w:themeColor="text2" w:themeShade="80"/>
                <w:sz w:val="20"/>
                <w:szCs w:val="20"/>
              </w:rPr>
              <w:t>la modalidad de trabajo en casa para</w:t>
            </w:r>
            <w:r w:rsidR="003C644F" w:rsidRPr="008F5722">
              <w:rPr>
                <w:rFonts w:ascii="Arial" w:hAnsi="Arial" w:cs="Arial"/>
                <w:color w:val="0F243E" w:themeColor="text2" w:themeShade="80"/>
                <w:sz w:val="20"/>
                <w:szCs w:val="20"/>
              </w:rPr>
              <w:t xml:space="preserve"> </w:t>
            </w:r>
            <w:r w:rsidRPr="008F5722">
              <w:rPr>
                <w:rFonts w:ascii="Arial" w:hAnsi="Arial" w:cs="Arial"/>
                <w:color w:val="0F243E" w:themeColor="text2" w:themeShade="80"/>
                <w:sz w:val="20"/>
                <w:szCs w:val="20"/>
              </w:rPr>
              <w:t xml:space="preserve">aproximadamente el 80% de los servidores públicos. </w:t>
            </w:r>
          </w:p>
        </w:tc>
      </w:tr>
      <w:tr w:rsidR="0025754D" w:rsidRPr="008F5722" w14:paraId="363350A7" w14:textId="77777777" w:rsidTr="00F5196E">
        <w:trPr>
          <w:trHeight w:val="1559"/>
        </w:trPr>
        <w:tc>
          <w:tcPr>
            <w:cnfStyle w:val="001000000000" w:firstRow="0" w:lastRow="0" w:firstColumn="1" w:lastColumn="0" w:oddVBand="0" w:evenVBand="0" w:oddHBand="0" w:evenHBand="0" w:firstRowFirstColumn="0" w:firstRowLastColumn="0" w:lastRowFirstColumn="0" w:lastRowLastColumn="0"/>
            <w:tcW w:w="1038" w:type="dxa"/>
            <w:vMerge/>
            <w:vAlign w:val="center"/>
            <w:hideMark/>
          </w:tcPr>
          <w:p w14:paraId="2854C563" w14:textId="77777777" w:rsidR="00C8643D" w:rsidRPr="008F5722" w:rsidRDefault="00C8643D" w:rsidP="00087CC0">
            <w:pPr>
              <w:rPr>
                <w:rFonts w:ascii="Arial" w:hAnsi="Arial" w:cs="Arial"/>
                <w:color w:val="0F243E" w:themeColor="text2" w:themeShade="80"/>
                <w:sz w:val="20"/>
                <w:szCs w:val="20"/>
              </w:rPr>
            </w:pPr>
          </w:p>
        </w:tc>
        <w:tc>
          <w:tcPr>
            <w:tcW w:w="800" w:type="dxa"/>
            <w:vMerge/>
            <w:vAlign w:val="center"/>
            <w:hideMark/>
          </w:tcPr>
          <w:p w14:paraId="57252B99" w14:textId="77777777" w:rsidR="00C8643D" w:rsidRPr="008F5722" w:rsidRDefault="00C8643D" w:rsidP="00087CC0">
            <w:pP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386" w:type="dxa"/>
            <w:vAlign w:val="center"/>
            <w:hideMark/>
          </w:tcPr>
          <w:p w14:paraId="4806751B"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Consumo en Hojas </w:t>
            </w:r>
          </w:p>
        </w:tc>
        <w:tc>
          <w:tcPr>
            <w:tcW w:w="1309" w:type="dxa"/>
            <w:vAlign w:val="center"/>
            <w:hideMark/>
          </w:tcPr>
          <w:p w14:paraId="3AC7758F"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w:t>
            </w:r>
          </w:p>
        </w:tc>
        <w:tc>
          <w:tcPr>
            <w:tcW w:w="1214" w:type="dxa"/>
            <w:vAlign w:val="center"/>
            <w:hideMark/>
          </w:tcPr>
          <w:p w14:paraId="10F5C63E" w14:textId="7E069B9C"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48416" behindDoc="0" locked="0" layoutInCell="1" allowOverlap="1" wp14:anchorId="714E8891" wp14:editId="2D53A6E6">
                  <wp:simplePos x="0" y="0"/>
                  <wp:positionH relativeFrom="column">
                    <wp:posOffset>72390</wp:posOffset>
                  </wp:positionH>
                  <wp:positionV relativeFrom="paragraph">
                    <wp:posOffset>10795</wp:posOffset>
                  </wp:positionV>
                  <wp:extent cx="504825" cy="438150"/>
                  <wp:effectExtent l="0" t="0" r="9525" b="0"/>
                  <wp:wrapNone/>
                  <wp:docPr id="73" name="Imagen 73" descr="Marca de verificación o garrapatas icono en círculo rojo Foto de archivo - 33223458">
                    <a:extLst xmlns:a="http://schemas.openxmlformats.org/drawingml/2006/main">
                      <a:ext uri="{FF2B5EF4-FFF2-40B4-BE49-F238E27FC236}">
                        <a16:creationId xmlns:a16="http://schemas.microsoft.com/office/drawing/2014/main" id="{8A74C9FA-52DE-4C49-98BE-A45B2BF16733}"/>
                      </a:ext>
                    </a:extLst>
                  </wp:docPr>
                  <wp:cNvGraphicFramePr/>
                  <a:graphic xmlns:a="http://schemas.openxmlformats.org/drawingml/2006/main">
                    <a:graphicData uri="http://schemas.openxmlformats.org/drawingml/2006/picture">
                      <pic:pic xmlns:pic="http://schemas.openxmlformats.org/drawingml/2006/picture">
                        <pic:nvPicPr>
                          <pic:cNvPr id="9" name="Imagen 8" descr="Marca de verificación o garrapatas icono en círculo rojo Foto de archivo - 33223458">
                            <a:extLst>
                              <a:ext uri="{FF2B5EF4-FFF2-40B4-BE49-F238E27FC236}">
                                <a16:creationId xmlns:a16="http://schemas.microsoft.com/office/drawing/2014/main" id="{8A74C9FA-52DE-4C49-98BE-A45B2BF16733}"/>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482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3FC30374" w14:textId="4AECBA81"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(-9</w:t>
            </w:r>
            <w:r w:rsidR="00126267" w:rsidRPr="008F5722">
              <w:rPr>
                <w:rFonts w:ascii="Arial" w:hAnsi="Arial" w:cs="Arial"/>
                <w:b/>
                <w:bCs/>
                <w:color w:val="0F243E" w:themeColor="text2" w:themeShade="80"/>
                <w:sz w:val="20"/>
                <w:szCs w:val="20"/>
              </w:rPr>
              <w:t>8</w:t>
            </w:r>
            <w:r w:rsidRPr="008F5722">
              <w:rPr>
                <w:rFonts w:ascii="Arial" w:hAnsi="Arial" w:cs="Arial"/>
                <w:b/>
                <w:bCs/>
                <w:color w:val="0F243E" w:themeColor="text2" w:themeShade="80"/>
                <w:sz w:val="20"/>
                <w:szCs w:val="20"/>
              </w:rPr>
              <w:t>%)</w:t>
            </w:r>
          </w:p>
        </w:tc>
        <w:tc>
          <w:tcPr>
            <w:tcW w:w="2693" w:type="dxa"/>
            <w:vMerge/>
            <w:vAlign w:val="center"/>
            <w:hideMark/>
          </w:tcPr>
          <w:p w14:paraId="37684532" w14:textId="77777777" w:rsidR="00C8643D" w:rsidRPr="008F5722" w:rsidRDefault="00C8643D" w:rsidP="00087CC0">
            <w:pP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8F5722" w:rsidRPr="008F5722" w14:paraId="1DFAA12B" w14:textId="77777777" w:rsidTr="00F5196E">
        <w:trPr>
          <w:trHeight w:val="2673"/>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69A9E710" w14:textId="77777777" w:rsidR="00C8643D" w:rsidRPr="008F5722" w:rsidRDefault="00C8643D" w:rsidP="00087CC0">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7.2</w:t>
            </w:r>
          </w:p>
        </w:tc>
        <w:tc>
          <w:tcPr>
            <w:tcW w:w="800" w:type="dxa"/>
            <w:textDirection w:val="btLr"/>
            <w:vAlign w:val="center"/>
            <w:hideMark/>
          </w:tcPr>
          <w:p w14:paraId="36124D32" w14:textId="7827EA1D"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Papelería y </w:t>
            </w:r>
            <w:r w:rsidR="00AF1EB6" w:rsidRPr="008F5722">
              <w:rPr>
                <w:rFonts w:ascii="Arial" w:hAnsi="Arial" w:cs="Arial"/>
                <w:b/>
                <w:bCs/>
                <w:color w:val="0F243E" w:themeColor="text2" w:themeShade="80"/>
                <w:sz w:val="20"/>
                <w:szCs w:val="20"/>
              </w:rPr>
              <w:t>Útiles</w:t>
            </w:r>
            <w:r w:rsidRPr="008F5722">
              <w:rPr>
                <w:rFonts w:ascii="Arial" w:hAnsi="Arial" w:cs="Arial"/>
                <w:b/>
                <w:bCs/>
                <w:color w:val="0F243E" w:themeColor="text2" w:themeShade="80"/>
                <w:sz w:val="20"/>
                <w:szCs w:val="20"/>
              </w:rPr>
              <w:t xml:space="preserve"> de Oficina </w:t>
            </w:r>
          </w:p>
        </w:tc>
        <w:tc>
          <w:tcPr>
            <w:tcW w:w="1386" w:type="dxa"/>
            <w:vAlign w:val="center"/>
            <w:hideMark/>
          </w:tcPr>
          <w:p w14:paraId="77283EB8"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Valor del Gasto</w:t>
            </w:r>
          </w:p>
        </w:tc>
        <w:tc>
          <w:tcPr>
            <w:tcW w:w="1309" w:type="dxa"/>
            <w:vAlign w:val="center"/>
            <w:hideMark/>
          </w:tcPr>
          <w:p w14:paraId="5DFB0497"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w:t>
            </w:r>
          </w:p>
        </w:tc>
        <w:tc>
          <w:tcPr>
            <w:tcW w:w="1214" w:type="dxa"/>
            <w:vAlign w:val="center"/>
            <w:hideMark/>
          </w:tcPr>
          <w:p w14:paraId="01EBF67E" w14:textId="2444E7F2"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49440" behindDoc="0" locked="0" layoutInCell="1" allowOverlap="1" wp14:anchorId="6CDA1E9B" wp14:editId="6C9852A1">
                  <wp:simplePos x="0" y="0"/>
                  <wp:positionH relativeFrom="column">
                    <wp:posOffset>83185</wp:posOffset>
                  </wp:positionH>
                  <wp:positionV relativeFrom="paragraph">
                    <wp:posOffset>31750</wp:posOffset>
                  </wp:positionV>
                  <wp:extent cx="533400" cy="456565"/>
                  <wp:effectExtent l="0" t="0" r="0" b="635"/>
                  <wp:wrapNone/>
                  <wp:docPr id="72" name="Imagen 72" descr="Marca de verificación o garrapatas icono en círculo rojo Foto de archivo - 33223458">
                    <a:extLst xmlns:a="http://schemas.openxmlformats.org/drawingml/2006/main">
                      <a:ext uri="{FF2B5EF4-FFF2-40B4-BE49-F238E27FC236}">
                        <a16:creationId xmlns:a16="http://schemas.microsoft.com/office/drawing/2014/main" id="{66710C8C-680F-4B9A-A109-46EA0BE5BA3E}"/>
                      </a:ext>
                    </a:extLst>
                  </wp:docPr>
                  <wp:cNvGraphicFramePr/>
                  <a:graphic xmlns:a="http://schemas.openxmlformats.org/drawingml/2006/main">
                    <a:graphicData uri="http://schemas.openxmlformats.org/drawingml/2006/picture">
                      <pic:pic xmlns:pic="http://schemas.openxmlformats.org/drawingml/2006/picture">
                        <pic:nvPicPr>
                          <pic:cNvPr id="10" name="Imagen 9" descr="Marca de verificación o garrapatas icono en círculo rojo Foto de archivo - 33223458">
                            <a:extLst>
                              <a:ext uri="{FF2B5EF4-FFF2-40B4-BE49-F238E27FC236}">
                                <a16:creationId xmlns:a16="http://schemas.microsoft.com/office/drawing/2014/main" id="{66710C8C-680F-4B9A-A109-46EA0BE5BA3E}"/>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6565"/>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545BE6E3"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(-57%)</w:t>
            </w:r>
          </w:p>
        </w:tc>
        <w:tc>
          <w:tcPr>
            <w:tcW w:w="2693" w:type="dxa"/>
            <w:vAlign w:val="center"/>
            <w:hideMark/>
          </w:tcPr>
          <w:p w14:paraId="64B56543" w14:textId="63E64A7E" w:rsidR="00C8643D" w:rsidRPr="008F5722" w:rsidRDefault="00C8643D" w:rsidP="00087C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La contratación del suministro de papelería disminuyó, debido al </w:t>
            </w:r>
            <w:r w:rsidR="00DE5481" w:rsidRPr="008F5722">
              <w:rPr>
                <w:rFonts w:ascii="Arial" w:hAnsi="Arial" w:cs="Arial"/>
                <w:color w:val="0F243E" w:themeColor="text2" w:themeShade="80"/>
                <w:sz w:val="20"/>
                <w:szCs w:val="20"/>
              </w:rPr>
              <w:t>análisis</w:t>
            </w:r>
            <w:r w:rsidRPr="008F5722">
              <w:rPr>
                <w:rFonts w:ascii="Arial" w:hAnsi="Arial" w:cs="Arial"/>
                <w:color w:val="0F243E" w:themeColor="text2" w:themeShade="80"/>
                <w:sz w:val="20"/>
                <w:szCs w:val="20"/>
              </w:rPr>
              <w:t xml:space="preserve"> de necesidad</w:t>
            </w:r>
            <w:r w:rsidR="001A1E72" w:rsidRPr="008F5722">
              <w:rPr>
                <w:rFonts w:ascii="Arial" w:hAnsi="Arial" w:cs="Arial"/>
                <w:color w:val="0F243E" w:themeColor="text2" w:themeShade="80"/>
                <w:sz w:val="20"/>
                <w:szCs w:val="20"/>
              </w:rPr>
              <w:t xml:space="preserve"> </w:t>
            </w:r>
            <w:r w:rsidR="000219EB" w:rsidRPr="008F5722">
              <w:rPr>
                <w:rFonts w:ascii="Arial" w:hAnsi="Arial" w:cs="Arial"/>
                <w:color w:val="0F243E" w:themeColor="text2" w:themeShade="80"/>
                <w:sz w:val="20"/>
                <w:szCs w:val="20"/>
              </w:rPr>
              <w:t>dado que,</w:t>
            </w:r>
            <w:r w:rsidR="001A1E72" w:rsidRPr="008F5722">
              <w:rPr>
                <w:rFonts w:ascii="Arial" w:hAnsi="Arial" w:cs="Arial"/>
                <w:color w:val="0F243E" w:themeColor="text2" w:themeShade="80"/>
                <w:sz w:val="20"/>
                <w:szCs w:val="20"/>
              </w:rPr>
              <w:t xml:space="preserve"> </w:t>
            </w:r>
            <w:r w:rsidRPr="008F5722">
              <w:rPr>
                <w:rFonts w:ascii="Arial" w:hAnsi="Arial" w:cs="Arial"/>
                <w:color w:val="0F243E" w:themeColor="text2" w:themeShade="80"/>
                <w:sz w:val="20"/>
                <w:szCs w:val="20"/>
              </w:rPr>
              <w:t>desde el 20 de marzo de 2020, este Ministerio implementó el trabajo en casa en virtud del COVID-19</w:t>
            </w:r>
            <w:r w:rsidR="009E56EA" w:rsidRPr="008F5722">
              <w:rPr>
                <w:rFonts w:ascii="Arial" w:hAnsi="Arial" w:cs="Arial"/>
                <w:color w:val="0F243E" w:themeColor="text2" w:themeShade="80"/>
                <w:sz w:val="20"/>
                <w:szCs w:val="20"/>
              </w:rPr>
              <w:t>.</w:t>
            </w:r>
          </w:p>
        </w:tc>
      </w:tr>
      <w:tr w:rsidR="008F5722" w:rsidRPr="008F5722" w14:paraId="66FC0F80" w14:textId="77777777" w:rsidTr="00F5196E">
        <w:trPr>
          <w:trHeight w:val="4526"/>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3305C2B1" w14:textId="77777777" w:rsidR="00C8643D" w:rsidRPr="008F5722" w:rsidRDefault="00C8643D" w:rsidP="00087CC0">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7.3</w:t>
            </w:r>
          </w:p>
        </w:tc>
        <w:tc>
          <w:tcPr>
            <w:tcW w:w="800" w:type="dxa"/>
            <w:textDirection w:val="btLr"/>
            <w:vAlign w:val="center"/>
            <w:hideMark/>
          </w:tcPr>
          <w:p w14:paraId="7F0AD27E"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Teléfono Móvil Celular </w:t>
            </w:r>
          </w:p>
        </w:tc>
        <w:tc>
          <w:tcPr>
            <w:tcW w:w="1386" w:type="dxa"/>
            <w:vAlign w:val="center"/>
            <w:hideMark/>
          </w:tcPr>
          <w:p w14:paraId="5D3A35F1"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Valor del Gasto</w:t>
            </w:r>
          </w:p>
        </w:tc>
        <w:tc>
          <w:tcPr>
            <w:tcW w:w="1309" w:type="dxa"/>
            <w:noWrap/>
            <w:vAlign w:val="center"/>
            <w:hideMark/>
          </w:tcPr>
          <w:p w14:paraId="1D34364B" w14:textId="723B0401" w:rsidR="00C8643D" w:rsidRPr="008F5722" w:rsidRDefault="00AF1EB6" w:rsidP="00087CC0">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F5722">
              <w:rPr>
                <w:rFonts w:ascii="Arial" w:hAnsi="Arial" w:cs="Arial"/>
                <w:noProof/>
                <w:color w:val="0F243E" w:themeColor="text2" w:themeShade="80"/>
                <w:sz w:val="20"/>
                <w:szCs w:val="20"/>
                <w:lang w:val="en-US" w:eastAsia="en-US"/>
              </w:rPr>
              <w:drawing>
                <wp:anchor distT="0" distB="0" distL="114300" distR="114300" simplePos="0" relativeHeight="252352512" behindDoc="0" locked="0" layoutInCell="1" allowOverlap="1" wp14:anchorId="077B7693" wp14:editId="45A8FC99">
                  <wp:simplePos x="0" y="0"/>
                  <wp:positionH relativeFrom="column">
                    <wp:posOffset>109855</wp:posOffset>
                  </wp:positionH>
                  <wp:positionV relativeFrom="paragraph">
                    <wp:posOffset>-386080</wp:posOffset>
                  </wp:positionV>
                  <wp:extent cx="542925" cy="533400"/>
                  <wp:effectExtent l="0" t="0" r="9525" b="0"/>
                  <wp:wrapNone/>
                  <wp:docPr id="75" name="Imagen 75"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pic:spPr>
                      </pic:pic>
                    </a:graphicData>
                  </a:graphic>
                  <wp14:sizeRelH relativeFrom="page">
                    <wp14:pctWidth>0</wp14:pctWidth>
                  </wp14:sizeRelH>
                  <wp14:sizeRelV relativeFrom="page">
                    <wp14:pctHeight>0</wp14:pctHeight>
                  </wp14:sizeRelV>
                </wp:anchor>
              </w:drawing>
            </w:r>
          </w:p>
          <w:p w14:paraId="0253AFF4" w14:textId="48D6C471" w:rsidR="00C8643D" w:rsidRPr="008F5722" w:rsidRDefault="00C8643D" w:rsidP="00087CC0">
            <w:pP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214" w:type="dxa"/>
            <w:vAlign w:val="center"/>
            <w:hideMark/>
          </w:tcPr>
          <w:p w14:paraId="5F91E5E0" w14:textId="651443B9"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350464" behindDoc="0" locked="0" layoutInCell="1" allowOverlap="1" wp14:anchorId="36113895" wp14:editId="0B0BE82E">
                  <wp:simplePos x="0" y="0"/>
                  <wp:positionH relativeFrom="column">
                    <wp:posOffset>39370</wp:posOffset>
                  </wp:positionH>
                  <wp:positionV relativeFrom="paragraph">
                    <wp:posOffset>-439420</wp:posOffset>
                  </wp:positionV>
                  <wp:extent cx="533400" cy="523875"/>
                  <wp:effectExtent l="0" t="0" r="0" b="9525"/>
                  <wp:wrapNone/>
                  <wp:docPr id="60" name="Imagen 60" descr="Marca de verificación o garrapatas icono en círculo rojo Foto de archivo - 33223458">
                    <a:extLst xmlns:a="http://schemas.openxmlformats.org/drawingml/2006/main">
                      <a:ext uri="{FF2B5EF4-FFF2-40B4-BE49-F238E27FC236}">
                        <a16:creationId xmlns:a16="http://schemas.microsoft.com/office/drawing/2014/main" id="{E05FAEB2-8058-4408-8E89-EC82844CF02C}"/>
                      </a:ext>
                    </a:extLst>
                  </wp:docPr>
                  <wp:cNvGraphicFramePr/>
                  <a:graphic xmlns:a="http://schemas.openxmlformats.org/drawingml/2006/main">
                    <a:graphicData uri="http://schemas.openxmlformats.org/drawingml/2006/picture">
                      <pic:pic xmlns:pic="http://schemas.openxmlformats.org/drawingml/2006/picture">
                        <pic:nvPicPr>
                          <pic:cNvPr id="11" name="Imagen 10" descr="Marca de verificación o garrapatas icono en círculo rojo Foto de archivo - 33223458">
                            <a:extLst>
                              <a:ext uri="{FF2B5EF4-FFF2-40B4-BE49-F238E27FC236}">
                                <a16:creationId xmlns:a16="http://schemas.microsoft.com/office/drawing/2014/main" id="{E05FAEB2-8058-4408-8E89-EC82844CF02C}"/>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1194" w:type="dxa"/>
            <w:vAlign w:val="center"/>
            <w:hideMark/>
          </w:tcPr>
          <w:p w14:paraId="7B2CB218" w14:textId="054B2A51"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w:t>
            </w:r>
            <w:r w:rsidR="004458D1" w:rsidRPr="008F5722">
              <w:rPr>
                <w:rFonts w:ascii="Arial" w:hAnsi="Arial" w:cs="Arial"/>
                <w:b/>
                <w:bCs/>
                <w:color w:val="0F243E" w:themeColor="text2" w:themeShade="80"/>
                <w:sz w:val="20"/>
                <w:szCs w:val="20"/>
              </w:rPr>
              <w:t>47</w:t>
            </w:r>
            <w:r w:rsidRPr="008F5722">
              <w:rPr>
                <w:rFonts w:ascii="Arial" w:hAnsi="Arial" w:cs="Arial"/>
                <w:b/>
                <w:bCs/>
                <w:color w:val="0F243E" w:themeColor="text2" w:themeShade="80"/>
                <w:sz w:val="20"/>
                <w:szCs w:val="20"/>
              </w:rPr>
              <w:t xml:space="preserve">%) </w:t>
            </w:r>
            <w:r w:rsidRPr="008F5722">
              <w:rPr>
                <w:rFonts w:ascii="Arial" w:hAnsi="Arial" w:cs="Arial"/>
                <w:b/>
                <w:bCs/>
                <w:color w:val="0F243E" w:themeColor="text2" w:themeShade="80"/>
                <w:sz w:val="18"/>
                <w:szCs w:val="18"/>
              </w:rPr>
              <w:t xml:space="preserve">Austeridad </w:t>
            </w:r>
            <w:r w:rsidRPr="008F5722">
              <w:rPr>
                <w:rFonts w:ascii="Arial" w:hAnsi="Arial" w:cs="Arial"/>
                <w:b/>
                <w:bCs/>
                <w:color w:val="0F243E" w:themeColor="text2" w:themeShade="80"/>
                <w:sz w:val="20"/>
                <w:szCs w:val="20"/>
              </w:rPr>
              <w:br/>
              <w:t>(-</w:t>
            </w:r>
            <w:r w:rsidR="004458D1" w:rsidRPr="008F5722">
              <w:rPr>
                <w:rFonts w:ascii="Arial" w:hAnsi="Arial" w:cs="Arial"/>
                <w:b/>
                <w:bCs/>
                <w:color w:val="0F243E" w:themeColor="text2" w:themeShade="80"/>
                <w:sz w:val="20"/>
                <w:szCs w:val="20"/>
              </w:rPr>
              <w:t>1</w:t>
            </w:r>
            <w:r w:rsidRPr="008F5722">
              <w:rPr>
                <w:rFonts w:ascii="Arial" w:hAnsi="Arial" w:cs="Arial"/>
                <w:b/>
                <w:bCs/>
                <w:color w:val="0F243E" w:themeColor="text2" w:themeShade="80"/>
                <w:sz w:val="20"/>
                <w:szCs w:val="20"/>
              </w:rPr>
              <w:t>%)</w:t>
            </w:r>
            <w:r w:rsidRPr="008F5722">
              <w:rPr>
                <w:rFonts w:ascii="Arial" w:hAnsi="Arial" w:cs="Arial"/>
                <w:b/>
                <w:bCs/>
                <w:color w:val="0F243E" w:themeColor="text2" w:themeShade="80"/>
                <w:sz w:val="20"/>
                <w:szCs w:val="20"/>
              </w:rPr>
              <w:br/>
              <w:t>Covid-19</w:t>
            </w:r>
          </w:p>
        </w:tc>
        <w:tc>
          <w:tcPr>
            <w:tcW w:w="2693" w:type="dxa"/>
            <w:vAlign w:val="center"/>
            <w:hideMark/>
          </w:tcPr>
          <w:p w14:paraId="7CB92CE4" w14:textId="5667F673" w:rsidR="00C8643D" w:rsidRPr="008F5722" w:rsidRDefault="00C8643D" w:rsidP="00087C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El ahorro del </w:t>
            </w:r>
            <w:r w:rsidR="004458D1" w:rsidRPr="008F5722">
              <w:rPr>
                <w:rFonts w:ascii="Arial" w:hAnsi="Arial" w:cs="Arial"/>
                <w:color w:val="0F243E" w:themeColor="text2" w:themeShade="80"/>
                <w:sz w:val="20"/>
                <w:szCs w:val="20"/>
              </w:rPr>
              <w:t>47</w:t>
            </w:r>
            <w:r w:rsidRPr="008F5722">
              <w:rPr>
                <w:rFonts w:ascii="Arial" w:hAnsi="Arial" w:cs="Arial"/>
                <w:color w:val="0F243E" w:themeColor="text2" w:themeShade="80"/>
                <w:sz w:val="20"/>
                <w:szCs w:val="20"/>
              </w:rPr>
              <w:t>% obedeció a las gestiones adelantadas</w:t>
            </w:r>
            <w:r w:rsidR="00DE5481" w:rsidRPr="008F5722">
              <w:rPr>
                <w:rFonts w:ascii="Arial" w:hAnsi="Arial" w:cs="Arial"/>
                <w:color w:val="0F243E" w:themeColor="text2" w:themeShade="80"/>
                <w:sz w:val="20"/>
                <w:szCs w:val="20"/>
              </w:rPr>
              <w:t xml:space="preserve"> por la Subdirección de Servicios</w:t>
            </w:r>
            <w:r w:rsidRPr="008F5722">
              <w:rPr>
                <w:rFonts w:ascii="Arial" w:hAnsi="Arial" w:cs="Arial"/>
                <w:color w:val="0F243E" w:themeColor="text2" w:themeShade="80"/>
                <w:sz w:val="20"/>
                <w:szCs w:val="20"/>
              </w:rPr>
              <w:t xml:space="preserve"> logrando nuevos beneficios otorgados por Movistar para los planes de telefonía móvil contratados para la vigencia 2020, así como, la reducción de 7 líneas telefónicas contratadas con Avantel. Frente a la reducción del </w:t>
            </w:r>
            <w:r w:rsidR="004458D1" w:rsidRPr="008F5722">
              <w:rPr>
                <w:rFonts w:ascii="Arial" w:hAnsi="Arial" w:cs="Arial"/>
                <w:color w:val="0F243E" w:themeColor="text2" w:themeShade="80"/>
                <w:sz w:val="20"/>
                <w:szCs w:val="20"/>
              </w:rPr>
              <w:t>1</w:t>
            </w:r>
            <w:r w:rsidRPr="008F5722">
              <w:rPr>
                <w:rFonts w:ascii="Arial" w:hAnsi="Arial" w:cs="Arial"/>
                <w:color w:val="0F243E" w:themeColor="text2" w:themeShade="80"/>
                <w:sz w:val="20"/>
                <w:szCs w:val="20"/>
              </w:rPr>
              <w:t xml:space="preserve">% se generó por las disposiciones del Decreto 520 de 2020 con ocasión a la emergencia sanitaria [COVID-19]. </w:t>
            </w:r>
          </w:p>
        </w:tc>
      </w:tr>
      <w:tr w:rsidR="0025754D" w:rsidRPr="008F5722" w14:paraId="6673E0DC" w14:textId="77777777" w:rsidTr="00F5196E">
        <w:trPr>
          <w:trHeight w:val="1840"/>
        </w:trPr>
        <w:tc>
          <w:tcPr>
            <w:cnfStyle w:val="001000000000" w:firstRow="0" w:lastRow="0" w:firstColumn="1" w:lastColumn="0" w:oddVBand="0" w:evenVBand="0" w:oddHBand="0" w:evenHBand="0" w:firstRowFirstColumn="0" w:firstRowLastColumn="0" w:lastRowFirstColumn="0" w:lastRowLastColumn="0"/>
            <w:tcW w:w="1038" w:type="dxa"/>
            <w:vAlign w:val="center"/>
            <w:hideMark/>
          </w:tcPr>
          <w:p w14:paraId="6EEB9842" w14:textId="77777777" w:rsidR="00C8643D" w:rsidRPr="008F5722" w:rsidRDefault="00C8643D" w:rsidP="00087CC0">
            <w:pPr>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7.4</w:t>
            </w:r>
          </w:p>
        </w:tc>
        <w:tc>
          <w:tcPr>
            <w:tcW w:w="800" w:type="dxa"/>
            <w:textDirection w:val="btLr"/>
            <w:vAlign w:val="center"/>
            <w:hideMark/>
          </w:tcPr>
          <w:p w14:paraId="5F3D185B"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Teléfono Fijo</w:t>
            </w:r>
          </w:p>
        </w:tc>
        <w:tc>
          <w:tcPr>
            <w:tcW w:w="1386" w:type="dxa"/>
            <w:vAlign w:val="center"/>
            <w:hideMark/>
          </w:tcPr>
          <w:p w14:paraId="45DC48FA"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Valor del Gasto</w:t>
            </w:r>
          </w:p>
        </w:tc>
        <w:tc>
          <w:tcPr>
            <w:tcW w:w="1309" w:type="dxa"/>
            <w:vAlign w:val="center"/>
            <w:hideMark/>
          </w:tcPr>
          <w:p w14:paraId="2EE88A92" w14:textId="6BA91657" w:rsidR="00C8643D" w:rsidRPr="008F5722" w:rsidRDefault="000219EB"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noProof/>
                <w:color w:val="0F243E" w:themeColor="text2" w:themeShade="80"/>
                <w:sz w:val="20"/>
                <w:szCs w:val="20"/>
                <w:lang w:val="en-US" w:eastAsia="en-US"/>
              </w:rPr>
              <w:drawing>
                <wp:anchor distT="0" distB="0" distL="114300" distR="114300" simplePos="0" relativeHeight="252403712" behindDoc="0" locked="0" layoutInCell="1" allowOverlap="1" wp14:anchorId="50CAF334" wp14:editId="46C66EB4">
                  <wp:simplePos x="0" y="0"/>
                  <wp:positionH relativeFrom="column">
                    <wp:posOffset>144780</wp:posOffset>
                  </wp:positionH>
                  <wp:positionV relativeFrom="paragraph">
                    <wp:posOffset>-65405</wp:posOffset>
                  </wp:positionV>
                  <wp:extent cx="381000" cy="342900"/>
                  <wp:effectExtent l="0" t="0" r="0" b="0"/>
                  <wp:wrapNone/>
                  <wp:docPr id="36" name="Imagen 36" descr="Ilustración de Signo De Exclamación De Círculo Naranja Icono De Aviso De  Atención y más Vectores Libres de Derechos de Alerta - iStock">
                    <a:extLst xmlns:a="http://schemas.openxmlformats.org/drawingml/2006/main">
                      <a:ext uri="{FF2B5EF4-FFF2-40B4-BE49-F238E27FC236}">
                        <a16:creationId xmlns:a16="http://schemas.microsoft.com/office/drawing/2014/main" id="{DCD4017B-31C9-4261-A003-3EA8D9BD668C}"/>
                      </a:ext>
                    </a:extLst>
                  </wp:docPr>
                  <wp:cNvGraphicFramePr/>
                  <a:graphic xmlns:a="http://schemas.openxmlformats.org/drawingml/2006/main">
                    <a:graphicData uri="http://schemas.openxmlformats.org/drawingml/2006/picture">
                      <pic:pic xmlns:pic="http://schemas.openxmlformats.org/drawingml/2006/picture">
                        <pic:nvPicPr>
                          <pic:cNvPr id="23" name="Imagen 22" descr="Ilustración de Signo De Exclamación De Círculo Naranja Icono De Aviso De  Atención y más Vectores Libres de Derechos de Alerta - iStock">
                            <a:extLst>
                              <a:ext uri="{FF2B5EF4-FFF2-40B4-BE49-F238E27FC236}">
                                <a16:creationId xmlns:a16="http://schemas.microsoft.com/office/drawing/2014/main" id="{DCD4017B-31C9-4261-A003-3EA8D9BD66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pic:spPr>
                      </pic:pic>
                    </a:graphicData>
                  </a:graphic>
                  <wp14:sizeRelH relativeFrom="page">
                    <wp14:pctWidth>0</wp14:pctWidth>
                  </wp14:sizeRelH>
                  <wp14:sizeRelV relativeFrom="page">
                    <wp14:pctHeight>0</wp14:pctHeight>
                  </wp14:sizeRelV>
                </wp:anchor>
              </w:drawing>
            </w:r>
          </w:p>
        </w:tc>
        <w:tc>
          <w:tcPr>
            <w:tcW w:w="1214" w:type="dxa"/>
            <w:vAlign w:val="center"/>
            <w:hideMark/>
          </w:tcPr>
          <w:p w14:paraId="2A18BE29" w14:textId="77777777" w:rsidR="00C8643D" w:rsidRPr="008F5722" w:rsidRDefault="00C8643D"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w:t>
            </w:r>
          </w:p>
        </w:tc>
        <w:tc>
          <w:tcPr>
            <w:tcW w:w="1194" w:type="dxa"/>
            <w:vAlign w:val="center"/>
            <w:hideMark/>
          </w:tcPr>
          <w:p w14:paraId="1243EA70" w14:textId="180AA25A" w:rsidR="00C8643D" w:rsidRPr="008F5722" w:rsidRDefault="000219EB" w:rsidP="00087C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26%</w:t>
            </w:r>
          </w:p>
        </w:tc>
        <w:tc>
          <w:tcPr>
            <w:tcW w:w="2693" w:type="dxa"/>
            <w:vAlign w:val="center"/>
            <w:hideMark/>
          </w:tcPr>
          <w:p w14:paraId="52857F5C" w14:textId="2DE3BFB1" w:rsidR="00C8643D" w:rsidRPr="008F5722" w:rsidRDefault="000219EB" w:rsidP="00087C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El incremento obedeció en parte al cobro generado por el periodo de abril de 2020 fue incluido en el pago realizado en el mes de septiembre de 2020</w:t>
            </w:r>
            <w:r w:rsidR="001A4328" w:rsidRPr="008F5722">
              <w:rPr>
                <w:rFonts w:ascii="Arial" w:hAnsi="Arial" w:cs="Arial"/>
                <w:color w:val="0F243E" w:themeColor="text2" w:themeShade="80"/>
                <w:sz w:val="20"/>
                <w:szCs w:val="20"/>
              </w:rPr>
              <w:t>.</w:t>
            </w:r>
          </w:p>
        </w:tc>
      </w:tr>
    </w:tbl>
    <w:p w14:paraId="6828C252" w14:textId="67CB230B" w:rsidR="00024F48" w:rsidRPr="008F5722" w:rsidRDefault="00024F48" w:rsidP="00964399">
      <w:pPr>
        <w:jc w:val="both"/>
        <w:rPr>
          <w:rFonts w:ascii="Arial" w:hAnsi="Arial" w:cs="Arial"/>
          <w:color w:val="0F243E" w:themeColor="text2" w:themeShade="80"/>
          <w:sz w:val="22"/>
          <w:szCs w:val="22"/>
          <w:highlight w:val="yellow"/>
        </w:rPr>
      </w:pPr>
    </w:p>
    <w:p w14:paraId="17706DBE" w14:textId="6CDAE2C7" w:rsidR="009C6460" w:rsidRPr="000021A3" w:rsidRDefault="00024F48" w:rsidP="00087CC0">
      <w:pPr>
        <w:spacing w:after="200" w:line="276" w:lineRule="auto"/>
        <w:rPr>
          <w:rFonts w:ascii="Arial" w:hAnsi="Arial" w:cs="Arial"/>
          <w:b/>
          <w:color w:val="0F243E" w:themeColor="text2" w:themeShade="80"/>
          <w:sz w:val="22"/>
          <w:szCs w:val="22"/>
        </w:rPr>
      </w:pPr>
      <w:r w:rsidRPr="00CA48AF">
        <w:rPr>
          <w:rFonts w:ascii="Arial" w:hAnsi="Arial" w:cs="Arial"/>
          <w:sz w:val="22"/>
          <w:szCs w:val="22"/>
          <w:highlight w:val="yellow"/>
        </w:rPr>
        <w:br w:type="page"/>
      </w:r>
      <w:r w:rsidR="009C6460" w:rsidRPr="008F5722">
        <w:rPr>
          <w:rFonts w:ascii="Arial" w:hAnsi="Arial" w:cs="Arial"/>
          <w:b/>
          <w:color w:val="0F243E" w:themeColor="text2" w:themeShade="80"/>
          <w:sz w:val="22"/>
          <w:szCs w:val="22"/>
        </w:rPr>
        <w:lastRenderedPageBreak/>
        <w:t>SOSTENIBILIDAD AMBIENTAL</w:t>
      </w:r>
    </w:p>
    <w:tbl>
      <w:tblPr>
        <w:tblStyle w:val="Tabladecuadrcula1clara-nfasis1"/>
        <w:tblW w:w="0" w:type="auto"/>
        <w:tblLook w:val="04A0" w:firstRow="1" w:lastRow="0" w:firstColumn="1" w:lastColumn="0" w:noHBand="0" w:noVBand="1"/>
      </w:tblPr>
      <w:tblGrid>
        <w:gridCol w:w="1017"/>
        <w:gridCol w:w="628"/>
        <w:gridCol w:w="1139"/>
        <w:gridCol w:w="1322"/>
        <w:gridCol w:w="1134"/>
        <w:gridCol w:w="1180"/>
        <w:gridCol w:w="3209"/>
      </w:tblGrid>
      <w:tr w:rsidR="00012852" w:rsidRPr="000021A3" w14:paraId="324AA713" w14:textId="77777777" w:rsidTr="000128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restart"/>
            <w:shd w:val="clear" w:color="auto" w:fill="4F81BD" w:themeFill="accent1"/>
            <w:vAlign w:val="center"/>
            <w:hideMark/>
          </w:tcPr>
          <w:p w14:paraId="26716FB4" w14:textId="77777777" w:rsidR="00012852" w:rsidRPr="000021A3" w:rsidRDefault="00012852" w:rsidP="00087CC0">
            <w:pPr>
              <w:widowControl w:val="0"/>
              <w:spacing w:before="80" w:after="80"/>
              <w:jc w:val="center"/>
              <w:rPr>
                <w:rFonts w:ascii="Arial" w:hAnsi="Arial" w:cs="Arial"/>
                <w:color w:val="FFFFFF"/>
                <w:sz w:val="20"/>
                <w:szCs w:val="20"/>
              </w:rPr>
            </w:pPr>
            <w:r w:rsidRPr="000021A3">
              <w:rPr>
                <w:rFonts w:ascii="Arial" w:hAnsi="Arial" w:cs="Arial"/>
                <w:color w:val="FFFFFF"/>
                <w:sz w:val="20"/>
                <w:szCs w:val="20"/>
              </w:rPr>
              <w:t>Numeral Informe</w:t>
            </w:r>
          </w:p>
        </w:tc>
        <w:tc>
          <w:tcPr>
            <w:tcW w:w="628" w:type="dxa"/>
            <w:vMerge w:val="restart"/>
            <w:shd w:val="clear" w:color="auto" w:fill="4F81BD" w:themeFill="accent1"/>
            <w:vAlign w:val="center"/>
            <w:hideMark/>
          </w:tcPr>
          <w:p w14:paraId="68D71EF6" w14:textId="77777777"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021A3">
              <w:rPr>
                <w:rFonts w:ascii="Arial" w:hAnsi="Arial" w:cs="Arial"/>
                <w:color w:val="FFFFFF"/>
                <w:sz w:val="20"/>
                <w:szCs w:val="20"/>
              </w:rPr>
              <w:t>Ítem</w:t>
            </w:r>
          </w:p>
        </w:tc>
        <w:tc>
          <w:tcPr>
            <w:tcW w:w="1139" w:type="dxa"/>
            <w:vMerge w:val="restart"/>
            <w:shd w:val="clear" w:color="auto" w:fill="4F81BD" w:themeFill="accent1"/>
            <w:vAlign w:val="center"/>
            <w:hideMark/>
          </w:tcPr>
          <w:p w14:paraId="1FCBA3A7" w14:textId="77777777"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021A3">
              <w:rPr>
                <w:rFonts w:ascii="Arial" w:hAnsi="Arial" w:cs="Arial"/>
                <w:color w:val="FFFFFF"/>
                <w:sz w:val="20"/>
                <w:szCs w:val="20"/>
              </w:rPr>
              <w:t>Concepto</w:t>
            </w:r>
          </w:p>
        </w:tc>
        <w:tc>
          <w:tcPr>
            <w:tcW w:w="3636" w:type="dxa"/>
            <w:gridSpan w:val="3"/>
            <w:shd w:val="clear" w:color="auto" w:fill="4F81BD" w:themeFill="accent1"/>
          </w:tcPr>
          <w:p w14:paraId="625200CD" w14:textId="08DEE89A"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021A3">
              <w:rPr>
                <w:rFonts w:ascii="Arial" w:hAnsi="Arial" w:cs="Arial"/>
                <w:color w:val="FFFFFF"/>
                <w:sz w:val="20"/>
                <w:szCs w:val="20"/>
              </w:rPr>
              <w:t xml:space="preserve">Impacto del Resultado </w:t>
            </w:r>
          </w:p>
        </w:tc>
        <w:tc>
          <w:tcPr>
            <w:tcW w:w="3209" w:type="dxa"/>
            <w:vMerge w:val="restart"/>
            <w:shd w:val="clear" w:color="auto" w:fill="4F81BD" w:themeFill="accent1"/>
            <w:vAlign w:val="center"/>
            <w:hideMark/>
          </w:tcPr>
          <w:p w14:paraId="7EF5AF15" w14:textId="77777777"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0021A3">
              <w:rPr>
                <w:rFonts w:ascii="Arial" w:hAnsi="Arial" w:cs="Arial"/>
                <w:color w:val="FFFFFF"/>
                <w:sz w:val="20"/>
                <w:szCs w:val="20"/>
              </w:rPr>
              <w:t xml:space="preserve">Observación de la Variación </w:t>
            </w:r>
          </w:p>
        </w:tc>
      </w:tr>
      <w:tr w:rsidR="00012852" w:rsidRPr="000021A3" w14:paraId="19CF7A5B" w14:textId="77777777" w:rsidTr="000128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74F853D9" w14:textId="77777777" w:rsidR="00012852" w:rsidRPr="000021A3" w:rsidRDefault="00012852" w:rsidP="00087CC0">
            <w:pPr>
              <w:widowControl w:val="0"/>
              <w:spacing w:before="80" w:after="80"/>
              <w:rPr>
                <w:rFonts w:ascii="Arial" w:hAnsi="Arial" w:cs="Arial"/>
                <w:color w:val="FFFFFF"/>
                <w:sz w:val="20"/>
                <w:szCs w:val="20"/>
              </w:rPr>
            </w:pPr>
          </w:p>
        </w:tc>
        <w:tc>
          <w:tcPr>
            <w:tcW w:w="628" w:type="dxa"/>
            <w:vMerge/>
            <w:vAlign w:val="center"/>
            <w:hideMark/>
          </w:tcPr>
          <w:p w14:paraId="75B5A4C3" w14:textId="77777777" w:rsidR="00012852" w:rsidRPr="000021A3" w:rsidRDefault="00012852" w:rsidP="00087CC0">
            <w:pPr>
              <w:widowControl w:val="0"/>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p>
        </w:tc>
        <w:tc>
          <w:tcPr>
            <w:tcW w:w="1139" w:type="dxa"/>
            <w:vMerge/>
            <w:vAlign w:val="center"/>
            <w:hideMark/>
          </w:tcPr>
          <w:p w14:paraId="547ED3A3" w14:textId="77777777" w:rsidR="00012852" w:rsidRPr="000021A3" w:rsidRDefault="00012852" w:rsidP="00087CC0">
            <w:pPr>
              <w:widowControl w:val="0"/>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p>
        </w:tc>
        <w:tc>
          <w:tcPr>
            <w:tcW w:w="1322" w:type="dxa"/>
            <w:shd w:val="clear" w:color="auto" w:fill="4F81BD" w:themeFill="accent1"/>
          </w:tcPr>
          <w:p w14:paraId="6C3E773D" w14:textId="48A36CDB"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021A3">
              <w:rPr>
                <w:rFonts w:ascii="Arial" w:hAnsi="Arial" w:cs="Arial"/>
                <w:color w:val="FFFFFF"/>
                <w:sz w:val="20"/>
                <w:szCs w:val="20"/>
              </w:rPr>
              <w:t>Medidas de Austeridad MHCP</w:t>
            </w:r>
          </w:p>
        </w:tc>
        <w:tc>
          <w:tcPr>
            <w:tcW w:w="1134" w:type="dxa"/>
            <w:shd w:val="clear" w:color="auto" w:fill="4F81BD" w:themeFill="accent1"/>
            <w:vAlign w:val="center"/>
            <w:hideMark/>
          </w:tcPr>
          <w:p w14:paraId="2089E55D" w14:textId="6925DA8E"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021A3">
              <w:rPr>
                <w:rFonts w:ascii="Arial" w:hAnsi="Arial" w:cs="Arial"/>
                <w:bCs w:val="0"/>
                <w:color w:val="FFFFFF"/>
                <w:sz w:val="20"/>
                <w:szCs w:val="20"/>
              </w:rPr>
              <w:t>Medidas COVID-19</w:t>
            </w:r>
          </w:p>
        </w:tc>
        <w:tc>
          <w:tcPr>
            <w:tcW w:w="1180" w:type="dxa"/>
            <w:shd w:val="clear" w:color="auto" w:fill="4F81BD" w:themeFill="accent1"/>
            <w:vAlign w:val="center"/>
            <w:hideMark/>
          </w:tcPr>
          <w:p w14:paraId="6530EFC2" w14:textId="77777777" w:rsidR="00012852" w:rsidRPr="000021A3" w:rsidRDefault="00012852" w:rsidP="00087CC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20"/>
                <w:szCs w:val="20"/>
              </w:rPr>
            </w:pPr>
            <w:r w:rsidRPr="000021A3">
              <w:rPr>
                <w:rFonts w:ascii="Arial" w:hAnsi="Arial" w:cs="Arial"/>
                <w:bCs w:val="0"/>
                <w:color w:val="FFFFFF"/>
                <w:sz w:val="20"/>
                <w:szCs w:val="20"/>
              </w:rPr>
              <w:t>Variación %</w:t>
            </w:r>
          </w:p>
        </w:tc>
        <w:tc>
          <w:tcPr>
            <w:tcW w:w="3209" w:type="dxa"/>
            <w:vMerge/>
            <w:shd w:val="clear" w:color="auto" w:fill="4F81BD" w:themeFill="accent1"/>
            <w:vAlign w:val="center"/>
            <w:hideMark/>
          </w:tcPr>
          <w:p w14:paraId="216AD08D" w14:textId="77777777" w:rsidR="00012852" w:rsidRPr="000021A3" w:rsidRDefault="00012852" w:rsidP="00087CC0">
            <w:pPr>
              <w:widowControl w:val="0"/>
              <w:spacing w:before="80" w:after="8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
        </w:tc>
      </w:tr>
      <w:tr w:rsidR="00D5324A" w:rsidRPr="000021A3" w14:paraId="1AF987D7" w14:textId="77777777" w:rsidTr="00012852">
        <w:trPr>
          <w:trHeight w:val="966"/>
        </w:trPr>
        <w:tc>
          <w:tcPr>
            <w:cnfStyle w:val="001000000000" w:firstRow="0" w:lastRow="0" w:firstColumn="1" w:lastColumn="0" w:oddVBand="0" w:evenVBand="0" w:oddHBand="0" w:evenHBand="0" w:firstRowFirstColumn="0" w:firstRowLastColumn="0" w:lastRowFirstColumn="0" w:lastRowLastColumn="0"/>
            <w:tcW w:w="1017" w:type="dxa"/>
            <w:vMerge w:val="restart"/>
            <w:vAlign w:val="center"/>
            <w:hideMark/>
          </w:tcPr>
          <w:p w14:paraId="4795B353" w14:textId="43628633" w:rsidR="00D5324A" w:rsidRPr="008F5722" w:rsidRDefault="00D5324A" w:rsidP="00087CC0">
            <w:pPr>
              <w:widowControl w:val="0"/>
              <w:spacing w:before="80" w:after="8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 11.1</w:t>
            </w:r>
          </w:p>
        </w:tc>
        <w:tc>
          <w:tcPr>
            <w:tcW w:w="628" w:type="dxa"/>
            <w:vMerge w:val="restart"/>
            <w:textDirection w:val="btLr"/>
            <w:vAlign w:val="center"/>
            <w:hideMark/>
          </w:tcPr>
          <w:p w14:paraId="550D4ED1"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Energía</w:t>
            </w:r>
          </w:p>
        </w:tc>
        <w:tc>
          <w:tcPr>
            <w:tcW w:w="1139" w:type="dxa"/>
            <w:vAlign w:val="center"/>
            <w:hideMark/>
          </w:tcPr>
          <w:p w14:paraId="7A9595B1"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22" w:type="dxa"/>
          </w:tcPr>
          <w:p w14:paraId="1D283E32"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lang w:eastAsia="en-US"/>
              </w:rPr>
            </w:pPr>
          </w:p>
        </w:tc>
        <w:tc>
          <w:tcPr>
            <w:tcW w:w="1134" w:type="dxa"/>
            <w:vMerge w:val="restart"/>
            <w:noWrap/>
            <w:vAlign w:val="center"/>
            <w:hideMark/>
          </w:tcPr>
          <w:p w14:paraId="579CAB79" w14:textId="33715074"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F5722">
              <w:rPr>
                <w:rFonts w:ascii="Calibri" w:hAnsi="Calibri" w:cs="Calibri"/>
                <w:noProof/>
                <w:color w:val="0F243E" w:themeColor="text2" w:themeShade="80"/>
                <w:sz w:val="22"/>
                <w:szCs w:val="22"/>
                <w:lang w:val="en-US" w:eastAsia="en-US"/>
              </w:rPr>
              <w:drawing>
                <wp:anchor distT="0" distB="0" distL="114300" distR="114300" simplePos="0" relativeHeight="252414976" behindDoc="0" locked="0" layoutInCell="1" allowOverlap="1" wp14:anchorId="742EC20E" wp14:editId="28971A60">
                  <wp:simplePos x="0" y="0"/>
                  <wp:positionH relativeFrom="column">
                    <wp:posOffset>46355</wp:posOffset>
                  </wp:positionH>
                  <wp:positionV relativeFrom="paragraph">
                    <wp:posOffset>-6350</wp:posOffset>
                  </wp:positionV>
                  <wp:extent cx="533400" cy="457200"/>
                  <wp:effectExtent l="0" t="0" r="0" b="0"/>
                  <wp:wrapNone/>
                  <wp:docPr id="78" name="Imagen 78" descr="Marca de verificación o garrapatas icono en círculo rojo Foto de archivo - 33223458">
                    <a:extLst xmlns:a="http://schemas.openxmlformats.org/drawingml/2006/main">
                      <a:ext uri="{FF2B5EF4-FFF2-40B4-BE49-F238E27FC236}">
                        <a16:creationId xmlns:a16="http://schemas.microsoft.com/office/drawing/2014/main" id="{5EAA4040-6EBD-4C5D-AB03-3820B600CFBC}"/>
                      </a:ext>
                    </a:extLst>
                  </wp:docPr>
                  <wp:cNvGraphicFramePr/>
                  <a:graphic xmlns:a="http://schemas.openxmlformats.org/drawingml/2006/main">
                    <a:graphicData uri="http://schemas.openxmlformats.org/drawingml/2006/picture">
                      <pic:pic xmlns:pic="http://schemas.openxmlformats.org/drawingml/2006/picture">
                        <pic:nvPicPr>
                          <pic:cNvPr id="4" name="Imagen 3" descr="Marca de verificación o garrapatas icono en círculo rojo Foto de archivo - 33223458">
                            <a:extLst>
                              <a:ext uri="{FF2B5EF4-FFF2-40B4-BE49-F238E27FC236}">
                                <a16:creationId xmlns:a16="http://schemas.microsoft.com/office/drawing/2014/main" id="{5EAA4040-6EBD-4C5D-AB03-3820B600CFBC}"/>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1C3F9D79" w14:textId="073DC6C9"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80" w:type="dxa"/>
            <w:vAlign w:val="center"/>
            <w:hideMark/>
          </w:tcPr>
          <w:p w14:paraId="4F88FC07" w14:textId="008559A8"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(-10%)</w:t>
            </w:r>
          </w:p>
        </w:tc>
        <w:tc>
          <w:tcPr>
            <w:tcW w:w="3209" w:type="dxa"/>
            <w:vMerge w:val="restart"/>
            <w:vAlign w:val="center"/>
            <w:hideMark/>
          </w:tcPr>
          <w:p w14:paraId="3862BEEC" w14:textId="77777777" w:rsidR="00D5324A" w:rsidRPr="008F5722" w:rsidRDefault="00D5324A"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Esta Entidad implementó la modalidad de trabajo en casa a partir del 20 de marzo de 2020 para aproximadamente el 80% de los servidores públicos, dicha modalidad se mantuvo durante el tercer trimestre de 2020. </w:t>
            </w:r>
          </w:p>
          <w:p w14:paraId="553986E9" w14:textId="50C5B354" w:rsidR="00D5324A" w:rsidRPr="008F5722" w:rsidRDefault="00D5324A"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D5324A" w:rsidRPr="000021A3" w14:paraId="42700766" w14:textId="77777777" w:rsidTr="00087CC0">
        <w:trPr>
          <w:trHeight w:val="1228"/>
        </w:trPr>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71DD0BDC" w14:textId="77777777" w:rsidR="00D5324A" w:rsidRPr="008F5722" w:rsidRDefault="00D5324A" w:rsidP="00087CC0">
            <w:pPr>
              <w:widowControl w:val="0"/>
              <w:spacing w:before="80" w:after="80"/>
              <w:rPr>
                <w:rFonts w:ascii="Arial" w:hAnsi="Arial" w:cs="Arial"/>
                <w:color w:val="0F243E" w:themeColor="text2" w:themeShade="80"/>
                <w:sz w:val="20"/>
                <w:szCs w:val="20"/>
              </w:rPr>
            </w:pPr>
          </w:p>
        </w:tc>
        <w:tc>
          <w:tcPr>
            <w:tcW w:w="628" w:type="dxa"/>
            <w:vMerge/>
            <w:vAlign w:val="center"/>
            <w:hideMark/>
          </w:tcPr>
          <w:p w14:paraId="481CDF12"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16A6A1F7"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 xml:space="preserve">Consumo en </w:t>
            </w:r>
            <w:proofErr w:type="spellStart"/>
            <w:r w:rsidRPr="008F5722">
              <w:rPr>
                <w:rFonts w:ascii="Arial" w:hAnsi="Arial" w:cs="Arial"/>
                <w:color w:val="0F243E" w:themeColor="text2" w:themeShade="80"/>
                <w:sz w:val="20"/>
                <w:szCs w:val="20"/>
              </w:rPr>
              <w:t>Kw</w:t>
            </w:r>
            <w:proofErr w:type="spellEnd"/>
            <w:r w:rsidRPr="008F5722">
              <w:rPr>
                <w:rFonts w:ascii="Arial" w:hAnsi="Arial" w:cs="Arial"/>
                <w:color w:val="0F243E" w:themeColor="text2" w:themeShade="80"/>
                <w:sz w:val="20"/>
                <w:szCs w:val="20"/>
              </w:rPr>
              <w:t>/h</w:t>
            </w:r>
          </w:p>
        </w:tc>
        <w:tc>
          <w:tcPr>
            <w:tcW w:w="1322" w:type="dxa"/>
          </w:tcPr>
          <w:p w14:paraId="4F396811"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34" w:type="dxa"/>
            <w:vMerge/>
            <w:vAlign w:val="center"/>
            <w:hideMark/>
          </w:tcPr>
          <w:p w14:paraId="11A02DD7" w14:textId="2BE6C5A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80" w:type="dxa"/>
            <w:vAlign w:val="center"/>
            <w:hideMark/>
          </w:tcPr>
          <w:p w14:paraId="490B51EB" w14:textId="25B25AE2"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(-11%)</w:t>
            </w:r>
          </w:p>
        </w:tc>
        <w:tc>
          <w:tcPr>
            <w:tcW w:w="3209" w:type="dxa"/>
            <w:vMerge/>
            <w:vAlign w:val="center"/>
            <w:hideMark/>
          </w:tcPr>
          <w:p w14:paraId="525282C8" w14:textId="64C36E13" w:rsidR="00D5324A" w:rsidRPr="008F5722" w:rsidRDefault="00D5324A"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D5324A" w:rsidRPr="000021A3" w14:paraId="4CC90669" w14:textId="77777777" w:rsidTr="00087CC0">
        <w:trPr>
          <w:trHeight w:val="1552"/>
        </w:trPr>
        <w:tc>
          <w:tcPr>
            <w:cnfStyle w:val="001000000000" w:firstRow="0" w:lastRow="0" w:firstColumn="1" w:lastColumn="0" w:oddVBand="0" w:evenVBand="0" w:oddHBand="0" w:evenHBand="0" w:firstRowFirstColumn="0" w:firstRowLastColumn="0" w:lastRowFirstColumn="0" w:lastRowLastColumn="0"/>
            <w:tcW w:w="1017" w:type="dxa"/>
            <w:vMerge w:val="restart"/>
            <w:vAlign w:val="center"/>
            <w:hideMark/>
          </w:tcPr>
          <w:p w14:paraId="5ED8BE9A" w14:textId="22AE2433" w:rsidR="00D5324A" w:rsidRPr="008F5722" w:rsidRDefault="00D5324A" w:rsidP="00087CC0">
            <w:pPr>
              <w:widowControl w:val="0"/>
              <w:spacing w:before="80" w:after="80"/>
              <w:jc w:val="center"/>
              <w:rPr>
                <w:rFonts w:ascii="Arial" w:hAnsi="Arial" w:cs="Arial"/>
                <w:color w:val="0F243E" w:themeColor="text2" w:themeShade="80"/>
                <w:sz w:val="20"/>
                <w:szCs w:val="20"/>
              </w:rPr>
            </w:pPr>
            <w:r w:rsidRPr="008F5722">
              <w:rPr>
                <w:rFonts w:ascii="Arial" w:hAnsi="Arial" w:cs="Arial"/>
                <w:color w:val="0F243E" w:themeColor="text2" w:themeShade="80"/>
                <w:sz w:val="20"/>
                <w:szCs w:val="20"/>
              </w:rPr>
              <w:t>11.2</w:t>
            </w:r>
          </w:p>
        </w:tc>
        <w:tc>
          <w:tcPr>
            <w:tcW w:w="628" w:type="dxa"/>
            <w:vMerge w:val="restart"/>
            <w:textDirection w:val="btLr"/>
            <w:vAlign w:val="center"/>
            <w:hideMark/>
          </w:tcPr>
          <w:p w14:paraId="3C14FF06"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Acueducto</w:t>
            </w:r>
          </w:p>
        </w:tc>
        <w:tc>
          <w:tcPr>
            <w:tcW w:w="1139" w:type="dxa"/>
            <w:vAlign w:val="center"/>
            <w:hideMark/>
          </w:tcPr>
          <w:p w14:paraId="0C88644C"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22" w:type="dxa"/>
          </w:tcPr>
          <w:p w14:paraId="661187B8"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lang w:eastAsia="en-US"/>
              </w:rPr>
            </w:pPr>
          </w:p>
        </w:tc>
        <w:tc>
          <w:tcPr>
            <w:tcW w:w="1134" w:type="dxa"/>
            <w:vMerge w:val="restart"/>
            <w:noWrap/>
            <w:vAlign w:val="center"/>
            <w:hideMark/>
          </w:tcPr>
          <w:p w14:paraId="677C664A" w14:textId="685A2A31"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8F5722">
              <w:rPr>
                <w:rFonts w:ascii="Calibri" w:hAnsi="Calibri" w:cs="Calibri"/>
                <w:noProof/>
                <w:color w:val="0F243E" w:themeColor="text2" w:themeShade="80"/>
                <w:sz w:val="22"/>
                <w:szCs w:val="22"/>
                <w:lang w:val="en-US" w:eastAsia="en-US"/>
              </w:rPr>
              <w:drawing>
                <wp:anchor distT="0" distB="0" distL="114300" distR="114300" simplePos="0" relativeHeight="252416000" behindDoc="0" locked="0" layoutInCell="1" allowOverlap="1" wp14:anchorId="40D780B5" wp14:editId="0639210A">
                  <wp:simplePos x="0" y="0"/>
                  <wp:positionH relativeFrom="column">
                    <wp:posOffset>12065</wp:posOffset>
                  </wp:positionH>
                  <wp:positionV relativeFrom="paragraph">
                    <wp:posOffset>-149225</wp:posOffset>
                  </wp:positionV>
                  <wp:extent cx="533400" cy="457200"/>
                  <wp:effectExtent l="0" t="0" r="0" b="0"/>
                  <wp:wrapNone/>
                  <wp:docPr id="77" name="Imagen 77" descr="Marca de verificación o garrapatas icono en círculo rojo Foto de archivo - 33223458">
                    <a:extLst xmlns:a="http://schemas.openxmlformats.org/drawingml/2006/main">
                      <a:ext uri="{FF2B5EF4-FFF2-40B4-BE49-F238E27FC236}">
                        <a16:creationId xmlns:a16="http://schemas.microsoft.com/office/drawing/2014/main" id="{2481571C-CF6F-45B4-8F78-1C51849DDFC1}"/>
                      </a:ext>
                    </a:extLst>
                  </wp:docPr>
                  <wp:cNvGraphicFramePr/>
                  <a:graphic xmlns:a="http://schemas.openxmlformats.org/drawingml/2006/main">
                    <a:graphicData uri="http://schemas.openxmlformats.org/drawingml/2006/picture">
                      <pic:pic xmlns:pic="http://schemas.openxmlformats.org/drawingml/2006/picture">
                        <pic:nvPicPr>
                          <pic:cNvPr id="5" name="Imagen 4" descr="Marca de verificación o garrapatas icono en círculo rojo Foto de archivo - 33223458">
                            <a:extLst>
                              <a:ext uri="{FF2B5EF4-FFF2-40B4-BE49-F238E27FC236}">
                                <a16:creationId xmlns:a16="http://schemas.microsoft.com/office/drawing/2014/main" id="{2481571C-CF6F-45B4-8F78-1C51849DDFC1}"/>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14:sizeRelH relativeFrom="page">
                    <wp14:pctWidth>0</wp14:pctWidth>
                  </wp14:sizeRelH>
                  <wp14:sizeRelV relativeFrom="page">
                    <wp14:pctHeight>0</wp14:pctHeight>
                  </wp14:sizeRelV>
                </wp:anchor>
              </w:drawing>
            </w:r>
          </w:p>
          <w:p w14:paraId="4F92865C" w14:textId="498ECD8D"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80" w:type="dxa"/>
            <w:vAlign w:val="center"/>
            <w:hideMark/>
          </w:tcPr>
          <w:p w14:paraId="43395383" w14:textId="1C4AB66D"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 xml:space="preserve">(-49%) </w:t>
            </w:r>
          </w:p>
        </w:tc>
        <w:tc>
          <w:tcPr>
            <w:tcW w:w="3209" w:type="dxa"/>
            <w:vMerge/>
            <w:vAlign w:val="center"/>
            <w:hideMark/>
          </w:tcPr>
          <w:p w14:paraId="09459099" w14:textId="456271B0" w:rsidR="00D5324A" w:rsidRPr="008F5722" w:rsidRDefault="00D5324A"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D5324A" w:rsidRPr="000021A3" w14:paraId="27C317B9" w14:textId="77777777" w:rsidTr="00087CC0">
        <w:trPr>
          <w:trHeight w:val="1551"/>
        </w:trPr>
        <w:tc>
          <w:tcPr>
            <w:cnfStyle w:val="001000000000" w:firstRow="0" w:lastRow="0" w:firstColumn="1" w:lastColumn="0" w:oddVBand="0" w:evenVBand="0" w:oddHBand="0" w:evenHBand="0" w:firstRowFirstColumn="0" w:firstRowLastColumn="0" w:lastRowFirstColumn="0" w:lastRowLastColumn="0"/>
            <w:tcW w:w="1017" w:type="dxa"/>
            <w:vMerge/>
            <w:vAlign w:val="center"/>
            <w:hideMark/>
          </w:tcPr>
          <w:p w14:paraId="5707D943" w14:textId="77777777" w:rsidR="00D5324A" w:rsidRPr="008F5722" w:rsidRDefault="00D5324A" w:rsidP="00087CC0">
            <w:pPr>
              <w:widowControl w:val="0"/>
              <w:spacing w:before="80" w:after="80"/>
              <w:rPr>
                <w:rFonts w:ascii="Arial" w:hAnsi="Arial" w:cs="Arial"/>
                <w:color w:val="0F243E" w:themeColor="text2" w:themeShade="80"/>
                <w:sz w:val="20"/>
                <w:szCs w:val="20"/>
              </w:rPr>
            </w:pPr>
          </w:p>
        </w:tc>
        <w:tc>
          <w:tcPr>
            <w:tcW w:w="628" w:type="dxa"/>
            <w:vMerge/>
            <w:vAlign w:val="center"/>
            <w:hideMark/>
          </w:tcPr>
          <w:p w14:paraId="6326C77D"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1139" w:type="dxa"/>
            <w:vAlign w:val="center"/>
            <w:hideMark/>
          </w:tcPr>
          <w:p w14:paraId="61BFF2AE" w14:textId="77777777"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Consumo en M</w:t>
            </w:r>
            <w:r w:rsidRPr="008F5722">
              <w:rPr>
                <w:rFonts w:ascii="Arial" w:hAnsi="Arial" w:cs="Arial"/>
                <w:color w:val="0F243E" w:themeColor="text2" w:themeShade="80"/>
                <w:sz w:val="20"/>
                <w:szCs w:val="20"/>
                <w:vertAlign w:val="superscript"/>
              </w:rPr>
              <w:t>3</w:t>
            </w:r>
          </w:p>
        </w:tc>
        <w:tc>
          <w:tcPr>
            <w:tcW w:w="1322" w:type="dxa"/>
          </w:tcPr>
          <w:p w14:paraId="48FB4756" w14:textId="7777777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34" w:type="dxa"/>
            <w:vMerge/>
            <w:vAlign w:val="center"/>
            <w:hideMark/>
          </w:tcPr>
          <w:p w14:paraId="1BCDE91C" w14:textId="49908997" w:rsidR="00D5324A" w:rsidRPr="008F5722" w:rsidRDefault="00D5324A"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80" w:type="dxa"/>
            <w:vAlign w:val="center"/>
            <w:hideMark/>
          </w:tcPr>
          <w:p w14:paraId="4574A03A" w14:textId="6FBED5A1" w:rsidR="00D5324A" w:rsidRPr="008F5722" w:rsidRDefault="00D5324A"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(-50%)</w:t>
            </w:r>
          </w:p>
        </w:tc>
        <w:tc>
          <w:tcPr>
            <w:tcW w:w="3209" w:type="dxa"/>
            <w:vMerge/>
            <w:vAlign w:val="center"/>
            <w:hideMark/>
          </w:tcPr>
          <w:p w14:paraId="2633AEBC" w14:textId="4BC11328" w:rsidR="00D5324A" w:rsidRPr="008F5722" w:rsidRDefault="00D5324A"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r>
      <w:tr w:rsidR="00277AA7" w:rsidRPr="00CA48AF" w14:paraId="2FE17293" w14:textId="77777777" w:rsidTr="00A9626D">
        <w:trPr>
          <w:cantSplit/>
          <w:trHeight w:val="2396"/>
        </w:trPr>
        <w:tc>
          <w:tcPr>
            <w:cnfStyle w:val="001000000000" w:firstRow="0" w:lastRow="0" w:firstColumn="1" w:lastColumn="0" w:oddVBand="0" w:evenVBand="0" w:oddHBand="0" w:evenHBand="0" w:firstRowFirstColumn="0" w:firstRowLastColumn="0" w:lastRowFirstColumn="0" w:lastRowLastColumn="0"/>
            <w:tcW w:w="1017" w:type="dxa"/>
            <w:vMerge/>
            <w:vAlign w:val="center"/>
          </w:tcPr>
          <w:p w14:paraId="0DFA7043" w14:textId="77777777" w:rsidR="00277AA7" w:rsidRPr="008F5722" w:rsidRDefault="00277AA7" w:rsidP="00087CC0">
            <w:pPr>
              <w:widowControl w:val="0"/>
              <w:spacing w:before="80" w:after="80"/>
              <w:rPr>
                <w:rFonts w:ascii="Arial" w:hAnsi="Arial" w:cs="Arial"/>
                <w:color w:val="0F243E" w:themeColor="text2" w:themeShade="80"/>
                <w:sz w:val="20"/>
                <w:szCs w:val="20"/>
              </w:rPr>
            </w:pPr>
          </w:p>
        </w:tc>
        <w:tc>
          <w:tcPr>
            <w:tcW w:w="628" w:type="dxa"/>
            <w:textDirection w:val="btLr"/>
            <w:vAlign w:val="center"/>
          </w:tcPr>
          <w:p w14:paraId="5BB1735C" w14:textId="464CEBA2" w:rsidR="00277AA7" w:rsidRPr="008F5722" w:rsidRDefault="00277AA7" w:rsidP="00087CC0">
            <w:pPr>
              <w:widowControl w:val="0"/>
              <w:spacing w:before="80" w:after="8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Aseo</w:t>
            </w:r>
          </w:p>
        </w:tc>
        <w:tc>
          <w:tcPr>
            <w:tcW w:w="1139" w:type="dxa"/>
            <w:vAlign w:val="center"/>
          </w:tcPr>
          <w:p w14:paraId="41A37307" w14:textId="148F59B5" w:rsidR="00277AA7" w:rsidRPr="008F5722" w:rsidRDefault="00277AA7"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8F5722">
              <w:rPr>
                <w:rFonts w:ascii="Arial" w:hAnsi="Arial" w:cs="Arial"/>
                <w:color w:val="0F243E" w:themeColor="text2" w:themeShade="80"/>
                <w:sz w:val="20"/>
                <w:szCs w:val="20"/>
              </w:rPr>
              <w:t>Valor del Gasto</w:t>
            </w:r>
          </w:p>
        </w:tc>
        <w:tc>
          <w:tcPr>
            <w:tcW w:w="1322" w:type="dxa"/>
          </w:tcPr>
          <w:p w14:paraId="10FC2A7C" w14:textId="16F4DDC1" w:rsidR="00277AA7" w:rsidRPr="008F5722" w:rsidRDefault="00EA5682"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lang w:eastAsia="en-US"/>
              </w:rPr>
            </w:pPr>
            <w:r w:rsidRPr="008F5722">
              <w:rPr>
                <w:rFonts w:ascii="Arial" w:hAnsi="Arial" w:cs="Arial"/>
                <w:noProof/>
                <w:color w:val="0F243E" w:themeColor="text2" w:themeShade="80"/>
                <w:sz w:val="20"/>
                <w:szCs w:val="20"/>
                <w:lang w:val="en-US" w:eastAsia="en-US"/>
              </w:rPr>
              <w:drawing>
                <wp:anchor distT="0" distB="0" distL="114300" distR="114300" simplePos="0" relativeHeight="252412928" behindDoc="0" locked="0" layoutInCell="1" allowOverlap="1" wp14:anchorId="4AEBE36B" wp14:editId="3D888671">
                  <wp:simplePos x="0" y="0"/>
                  <wp:positionH relativeFrom="column">
                    <wp:posOffset>73660</wp:posOffset>
                  </wp:positionH>
                  <wp:positionV relativeFrom="paragraph">
                    <wp:posOffset>617220</wp:posOffset>
                  </wp:positionV>
                  <wp:extent cx="542925" cy="485775"/>
                  <wp:effectExtent l="0" t="0" r="9525" b="9525"/>
                  <wp:wrapNone/>
                  <wp:docPr id="40" name="Imagen 40" descr="Marca de verificación o garrapatas icono en círculo verde Foto de archivo - 31219780">
                    <a:extLst xmlns:a="http://schemas.openxmlformats.org/drawingml/2006/main">
                      <a:ext uri="{FF2B5EF4-FFF2-40B4-BE49-F238E27FC236}">
                        <a16:creationId xmlns:a16="http://schemas.microsoft.com/office/drawing/2014/main" id="{11FBA446-2A7C-4DC7-9155-8A4BAE8452B8}"/>
                      </a:ext>
                    </a:extLst>
                  </wp:docPr>
                  <wp:cNvGraphicFramePr/>
                  <a:graphic xmlns:a="http://schemas.openxmlformats.org/drawingml/2006/main">
                    <a:graphicData uri="http://schemas.openxmlformats.org/drawingml/2006/picture">
                      <pic:pic xmlns:pic="http://schemas.openxmlformats.org/drawingml/2006/picture">
                        <pic:nvPicPr>
                          <pic:cNvPr id="7" name="Imagen 6" descr="Marca de verificación o garrapatas icono en círculo verde Foto de archivo - 31219780">
                            <a:extLst>
                              <a:ext uri="{FF2B5EF4-FFF2-40B4-BE49-F238E27FC236}">
                                <a16:creationId xmlns:a16="http://schemas.microsoft.com/office/drawing/2014/main" id="{11FBA446-2A7C-4DC7-9155-8A4BAE8452B8}"/>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pic:spPr>
                      </pic:pic>
                    </a:graphicData>
                  </a:graphic>
                  <wp14:sizeRelH relativeFrom="page">
                    <wp14:pctWidth>0</wp14:pctWidth>
                  </wp14:sizeRelH>
                  <wp14:sizeRelV relativeFrom="page">
                    <wp14:pctHeight>0</wp14:pctHeight>
                  </wp14:sizeRelV>
                </wp:anchor>
              </w:drawing>
            </w:r>
          </w:p>
        </w:tc>
        <w:tc>
          <w:tcPr>
            <w:tcW w:w="1134" w:type="dxa"/>
            <w:vAlign w:val="center"/>
          </w:tcPr>
          <w:p w14:paraId="3680AEE2" w14:textId="7828A7CD" w:rsidR="00277AA7" w:rsidRPr="008F5722" w:rsidRDefault="00277AA7" w:rsidP="00087CC0">
            <w:pPr>
              <w:widowControl w:val="0"/>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p>
        </w:tc>
        <w:tc>
          <w:tcPr>
            <w:tcW w:w="1180" w:type="dxa"/>
            <w:vAlign w:val="center"/>
          </w:tcPr>
          <w:p w14:paraId="01C1D7B1" w14:textId="1C5685ED" w:rsidR="00277AA7" w:rsidRPr="008F5722" w:rsidRDefault="00277AA7" w:rsidP="00087CC0">
            <w:pPr>
              <w:widowControl w:val="0"/>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8F5722">
              <w:rPr>
                <w:rFonts w:ascii="Arial" w:hAnsi="Arial" w:cs="Arial"/>
                <w:b/>
                <w:bCs/>
                <w:color w:val="0F243E" w:themeColor="text2" w:themeShade="80"/>
                <w:sz w:val="20"/>
                <w:szCs w:val="20"/>
              </w:rPr>
              <w:t>(-29%)</w:t>
            </w:r>
          </w:p>
        </w:tc>
        <w:tc>
          <w:tcPr>
            <w:tcW w:w="3209" w:type="dxa"/>
            <w:vAlign w:val="center"/>
          </w:tcPr>
          <w:p w14:paraId="047C4EA3" w14:textId="695821D6" w:rsidR="00087CC0" w:rsidRPr="008F5722" w:rsidRDefault="00A9626D" w:rsidP="00087CC0">
            <w:pPr>
              <w:widowControl w:val="0"/>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shd w:val="clear" w:color="auto" w:fill="FFFFFF"/>
              </w:rPr>
            </w:pPr>
            <w:r w:rsidRPr="008F5722">
              <w:rPr>
                <w:rFonts w:ascii="Arial" w:hAnsi="Arial" w:cs="Arial"/>
                <w:color w:val="0F243E" w:themeColor="text2" w:themeShade="80"/>
                <w:sz w:val="20"/>
                <w:szCs w:val="20"/>
                <w:lang w:eastAsia="en-US"/>
              </w:rPr>
              <w:t xml:space="preserve">La reducción del gasto se originó por la aplicación de un saldo a favor del Ministerio de Hacienda y Crédito Público, producto de la reliquidación realizada por la empresa Promoambiental </w:t>
            </w:r>
            <w:r w:rsidRPr="008F5722">
              <w:rPr>
                <w:rFonts w:ascii="Arial" w:hAnsi="Arial" w:cs="Arial"/>
                <w:color w:val="0F243E" w:themeColor="text2" w:themeShade="80"/>
                <w:sz w:val="20"/>
                <w:szCs w:val="20"/>
                <w:shd w:val="clear" w:color="auto" w:fill="FFFFFF"/>
              </w:rPr>
              <w:t xml:space="preserve">en respuesta de la PQR 678519 interpuesta ante dicha empresa. </w:t>
            </w:r>
          </w:p>
        </w:tc>
      </w:tr>
    </w:tbl>
    <w:p w14:paraId="23E95982" w14:textId="326A0A28" w:rsidR="009C6460" w:rsidRPr="00CA48AF" w:rsidRDefault="009C6460" w:rsidP="00024F48">
      <w:pPr>
        <w:jc w:val="both"/>
        <w:rPr>
          <w:rFonts w:ascii="Arial" w:hAnsi="Arial" w:cs="Arial"/>
          <w:sz w:val="22"/>
          <w:szCs w:val="22"/>
          <w:highlight w:val="yellow"/>
        </w:rPr>
      </w:pPr>
    </w:p>
    <w:p w14:paraId="73510AAE" w14:textId="07139772" w:rsidR="00986429" w:rsidRPr="008F5722" w:rsidRDefault="00986429" w:rsidP="00024F48">
      <w:pPr>
        <w:jc w:val="both"/>
        <w:rPr>
          <w:rFonts w:ascii="Arial" w:hAnsi="Arial" w:cs="Arial"/>
          <w:b/>
          <w:bCs/>
          <w:color w:val="000000" w:themeColor="text1"/>
          <w:sz w:val="22"/>
          <w:szCs w:val="22"/>
        </w:rPr>
      </w:pPr>
    </w:p>
    <w:p w14:paraId="013F12FA" w14:textId="45425353" w:rsidR="00744901" w:rsidRPr="008F5722" w:rsidRDefault="00986429" w:rsidP="00024F48">
      <w:pPr>
        <w:jc w:val="both"/>
        <w:rPr>
          <w:rFonts w:ascii="Arial" w:hAnsi="Arial" w:cs="Arial"/>
          <w:color w:val="000000" w:themeColor="text1"/>
          <w:sz w:val="20"/>
          <w:szCs w:val="20"/>
        </w:rPr>
      </w:pPr>
      <w:r w:rsidRPr="008F5722">
        <w:rPr>
          <w:rFonts w:ascii="Arial" w:hAnsi="Arial" w:cs="Arial"/>
          <w:b/>
          <w:bCs/>
          <w:color w:val="000000" w:themeColor="text1"/>
          <w:sz w:val="22"/>
          <w:szCs w:val="22"/>
        </w:rPr>
        <w:t>Nota</w:t>
      </w:r>
      <w:r w:rsidR="00744901" w:rsidRPr="008F5722">
        <w:rPr>
          <w:rFonts w:ascii="Arial" w:hAnsi="Arial" w:cs="Arial"/>
          <w:b/>
          <w:bCs/>
          <w:color w:val="000000" w:themeColor="text1"/>
          <w:sz w:val="22"/>
          <w:szCs w:val="22"/>
        </w:rPr>
        <w:t>s</w:t>
      </w:r>
      <w:r w:rsidRPr="008F5722">
        <w:rPr>
          <w:rFonts w:ascii="Arial" w:hAnsi="Arial" w:cs="Arial"/>
          <w:color w:val="000000" w:themeColor="text1"/>
          <w:sz w:val="20"/>
          <w:szCs w:val="20"/>
        </w:rPr>
        <w:t xml:space="preserve">: </w:t>
      </w:r>
    </w:p>
    <w:p w14:paraId="65994D96" w14:textId="77777777" w:rsidR="00744901" w:rsidRPr="008F5722" w:rsidRDefault="00744901" w:rsidP="00024F48">
      <w:pPr>
        <w:jc w:val="both"/>
        <w:rPr>
          <w:rFonts w:ascii="Arial" w:hAnsi="Arial" w:cs="Arial"/>
          <w:color w:val="000000" w:themeColor="text1"/>
          <w:sz w:val="20"/>
          <w:szCs w:val="20"/>
        </w:rPr>
      </w:pPr>
    </w:p>
    <w:p w14:paraId="15A5A8FD" w14:textId="6BC7A888" w:rsidR="00986429" w:rsidRPr="008F5722" w:rsidRDefault="00986429" w:rsidP="00024F48">
      <w:pPr>
        <w:jc w:val="both"/>
        <w:rPr>
          <w:rFonts w:ascii="Arial" w:hAnsi="Arial" w:cs="Arial"/>
          <w:color w:val="000000" w:themeColor="text1"/>
          <w:sz w:val="20"/>
          <w:szCs w:val="20"/>
          <w:shd w:val="clear" w:color="auto" w:fill="FFFFFF"/>
        </w:rPr>
      </w:pPr>
      <w:r w:rsidRPr="008F5722">
        <w:rPr>
          <w:rFonts w:ascii="Arial" w:hAnsi="Arial" w:cs="Arial"/>
          <w:color w:val="000000" w:themeColor="text1"/>
          <w:sz w:val="20"/>
          <w:szCs w:val="20"/>
          <w:shd w:val="clear" w:color="auto" w:fill="FFFFFF"/>
        </w:rPr>
        <w:t>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p>
    <w:p w14:paraId="45E9E5D6" w14:textId="1C837D35" w:rsidR="00744901" w:rsidRPr="008F5722" w:rsidRDefault="00744901" w:rsidP="00024F48">
      <w:pPr>
        <w:jc w:val="both"/>
        <w:rPr>
          <w:rFonts w:ascii="Arial" w:hAnsi="Arial" w:cs="Arial"/>
          <w:color w:val="000000" w:themeColor="text1"/>
          <w:sz w:val="20"/>
          <w:szCs w:val="20"/>
          <w:shd w:val="clear" w:color="auto" w:fill="FFFFFF"/>
        </w:rPr>
      </w:pPr>
    </w:p>
    <w:p w14:paraId="7B671CDD" w14:textId="6245AE7D" w:rsidR="00744901" w:rsidRPr="008F5722" w:rsidRDefault="00744901" w:rsidP="00024F48">
      <w:pPr>
        <w:jc w:val="both"/>
        <w:rPr>
          <w:rFonts w:ascii="Arial" w:hAnsi="Arial" w:cs="Arial"/>
          <w:color w:val="000000" w:themeColor="text1"/>
          <w:sz w:val="20"/>
          <w:szCs w:val="20"/>
          <w:shd w:val="clear" w:color="auto" w:fill="FFFFFF"/>
        </w:rPr>
      </w:pPr>
      <w:r w:rsidRPr="008F5722">
        <w:rPr>
          <w:rFonts w:ascii="Arial" w:hAnsi="Arial" w:cs="Arial"/>
          <w:color w:val="000000" w:themeColor="text1"/>
          <w:sz w:val="20"/>
          <w:szCs w:val="20"/>
        </w:rPr>
        <w:t xml:space="preserve">Los procedimientos de revisión se realizaron </w:t>
      </w:r>
      <w:r w:rsidR="005376E9">
        <w:rPr>
          <w:rFonts w:ascii="Arial" w:hAnsi="Arial" w:cs="Arial"/>
          <w:color w:val="000000" w:themeColor="text1"/>
          <w:sz w:val="20"/>
          <w:szCs w:val="20"/>
        </w:rPr>
        <w:t xml:space="preserve">para ciertos conceptos </w:t>
      </w:r>
      <w:r w:rsidRPr="008F5722">
        <w:rPr>
          <w:rFonts w:ascii="Arial" w:hAnsi="Arial" w:cs="Arial"/>
          <w:color w:val="000000" w:themeColor="text1"/>
          <w:sz w:val="20"/>
          <w:szCs w:val="20"/>
        </w:rPr>
        <w:t>sobre unas muestras evaluadas, por lo cual, en el momento</w:t>
      </w:r>
      <w:r w:rsidR="005376E9">
        <w:rPr>
          <w:rFonts w:ascii="Arial" w:hAnsi="Arial" w:cs="Arial"/>
          <w:color w:val="000000" w:themeColor="text1"/>
          <w:sz w:val="20"/>
          <w:szCs w:val="20"/>
        </w:rPr>
        <w:t xml:space="preserve"> </w:t>
      </w:r>
      <w:r w:rsidRPr="008F5722">
        <w:rPr>
          <w:rFonts w:ascii="Arial" w:hAnsi="Arial" w:cs="Arial"/>
          <w:color w:val="000000" w:themeColor="text1"/>
          <w:sz w:val="20"/>
          <w:szCs w:val="20"/>
        </w:rPr>
        <w:t>de las verificaciones indicadas, se recomienda considerar la revisión de los posibles efectos sobre el total</w:t>
      </w:r>
      <w:r w:rsidR="005376E9">
        <w:rPr>
          <w:rFonts w:ascii="Arial" w:hAnsi="Arial" w:cs="Arial"/>
          <w:color w:val="000000" w:themeColor="text1"/>
          <w:sz w:val="20"/>
          <w:szCs w:val="20"/>
        </w:rPr>
        <w:t xml:space="preserve"> </w:t>
      </w:r>
      <w:r w:rsidRPr="008F5722">
        <w:rPr>
          <w:rFonts w:ascii="Arial" w:hAnsi="Arial" w:cs="Arial"/>
          <w:color w:val="000000" w:themeColor="text1"/>
          <w:sz w:val="20"/>
          <w:szCs w:val="20"/>
        </w:rPr>
        <w:t>del universo.</w:t>
      </w:r>
    </w:p>
    <w:sectPr w:rsidR="00744901" w:rsidRPr="008F5722" w:rsidSect="00CF788D">
      <w:headerReference w:type="default" r:id="rId41"/>
      <w:footerReference w:type="default" r:id="rId42"/>
      <w:headerReference w:type="first" r:id="rId43"/>
      <w:pgSz w:w="12240" w:h="15840" w:code="1"/>
      <w:pgMar w:top="1276" w:right="1183" w:bottom="1134"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8B4A9" w14:textId="77777777" w:rsidR="001339ED" w:rsidRDefault="001339ED">
      <w:r>
        <w:separator/>
      </w:r>
    </w:p>
  </w:endnote>
  <w:endnote w:type="continuationSeparator" w:id="0">
    <w:p w14:paraId="50F05A28" w14:textId="77777777" w:rsidR="001339ED" w:rsidRDefault="0013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27312"/>
      <w:docPartObj>
        <w:docPartGallery w:val="Page Numbers (Bottom of Page)"/>
        <w:docPartUnique/>
      </w:docPartObj>
    </w:sdtPr>
    <w:sdtEndPr/>
    <w:sdtContent>
      <w:p w14:paraId="59962D99" w14:textId="0EF9F967" w:rsidR="001966EF" w:rsidRDefault="001966EF">
        <w:pPr>
          <w:pStyle w:val="Piedepgina"/>
          <w:jc w:val="right"/>
        </w:pPr>
        <w:r>
          <w:fldChar w:fldCharType="begin"/>
        </w:r>
        <w:r>
          <w:instrText>PAGE   \* MERGEFORMAT</w:instrText>
        </w:r>
        <w:r>
          <w:fldChar w:fldCharType="separate"/>
        </w:r>
        <w:r w:rsidR="00A134D4" w:rsidRPr="00A134D4">
          <w:rPr>
            <w:noProof/>
            <w:lang w:val="es-ES"/>
          </w:rPr>
          <w:t>60</w:t>
        </w:r>
        <w:r>
          <w:fldChar w:fldCharType="end"/>
        </w:r>
      </w:p>
    </w:sdtContent>
  </w:sdt>
  <w:p w14:paraId="07958737" w14:textId="7DD3FAD6" w:rsidR="001966EF" w:rsidRPr="00D7149B" w:rsidRDefault="001966EF" w:rsidP="00563402">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4270E3">
      <w:rPr>
        <w:rFonts w:ascii="Arial" w:hAnsi="Arial" w:cs="Arial"/>
        <w:b/>
        <w:color w:val="000000" w:themeColor="text1"/>
        <w:sz w:val="22"/>
        <w:szCs w:val="22"/>
      </w:rPr>
      <w:t xml:space="preserve">Informe 2020-ARL- </w:t>
    </w:r>
    <w:r w:rsidR="00A52D42">
      <w:rPr>
        <w:rFonts w:ascii="Arial" w:hAnsi="Arial" w:cs="Arial"/>
        <w:b/>
        <w:color w:val="000000" w:themeColor="text1"/>
        <w:sz w:val="22"/>
        <w:szCs w:val="22"/>
      </w:rPr>
      <w:t>82</w:t>
    </w:r>
    <w:r>
      <w:rPr>
        <w:rFonts w:ascii="Arial" w:hAnsi="Arial" w:cs="Arial"/>
        <w:b/>
        <w:color w:val="000000" w:themeColor="text1"/>
        <w:sz w:val="22"/>
        <w:szCs w:val="22"/>
      </w:rPr>
      <w:t xml:space="preserve"> del </w:t>
    </w:r>
    <w:r w:rsidR="00A52D42">
      <w:rPr>
        <w:rFonts w:ascii="Arial" w:hAnsi="Arial" w:cs="Arial"/>
        <w:b/>
        <w:color w:val="000000" w:themeColor="text1"/>
        <w:sz w:val="22"/>
        <w:szCs w:val="22"/>
      </w:rPr>
      <w:t>22</w:t>
    </w:r>
    <w:r>
      <w:rPr>
        <w:rFonts w:ascii="Arial" w:hAnsi="Arial" w:cs="Arial"/>
        <w:b/>
        <w:color w:val="000000" w:themeColor="text1"/>
        <w:sz w:val="22"/>
        <w:szCs w:val="22"/>
      </w:rPr>
      <w:t xml:space="preserve"> d</w:t>
    </w:r>
    <w:r w:rsidRPr="004270E3">
      <w:rPr>
        <w:rFonts w:ascii="Arial" w:hAnsi="Arial" w:cs="Arial"/>
        <w:b/>
        <w:color w:val="000000" w:themeColor="text1"/>
        <w:sz w:val="22"/>
        <w:szCs w:val="22"/>
      </w:rPr>
      <w:t xml:space="preserve">e </w:t>
    </w:r>
    <w:r>
      <w:rPr>
        <w:rFonts w:ascii="Arial" w:hAnsi="Arial" w:cs="Arial"/>
        <w:b/>
        <w:color w:val="000000" w:themeColor="text1"/>
        <w:sz w:val="22"/>
        <w:szCs w:val="22"/>
      </w:rPr>
      <w:t xml:space="preserve">diciembre </w:t>
    </w:r>
    <w:r w:rsidRPr="004270E3">
      <w:rPr>
        <w:rFonts w:ascii="Arial" w:hAnsi="Arial" w:cs="Arial"/>
        <w:b/>
        <w:color w:val="000000" w:themeColor="text1"/>
        <w:sz w:val="22"/>
        <w:szCs w:val="22"/>
      </w:rPr>
      <w:t>de 2020</w:t>
    </w:r>
    <w:r w:rsidRPr="00D7149B">
      <w:rPr>
        <w:rFonts w:ascii="Arial" w:hAnsi="Arial" w:cs="Arial"/>
        <w:b/>
        <w:color w:val="000000" w:themeColor="text1"/>
        <w:sz w:val="22"/>
        <w:szCs w:val="22"/>
      </w:rPr>
      <w:t xml:space="preserve"> </w:t>
    </w:r>
    <w:r w:rsidRPr="00D7149B">
      <w:rPr>
        <w:rFonts w:ascii="Arial" w:hAnsi="Arial" w:cs="Arial"/>
        <w:color w:val="000000" w:themeColor="text1"/>
        <w:sz w:val="22"/>
        <w:szCs w:val="22"/>
      </w:rPr>
      <w:t xml:space="preserve"> </w:t>
    </w:r>
  </w:p>
  <w:p w14:paraId="68385BAA" w14:textId="6E089056" w:rsidR="001966EF" w:rsidRPr="00D7149B" w:rsidRDefault="001966EF" w:rsidP="001E7A32">
    <w:pPr>
      <w:pStyle w:val="Piedepgina"/>
      <w:pBdr>
        <w:top w:val="thickThinSmallGap" w:sz="24" w:space="1" w:color="auto"/>
      </w:pBdr>
      <w:tabs>
        <w:tab w:val="right" w:pos="9240"/>
      </w:tabs>
      <w:ind w:right="360"/>
      <w:rPr>
        <w:rFonts w:ascii="Arial" w:hAnsi="Arial" w:cs="Arial"/>
        <w:b/>
        <w:color w:val="000000" w:themeColor="text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24313" w14:textId="77777777" w:rsidR="001339ED" w:rsidRDefault="001339ED">
      <w:r>
        <w:separator/>
      </w:r>
    </w:p>
  </w:footnote>
  <w:footnote w:type="continuationSeparator" w:id="0">
    <w:p w14:paraId="7E22496A" w14:textId="77777777" w:rsidR="001339ED" w:rsidRDefault="001339ED">
      <w:r>
        <w:continuationSeparator/>
      </w:r>
    </w:p>
  </w:footnote>
  <w:footnote w:id="1">
    <w:p w14:paraId="2D755895" w14:textId="47E48908" w:rsidR="001966EF" w:rsidRDefault="001966EF">
      <w:pPr>
        <w:pStyle w:val="Textonotapie"/>
      </w:pPr>
      <w:r>
        <w:rPr>
          <w:rStyle w:val="Refdenotaalpie"/>
        </w:rPr>
        <w:footnoteRef/>
      </w:r>
      <w:r>
        <w:t xml:space="preserve"> </w:t>
      </w:r>
      <w:r w:rsidRPr="007A1361">
        <w:rPr>
          <w:rFonts w:ascii="Arial" w:hAnsi="Arial" w:cs="Arial"/>
        </w:rPr>
        <w:t>Directiva 09 de 2018 y el Decreto 1009 de 2020</w:t>
      </w:r>
    </w:p>
  </w:footnote>
  <w:footnote w:id="2">
    <w:p w14:paraId="3998AA40" w14:textId="4CF710B7" w:rsidR="001966EF" w:rsidRPr="00A2282E" w:rsidRDefault="001966EF">
      <w:pPr>
        <w:pStyle w:val="Textonotapie"/>
        <w:rPr>
          <w:rFonts w:ascii="Arial" w:hAnsi="Arial" w:cs="Arial"/>
          <w:color w:val="000000" w:themeColor="text1"/>
        </w:rPr>
      </w:pPr>
      <w:r w:rsidRPr="000509F0">
        <w:rPr>
          <w:rStyle w:val="Refdenotaalpie"/>
        </w:rPr>
        <w:footnoteRef/>
      </w:r>
      <w:r w:rsidRPr="000509F0">
        <w:t xml:space="preserve"> </w:t>
      </w:r>
      <w:r w:rsidRPr="00A2282E">
        <w:rPr>
          <w:rFonts w:ascii="Arial" w:hAnsi="Arial" w:cs="Arial"/>
          <w:color w:val="000000" w:themeColor="text1"/>
        </w:rPr>
        <w:t>Ley 2008 de 2019, artículo 69. «Plan de Austeridad del Gasto. El Gobierno nacional reglamentará mediante Decreto un Plan de Austeridad del gasto durante la vigencia fiscal de 2020 para los órganos que hacen parte del Presupuesto General de la Nación. Dichos órganos presentarán un informe al respecto, de manera semestral».</w:t>
      </w:r>
    </w:p>
  </w:footnote>
  <w:footnote w:id="3">
    <w:p w14:paraId="0CD85087" w14:textId="07830A40" w:rsidR="001966EF" w:rsidRPr="008902C0" w:rsidRDefault="001966EF">
      <w:pPr>
        <w:pStyle w:val="Textonotapie"/>
        <w:rPr>
          <w:rFonts w:ascii="Arial" w:hAnsi="Arial" w:cs="Arial"/>
          <w:i/>
          <w:iCs/>
          <w:sz w:val="18"/>
          <w:szCs w:val="18"/>
        </w:rPr>
      </w:pPr>
      <w:r w:rsidRPr="008902C0">
        <w:rPr>
          <w:rStyle w:val="Refdenotaalpie"/>
          <w:i/>
          <w:iCs/>
        </w:rPr>
        <w:footnoteRef/>
      </w:r>
      <w:r w:rsidRPr="008902C0">
        <w:rPr>
          <w:i/>
          <w:iCs/>
        </w:rPr>
        <w:t xml:space="preserve"> </w:t>
      </w:r>
      <w:r w:rsidRPr="00BA73CF">
        <w:rPr>
          <w:rFonts w:ascii="Arial" w:hAnsi="Arial" w:cs="Arial"/>
          <w:i/>
          <w:iCs/>
        </w:rPr>
        <w:t>L</w:t>
      </w:r>
      <w:r w:rsidRPr="00BA73CF">
        <w:rPr>
          <w:rFonts w:ascii="Arial" w:hAnsi="Arial" w:cs="Arial"/>
          <w:i/>
          <w:iCs/>
          <w:shd w:val="clear" w:color="auto" w:fill="FFFFFF"/>
        </w:rPr>
        <w:t>a variación porcentual representa la diferencia entre un valor pasado y uno presente en términos de un porcentaje del valor pasado. La ecuación a utilizar es </w:t>
      </w:r>
      <w:r w:rsidRPr="00BA73CF">
        <w:rPr>
          <w:rFonts w:ascii="Arial" w:hAnsi="Arial" w:cs="Arial"/>
          <w:b/>
          <w:bCs/>
          <w:i/>
          <w:iCs/>
          <w:shd w:val="clear" w:color="auto" w:fill="FFFFFF"/>
        </w:rPr>
        <w:t>((V</w:t>
      </w:r>
      <w:r w:rsidRPr="00BA73CF">
        <w:rPr>
          <w:rFonts w:ascii="Arial" w:hAnsi="Arial" w:cs="Arial"/>
          <w:b/>
          <w:bCs/>
          <w:i/>
          <w:iCs/>
          <w:shd w:val="clear" w:color="auto" w:fill="FFFFFF"/>
          <w:vertAlign w:val="subscript"/>
        </w:rPr>
        <w:t>2</w:t>
      </w:r>
      <w:r w:rsidRPr="00BA73CF">
        <w:rPr>
          <w:rFonts w:ascii="Arial" w:hAnsi="Arial" w:cs="Arial"/>
          <w:b/>
          <w:bCs/>
          <w:i/>
          <w:iCs/>
          <w:shd w:val="clear" w:color="auto" w:fill="FFFFFF"/>
        </w:rPr>
        <w:t> - V</w:t>
      </w:r>
      <w:r w:rsidRPr="00BA73CF">
        <w:rPr>
          <w:rFonts w:ascii="Arial" w:hAnsi="Arial" w:cs="Arial"/>
          <w:b/>
          <w:bCs/>
          <w:i/>
          <w:iCs/>
          <w:shd w:val="clear" w:color="auto" w:fill="FFFFFF"/>
          <w:vertAlign w:val="subscript"/>
        </w:rPr>
        <w:t>1</w:t>
      </w:r>
      <w:r w:rsidRPr="00BA73CF">
        <w:rPr>
          <w:rFonts w:ascii="Arial" w:hAnsi="Arial" w:cs="Arial"/>
          <w:b/>
          <w:bCs/>
          <w:i/>
          <w:iCs/>
          <w:shd w:val="clear" w:color="auto" w:fill="FFFFFF"/>
        </w:rPr>
        <w:t>) / V</w:t>
      </w:r>
      <w:r w:rsidRPr="00BA73CF">
        <w:rPr>
          <w:rFonts w:ascii="Arial" w:hAnsi="Arial" w:cs="Arial"/>
          <w:b/>
          <w:bCs/>
          <w:i/>
          <w:iCs/>
          <w:shd w:val="clear" w:color="auto" w:fill="FFFFFF"/>
          <w:vertAlign w:val="subscript"/>
        </w:rPr>
        <w:t>1</w:t>
      </w:r>
      <w:r w:rsidRPr="00BA73CF">
        <w:rPr>
          <w:rFonts w:ascii="Arial" w:hAnsi="Arial" w:cs="Arial"/>
          <w:b/>
          <w:bCs/>
          <w:i/>
          <w:iCs/>
          <w:shd w:val="clear" w:color="auto" w:fill="FFFFFF"/>
        </w:rPr>
        <w:t>) × 100</w:t>
      </w:r>
      <w:r w:rsidRPr="00BA73CF">
        <w:rPr>
          <w:rFonts w:ascii="Arial" w:hAnsi="Arial" w:cs="Arial"/>
          <w:i/>
          <w:iCs/>
          <w:shd w:val="clear" w:color="auto" w:fill="FFFFFF"/>
        </w:rPr>
        <w:t> en la cual V</w:t>
      </w:r>
      <w:r w:rsidRPr="00BA73CF">
        <w:rPr>
          <w:rFonts w:ascii="Arial" w:hAnsi="Arial" w:cs="Arial"/>
          <w:i/>
          <w:iCs/>
          <w:shd w:val="clear" w:color="auto" w:fill="FFFFFF"/>
          <w:vertAlign w:val="subscript"/>
        </w:rPr>
        <w:t>1</w:t>
      </w:r>
      <w:r w:rsidRPr="00BA73CF">
        <w:rPr>
          <w:rFonts w:ascii="Arial" w:hAnsi="Arial" w:cs="Arial"/>
          <w:i/>
          <w:iCs/>
          <w:shd w:val="clear" w:color="auto" w:fill="FFFFFF"/>
        </w:rPr>
        <w:t> representa al valor pasado o inicial y V</w:t>
      </w:r>
      <w:r w:rsidRPr="00BA73CF">
        <w:rPr>
          <w:rFonts w:ascii="Arial" w:hAnsi="Arial" w:cs="Arial"/>
          <w:i/>
          <w:iCs/>
          <w:shd w:val="clear" w:color="auto" w:fill="FFFFFF"/>
          <w:vertAlign w:val="subscript"/>
        </w:rPr>
        <w:t>2</w:t>
      </w:r>
      <w:r w:rsidRPr="00BA73CF">
        <w:rPr>
          <w:rFonts w:ascii="Arial" w:hAnsi="Arial" w:cs="Arial"/>
          <w:i/>
          <w:iCs/>
          <w:shd w:val="clear" w:color="auto" w:fill="FFFFFF"/>
        </w:rPr>
        <w:t> representa al valor presente o final</w:t>
      </w:r>
      <w:r w:rsidRPr="008902C0">
        <w:rPr>
          <w:rFonts w:ascii="Arial" w:hAnsi="Arial" w:cs="Arial"/>
          <w:i/>
          <w:iCs/>
          <w:sz w:val="18"/>
          <w:szCs w:val="18"/>
          <w:shd w:val="clear" w:color="auto" w:fill="FFFFFF"/>
        </w:rPr>
        <w:t>.</w:t>
      </w:r>
    </w:p>
  </w:footnote>
  <w:footnote w:id="4">
    <w:p w14:paraId="45CB4956" w14:textId="4D87DBC8" w:rsidR="001966EF" w:rsidRPr="0088760B" w:rsidRDefault="001966EF">
      <w:pPr>
        <w:pStyle w:val="Textonotapie"/>
        <w:rPr>
          <w:rFonts w:ascii="Arial" w:hAnsi="Arial" w:cs="Arial"/>
          <w:color w:val="000000" w:themeColor="text1"/>
        </w:rPr>
      </w:pPr>
      <w:r w:rsidRPr="0088760B">
        <w:rPr>
          <w:rStyle w:val="Refdenotaalpie"/>
          <w:color w:val="000000" w:themeColor="text1"/>
        </w:rPr>
        <w:footnoteRef/>
      </w:r>
      <w:r w:rsidRPr="0088760B">
        <w:rPr>
          <w:color w:val="000000" w:themeColor="text1"/>
        </w:rPr>
        <w:t xml:space="preserve"> </w:t>
      </w:r>
      <w:r w:rsidRPr="0088760B">
        <w:rPr>
          <w:rFonts w:ascii="Arial" w:hAnsi="Arial" w:cs="Arial"/>
          <w:color w:val="000000" w:themeColor="text1"/>
        </w:rPr>
        <w:t xml:space="preserve">El auxilio de transporte tiene como finalidad subsidiar parte del gasto en que el trabajador debe incurrir para trasladarse hacia su lugar de trabajo y se reconoce a los empleados que devenguen hasta dos salarios mínimos legales mensuales vigentes. </w:t>
      </w:r>
    </w:p>
  </w:footnote>
  <w:footnote w:id="5">
    <w:p w14:paraId="58BAD6A4" w14:textId="77777777" w:rsidR="001966EF" w:rsidRPr="006478C9" w:rsidRDefault="001966EF" w:rsidP="00B168E3">
      <w:pPr>
        <w:spacing w:line="247" w:lineRule="auto"/>
        <w:jc w:val="both"/>
        <w:rPr>
          <w:rFonts w:ascii="Arial" w:hAnsi="Arial" w:cs="Arial"/>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478C9">
        <w:rPr>
          <w:rFonts w:ascii="Arial" w:hAnsi="Arial" w:cs="Arial"/>
          <w:i/>
          <w:color w:val="000000" w:themeColor="text1"/>
          <w:sz w:val="20"/>
          <w:szCs w:val="20"/>
        </w:rPr>
        <w:t>Por la cual se recopilan y modifican las normas que regulan algunas situaciones administrativas y se dictan otras disposiciones».</w:t>
      </w:r>
    </w:p>
  </w:footnote>
  <w:footnote w:id="6">
    <w:p w14:paraId="7F81CDDB" w14:textId="129F5D2A" w:rsidR="001966EF" w:rsidRPr="007B5809" w:rsidRDefault="001966EF" w:rsidP="007B5809">
      <w:pPr>
        <w:jc w:val="both"/>
        <w:rPr>
          <w:rFonts w:ascii="Arial" w:hAnsi="Arial" w:cs="Arial"/>
          <w:color w:val="000000" w:themeColor="text1"/>
          <w:sz w:val="18"/>
          <w:szCs w:val="18"/>
        </w:rPr>
      </w:pPr>
      <w:r w:rsidRPr="00F24B38">
        <w:rPr>
          <w:rStyle w:val="Refdenotaalpie"/>
          <w:rFonts w:ascii="Arial" w:hAnsi="Arial" w:cs="Arial"/>
          <w:sz w:val="16"/>
          <w:szCs w:val="16"/>
        </w:rPr>
        <w:footnoteRef/>
      </w:r>
      <w:r w:rsidRPr="00F24B38">
        <w:rPr>
          <w:rFonts w:ascii="Arial" w:hAnsi="Arial" w:cs="Arial"/>
          <w:sz w:val="16"/>
          <w:szCs w:val="16"/>
        </w:rPr>
        <w:t xml:space="preserve"> </w:t>
      </w:r>
      <w:r w:rsidRPr="007B5809">
        <w:rPr>
          <w:rFonts w:ascii="Arial" w:hAnsi="Arial" w:cs="Arial"/>
          <w:color w:val="000000" w:themeColor="text1"/>
          <w:sz w:val="18"/>
          <w:szCs w:val="18"/>
        </w:rPr>
        <w:t>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SFOM: Subdirección de Financiamiento don Organismos Multilaterales, SS, Subdirección de Servicios, DVT: Despacho Viceministerio Técnico, SART: Subdirección de Administración de Recursos Tecnológico, SIS: Subdirección de Ingeniería de Software, GLPE: Grupo de Licitaciones y Procesos Especiales, SR: Subdirección de Riesgos, SAPP: Subdirección de Asociación Público Privada, SO: Subdirección  de Operaciones</w:t>
      </w:r>
      <w:r>
        <w:rPr>
          <w:rFonts w:ascii="Arial" w:hAnsi="Arial" w:cs="Arial"/>
          <w:color w:val="000000" w:themeColor="text1"/>
          <w:sz w:val="18"/>
          <w:szCs w:val="18"/>
        </w:rPr>
        <w:t xml:space="preserve">, SPPS. </w:t>
      </w:r>
    </w:p>
    <w:p w14:paraId="4CC17FB4" w14:textId="49126BE6" w:rsidR="001966EF" w:rsidRPr="007B5809" w:rsidRDefault="001966EF" w:rsidP="00E02562">
      <w:pPr>
        <w:jc w:val="both"/>
        <w:rPr>
          <w:rFonts w:ascii="Arial" w:hAnsi="Arial" w:cs="Arial"/>
          <w:color w:val="000000" w:themeColor="text1"/>
          <w:sz w:val="18"/>
          <w:szCs w:val="18"/>
        </w:rPr>
      </w:pPr>
    </w:p>
  </w:footnote>
  <w:footnote w:id="7">
    <w:p w14:paraId="4090176C" w14:textId="6BD4394F" w:rsidR="001966EF" w:rsidRPr="00E27005" w:rsidRDefault="001966EF">
      <w:pPr>
        <w:pStyle w:val="Textonotapie"/>
        <w:rPr>
          <w:rFonts w:ascii="Arial" w:hAnsi="Arial" w:cs="Arial"/>
        </w:rPr>
      </w:pPr>
      <w:r w:rsidRPr="008A2040">
        <w:rPr>
          <w:rStyle w:val="Refdenotaalpie"/>
        </w:rPr>
        <w:footnoteRef/>
      </w:r>
      <w:r w:rsidRPr="008A2040">
        <w:t xml:space="preserve"> </w:t>
      </w:r>
      <w:r w:rsidRPr="008A2040">
        <w:rPr>
          <w:rFonts w:ascii="Arial" w:hAnsi="Arial" w:cs="Arial"/>
        </w:rPr>
        <w:t>Las cantidades de combustible medido en galones fueron aproximadas a la unidad más cercana.</w:t>
      </w:r>
      <w:r w:rsidRPr="00E27005">
        <w:rPr>
          <w:rFonts w:ascii="Arial" w:hAnsi="Arial" w:cs="Arial"/>
        </w:rPr>
        <w:t xml:space="preserve"> </w:t>
      </w:r>
    </w:p>
  </w:footnote>
  <w:footnote w:id="8">
    <w:p w14:paraId="21988336" w14:textId="77777777" w:rsidR="001966EF" w:rsidRDefault="001966EF" w:rsidP="00E34A73">
      <w:pPr>
        <w:pStyle w:val="Textonotapie"/>
      </w:pPr>
      <w:r>
        <w:rPr>
          <w:rStyle w:val="Refdenotaalpie"/>
        </w:rPr>
        <w:footnoteRef/>
      </w:r>
      <w:r>
        <w:t xml:space="preserve"> </w:t>
      </w:r>
      <w:r w:rsidRPr="00891428">
        <w:rPr>
          <w:rFonts w:ascii="Arial" w:hAnsi="Arial" w:cs="Arial"/>
          <w:color w:val="000000"/>
          <w:sz w:val="18"/>
          <w:szCs w:val="18"/>
        </w:rPr>
        <w:t xml:space="preserve">Dirección Administrativa: DA, Subdirección Jurídica: SJ, Oficina de Bonos Pensionales: OBP, Dirección General de Regulación Económica de La Seguridad Social: DGRESS, Despacho Ministro: DM, Dirección General de Crédito Público Y Tesoro Nacional: DGCPTN, Oficina Asesora de Jurídica: OAJ, Secretaría General: SG, Subdirección de Gobierno, Seguridad y Justicia: SGSJ, Dirección General de Apoyo Fiscal: DAF, Dirección de Tecnología: DT, Subdirección de Competitividad y Desarrollo Sostenible: </w:t>
      </w:r>
      <w:r w:rsidRPr="008238B7">
        <w:rPr>
          <w:rFonts w:ascii="Arial" w:hAnsi="Arial" w:cs="Arial"/>
          <w:color w:val="000000"/>
          <w:sz w:val="18"/>
          <w:szCs w:val="18"/>
        </w:rPr>
        <w:t>SCDS</w:t>
      </w:r>
      <w:r w:rsidRPr="00891428">
        <w:rPr>
          <w:rFonts w:ascii="Arial" w:hAnsi="Arial" w:cs="Arial"/>
          <w:color w:val="000000"/>
          <w:sz w:val="18"/>
          <w:szCs w:val="18"/>
        </w:rPr>
        <w:t xml:space="preserve">, Subdirección de Promoción y Protección Social: </w:t>
      </w:r>
      <w:r w:rsidRPr="008238B7">
        <w:rPr>
          <w:rFonts w:ascii="Arial" w:hAnsi="Arial" w:cs="Arial"/>
          <w:color w:val="000000"/>
          <w:sz w:val="18"/>
          <w:szCs w:val="18"/>
        </w:rPr>
        <w:t>SPPS</w:t>
      </w:r>
      <w:r w:rsidRPr="00891428">
        <w:rPr>
          <w:rFonts w:ascii="Arial" w:hAnsi="Arial" w:cs="Arial"/>
          <w:color w:val="000000"/>
          <w:sz w:val="18"/>
          <w:szCs w:val="18"/>
        </w:rPr>
        <w:t xml:space="preserve">,  Subdirección de Análisis y Consolidación Presupuestal: </w:t>
      </w:r>
      <w:r w:rsidRPr="008238B7">
        <w:rPr>
          <w:rFonts w:ascii="Arial" w:hAnsi="Arial" w:cs="Arial"/>
          <w:color w:val="000000"/>
          <w:sz w:val="18"/>
          <w:szCs w:val="18"/>
        </w:rPr>
        <w:t>SACP</w:t>
      </w:r>
      <w:r w:rsidRPr="00891428">
        <w:rPr>
          <w:rFonts w:ascii="Arial" w:hAnsi="Arial" w:cs="Arial"/>
          <w:color w:val="000000"/>
          <w:sz w:val="18"/>
          <w:szCs w:val="18"/>
        </w:rPr>
        <w:t>, Subdirección de Operaciones: SO</w:t>
      </w:r>
    </w:p>
  </w:footnote>
  <w:footnote w:id="9">
    <w:p w14:paraId="48D6A0D1" w14:textId="0C3E1393" w:rsidR="001966EF" w:rsidRPr="0055506A" w:rsidRDefault="001966EF" w:rsidP="002C20B0">
      <w:pPr>
        <w:pStyle w:val="Textonotapie"/>
        <w:spacing w:after="120"/>
        <w:rPr>
          <w:rFonts w:ascii="Arial" w:hAnsi="Arial" w:cs="Arial"/>
        </w:rPr>
      </w:pPr>
      <w:r w:rsidRPr="00130C73">
        <w:rPr>
          <w:rStyle w:val="Refdenotaalpie"/>
          <w:rFonts w:ascii="Arial" w:hAnsi="Arial" w:cs="Arial"/>
          <w:sz w:val="18"/>
          <w:szCs w:val="18"/>
        </w:rPr>
        <w:footnoteRef/>
      </w:r>
      <w:r w:rsidRPr="00130C73">
        <w:rPr>
          <w:rFonts w:ascii="Arial" w:hAnsi="Arial" w:cs="Arial"/>
          <w:sz w:val="18"/>
          <w:szCs w:val="18"/>
        </w:rPr>
        <w:t xml:space="preserve"> </w:t>
      </w:r>
      <w:r>
        <w:rPr>
          <w:rFonts w:ascii="Arial" w:hAnsi="Arial" w:cs="Arial"/>
          <w:sz w:val="18"/>
          <w:szCs w:val="18"/>
        </w:rPr>
        <w:t>Julio</w:t>
      </w:r>
      <w:r w:rsidRPr="0055506A">
        <w:rPr>
          <w:rFonts w:ascii="Arial" w:hAnsi="Arial" w:cs="Arial"/>
        </w:rPr>
        <w:t xml:space="preserve">: 02 de </w:t>
      </w:r>
      <w:r>
        <w:rPr>
          <w:rFonts w:ascii="Arial" w:hAnsi="Arial" w:cs="Arial"/>
        </w:rPr>
        <w:t>julio</w:t>
      </w:r>
      <w:r w:rsidRPr="0055506A">
        <w:rPr>
          <w:rFonts w:ascii="Arial" w:hAnsi="Arial" w:cs="Arial"/>
        </w:rPr>
        <w:t xml:space="preserve"> al 01 de </w:t>
      </w:r>
      <w:r>
        <w:rPr>
          <w:rFonts w:ascii="Arial" w:hAnsi="Arial" w:cs="Arial"/>
        </w:rPr>
        <w:t>agosto</w:t>
      </w:r>
      <w:r w:rsidRPr="0055506A">
        <w:rPr>
          <w:rFonts w:ascii="Arial" w:hAnsi="Arial" w:cs="Arial"/>
        </w:rPr>
        <w:t xml:space="preserve">, </w:t>
      </w:r>
      <w:r>
        <w:rPr>
          <w:rFonts w:ascii="Arial" w:hAnsi="Arial" w:cs="Arial"/>
        </w:rPr>
        <w:t>Agosto</w:t>
      </w:r>
      <w:r w:rsidRPr="0055506A">
        <w:rPr>
          <w:rFonts w:ascii="Arial" w:hAnsi="Arial" w:cs="Arial"/>
        </w:rPr>
        <w:t xml:space="preserve">: 02 de </w:t>
      </w:r>
      <w:r>
        <w:rPr>
          <w:rFonts w:ascii="Arial" w:hAnsi="Arial" w:cs="Arial"/>
        </w:rPr>
        <w:t xml:space="preserve">agosto </w:t>
      </w:r>
      <w:r w:rsidRPr="0055506A">
        <w:rPr>
          <w:rFonts w:ascii="Arial" w:hAnsi="Arial" w:cs="Arial"/>
        </w:rPr>
        <w:t xml:space="preserve">al 01 de </w:t>
      </w:r>
      <w:r>
        <w:rPr>
          <w:rFonts w:ascii="Arial" w:hAnsi="Arial" w:cs="Arial"/>
        </w:rPr>
        <w:t>septiembre,</w:t>
      </w:r>
      <w:r w:rsidRPr="0055506A">
        <w:rPr>
          <w:rFonts w:ascii="Arial" w:hAnsi="Arial" w:cs="Arial"/>
        </w:rPr>
        <w:t xml:space="preserve"> </w:t>
      </w:r>
      <w:r>
        <w:rPr>
          <w:rFonts w:ascii="Arial" w:hAnsi="Arial" w:cs="Arial"/>
        </w:rPr>
        <w:t>Septiembre</w:t>
      </w:r>
      <w:r w:rsidRPr="0055506A">
        <w:rPr>
          <w:rFonts w:ascii="Arial" w:hAnsi="Arial" w:cs="Arial"/>
        </w:rPr>
        <w:t xml:space="preserve">: 02 de </w:t>
      </w:r>
      <w:r>
        <w:rPr>
          <w:rFonts w:ascii="Arial" w:hAnsi="Arial" w:cs="Arial"/>
        </w:rPr>
        <w:t xml:space="preserve">septiembre </w:t>
      </w:r>
      <w:r w:rsidRPr="0055506A">
        <w:rPr>
          <w:rFonts w:ascii="Arial" w:hAnsi="Arial" w:cs="Arial"/>
        </w:rPr>
        <w:t xml:space="preserve">al 01 de </w:t>
      </w:r>
      <w:r>
        <w:rPr>
          <w:rFonts w:ascii="Arial" w:hAnsi="Arial" w:cs="Arial"/>
        </w:rPr>
        <w:t xml:space="preserve">octubre </w:t>
      </w:r>
      <w:r w:rsidRPr="0055506A">
        <w:rPr>
          <w:rFonts w:ascii="Arial" w:hAnsi="Arial" w:cs="Arial"/>
        </w:rPr>
        <w:t>de 2020 y 2019.</w:t>
      </w:r>
    </w:p>
  </w:footnote>
  <w:footnote w:id="10">
    <w:p w14:paraId="60F94169" w14:textId="0D179023" w:rsidR="001966EF" w:rsidRPr="0055506A" w:rsidRDefault="001966EF" w:rsidP="00F572A4">
      <w:pPr>
        <w:pStyle w:val="Textonotapie"/>
        <w:spacing w:after="120"/>
        <w:rPr>
          <w:rFonts w:ascii="Arial" w:hAnsi="Arial" w:cs="Arial"/>
        </w:rPr>
      </w:pPr>
      <w:r w:rsidRPr="0055506A">
        <w:rPr>
          <w:rStyle w:val="Refdenotaalpie"/>
          <w:rFonts w:ascii="Arial" w:hAnsi="Arial" w:cs="Arial"/>
        </w:rPr>
        <w:footnoteRef/>
      </w:r>
      <w:r w:rsidRPr="0055506A">
        <w:rPr>
          <w:rFonts w:ascii="Arial" w:hAnsi="Arial" w:cs="Arial"/>
        </w:rPr>
        <w:t xml:space="preserve"> </w:t>
      </w:r>
      <w:r w:rsidRPr="0055506A">
        <w:rPr>
          <w:rFonts w:ascii="Arial" w:eastAsia="Times New Roman" w:hAnsi="Arial" w:cs="Arial"/>
          <w:lang w:eastAsia="es-CO"/>
        </w:rPr>
        <w:t>Por el cual se adoptan medidas para ampliar el acceso a las telecomunicaciones en el marco del</w:t>
      </w:r>
      <w:r w:rsidRPr="0055506A">
        <w:rPr>
          <w:rFonts w:ascii="Arial" w:eastAsia="Times New Roman" w:hAnsi="Arial" w:cs="Arial"/>
          <w:lang w:eastAsia="es-CO"/>
        </w:rPr>
        <w:br/>
        <w:t>Estado de Emergencia Económica, Social y Ecológica.</w:t>
      </w:r>
    </w:p>
  </w:footnote>
  <w:footnote w:id="11">
    <w:p w14:paraId="6F1FD1A3" w14:textId="238C9B29" w:rsidR="001966EF" w:rsidRPr="00353C52" w:rsidRDefault="001966EF">
      <w:pPr>
        <w:pStyle w:val="Textonotapie"/>
      </w:pPr>
      <w:r>
        <w:rPr>
          <w:rStyle w:val="Refdenotaalpie"/>
        </w:rPr>
        <w:footnoteRef/>
      </w:r>
      <w:r>
        <w:t xml:space="preserve"> </w:t>
      </w:r>
      <w:r w:rsidRPr="00353C52">
        <w:rPr>
          <w:rFonts w:ascii="Arial" w:hAnsi="Arial" w:cs="Arial"/>
          <w:color w:val="222222"/>
          <w:shd w:val="clear" w:color="auto" w:fill="FFFFFF"/>
        </w:rPr>
        <w:t>Los Sistemas Radio </w:t>
      </w:r>
      <w:proofErr w:type="spellStart"/>
      <w:r w:rsidRPr="00353C52">
        <w:rPr>
          <w:rFonts w:ascii="Arial" w:hAnsi="Arial" w:cs="Arial"/>
          <w:color w:val="222222"/>
          <w:shd w:val="clear" w:color="auto" w:fill="FFFFFF"/>
        </w:rPr>
        <w:t>Trunking</w:t>
      </w:r>
      <w:proofErr w:type="spellEnd"/>
      <w:r w:rsidRPr="00353C52">
        <w:rPr>
          <w:rFonts w:ascii="Arial" w:hAnsi="Arial" w:cs="Arial"/>
          <w:color w:val="222222"/>
          <w:shd w:val="clear" w:color="auto" w:fill="FFFFFF"/>
        </w:rPr>
        <w:t> son sistemas de radiocomunicaciones móviles para aplicaciones privadas, formando grupos y subgrupos de usuarios, con las siguientes características principales: Estructura de red celular (independientes de las redes públicas de telefonía móvil)</w:t>
      </w:r>
      <w:r>
        <w:rPr>
          <w:rFonts w:ascii="Arial" w:hAnsi="Arial" w:cs="Arial"/>
          <w:color w:val="222222"/>
          <w:shd w:val="clear" w:color="auto" w:fill="FFFFFF"/>
        </w:rPr>
        <w:t>.</w:t>
      </w:r>
    </w:p>
  </w:footnote>
  <w:footnote w:id="12">
    <w:p w14:paraId="6D34B9E1" w14:textId="3DC0AAC9" w:rsidR="001966EF" w:rsidRPr="00AC544D" w:rsidRDefault="001966EF" w:rsidP="00AC544D">
      <w:pPr>
        <w:pStyle w:val="Prrafodelista"/>
        <w:ind w:left="0"/>
        <w:contextualSpacing w:val="0"/>
        <w:rPr>
          <w:rFonts w:ascii="Arial" w:hAnsi="Arial" w:cs="Arial"/>
          <w:color w:val="000000"/>
          <w:sz w:val="20"/>
          <w:szCs w:val="20"/>
        </w:rPr>
      </w:pPr>
      <w:r>
        <w:rPr>
          <w:rStyle w:val="Refdenotaalpie"/>
        </w:rPr>
        <w:footnoteRef/>
      </w:r>
      <w:r>
        <w:t xml:space="preserve"> </w:t>
      </w:r>
      <w:r w:rsidRPr="00AC544D">
        <w:rPr>
          <w:rFonts w:ascii="Arial" w:hAnsi="Arial" w:cs="Arial"/>
          <w:sz w:val="20"/>
          <w:szCs w:val="20"/>
        </w:rPr>
        <w:t xml:space="preserve">De acuerdo con lo informado por la Subdirección de Servicios, la empresa de energía ENEL CODENSA para el periodo de junio de 2020 efectuó una reliquidación de los consumos facturados, generando un saldo a favor para la sede de Casas de Santa Bárbara, es decir, para el mes de junio no se generó pago por dicho gasto, sin embargo, para establecer las respectivas variaciones se tomó el valor del consumo correspondiente al mes de junio de 2020 por valor de $25.298.840.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F338" w14:textId="77777777" w:rsidR="001966EF" w:rsidRDefault="001966EF" w:rsidP="008E44D4">
    <w:pPr>
      <w:pStyle w:val="Encabezado"/>
      <w:tabs>
        <w:tab w:val="left" w:pos="870"/>
      </w:tabs>
      <w:jc w:val="left"/>
    </w:pPr>
    <w:r>
      <w:rPr>
        <w:rFonts w:ascii="Arial" w:eastAsia="Times New Roman" w:hAnsi="Arial" w:cs="Arial"/>
        <w:noProof/>
        <w:color w:val="000000"/>
        <w:sz w:val="20"/>
        <w:szCs w:val="20"/>
        <w:lang w:val="en-US"/>
      </w:rPr>
      <w:drawing>
        <wp:inline distT="0" distB="0" distL="0" distR="0" wp14:anchorId="69E52E25" wp14:editId="18283F66">
          <wp:extent cx="2638425" cy="476250"/>
          <wp:effectExtent l="0" t="0" r="9525" b="0"/>
          <wp:docPr id="5" name="Imagen 5"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B650" w14:textId="77777777" w:rsidR="001966EF" w:rsidRPr="00D7149B" w:rsidRDefault="001966EF" w:rsidP="00A00CFC">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4270E3">
      <w:rPr>
        <w:rFonts w:ascii="Arial" w:hAnsi="Arial" w:cs="Arial"/>
        <w:b/>
        <w:color w:val="000000" w:themeColor="text1"/>
        <w:sz w:val="22"/>
        <w:szCs w:val="22"/>
      </w:rPr>
      <w:t>Informe 2020-ARL- 68 del 21 de octubre de 2020</w:t>
    </w:r>
    <w:r w:rsidRPr="00D7149B">
      <w:rPr>
        <w:rFonts w:ascii="Arial" w:hAnsi="Arial" w:cs="Arial"/>
        <w:b/>
        <w:color w:val="000000" w:themeColor="text1"/>
        <w:sz w:val="22"/>
        <w:szCs w:val="22"/>
      </w:rPr>
      <w:t xml:space="preserve"> </w:t>
    </w:r>
    <w:r w:rsidRPr="00D7149B">
      <w:rPr>
        <w:rFonts w:ascii="Arial" w:hAnsi="Arial" w:cs="Arial"/>
        <w:color w:val="000000" w:themeColor="text1"/>
        <w:sz w:val="22"/>
        <w:szCs w:val="22"/>
      </w:rPr>
      <w:t xml:space="preserve"> </w:t>
    </w:r>
  </w:p>
  <w:p w14:paraId="1E9AC526" w14:textId="77777777" w:rsidR="001966EF" w:rsidRPr="00D7149B" w:rsidRDefault="001966EF" w:rsidP="00A00CFC">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4270E3">
      <w:rPr>
        <w:rFonts w:ascii="Arial" w:hAnsi="Arial" w:cs="Arial"/>
        <w:b/>
        <w:color w:val="000000" w:themeColor="text1"/>
        <w:sz w:val="22"/>
        <w:szCs w:val="22"/>
      </w:rPr>
      <w:t>Informe 2020-ARL- 68 del 21 de octubre de 2020</w:t>
    </w:r>
    <w:r w:rsidRPr="00D7149B">
      <w:rPr>
        <w:rFonts w:ascii="Arial" w:hAnsi="Arial" w:cs="Arial"/>
        <w:b/>
        <w:color w:val="000000" w:themeColor="text1"/>
        <w:sz w:val="22"/>
        <w:szCs w:val="22"/>
      </w:rPr>
      <w:t xml:space="preserve"> </w:t>
    </w:r>
    <w:r w:rsidRPr="00D7149B">
      <w:rPr>
        <w:rFonts w:ascii="Arial" w:hAnsi="Arial" w:cs="Arial"/>
        <w:color w:val="000000" w:themeColor="text1"/>
        <w:sz w:val="22"/>
        <w:szCs w:val="22"/>
      </w:rPr>
      <w:t xml:space="preserve"> </w:t>
    </w:r>
  </w:p>
  <w:p w14:paraId="209BDFCF" w14:textId="77777777" w:rsidR="001966EF" w:rsidRPr="00D7149B" w:rsidRDefault="001966EF" w:rsidP="00A00CFC">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4270E3">
      <w:rPr>
        <w:rFonts w:ascii="Arial" w:hAnsi="Arial" w:cs="Arial"/>
        <w:b/>
        <w:color w:val="000000" w:themeColor="text1"/>
        <w:sz w:val="22"/>
        <w:szCs w:val="22"/>
      </w:rPr>
      <w:t>Informe 2020-ARL- 68 del 21 de octubre de 2020</w:t>
    </w:r>
    <w:r w:rsidRPr="00D7149B">
      <w:rPr>
        <w:rFonts w:ascii="Arial" w:hAnsi="Arial" w:cs="Arial"/>
        <w:b/>
        <w:color w:val="000000" w:themeColor="text1"/>
        <w:sz w:val="22"/>
        <w:szCs w:val="22"/>
      </w:rPr>
      <w:t xml:space="preserve"> </w:t>
    </w:r>
    <w:r w:rsidRPr="00D7149B">
      <w:rPr>
        <w:rFonts w:ascii="Arial" w:hAnsi="Arial" w:cs="Arial"/>
        <w:color w:val="000000" w:themeColor="text1"/>
        <w:sz w:val="22"/>
        <w:szCs w:val="22"/>
      </w:rPr>
      <w:t xml:space="preserve"> </w:t>
    </w:r>
  </w:p>
  <w:p w14:paraId="5F0A9176" w14:textId="77777777" w:rsidR="001966EF" w:rsidRDefault="001966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BAF"/>
    <w:multiLevelType w:val="hybridMultilevel"/>
    <w:tmpl w:val="B8621A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6723BF"/>
    <w:multiLevelType w:val="hybridMultilevel"/>
    <w:tmpl w:val="447A64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98618E6"/>
    <w:multiLevelType w:val="hybridMultilevel"/>
    <w:tmpl w:val="DC0E93AC"/>
    <w:lvl w:ilvl="0" w:tplc="DA3E0E5A">
      <w:start w:val="1"/>
      <w:numFmt w:val="bullet"/>
      <w:lvlText w:val="•"/>
      <w:lvlJc w:val="left"/>
      <w:pPr>
        <w:tabs>
          <w:tab w:val="num" w:pos="720"/>
        </w:tabs>
        <w:ind w:left="720" w:hanging="360"/>
      </w:pPr>
      <w:rPr>
        <w:rFonts w:ascii="Times New Roman" w:hAnsi="Times New Roman" w:hint="default"/>
      </w:rPr>
    </w:lvl>
    <w:lvl w:ilvl="1" w:tplc="D2F6B1C2" w:tentative="1">
      <w:start w:val="1"/>
      <w:numFmt w:val="bullet"/>
      <w:lvlText w:val="•"/>
      <w:lvlJc w:val="left"/>
      <w:pPr>
        <w:tabs>
          <w:tab w:val="num" w:pos="1440"/>
        </w:tabs>
        <w:ind w:left="1440" w:hanging="360"/>
      </w:pPr>
      <w:rPr>
        <w:rFonts w:ascii="Times New Roman" w:hAnsi="Times New Roman" w:hint="default"/>
      </w:rPr>
    </w:lvl>
    <w:lvl w:ilvl="2" w:tplc="CB066338" w:tentative="1">
      <w:start w:val="1"/>
      <w:numFmt w:val="bullet"/>
      <w:lvlText w:val="•"/>
      <w:lvlJc w:val="left"/>
      <w:pPr>
        <w:tabs>
          <w:tab w:val="num" w:pos="2160"/>
        </w:tabs>
        <w:ind w:left="2160" w:hanging="360"/>
      </w:pPr>
      <w:rPr>
        <w:rFonts w:ascii="Times New Roman" w:hAnsi="Times New Roman" w:hint="default"/>
      </w:rPr>
    </w:lvl>
    <w:lvl w:ilvl="3" w:tplc="F2F0622C" w:tentative="1">
      <w:start w:val="1"/>
      <w:numFmt w:val="bullet"/>
      <w:lvlText w:val="•"/>
      <w:lvlJc w:val="left"/>
      <w:pPr>
        <w:tabs>
          <w:tab w:val="num" w:pos="2880"/>
        </w:tabs>
        <w:ind w:left="2880" w:hanging="360"/>
      </w:pPr>
      <w:rPr>
        <w:rFonts w:ascii="Times New Roman" w:hAnsi="Times New Roman" w:hint="default"/>
      </w:rPr>
    </w:lvl>
    <w:lvl w:ilvl="4" w:tplc="C6A67356" w:tentative="1">
      <w:start w:val="1"/>
      <w:numFmt w:val="bullet"/>
      <w:lvlText w:val="•"/>
      <w:lvlJc w:val="left"/>
      <w:pPr>
        <w:tabs>
          <w:tab w:val="num" w:pos="3600"/>
        </w:tabs>
        <w:ind w:left="3600" w:hanging="360"/>
      </w:pPr>
      <w:rPr>
        <w:rFonts w:ascii="Times New Roman" w:hAnsi="Times New Roman" w:hint="default"/>
      </w:rPr>
    </w:lvl>
    <w:lvl w:ilvl="5" w:tplc="3A1C9222" w:tentative="1">
      <w:start w:val="1"/>
      <w:numFmt w:val="bullet"/>
      <w:lvlText w:val="•"/>
      <w:lvlJc w:val="left"/>
      <w:pPr>
        <w:tabs>
          <w:tab w:val="num" w:pos="4320"/>
        </w:tabs>
        <w:ind w:left="4320" w:hanging="360"/>
      </w:pPr>
      <w:rPr>
        <w:rFonts w:ascii="Times New Roman" w:hAnsi="Times New Roman" w:hint="default"/>
      </w:rPr>
    </w:lvl>
    <w:lvl w:ilvl="6" w:tplc="898A04D4" w:tentative="1">
      <w:start w:val="1"/>
      <w:numFmt w:val="bullet"/>
      <w:lvlText w:val="•"/>
      <w:lvlJc w:val="left"/>
      <w:pPr>
        <w:tabs>
          <w:tab w:val="num" w:pos="5040"/>
        </w:tabs>
        <w:ind w:left="5040" w:hanging="360"/>
      </w:pPr>
      <w:rPr>
        <w:rFonts w:ascii="Times New Roman" w:hAnsi="Times New Roman" w:hint="default"/>
      </w:rPr>
    </w:lvl>
    <w:lvl w:ilvl="7" w:tplc="789C9E68" w:tentative="1">
      <w:start w:val="1"/>
      <w:numFmt w:val="bullet"/>
      <w:lvlText w:val="•"/>
      <w:lvlJc w:val="left"/>
      <w:pPr>
        <w:tabs>
          <w:tab w:val="num" w:pos="5760"/>
        </w:tabs>
        <w:ind w:left="5760" w:hanging="360"/>
      </w:pPr>
      <w:rPr>
        <w:rFonts w:ascii="Times New Roman" w:hAnsi="Times New Roman" w:hint="default"/>
      </w:rPr>
    </w:lvl>
    <w:lvl w:ilvl="8" w:tplc="6CBE38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345F45"/>
    <w:multiLevelType w:val="multilevel"/>
    <w:tmpl w:val="5C3270E6"/>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4F376E"/>
    <w:multiLevelType w:val="hybridMultilevel"/>
    <w:tmpl w:val="59CC7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4EF5464"/>
    <w:multiLevelType w:val="hybridMultilevel"/>
    <w:tmpl w:val="73AE3A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A5E4DCF"/>
    <w:multiLevelType w:val="hybridMultilevel"/>
    <w:tmpl w:val="88024D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220C44"/>
    <w:multiLevelType w:val="hybridMultilevel"/>
    <w:tmpl w:val="570AA27E"/>
    <w:lvl w:ilvl="0" w:tplc="240A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0A05DBF"/>
    <w:multiLevelType w:val="hybridMultilevel"/>
    <w:tmpl w:val="04489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17A1092"/>
    <w:multiLevelType w:val="hybridMultilevel"/>
    <w:tmpl w:val="F59C23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365245F"/>
    <w:multiLevelType w:val="hybridMultilevel"/>
    <w:tmpl w:val="24402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FB0CBA"/>
    <w:multiLevelType w:val="multilevel"/>
    <w:tmpl w:val="EC12EC5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37686D"/>
    <w:multiLevelType w:val="hybridMultilevel"/>
    <w:tmpl w:val="0ED6753A"/>
    <w:lvl w:ilvl="0" w:tplc="240A000F">
      <w:start w:val="1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8701D55"/>
    <w:multiLevelType w:val="hybridMultilevel"/>
    <w:tmpl w:val="E2DA70C2"/>
    <w:lvl w:ilvl="0" w:tplc="240A0001">
      <w:start w:val="1"/>
      <w:numFmt w:val="bullet"/>
      <w:lvlText w:val=""/>
      <w:lvlJc w:val="left"/>
      <w:pPr>
        <w:tabs>
          <w:tab w:val="num" w:pos="720"/>
        </w:tabs>
        <w:ind w:left="720" w:hanging="360"/>
      </w:pPr>
      <w:rPr>
        <w:rFonts w:ascii="Symbol" w:hAnsi="Symbol" w:hint="default"/>
        <w:sz w:val="22"/>
        <w:szCs w:val="22"/>
      </w:rPr>
    </w:lvl>
    <w:lvl w:ilvl="1" w:tplc="2CD40CF2" w:tentative="1">
      <w:start w:val="1"/>
      <w:numFmt w:val="bullet"/>
      <w:lvlText w:val="•"/>
      <w:lvlJc w:val="left"/>
      <w:pPr>
        <w:tabs>
          <w:tab w:val="num" w:pos="1440"/>
        </w:tabs>
        <w:ind w:left="1440" w:hanging="360"/>
      </w:pPr>
      <w:rPr>
        <w:rFonts w:ascii="Times New Roman" w:hAnsi="Times New Roman" w:hint="default"/>
      </w:rPr>
    </w:lvl>
    <w:lvl w:ilvl="2" w:tplc="EDC06CEA" w:tentative="1">
      <w:start w:val="1"/>
      <w:numFmt w:val="bullet"/>
      <w:lvlText w:val="•"/>
      <w:lvlJc w:val="left"/>
      <w:pPr>
        <w:tabs>
          <w:tab w:val="num" w:pos="2160"/>
        </w:tabs>
        <w:ind w:left="2160" w:hanging="360"/>
      </w:pPr>
      <w:rPr>
        <w:rFonts w:ascii="Times New Roman" w:hAnsi="Times New Roman" w:hint="default"/>
      </w:rPr>
    </w:lvl>
    <w:lvl w:ilvl="3" w:tplc="DDDCE29A" w:tentative="1">
      <w:start w:val="1"/>
      <w:numFmt w:val="bullet"/>
      <w:lvlText w:val="•"/>
      <w:lvlJc w:val="left"/>
      <w:pPr>
        <w:tabs>
          <w:tab w:val="num" w:pos="2880"/>
        </w:tabs>
        <w:ind w:left="2880" w:hanging="360"/>
      </w:pPr>
      <w:rPr>
        <w:rFonts w:ascii="Times New Roman" w:hAnsi="Times New Roman" w:hint="default"/>
      </w:rPr>
    </w:lvl>
    <w:lvl w:ilvl="4" w:tplc="ECB09B92" w:tentative="1">
      <w:start w:val="1"/>
      <w:numFmt w:val="bullet"/>
      <w:lvlText w:val="•"/>
      <w:lvlJc w:val="left"/>
      <w:pPr>
        <w:tabs>
          <w:tab w:val="num" w:pos="3600"/>
        </w:tabs>
        <w:ind w:left="3600" w:hanging="360"/>
      </w:pPr>
      <w:rPr>
        <w:rFonts w:ascii="Times New Roman" w:hAnsi="Times New Roman" w:hint="default"/>
      </w:rPr>
    </w:lvl>
    <w:lvl w:ilvl="5" w:tplc="A394F416" w:tentative="1">
      <w:start w:val="1"/>
      <w:numFmt w:val="bullet"/>
      <w:lvlText w:val="•"/>
      <w:lvlJc w:val="left"/>
      <w:pPr>
        <w:tabs>
          <w:tab w:val="num" w:pos="4320"/>
        </w:tabs>
        <w:ind w:left="4320" w:hanging="360"/>
      </w:pPr>
      <w:rPr>
        <w:rFonts w:ascii="Times New Roman" w:hAnsi="Times New Roman" w:hint="default"/>
      </w:rPr>
    </w:lvl>
    <w:lvl w:ilvl="6" w:tplc="B6349BFE" w:tentative="1">
      <w:start w:val="1"/>
      <w:numFmt w:val="bullet"/>
      <w:lvlText w:val="•"/>
      <w:lvlJc w:val="left"/>
      <w:pPr>
        <w:tabs>
          <w:tab w:val="num" w:pos="5040"/>
        </w:tabs>
        <w:ind w:left="5040" w:hanging="360"/>
      </w:pPr>
      <w:rPr>
        <w:rFonts w:ascii="Times New Roman" w:hAnsi="Times New Roman" w:hint="default"/>
      </w:rPr>
    </w:lvl>
    <w:lvl w:ilvl="7" w:tplc="FC4A2F1C" w:tentative="1">
      <w:start w:val="1"/>
      <w:numFmt w:val="bullet"/>
      <w:lvlText w:val="•"/>
      <w:lvlJc w:val="left"/>
      <w:pPr>
        <w:tabs>
          <w:tab w:val="num" w:pos="5760"/>
        </w:tabs>
        <w:ind w:left="5760" w:hanging="360"/>
      </w:pPr>
      <w:rPr>
        <w:rFonts w:ascii="Times New Roman" w:hAnsi="Times New Roman" w:hint="default"/>
      </w:rPr>
    </w:lvl>
    <w:lvl w:ilvl="8" w:tplc="A2B697B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6E0C44"/>
    <w:multiLevelType w:val="hybridMultilevel"/>
    <w:tmpl w:val="6F626A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B215665"/>
    <w:multiLevelType w:val="hybridMultilevel"/>
    <w:tmpl w:val="B008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0753B0"/>
    <w:multiLevelType w:val="hybridMultilevel"/>
    <w:tmpl w:val="AF168BC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37234C2"/>
    <w:multiLevelType w:val="hybridMultilevel"/>
    <w:tmpl w:val="56B4CE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4535F8A"/>
    <w:multiLevelType w:val="multilevel"/>
    <w:tmpl w:val="E0BC31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BD49B5"/>
    <w:multiLevelType w:val="multilevel"/>
    <w:tmpl w:val="EEA6F638"/>
    <w:lvl w:ilvl="0">
      <w:start w:val="7"/>
      <w:numFmt w:val="decimal"/>
      <w:lvlText w:val="%1."/>
      <w:lvlJc w:val="left"/>
      <w:pPr>
        <w:ind w:left="360" w:hanging="360"/>
      </w:pPr>
      <w:rPr>
        <w:rFonts w:hint="default"/>
        <w:b/>
        <w:bCs/>
        <w:color w:val="000000" w:themeColor="text1"/>
        <w:sz w:val="24"/>
        <w:szCs w:val="24"/>
      </w:rPr>
    </w:lvl>
    <w:lvl w:ilvl="1">
      <w:start w:val="1"/>
      <w:numFmt w:val="decimal"/>
      <w:lvlText w:val="%1.%2."/>
      <w:lvlJc w:val="left"/>
      <w:pPr>
        <w:ind w:left="2422"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22" w15:restartNumberingAfterBreak="0">
    <w:nsid w:val="4AD87CA6"/>
    <w:multiLevelType w:val="hybridMultilevel"/>
    <w:tmpl w:val="BA94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E4646"/>
    <w:multiLevelType w:val="hybridMultilevel"/>
    <w:tmpl w:val="4724B9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324453E"/>
    <w:multiLevelType w:val="hybridMultilevel"/>
    <w:tmpl w:val="FAC04788"/>
    <w:lvl w:ilvl="0" w:tplc="ABF0B2A4">
      <w:start w:val="1"/>
      <w:numFmt w:val="decimal"/>
      <w:lvlText w:val="%1."/>
      <w:lvlJc w:val="left"/>
      <w:pPr>
        <w:ind w:left="7023" w:hanging="360"/>
      </w:pPr>
      <w:rPr>
        <w:rFonts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5E6DB9"/>
    <w:multiLevelType w:val="hybridMultilevel"/>
    <w:tmpl w:val="91BC45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9955FC4"/>
    <w:multiLevelType w:val="multilevel"/>
    <w:tmpl w:val="5F8E5F7E"/>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C10FE6"/>
    <w:multiLevelType w:val="hybridMultilevel"/>
    <w:tmpl w:val="251E6FB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BE65471"/>
    <w:multiLevelType w:val="hybridMultilevel"/>
    <w:tmpl w:val="656EA3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2593989"/>
    <w:multiLevelType w:val="hybridMultilevel"/>
    <w:tmpl w:val="DF80B3B8"/>
    <w:lvl w:ilvl="0" w:tplc="240A0001">
      <w:start w:val="1"/>
      <w:numFmt w:val="bullet"/>
      <w:lvlText w:val=""/>
      <w:lvlJc w:val="left"/>
      <w:pPr>
        <w:tabs>
          <w:tab w:val="num" w:pos="720"/>
        </w:tabs>
        <w:ind w:left="720" w:hanging="360"/>
      </w:pPr>
      <w:rPr>
        <w:rFonts w:ascii="Symbol" w:hAnsi="Symbol" w:hint="default"/>
      </w:rPr>
    </w:lvl>
    <w:lvl w:ilvl="1" w:tplc="74D6C586" w:tentative="1">
      <w:start w:val="1"/>
      <w:numFmt w:val="bullet"/>
      <w:lvlText w:val="•"/>
      <w:lvlJc w:val="left"/>
      <w:pPr>
        <w:tabs>
          <w:tab w:val="num" w:pos="1440"/>
        </w:tabs>
        <w:ind w:left="1440" w:hanging="360"/>
      </w:pPr>
      <w:rPr>
        <w:rFonts w:ascii="Times New Roman" w:hAnsi="Times New Roman" w:hint="default"/>
      </w:rPr>
    </w:lvl>
    <w:lvl w:ilvl="2" w:tplc="4C62A868" w:tentative="1">
      <w:start w:val="1"/>
      <w:numFmt w:val="bullet"/>
      <w:lvlText w:val="•"/>
      <w:lvlJc w:val="left"/>
      <w:pPr>
        <w:tabs>
          <w:tab w:val="num" w:pos="2160"/>
        </w:tabs>
        <w:ind w:left="2160" w:hanging="360"/>
      </w:pPr>
      <w:rPr>
        <w:rFonts w:ascii="Times New Roman" w:hAnsi="Times New Roman" w:hint="default"/>
      </w:rPr>
    </w:lvl>
    <w:lvl w:ilvl="3" w:tplc="319A5452" w:tentative="1">
      <w:start w:val="1"/>
      <w:numFmt w:val="bullet"/>
      <w:lvlText w:val="•"/>
      <w:lvlJc w:val="left"/>
      <w:pPr>
        <w:tabs>
          <w:tab w:val="num" w:pos="2880"/>
        </w:tabs>
        <w:ind w:left="2880" w:hanging="360"/>
      </w:pPr>
      <w:rPr>
        <w:rFonts w:ascii="Times New Roman" w:hAnsi="Times New Roman" w:hint="default"/>
      </w:rPr>
    </w:lvl>
    <w:lvl w:ilvl="4" w:tplc="5F88762E" w:tentative="1">
      <w:start w:val="1"/>
      <w:numFmt w:val="bullet"/>
      <w:lvlText w:val="•"/>
      <w:lvlJc w:val="left"/>
      <w:pPr>
        <w:tabs>
          <w:tab w:val="num" w:pos="3600"/>
        </w:tabs>
        <w:ind w:left="3600" w:hanging="360"/>
      </w:pPr>
      <w:rPr>
        <w:rFonts w:ascii="Times New Roman" w:hAnsi="Times New Roman" w:hint="default"/>
      </w:rPr>
    </w:lvl>
    <w:lvl w:ilvl="5" w:tplc="6256EF8E" w:tentative="1">
      <w:start w:val="1"/>
      <w:numFmt w:val="bullet"/>
      <w:lvlText w:val="•"/>
      <w:lvlJc w:val="left"/>
      <w:pPr>
        <w:tabs>
          <w:tab w:val="num" w:pos="4320"/>
        </w:tabs>
        <w:ind w:left="4320" w:hanging="360"/>
      </w:pPr>
      <w:rPr>
        <w:rFonts w:ascii="Times New Roman" w:hAnsi="Times New Roman" w:hint="default"/>
      </w:rPr>
    </w:lvl>
    <w:lvl w:ilvl="6" w:tplc="D6227EC2" w:tentative="1">
      <w:start w:val="1"/>
      <w:numFmt w:val="bullet"/>
      <w:lvlText w:val="•"/>
      <w:lvlJc w:val="left"/>
      <w:pPr>
        <w:tabs>
          <w:tab w:val="num" w:pos="5040"/>
        </w:tabs>
        <w:ind w:left="5040" w:hanging="360"/>
      </w:pPr>
      <w:rPr>
        <w:rFonts w:ascii="Times New Roman" w:hAnsi="Times New Roman" w:hint="default"/>
      </w:rPr>
    </w:lvl>
    <w:lvl w:ilvl="7" w:tplc="39FCC96E" w:tentative="1">
      <w:start w:val="1"/>
      <w:numFmt w:val="bullet"/>
      <w:lvlText w:val="•"/>
      <w:lvlJc w:val="left"/>
      <w:pPr>
        <w:tabs>
          <w:tab w:val="num" w:pos="5760"/>
        </w:tabs>
        <w:ind w:left="5760" w:hanging="360"/>
      </w:pPr>
      <w:rPr>
        <w:rFonts w:ascii="Times New Roman" w:hAnsi="Times New Roman" w:hint="default"/>
      </w:rPr>
    </w:lvl>
    <w:lvl w:ilvl="8" w:tplc="34227C4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F40186"/>
    <w:multiLevelType w:val="hybridMultilevel"/>
    <w:tmpl w:val="5F7A31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6174B8F"/>
    <w:multiLevelType w:val="multilevel"/>
    <w:tmpl w:val="C4629D4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191B5A"/>
    <w:multiLevelType w:val="hybridMultilevel"/>
    <w:tmpl w:val="C3EE0054"/>
    <w:lvl w:ilvl="0" w:tplc="9F0E7A7E">
      <w:start w:val="13"/>
      <w:numFmt w:val="decimal"/>
      <w:lvlText w:val="%1."/>
      <w:lvlJc w:val="left"/>
      <w:pPr>
        <w:ind w:left="360" w:hanging="360"/>
      </w:pPr>
      <w:rPr>
        <w:rFonts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F0551F8"/>
    <w:multiLevelType w:val="hybridMultilevel"/>
    <w:tmpl w:val="3C7A6E5A"/>
    <w:lvl w:ilvl="0" w:tplc="0F046C32">
      <w:start w:val="1"/>
      <w:numFmt w:val="decimal"/>
      <w:lvlText w:val="%1."/>
      <w:lvlJc w:val="left"/>
      <w:pPr>
        <w:ind w:left="360" w:hanging="360"/>
      </w:pPr>
      <w:rPr>
        <w:rFonts w:hint="default"/>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06F1E88"/>
    <w:multiLevelType w:val="hybridMultilevel"/>
    <w:tmpl w:val="4470D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CE65E6"/>
    <w:multiLevelType w:val="multilevel"/>
    <w:tmpl w:val="EB5E0F5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4718D1"/>
    <w:multiLevelType w:val="hybridMultilevel"/>
    <w:tmpl w:val="B7F480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69F7D76"/>
    <w:multiLevelType w:val="multilevel"/>
    <w:tmpl w:val="C3C8887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F446F"/>
    <w:multiLevelType w:val="hybridMultilevel"/>
    <w:tmpl w:val="7C1CAA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C1A42E7"/>
    <w:multiLevelType w:val="hybridMultilevel"/>
    <w:tmpl w:val="3A202D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6"/>
  </w:num>
  <w:num w:numId="4">
    <w:abstractNumId w:val="25"/>
  </w:num>
  <w:num w:numId="5">
    <w:abstractNumId w:val="41"/>
  </w:num>
  <w:num w:numId="6">
    <w:abstractNumId w:val="5"/>
  </w:num>
  <w:num w:numId="7">
    <w:abstractNumId w:val="9"/>
  </w:num>
  <w:num w:numId="8">
    <w:abstractNumId w:val="19"/>
  </w:num>
  <w:num w:numId="9">
    <w:abstractNumId w:val="35"/>
  </w:num>
  <w:num w:numId="10">
    <w:abstractNumId w:val="20"/>
  </w:num>
  <w:num w:numId="11">
    <w:abstractNumId w:val="7"/>
  </w:num>
  <w:num w:numId="12">
    <w:abstractNumId w:val="21"/>
  </w:num>
  <w:num w:numId="13">
    <w:abstractNumId w:val="36"/>
  </w:num>
  <w:num w:numId="14">
    <w:abstractNumId w:val="37"/>
  </w:num>
  <w:num w:numId="15">
    <w:abstractNumId w:val="11"/>
  </w:num>
  <w:num w:numId="16">
    <w:abstractNumId w:val="12"/>
  </w:num>
  <w:num w:numId="17">
    <w:abstractNumId w:val="13"/>
  </w:num>
  <w:num w:numId="18">
    <w:abstractNumId w:val="30"/>
  </w:num>
  <w:num w:numId="19">
    <w:abstractNumId w:val="8"/>
  </w:num>
  <w:num w:numId="20">
    <w:abstractNumId w:val="2"/>
  </w:num>
  <w:num w:numId="21">
    <w:abstractNumId w:val="4"/>
  </w:num>
  <w:num w:numId="22">
    <w:abstractNumId w:val="31"/>
  </w:num>
  <w:num w:numId="23">
    <w:abstractNumId w:val="28"/>
  </w:num>
  <w:num w:numId="24">
    <w:abstractNumId w:val="17"/>
  </w:num>
  <w:num w:numId="25">
    <w:abstractNumId w:val="0"/>
  </w:num>
  <w:num w:numId="26">
    <w:abstractNumId w:val="14"/>
  </w:num>
  <w:num w:numId="27">
    <w:abstractNumId w:val="34"/>
  </w:num>
  <w:num w:numId="28">
    <w:abstractNumId w:val="26"/>
  </w:num>
  <w:num w:numId="29">
    <w:abstractNumId w:val="29"/>
  </w:num>
  <w:num w:numId="30">
    <w:abstractNumId w:val="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2"/>
  </w:num>
  <w:num w:numId="34">
    <w:abstractNumId w:val="38"/>
  </w:num>
  <w:num w:numId="35">
    <w:abstractNumId w:val="33"/>
  </w:num>
  <w:num w:numId="36">
    <w:abstractNumId w:val="22"/>
  </w:num>
  <w:num w:numId="37">
    <w:abstractNumId w:val="15"/>
  </w:num>
  <w:num w:numId="38">
    <w:abstractNumId w:val="23"/>
  </w:num>
  <w:num w:numId="39">
    <w:abstractNumId w:val="1"/>
  </w:num>
  <w:num w:numId="40">
    <w:abstractNumId w:val="10"/>
  </w:num>
  <w:num w:numId="41">
    <w:abstractNumId w:val="27"/>
  </w:num>
  <w:num w:numId="42">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72"/>
    <w:rsid w:val="000002C4"/>
    <w:rsid w:val="00000363"/>
    <w:rsid w:val="00000416"/>
    <w:rsid w:val="00000672"/>
    <w:rsid w:val="000006B8"/>
    <w:rsid w:val="00000737"/>
    <w:rsid w:val="000008B3"/>
    <w:rsid w:val="000009ED"/>
    <w:rsid w:val="00000B1F"/>
    <w:rsid w:val="00000BA9"/>
    <w:rsid w:val="00000BDF"/>
    <w:rsid w:val="00000F0D"/>
    <w:rsid w:val="00000FCA"/>
    <w:rsid w:val="000011BB"/>
    <w:rsid w:val="000016FB"/>
    <w:rsid w:val="00001823"/>
    <w:rsid w:val="0000198A"/>
    <w:rsid w:val="00001B27"/>
    <w:rsid w:val="000021A3"/>
    <w:rsid w:val="000023B4"/>
    <w:rsid w:val="000026A5"/>
    <w:rsid w:val="000028E2"/>
    <w:rsid w:val="0000292A"/>
    <w:rsid w:val="0000293A"/>
    <w:rsid w:val="0000294A"/>
    <w:rsid w:val="00002975"/>
    <w:rsid w:val="00002B2A"/>
    <w:rsid w:val="00002C9C"/>
    <w:rsid w:val="00002D2F"/>
    <w:rsid w:val="00002EFA"/>
    <w:rsid w:val="000032E5"/>
    <w:rsid w:val="00003446"/>
    <w:rsid w:val="000035DE"/>
    <w:rsid w:val="000038CC"/>
    <w:rsid w:val="000039A0"/>
    <w:rsid w:val="00003B5E"/>
    <w:rsid w:val="00003C7D"/>
    <w:rsid w:val="00003CDA"/>
    <w:rsid w:val="00004447"/>
    <w:rsid w:val="000045DF"/>
    <w:rsid w:val="000048E8"/>
    <w:rsid w:val="000049F3"/>
    <w:rsid w:val="00004A2A"/>
    <w:rsid w:val="00004A84"/>
    <w:rsid w:val="00004A8C"/>
    <w:rsid w:val="00004B3B"/>
    <w:rsid w:val="00004DF7"/>
    <w:rsid w:val="00004E27"/>
    <w:rsid w:val="00004E40"/>
    <w:rsid w:val="00004F1E"/>
    <w:rsid w:val="00005276"/>
    <w:rsid w:val="00005444"/>
    <w:rsid w:val="000059B9"/>
    <w:rsid w:val="00005CFC"/>
    <w:rsid w:val="00005E77"/>
    <w:rsid w:val="00005EA9"/>
    <w:rsid w:val="00005EEC"/>
    <w:rsid w:val="000061FC"/>
    <w:rsid w:val="000063C5"/>
    <w:rsid w:val="0000641A"/>
    <w:rsid w:val="000064B0"/>
    <w:rsid w:val="000065EC"/>
    <w:rsid w:val="000066BF"/>
    <w:rsid w:val="00006810"/>
    <w:rsid w:val="00006FA7"/>
    <w:rsid w:val="000072CA"/>
    <w:rsid w:val="000073F8"/>
    <w:rsid w:val="00007663"/>
    <w:rsid w:val="00007C72"/>
    <w:rsid w:val="00007EE0"/>
    <w:rsid w:val="00010137"/>
    <w:rsid w:val="000104E7"/>
    <w:rsid w:val="00010599"/>
    <w:rsid w:val="00010658"/>
    <w:rsid w:val="00010843"/>
    <w:rsid w:val="000108ED"/>
    <w:rsid w:val="00010951"/>
    <w:rsid w:val="00010ABF"/>
    <w:rsid w:val="00010B7E"/>
    <w:rsid w:val="00010BA6"/>
    <w:rsid w:val="00010E1E"/>
    <w:rsid w:val="0001123D"/>
    <w:rsid w:val="0001142B"/>
    <w:rsid w:val="0001148F"/>
    <w:rsid w:val="0001178D"/>
    <w:rsid w:val="00011C24"/>
    <w:rsid w:val="00011D73"/>
    <w:rsid w:val="00011F52"/>
    <w:rsid w:val="00011F60"/>
    <w:rsid w:val="00011FEA"/>
    <w:rsid w:val="0001210C"/>
    <w:rsid w:val="00012319"/>
    <w:rsid w:val="00012510"/>
    <w:rsid w:val="000126EF"/>
    <w:rsid w:val="00012835"/>
    <w:rsid w:val="00012852"/>
    <w:rsid w:val="00012951"/>
    <w:rsid w:val="00012A5C"/>
    <w:rsid w:val="00012BD1"/>
    <w:rsid w:val="00012D93"/>
    <w:rsid w:val="00013454"/>
    <w:rsid w:val="00013891"/>
    <w:rsid w:val="00013A3B"/>
    <w:rsid w:val="00013D24"/>
    <w:rsid w:val="00013D84"/>
    <w:rsid w:val="00013DA8"/>
    <w:rsid w:val="00013E9B"/>
    <w:rsid w:val="00013FF9"/>
    <w:rsid w:val="000144D7"/>
    <w:rsid w:val="000145EB"/>
    <w:rsid w:val="00014618"/>
    <w:rsid w:val="00014CA9"/>
    <w:rsid w:val="000151E1"/>
    <w:rsid w:val="0001539A"/>
    <w:rsid w:val="000153B3"/>
    <w:rsid w:val="0001541F"/>
    <w:rsid w:val="000156D3"/>
    <w:rsid w:val="00015804"/>
    <w:rsid w:val="00015A5F"/>
    <w:rsid w:val="00015D1B"/>
    <w:rsid w:val="00015E95"/>
    <w:rsid w:val="000160DE"/>
    <w:rsid w:val="000162CC"/>
    <w:rsid w:val="00016412"/>
    <w:rsid w:val="00016536"/>
    <w:rsid w:val="00016653"/>
    <w:rsid w:val="000166AD"/>
    <w:rsid w:val="00016B10"/>
    <w:rsid w:val="000171B0"/>
    <w:rsid w:val="00017500"/>
    <w:rsid w:val="00017C08"/>
    <w:rsid w:val="00017C1C"/>
    <w:rsid w:val="00017CC5"/>
    <w:rsid w:val="00017FE0"/>
    <w:rsid w:val="00020298"/>
    <w:rsid w:val="00020387"/>
    <w:rsid w:val="00020732"/>
    <w:rsid w:val="00020A0A"/>
    <w:rsid w:val="00020C39"/>
    <w:rsid w:val="00020FDE"/>
    <w:rsid w:val="00021692"/>
    <w:rsid w:val="0002175C"/>
    <w:rsid w:val="000219EB"/>
    <w:rsid w:val="00021A00"/>
    <w:rsid w:val="00021ABF"/>
    <w:rsid w:val="00021B93"/>
    <w:rsid w:val="00021D28"/>
    <w:rsid w:val="000220E5"/>
    <w:rsid w:val="00022166"/>
    <w:rsid w:val="0002233D"/>
    <w:rsid w:val="0002250B"/>
    <w:rsid w:val="000225CC"/>
    <w:rsid w:val="000227AC"/>
    <w:rsid w:val="00022B73"/>
    <w:rsid w:val="00022C7E"/>
    <w:rsid w:val="00022CEA"/>
    <w:rsid w:val="000230B1"/>
    <w:rsid w:val="00023171"/>
    <w:rsid w:val="0002377A"/>
    <w:rsid w:val="00023836"/>
    <w:rsid w:val="000239CD"/>
    <w:rsid w:val="00023A32"/>
    <w:rsid w:val="00023D1B"/>
    <w:rsid w:val="00023DBB"/>
    <w:rsid w:val="00023F5E"/>
    <w:rsid w:val="000242A7"/>
    <w:rsid w:val="00024456"/>
    <w:rsid w:val="000244E8"/>
    <w:rsid w:val="0002489A"/>
    <w:rsid w:val="00024B5A"/>
    <w:rsid w:val="00024C36"/>
    <w:rsid w:val="00024F48"/>
    <w:rsid w:val="000250D9"/>
    <w:rsid w:val="000252CE"/>
    <w:rsid w:val="0002560E"/>
    <w:rsid w:val="00025649"/>
    <w:rsid w:val="0002569E"/>
    <w:rsid w:val="00025F49"/>
    <w:rsid w:val="000261C7"/>
    <w:rsid w:val="000262AF"/>
    <w:rsid w:val="000264F5"/>
    <w:rsid w:val="000265E1"/>
    <w:rsid w:val="000266DB"/>
    <w:rsid w:val="000266E2"/>
    <w:rsid w:val="00026762"/>
    <w:rsid w:val="00026928"/>
    <w:rsid w:val="000269F6"/>
    <w:rsid w:val="00026A70"/>
    <w:rsid w:val="00026B0C"/>
    <w:rsid w:val="00026DBF"/>
    <w:rsid w:val="000273DC"/>
    <w:rsid w:val="000274A0"/>
    <w:rsid w:val="0002751D"/>
    <w:rsid w:val="0002797F"/>
    <w:rsid w:val="00027A0C"/>
    <w:rsid w:val="00027A2E"/>
    <w:rsid w:val="00027B3C"/>
    <w:rsid w:val="00027CBE"/>
    <w:rsid w:val="00027D1A"/>
    <w:rsid w:val="00027FE9"/>
    <w:rsid w:val="00030089"/>
    <w:rsid w:val="000300AE"/>
    <w:rsid w:val="000300D8"/>
    <w:rsid w:val="000302F6"/>
    <w:rsid w:val="00030444"/>
    <w:rsid w:val="00030518"/>
    <w:rsid w:val="00030894"/>
    <w:rsid w:val="00030A6E"/>
    <w:rsid w:val="00030B48"/>
    <w:rsid w:val="00030C0B"/>
    <w:rsid w:val="00030F9B"/>
    <w:rsid w:val="00030FCC"/>
    <w:rsid w:val="0003108C"/>
    <w:rsid w:val="000310DB"/>
    <w:rsid w:val="00031510"/>
    <w:rsid w:val="0003164F"/>
    <w:rsid w:val="000316EC"/>
    <w:rsid w:val="00031862"/>
    <w:rsid w:val="000318F9"/>
    <w:rsid w:val="00031946"/>
    <w:rsid w:val="00031AD9"/>
    <w:rsid w:val="00031C58"/>
    <w:rsid w:val="00031C5D"/>
    <w:rsid w:val="00031D7E"/>
    <w:rsid w:val="00031F14"/>
    <w:rsid w:val="00032A02"/>
    <w:rsid w:val="00032C9C"/>
    <w:rsid w:val="00032D5F"/>
    <w:rsid w:val="00032F56"/>
    <w:rsid w:val="00032F6B"/>
    <w:rsid w:val="000330F1"/>
    <w:rsid w:val="00033109"/>
    <w:rsid w:val="00033115"/>
    <w:rsid w:val="00033234"/>
    <w:rsid w:val="00033238"/>
    <w:rsid w:val="000332F5"/>
    <w:rsid w:val="0003380F"/>
    <w:rsid w:val="0003384A"/>
    <w:rsid w:val="00033D67"/>
    <w:rsid w:val="00033D7B"/>
    <w:rsid w:val="000342A1"/>
    <w:rsid w:val="000342F8"/>
    <w:rsid w:val="000344C1"/>
    <w:rsid w:val="00034596"/>
    <w:rsid w:val="00034727"/>
    <w:rsid w:val="00034967"/>
    <w:rsid w:val="00034983"/>
    <w:rsid w:val="000349A4"/>
    <w:rsid w:val="00034B4D"/>
    <w:rsid w:val="00034C25"/>
    <w:rsid w:val="00034D91"/>
    <w:rsid w:val="00034DD0"/>
    <w:rsid w:val="00035191"/>
    <w:rsid w:val="00035327"/>
    <w:rsid w:val="000353E8"/>
    <w:rsid w:val="000354DE"/>
    <w:rsid w:val="0003565A"/>
    <w:rsid w:val="00035665"/>
    <w:rsid w:val="0003572C"/>
    <w:rsid w:val="0003581D"/>
    <w:rsid w:val="0003597E"/>
    <w:rsid w:val="000359AB"/>
    <w:rsid w:val="00035AFA"/>
    <w:rsid w:val="00035E54"/>
    <w:rsid w:val="00035FF8"/>
    <w:rsid w:val="0003615B"/>
    <w:rsid w:val="00036385"/>
    <w:rsid w:val="00036525"/>
    <w:rsid w:val="000367D1"/>
    <w:rsid w:val="00036931"/>
    <w:rsid w:val="00036A09"/>
    <w:rsid w:val="00036A9B"/>
    <w:rsid w:val="00036D2C"/>
    <w:rsid w:val="00036E1E"/>
    <w:rsid w:val="0003711D"/>
    <w:rsid w:val="000371C4"/>
    <w:rsid w:val="00037298"/>
    <w:rsid w:val="000374A7"/>
    <w:rsid w:val="000374FC"/>
    <w:rsid w:val="0003759B"/>
    <w:rsid w:val="000375A0"/>
    <w:rsid w:val="000377DC"/>
    <w:rsid w:val="00037874"/>
    <w:rsid w:val="0003794B"/>
    <w:rsid w:val="00037A26"/>
    <w:rsid w:val="00037B03"/>
    <w:rsid w:val="00037BD2"/>
    <w:rsid w:val="00037C62"/>
    <w:rsid w:val="00037CF4"/>
    <w:rsid w:val="00037E95"/>
    <w:rsid w:val="0004010B"/>
    <w:rsid w:val="000402AB"/>
    <w:rsid w:val="0004098F"/>
    <w:rsid w:val="000409DB"/>
    <w:rsid w:val="00040B49"/>
    <w:rsid w:val="0004114A"/>
    <w:rsid w:val="00041158"/>
    <w:rsid w:val="0004122E"/>
    <w:rsid w:val="00041447"/>
    <w:rsid w:val="00041453"/>
    <w:rsid w:val="00041AA4"/>
    <w:rsid w:val="00041B41"/>
    <w:rsid w:val="00041BEA"/>
    <w:rsid w:val="00041ED4"/>
    <w:rsid w:val="00041F02"/>
    <w:rsid w:val="00042070"/>
    <w:rsid w:val="000423BE"/>
    <w:rsid w:val="0004245F"/>
    <w:rsid w:val="0004270D"/>
    <w:rsid w:val="00042937"/>
    <w:rsid w:val="000429BA"/>
    <w:rsid w:val="00042CEC"/>
    <w:rsid w:val="00042FD6"/>
    <w:rsid w:val="00043519"/>
    <w:rsid w:val="00043570"/>
    <w:rsid w:val="00043720"/>
    <w:rsid w:val="00043A85"/>
    <w:rsid w:val="00043B92"/>
    <w:rsid w:val="00043BFD"/>
    <w:rsid w:val="00043D49"/>
    <w:rsid w:val="000440D0"/>
    <w:rsid w:val="00044436"/>
    <w:rsid w:val="000444C5"/>
    <w:rsid w:val="000445DB"/>
    <w:rsid w:val="00044706"/>
    <w:rsid w:val="0004482B"/>
    <w:rsid w:val="000448D0"/>
    <w:rsid w:val="00044F6E"/>
    <w:rsid w:val="0004530A"/>
    <w:rsid w:val="0004569D"/>
    <w:rsid w:val="00045980"/>
    <w:rsid w:val="00045B46"/>
    <w:rsid w:val="00045CB3"/>
    <w:rsid w:val="00045DFD"/>
    <w:rsid w:val="00045F7C"/>
    <w:rsid w:val="0004604E"/>
    <w:rsid w:val="000460E6"/>
    <w:rsid w:val="0004641D"/>
    <w:rsid w:val="00046898"/>
    <w:rsid w:val="00047299"/>
    <w:rsid w:val="00047367"/>
    <w:rsid w:val="00047407"/>
    <w:rsid w:val="00047766"/>
    <w:rsid w:val="000477B5"/>
    <w:rsid w:val="00047A02"/>
    <w:rsid w:val="00047A2A"/>
    <w:rsid w:val="00047A8F"/>
    <w:rsid w:val="00047E97"/>
    <w:rsid w:val="00047F35"/>
    <w:rsid w:val="00050061"/>
    <w:rsid w:val="000501D8"/>
    <w:rsid w:val="000509F0"/>
    <w:rsid w:val="00050B4B"/>
    <w:rsid w:val="00050B9C"/>
    <w:rsid w:val="00050CD0"/>
    <w:rsid w:val="00050E64"/>
    <w:rsid w:val="0005113B"/>
    <w:rsid w:val="000511ED"/>
    <w:rsid w:val="000512C3"/>
    <w:rsid w:val="00051478"/>
    <w:rsid w:val="00051537"/>
    <w:rsid w:val="00051702"/>
    <w:rsid w:val="00051843"/>
    <w:rsid w:val="000518AD"/>
    <w:rsid w:val="000520B8"/>
    <w:rsid w:val="000520E1"/>
    <w:rsid w:val="000521A9"/>
    <w:rsid w:val="000525A1"/>
    <w:rsid w:val="00053181"/>
    <w:rsid w:val="000531E7"/>
    <w:rsid w:val="000533F6"/>
    <w:rsid w:val="00053518"/>
    <w:rsid w:val="0005372D"/>
    <w:rsid w:val="00053CF5"/>
    <w:rsid w:val="00053E4C"/>
    <w:rsid w:val="00053FC8"/>
    <w:rsid w:val="0005406B"/>
    <w:rsid w:val="00054170"/>
    <w:rsid w:val="0005429A"/>
    <w:rsid w:val="00054367"/>
    <w:rsid w:val="00054617"/>
    <w:rsid w:val="00054696"/>
    <w:rsid w:val="000548AA"/>
    <w:rsid w:val="00054A0C"/>
    <w:rsid w:val="00054A12"/>
    <w:rsid w:val="00055471"/>
    <w:rsid w:val="00055B77"/>
    <w:rsid w:val="00055BE9"/>
    <w:rsid w:val="0005612D"/>
    <w:rsid w:val="000561A1"/>
    <w:rsid w:val="00056417"/>
    <w:rsid w:val="00056A17"/>
    <w:rsid w:val="00056C0F"/>
    <w:rsid w:val="00056D64"/>
    <w:rsid w:val="00056E7C"/>
    <w:rsid w:val="0005717B"/>
    <w:rsid w:val="0005785C"/>
    <w:rsid w:val="00057A2B"/>
    <w:rsid w:val="00057C88"/>
    <w:rsid w:val="00057D5E"/>
    <w:rsid w:val="00057DFC"/>
    <w:rsid w:val="0006001D"/>
    <w:rsid w:val="00060127"/>
    <w:rsid w:val="000607C6"/>
    <w:rsid w:val="000608B3"/>
    <w:rsid w:val="00060A36"/>
    <w:rsid w:val="00060CB1"/>
    <w:rsid w:val="00060D3E"/>
    <w:rsid w:val="00061471"/>
    <w:rsid w:val="000614D4"/>
    <w:rsid w:val="00061629"/>
    <w:rsid w:val="0006163D"/>
    <w:rsid w:val="00061B70"/>
    <w:rsid w:val="00061BCC"/>
    <w:rsid w:val="00061BDC"/>
    <w:rsid w:val="00061DF7"/>
    <w:rsid w:val="000620B4"/>
    <w:rsid w:val="000620BB"/>
    <w:rsid w:val="000620DE"/>
    <w:rsid w:val="00062540"/>
    <w:rsid w:val="0006257F"/>
    <w:rsid w:val="000625A4"/>
    <w:rsid w:val="00062681"/>
    <w:rsid w:val="00062B71"/>
    <w:rsid w:val="00062BD8"/>
    <w:rsid w:val="00062C54"/>
    <w:rsid w:val="00062D31"/>
    <w:rsid w:val="00062EDB"/>
    <w:rsid w:val="00062F0C"/>
    <w:rsid w:val="00062FB8"/>
    <w:rsid w:val="000630A1"/>
    <w:rsid w:val="000630BD"/>
    <w:rsid w:val="00063203"/>
    <w:rsid w:val="00063523"/>
    <w:rsid w:val="00063A31"/>
    <w:rsid w:val="00063A8F"/>
    <w:rsid w:val="00063A93"/>
    <w:rsid w:val="00063EEB"/>
    <w:rsid w:val="000643E3"/>
    <w:rsid w:val="00064CAC"/>
    <w:rsid w:val="00065532"/>
    <w:rsid w:val="00065688"/>
    <w:rsid w:val="000656D1"/>
    <w:rsid w:val="00065949"/>
    <w:rsid w:val="00065B73"/>
    <w:rsid w:val="00065C40"/>
    <w:rsid w:val="00065C69"/>
    <w:rsid w:val="00065CFD"/>
    <w:rsid w:val="000660DE"/>
    <w:rsid w:val="00066E26"/>
    <w:rsid w:val="000673AD"/>
    <w:rsid w:val="0006753B"/>
    <w:rsid w:val="0006753C"/>
    <w:rsid w:val="0006755F"/>
    <w:rsid w:val="000679AB"/>
    <w:rsid w:val="00070093"/>
    <w:rsid w:val="00070177"/>
    <w:rsid w:val="000703AD"/>
    <w:rsid w:val="00070647"/>
    <w:rsid w:val="000707B2"/>
    <w:rsid w:val="00070C32"/>
    <w:rsid w:val="00070FD8"/>
    <w:rsid w:val="000718C5"/>
    <w:rsid w:val="0007192E"/>
    <w:rsid w:val="00071936"/>
    <w:rsid w:val="00071A91"/>
    <w:rsid w:val="00071ACE"/>
    <w:rsid w:val="000720C7"/>
    <w:rsid w:val="00072265"/>
    <w:rsid w:val="000725DC"/>
    <w:rsid w:val="0007260C"/>
    <w:rsid w:val="0007271E"/>
    <w:rsid w:val="000727C7"/>
    <w:rsid w:val="00072A90"/>
    <w:rsid w:val="00072CE4"/>
    <w:rsid w:val="00072D76"/>
    <w:rsid w:val="000730CD"/>
    <w:rsid w:val="000731B7"/>
    <w:rsid w:val="00073455"/>
    <w:rsid w:val="000735EA"/>
    <w:rsid w:val="0007364B"/>
    <w:rsid w:val="00073A3A"/>
    <w:rsid w:val="000740D9"/>
    <w:rsid w:val="00074450"/>
    <w:rsid w:val="000744EC"/>
    <w:rsid w:val="000745FF"/>
    <w:rsid w:val="00074786"/>
    <w:rsid w:val="000748EE"/>
    <w:rsid w:val="00074C96"/>
    <w:rsid w:val="00074EC4"/>
    <w:rsid w:val="00075012"/>
    <w:rsid w:val="000752D9"/>
    <w:rsid w:val="00075346"/>
    <w:rsid w:val="000753D4"/>
    <w:rsid w:val="00075495"/>
    <w:rsid w:val="000754A5"/>
    <w:rsid w:val="0007582F"/>
    <w:rsid w:val="0007594E"/>
    <w:rsid w:val="00075F3F"/>
    <w:rsid w:val="0007661C"/>
    <w:rsid w:val="00076779"/>
    <w:rsid w:val="000767EE"/>
    <w:rsid w:val="000769EC"/>
    <w:rsid w:val="00076C0E"/>
    <w:rsid w:val="00076C76"/>
    <w:rsid w:val="00076D5E"/>
    <w:rsid w:val="00076F45"/>
    <w:rsid w:val="00077004"/>
    <w:rsid w:val="00077044"/>
    <w:rsid w:val="000778E2"/>
    <w:rsid w:val="000779B9"/>
    <w:rsid w:val="00077C74"/>
    <w:rsid w:val="00077E9B"/>
    <w:rsid w:val="000800EF"/>
    <w:rsid w:val="000801BB"/>
    <w:rsid w:val="00080621"/>
    <w:rsid w:val="000808B6"/>
    <w:rsid w:val="00080935"/>
    <w:rsid w:val="000811AF"/>
    <w:rsid w:val="000811C9"/>
    <w:rsid w:val="00081771"/>
    <w:rsid w:val="00081802"/>
    <w:rsid w:val="00081A8E"/>
    <w:rsid w:val="00081CA1"/>
    <w:rsid w:val="00081FAC"/>
    <w:rsid w:val="000821DB"/>
    <w:rsid w:val="0008234E"/>
    <w:rsid w:val="00082395"/>
    <w:rsid w:val="00082422"/>
    <w:rsid w:val="000827B3"/>
    <w:rsid w:val="00082894"/>
    <w:rsid w:val="000829C0"/>
    <w:rsid w:val="00082A09"/>
    <w:rsid w:val="00082BF2"/>
    <w:rsid w:val="00082D0E"/>
    <w:rsid w:val="00082D67"/>
    <w:rsid w:val="00082ED9"/>
    <w:rsid w:val="00082F8F"/>
    <w:rsid w:val="00083494"/>
    <w:rsid w:val="000835B2"/>
    <w:rsid w:val="0008371C"/>
    <w:rsid w:val="00083756"/>
    <w:rsid w:val="0008378D"/>
    <w:rsid w:val="00083B42"/>
    <w:rsid w:val="00083D05"/>
    <w:rsid w:val="00083DD7"/>
    <w:rsid w:val="00083E2E"/>
    <w:rsid w:val="00083E90"/>
    <w:rsid w:val="0008420C"/>
    <w:rsid w:val="000844C6"/>
    <w:rsid w:val="0008457E"/>
    <w:rsid w:val="000845DC"/>
    <w:rsid w:val="000846AB"/>
    <w:rsid w:val="00084963"/>
    <w:rsid w:val="00084970"/>
    <w:rsid w:val="00084982"/>
    <w:rsid w:val="00084A57"/>
    <w:rsid w:val="00084CF7"/>
    <w:rsid w:val="00084E74"/>
    <w:rsid w:val="00084F23"/>
    <w:rsid w:val="00085009"/>
    <w:rsid w:val="000850F8"/>
    <w:rsid w:val="0008550B"/>
    <w:rsid w:val="000855AA"/>
    <w:rsid w:val="0008572B"/>
    <w:rsid w:val="00085BBB"/>
    <w:rsid w:val="00085D62"/>
    <w:rsid w:val="0008603A"/>
    <w:rsid w:val="0008606A"/>
    <w:rsid w:val="000861ED"/>
    <w:rsid w:val="000864CA"/>
    <w:rsid w:val="000866AA"/>
    <w:rsid w:val="000868E6"/>
    <w:rsid w:val="000869DA"/>
    <w:rsid w:val="00086C00"/>
    <w:rsid w:val="00086C8A"/>
    <w:rsid w:val="00086E67"/>
    <w:rsid w:val="00086EA9"/>
    <w:rsid w:val="000870D2"/>
    <w:rsid w:val="00087440"/>
    <w:rsid w:val="000875A2"/>
    <w:rsid w:val="00087838"/>
    <w:rsid w:val="00087BD2"/>
    <w:rsid w:val="00087CC0"/>
    <w:rsid w:val="00087F16"/>
    <w:rsid w:val="00087FB2"/>
    <w:rsid w:val="00087FE8"/>
    <w:rsid w:val="00090131"/>
    <w:rsid w:val="00090140"/>
    <w:rsid w:val="00090183"/>
    <w:rsid w:val="0009020D"/>
    <w:rsid w:val="0009039E"/>
    <w:rsid w:val="0009062E"/>
    <w:rsid w:val="0009088A"/>
    <w:rsid w:val="000909CC"/>
    <w:rsid w:val="00090BE1"/>
    <w:rsid w:val="00090CD3"/>
    <w:rsid w:val="00090ECA"/>
    <w:rsid w:val="00090F14"/>
    <w:rsid w:val="000911EE"/>
    <w:rsid w:val="0009135B"/>
    <w:rsid w:val="00091B40"/>
    <w:rsid w:val="00091C46"/>
    <w:rsid w:val="00091C8A"/>
    <w:rsid w:val="00091EA4"/>
    <w:rsid w:val="00092077"/>
    <w:rsid w:val="000921B8"/>
    <w:rsid w:val="000921F8"/>
    <w:rsid w:val="00092349"/>
    <w:rsid w:val="0009265D"/>
    <w:rsid w:val="00092666"/>
    <w:rsid w:val="0009280D"/>
    <w:rsid w:val="000928A0"/>
    <w:rsid w:val="000928FC"/>
    <w:rsid w:val="000929C2"/>
    <w:rsid w:val="00092AF9"/>
    <w:rsid w:val="00092DB9"/>
    <w:rsid w:val="00092E58"/>
    <w:rsid w:val="0009323F"/>
    <w:rsid w:val="000932C7"/>
    <w:rsid w:val="0009363B"/>
    <w:rsid w:val="000936A0"/>
    <w:rsid w:val="00093AD1"/>
    <w:rsid w:val="00093F7D"/>
    <w:rsid w:val="0009451C"/>
    <w:rsid w:val="00094792"/>
    <w:rsid w:val="000948AF"/>
    <w:rsid w:val="00094A2C"/>
    <w:rsid w:val="00094A7E"/>
    <w:rsid w:val="00094AE9"/>
    <w:rsid w:val="00094B37"/>
    <w:rsid w:val="00094E51"/>
    <w:rsid w:val="00094EB0"/>
    <w:rsid w:val="00094F2F"/>
    <w:rsid w:val="00095A64"/>
    <w:rsid w:val="00095E4E"/>
    <w:rsid w:val="00095F09"/>
    <w:rsid w:val="000963B1"/>
    <w:rsid w:val="00096596"/>
    <w:rsid w:val="000967E8"/>
    <w:rsid w:val="00096AAD"/>
    <w:rsid w:val="00096E86"/>
    <w:rsid w:val="00096FAA"/>
    <w:rsid w:val="00096FE7"/>
    <w:rsid w:val="0009714D"/>
    <w:rsid w:val="0009728E"/>
    <w:rsid w:val="000972A1"/>
    <w:rsid w:val="000972A2"/>
    <w:rsid w:val="000973C7"/>
    <w:rsid w:val="000973E1"/>
    <w:rsid w:val="000973F8"/>
    <w:rsid w:val="00097422"/>
    <w:rsid w:val="00097792"/>
    <w:rsid w:val="000979D2"/>
    <w:rsid w:val="00097C40"/>
    <w:rsid w:val="00097EE4"/>
    <w:rsid w:val="00097FF6"/>
    <w:rsid w:val="000A0203"/>
    <w:rsid w:val="000A0239"/>
    <w:rsid w:val="000A0731"/>
    <w:rsid w:val="000A0841"/>
    <w:rsid w:val="000A09A0"/>
    <w:rsid w:val="000A0E52"/>
    <w:rsid w:val="000A1681"/>
    <w:rsid w:val="000A1711"/>
    <w:rsid w:val="000A172E"/>
    <w:rsid w:val="000A1789"/>
    <w:rsid w:val="000A1A99"/>
    <w:rsid w:val="000A1DA0"/>
    <w:rsid w:val="000A1E6D"/>
    <w:rsid w:val="000A21B1"/>
    <w:rsid w:val="000A2295"/>
    <w:rsid w:val="000A229A"/>
    <w:rsid w:val="000A22B9"/>
    <w:rsid w:val="000A2420"/>
    <w:rsid w:val="000A27D1"/>
    <w:rsid w:val="000A2840"/>
    <w:rsid w:val="000A291F"/>
    <w:rsid w:val="000A29F6"/>
    <w:rsid w:val="000A2A02"/>
    <w:rsid w:val="000A2A34"/>
    <w:rsid w:val="000A2D2F"/>
    <w:rsid w:val="000A2D4E"/>
    <w:rsid w:val="000A2E3B"/>
    <w:rsid w:val="000A32FA"/>
    <w:rsid w:val="000A33AB"/>
    <w:rsid w:val="000A33C7"/>
    <w:rsid w:val="000A33C8"/>
    <w:rsid w:val="000A38F7"/>
    <w:rsid w:val="000A3C8C"/>
    <w:rsid w:val="000A3EAA"/>
    <w:rsid w:val="000A3FCB"/>
    <w:rsid w:val="000A43AF"/>
    <w:rsid w:val="000A45B1"/>
    <w:rsid w:val="000A46A6"/>
    <w:rsid w:val="000A4977"/>
    <w:rsid w:val="000A4B40"/>
    <w:rsid w:val="000A518F"/>
    <w:rsid w:val="000A536D"/>
    <w:rsid w:val="000A5384"/>
    <w:rsid w:val="000A5482"/>
    <w:rsid w:val="000A56A1"/>
    <w:rsid w:val="000A591F"/>
    <w:rsid w:val="000A5E6A"/>
    <w:rsid w:val="000A5EAA"/>
    <w:rsid w:val="000A5F4A"/>
    <w:rsid w:val="000A6113"/>
    <w:rsid w:val="000A63B2"/>
    <w:rsid w:val="000A63CD"/>
    <w:rsid w:val="000A6448"/>
    <w:rsid w:val="000A6466"/>
    <w:rsid w:val="000A65A6"/>
    <w:rsid w:val="000A696D"/>
    <w:rsid w:val="000A6A80"/>
    <w:rsid w:val="000A6BDC"/>
    <w:rsid w:val="000A6E46"/>
    <w:rsid w:val="000A6E52"/>
    <w:rsid w:val="000A70E6"/>
    <w:rsid w:val="000A70E9"/>
    <w:rsid w:val="000A7203"/>
    <w:rsid w:val="000A72BC"/>
    <w:rsid w:val="000A7465"/>
    <w:rsid w:val="000A7563"/>
    <w:rsid w:val="000A771C"/>
    <w:rsid w:val="000A78F9"/>
    <w:rsid w:val="000A7A29"/>
    <w:rsid w:val="000A7A30"/>
    <w:rsid w:val="000A7C2E"/>
    <w:rsid w:val="000B0124"/>
    <w:rsid w:val="000B03E0"/>
    <w:rsid w:val="000B0D74"/>
    <w:rsid w:val="000B0DDD"/>
    <w:rsid w:val="000B0E44"/>
    <w:rsid w:val="000B17DE"/>
    <w:rsid w:val="000B1847"/>
    <w:rsid w:val="000B1A03"/>
    <w:rsid w:val="000B1C1B"/>
    <w:rsid w:val="000B1D89"/>
    <w:rsid w:val="000B21B5"/>
    <w:rsid w:val="000B26C6"/>
    <w:rsid w:val="000B2853"/>
    <w:rsid w:val="000B2867"/>
    <w:rsid w:val="000B2915"/>
    <w:rsid w:val="000B2EDD"/>
    <w:rsid w:val="000B312C"/>
    <w:rsid w:val="000B3275"/>
    <w:rsid w:val="000B3CDB"/>
    <w:rsid w:val="000B41F3"/>
    <w:rsid w:val="000B4333"/>
    <w:rsid w:val="000B4550"/>
    <w:rsid w:val="000B4938"/>
    <w:rsid w:val="000B49F5"/>
    <w:rsid w:val="000B4BFF"/>
    <w:rsid w:val="000B4DF3"/>
    <w:rsid w:val="000B4F5A"/>
    <w:rsid w:val="000B4F80"/>
    <w:rsid w:val="000B5441"/>
    <w:rsid w:val="000B5525"/>
    <w:rsid w:val="000B5872"/>
    <w:rsid w:val="000B5A25"/>
    <w:rsid w:val="000B5ABC"/>
    <w:rsid w:val="000B5BA7"/>
    <w:rsid w:val="000B6038"/>
    <w:rsid w:val="000B634D"/>
    <w:rsid w:val="000B6603"/>
    <w:rsid w:val="000B6770"/>
    <w:rsid w:val="000B6CB8"/>
    <w:rsid w:val="000B6DEC"/>
    <w:rsid w:val="000B6DF7"/>
    <w:rsid w:val="000B7059"/>
    <w:rsid w:val="000B773D"/>
    <w:rsid w:val="000B7758"/>
    <w:rsid w:val="000B77E8"/>
    <w:rsid w:val="000B7B6C"/>
    <w:rsid w:val="000B7B9E"/>
    <w:rsid w:val="000C033E"/>
    <w:rsid w:val="000C03A2"/>
    <w:rsid w:val="000C0901"/>
    <w:rsid w:val="000C09C3"/>
    <w:rsid w:val="000C0CB8"/>
    <w:rsid w:val="000C0FF5"/>
    <w:rsid w:val="000C1024"/>
    <w:rsid w:val="000C181A"/>
    <w:rsid w:val="000C18EA"/>
    <w:rsid w:val="000C1992"/>
    <w:rsid w:val="000C1A95"/>
    <w:rsid w:val="000C1DFC"/>
    <w:rsid w:val="000C2168"/>
    <w:rsid w:val="000C26FF"/>
    <w:rsid w:val="000C28EE"/>
    <w:rsid w:val="000C31E5"/>
    <w:rsid w:val="000C3322"/>
    <w:rsid w:val="000C3528"/>
    <w:rsid w:val="000C35B2"/>
    <w:rsid w:val="000C36A0"/>
    <w:rsid w:val="000C38F1"/>
    <w:rsid w:val="000C3BBC"/>
    <w:rsid w:val="000C411B"/>
    <w:rsid w:val="000C418A"/>
    <w:rsid w:val="000C4784"/>
    <w:rsid w:val="000C49CC"/>
    <w:rsid w:val="000C4A52"/>
    <w:rsid w:val="000C4A9C"/>
    <w:rsid w:val="000C4AE2"/>
    <w:rsid w:val="000C4BF6"/>
    <w:rsid w:val="000C4D0A"/>
    <w:rsid w:val="000C4F5D"/>
    <w:rsid w:val="000C53FD"/>
    <w:rsid w:val="000C5436"/>
    <w:rsid w:val="000C58A4"/>
    <w:rsid w:val="000C5AC5"/>
    <w:rsid w:val="000C5BB9"/>
    <w:rsid w:val="000C63C2"/>
    <w:rsid w:val="000C6517"/>
    <w:rsid w:val="000C65AB"/>
    <w:rsid w:val="000C6793"/>
    <w:rsid w:val="000C6842"/>
    <w:rsid w:val="000C69C7"/>
    <w:rsid w:val="000C69D6"/>
    <w:rsid w:val="000C6FC8"/>
    <w:rsid w:val="000C7583"/>
    <w:rsid w:val="000C78F7"/>
    <w:rsid w:val="000C7A4C"/>
    <w:rsid w:val="000D0086"/>
    <w:rsid w:val="000D00F0"/>
    <w:rsid w:val="000D014C"/>
    <w:rsid w:val="000D037B"/>
    <w:rsid w:val="000D084E"/>
    <w:rsid w:val="000D09FE"/>
    <w:rsid w:val="000D0AC2"/>
    <w:rsid w:val="000D0C2E"/>
    <w:rsid w:val="000D0EAF"/>
    <w:rsid w:val="000D1070"/>
    <w:rsid w:val="000D11A8"/>
    <w:rsid w:val="000D11C4"/>
    <w:rsid w:val="000D13B3"/>
    <w:rsid w:val="000D183D"/>
    <w:rsid w:val="000D18C8"/>
    <w:rsid w:val="000D1AE2"/>
    <w:rsid w:val="000D1D43"/>
    <w:rsid w:val="000D1DE6"/>
    <w:rsid w:val="000D21A1"/>
    <w:rsid w:val="000D21A3"/>
    <w:rsid w:val="000D2257"/>
    <w:rsid w:val="000D2A57"/>
    <w:rsid w:val="000D2D64"/>
    <w:rsid w:val="000D2EA8"/>
    <w:rsid w:val="000D2FAA"/>
    <w:rsid w:val="000D303D"/>
    <w:rsid w:val="000D3291"/>
    <w:rsid w:val="000D3577"/>
    <w:rsid w:val="000D38A6"/>
    <w:rsid w:val="000D3AD7"/>
    <w:rsid w:val="000D3B6F"/>
    <w:rsid w:val="000D4000"/>
    <w:rsid w:val="000D4075"/>
    <w:rsid w:val="000D40EC"/>
    <w:rsid w:val="000D4390"/>
    <w:rsid w:val="000D4629"/>
    <w:rsid w:val="000D4855"/>
    <w:rsid w:val="000D49ED"/>
    <w:rsid w:val="000D4A2E"/>
    <w:rsid w:val="000D4DCE"/>
    <w:rsid w:val="000D4E3C"/>
    <w:rsid w:val="000D5028"/>
    <w:rsid w:val="000D5336"/>
    <w:rsid w:val="000D5743"/>
    <w:rsid w:val="000D5A68"/>
    <w:rsid w:val="000D5F69"/>
    <w:rsid w:val="000D6060"/>
    <w:rsid w:val="000D60B2"/>
    <w:rsid w:val="000D6320"/>
    <w:rsid w:val="000D648B"/>
    <w:rsid w:val="000D6530"/>
    <w:rsid w:val="000D66F0"/>
    <w:rsid w:val="000D6841"/>
    <w:rsid w:val="000D6A45"/>
    <w:rsid w:val="000D6C30"/>
    <w:rsid w:val="000D6CA3"/>
    <w:rsid w:val="000D6DD9"/>
    <w:rsid w:val="000D6E17"/>
    <w:rsid w:val="000D6EFC"/>
    <w:rsid w:val="000D6F33"/>
    <w:rsid w:val="000D71B1"/>
    <w:rsid w:val="000D72EB"/>
    <w:rsid w:val="000D7815"/>
    <w:rsid w:val="000D784F"/>
    <w:rsid w:val="000D7B18"/>
    <w:rsid w:val="000D7E49"/>
    <w:rsid w:val="000D7F99"/>
    <w:rsid w:val="000E0317"/>
    <w:rsid w:val="000E047D"/>
    <w:rsid w:val="000E0700"/>
    <w:rsid w:val="000E075A"/>
    <w:rsid w:val="000E0804"/>
    <w:rsid w:val="000E0AD2"/>
    <w:rsid w:val="000E0BA8"/>
    <w:rsid w:val="000E0C07"/>
    <w:rsid w:val="000E0EE7"/>
    <w:rsid w:val="000E11E8"/>
    <w:rsid w:val="000E126A"/>
    <w:rsid w:val="000E14EF"/>
    <w:rsid w:val="000E179A"/>
    <w:rsid w:val="000E1880"/>
    <w:rsid w:val="000E19C1"/>
    <w:rsid w:val="000E1D33"/>
    <w:rsid w:val="000E20CF"/>
    <w:rsid w:val="000E2710"/>
    <w:rsid w:val="000E2851"/>
    <w:rsid w:val="000E299F"/>
    <w:rsid w:val="000E29A4"/>
    <w:rsid w:val="000E29BB"/>
    <w:rsid w:val="000E2C13"/>
    <w:rsid w:val="000E2C21"/>
    <w:rsid w:val="000E2C2B"/>
    <w:rsid w:val="000E2EBD"/>
    <w:rsid w:val="000E33AC"/>
    <w:rsid w:val="000E38F8"/>
    <w:rsid w:val="000E399C"/>
    <w:rsid w:val="000E3ABA"/>
    <w:rsid w:val="000E3BCF"/>
    <w:rsid w:val="000E3DBD"/>
    <w:rsid w:val="000E405F"/>
    <w:rsid w:val="000E4121"/>
    <w:rsid w:val="000E4429"/>
    <w:rsid w:val="000E445F"/>
    <w:rsid w:val="000E46A3"/>
    <w:rsid w:val="000E4777"/>
    <w:rsid w:val="000E4850"/>
    <w:rsid w:val="000E4898"/>
    <w:rsid w:val="000E4942"/>
    <w:rsid w:val="000E4A80"/>
    <w:rsid w:val="000E4E5C"/>
    <w:rsid w:val="000E4EFF"/>
    <w:rsid w:val="000E57B0"/>
    <w:rsid w:val="000E59A5"/>
    <w:rsid w:val="000E5A1E"/>
    <w:rsid w:val="000E5AEB"/>
    <w:rsid w:val="000E6034"/>
    <w:rsid w:val="000E60C3"/>
    <w:rsid w:val="000E6191"/>
    <w:rsid w:val="000E61BE"/>
    <w:rsid w:val="000E64AE"/>
    <w:rsid w:val="000E6687"/>
    <w:rsid w:val="000E6724"/>
    <w:rsid w:val="000E6A22"/>
    <w:rsid w:val="000E6C51"/>
    <w:rsid w:val="000E7088"/>
    <w:rsid w:val="000E7175"/>
    <w:rsid w:val="000E71A6"/>
    <w:rsid w:val="000E71B1"/>
    <w:rsid w:val="000E728C"/>
    <w:rsid w:val="000E7930"/>
    <w:rsid w:val="000E7B63"/>
    <w:rsid w:val="000E7DE4"/>
    <w:rsid w:val="000E7F25"/>
    <w:rsid w:val="000E7F3A"/>
    <w:rsid w:val="000F005E"/>
    <w:rsid w:val="000F014A"/>
    <w:rsid w:val="000F0323"/>
    <w:rsid w:val="000F085B"/>
    <w:rsid w:val="000F09D0"/>
    <w:rsid w:val="000F0B21"/>
    <w:rsid w:val="000F0CF6"/>
    <w:rsid w:val="000F1208"/>
    <w:rsid w:val="000F1416"/>
    <w:rsid w:val="000F171A"/>
    <w:rsid w:val="000F1CB0"/>
    <w:rsid w:val="000F1D92"/>
    <w:rsid w:val="000F1F73"/>
    <w:rsid w:val="000F1F8B"/>
    <w:rsid w:val="000F2284"/>
    <w:rsid w:val="000F22C8"/>
    <w:rsid w:val="000F2475"/>
    <w:rsid w:val="000F28C2"/>
    <w:rsid w:val="000F2A04"/>
    <w:rsid w:val="000F2EB5"/>
    <w:rsid w:val="000F3083"/>
    <w:rsid w:val="000F3084"/>
    <w:rsid w:val="000F330E"/>
    <w:rsid w:val="000F35DF"/>
    <w:rsid w:val="000F378A"/>
    <w:rsid w:val="000F3975"/>
    <w:rsid w:val="000F3EF9"/>
    <w:rsid w:val="000F3F2D"/>
    <w:rsid w:val="000F4005"/>
    <w:rsid w:val="000F433C"/>
    <w:rsid w:val="000F43FE"/>
    <w:rsid w:val="000F46A7"/>
    <w:rsid w:val="000F46C8"/>
    <w:rsid w:val="000F46E5"/>
    <w:rsid w:val="000F48E4"/>
    <w:rsid w:val="000F4B86"/>
    <w:rsid w:val="000F4D19"/>
    <w:rsid w:val="000F4EB5"/>
    <w:rsid w:val="000F5251"/>
    <w:rsid w:val="000F5798"/>
    <w:rsid w:val="000F5B0C"/>
    <w:rsid w:val="000F5B4A"/>
    <w:rsid w:val="000F5F61"/>
    <w:rsid w:val="000F6104"/>
    <w:rsid w:val="000F63B3"/>
    <w:rsid w:val="000F660F"/>
    <w:rsid w:val="000F693C"/>
    <w:rsid w:val="000F6B99"/>
    <w:rsid w:val="000F6C84"/>
    <w:rsid w:val="000F719E"/>
    <w:rsid w:val="000F71AA"/>
    <w:rsid w:val="000F71E9"/>
    <w:rsid w:val="000F73E7"/>
    <w:rsid w:val="000F7653"/>
    <w:rsid w:val="000F7AC1"/>
    <w:rsid w:val="000F7AC6"/>
    <w:rsid w:val="00100126"/>
    <w:rsid w:val="00100327"/>
    <w:rsid w:val="001003C9"/>
    <w:rsid w:val="00100A21"/>
    <w:rsid w:val="00100BA0"/>
    <w:rsid w:val="00100E3D"/>
    <w:rsid w:val="00101425"/>
    <w:rsid w:val="0010145C"/>
    <w:rsid w:val="0010157B"/>
    <w:rsid w:val="001016B3"/>
    <w:rsid w:val="00101A9C"/>
    <w:rsid w:val="00101E65"/>
    <w:rsid w:val="00101F75"/>
    <w:rsid w:val="00102556"/>
    <w:rsid w:val="001025FF"/>
    <w:rsid w:val="00102603"/>
    <w:rsid w:val="00102DCB"/>
    <w:rsid w:val="001031FB"/>
    <w:rsid w:val="00103285"/>
    <w:rsid w:val="00103485"/>
    <w:rsid w:val="001036AA"/>
    <w:rsid w:val="001037B5"/>
    <w:rsid w:val="001038C8"/>
    <w:rsid w:val="0010393E"/>
    <w:rsid w:val="00103BC5"/>
    <w:rsid w:val="00103E4D"/>
    <w:rsid w:val="001040F8"/>
    <w:rsid w:val="001044BD"/>
    <w:rsid w:val="00104623"/>
    <w:rsid w:val="0010468C"/>
    <w:rsid w:val="00104963"/>
    <w:rsid w:val="001049B6"/>
    <w:rsid w:val="00104C06"/>
    <w:rsid w:val="00105343"/>
    <w:rsid w:val="00105413"/>
    <w:rsid w:val="00105524"/>
    <w:rsid w:val="0010598A"/>
    <w:rsid w:val="00105AD9"/>
    <w:rsid w:val="00105B84"/>
    <w:rsid w:val="00105F49"/>
    <w:rsid w:val="0010605F"/>
    <w:rsid w:val="00106465"/>
    <w:rsid w:val="0010650D"/>
    <w:rsid w:val="001068E4"/>
    <w:rsid w:val="00106B7E"/>
    <w:rsid w:val="00106D61"/>
    <w:rsid w:val="00106DAE"/>
    <w:rsid w:val="00106E4C"/>
    <w:rsid w:val="0010715E"/>
    <w:rsid w:val="00107631"/>
    <w:rsid w:val="0010772A"/>
    <w:rsid w:val="001078D7"/>
    <w:rsid w:val="00107936"/>
    <w:rsid w:val="00107E01"/>
    <w:rsid w:val="00107F93"/>
    <w:rsid w:val="00110109"/>
    <w:rsid w:val="00110378"/>
    <w:rsid w:val="00110473"/>
    <w:rsid w:val="001107F1"/>
    <w:rsid w:val="00110864"/>
    <w:rsid w:val="001109E4"/>
    <w:rsid w:val="00110A81"/>
    <w:rsid w:val="00110E24"/>
    <w:rsid w:val="00111076"/>
    <w:rsid w:val="00111080"/>
    <w:rsid w:val="001110CC"/>
    <w:rsid w:val="001112E1"/>
    <w:rsid w:val="0011170C"/>
    <w:rsid w:val="00111DF8"/>
    <w:rsid w:val="0011240C"/>
    <w:rsid w:val="00112422"/>
    <w:rsid w:val="001127A6"/>
    <w:rsid w:val="0011284B"/>
    <w:rsid w:val="00112AB9"/>
    <w:rsid w:val="00113371"/>
    <w:rsid w:val="001134C7"/>
    <w:rsid w:val="00113636"/>
    <w:rsid w:val="0011384C"/>
    <w:rsid w:val="00113985"/>
    <w:rsid w:val="001139E7"/>
    <w:rsid w:val="001139EE"/>
    <w:rsid w:val="00113BA7"/>
    <w:rsid w:val="00113C16"/>
    <w:rsid w:val="00113CD8"/>
    <w:rsid w:val="001140E7"/>
    <w:rsid w:val="0011413D"/>
    <w:rsid w:val="00114AE7"/>
    <w:rsid w:val="00114E9C"/>
    <w:rsid w:val="001150A8"/>
    <w:rsid w:val="00115415"/>
    <w:rsid w:val="0011548C"/>
    <w:rsid w:val="0011574E"/>
    <w:rsid w:val="00115958"/>
    <w:rsid w:val="00115B03"/>
    <w:rsid w:val="00115B0A"/>
    <w:rsid w:val="00115CBA"/>
    <w:rsid w:val="00115E70"/>
    <w:rsid w:val="0011617B"/>
    <w:rsid w:val="001161DA"/>
    <w:rsid w:val="001162C8"/>
    <w:rsid w:val="001166C2"/>
    <w:rsid w:val="00116E6E"/>
    <w:rsid w:val="001171D6"/>
    <w:rsid w:val="00117231"/>
    <w:rsid w:val="001172F6"/>
    <w:rsid w:val="00117389"/>
    <w:rsid w:val="00117425"/>
    <w:rsid w:val="001175CE"/>
    <w:rsid w:val="0011768C"/>
    <w:rsid w:val="00117D80"/>
    <w:rsid w:val="00117F46"/>
    <w:rsid w:val="00117F5A"/>
    <w:rsid w:val="001200E7"/>
    <w:rsid w:val="00120503"/>
    <w:rsid w:val="001208C8"/>
    <w:rsid w:val="0012096E"/>
    <w:rsid w:val="00120980"/>
    <w:rsid w:val="001209AC"/>
    <w:rsid w:val="001209EB"/>
    <w:rsid w:val="00120E1F"/>
    <w:rsid w:val="00120FF3"/>
    <w:rsid w:val="0012113A"/>
    <w:rsid w:val="00121281"/>
    <w:rsid w:val="001212E2"/>
    <w:rsid w:val="001214F8"/>
    <w:rsid w:val="0012187C"/>
    <w:rsid w:val="00121A95"/>
    <w:rsid w:val="00121CF4"/>
    <w:rsid w:val="00121E8B"/>
    <w:rsid w:val="00121FB7"/>
    <w:rsid w:val="00122144"/>
    <w:rsid w:val="001223A2"/>
    <w:rsid w:val="001229B0"/>
    <w:rsid w:val="00122B67"/>
    <w:rsid w:val="00122CDF"/>
    <w:rsid w:val="00122EC1"/>
    <w:rsid w:val="00122F9C"/>
    <w:rsid w:val="001232B5"/>
    <w:rsid w:val="001232BD"/>
    <w:rsid w:val="001233D3"/>
    <w:rsid w:val="00123505"/>
    <w:rsid w:val="0012374A"/>
    <w:rsid w:val="00123868"/>
    <w:rsid w:val="00123CD1"/>
    <w:rsid w:val="00123DD5"/>
    <w:rsid w:val="0012405B"/>
    <w:rsid w:val="00124203"/>
    <w:rsid w:val="0012421F"/>
    <w:rsid w:val="0012458D"/>
    <w:rsid w:val="0012481F"/>
    <w:rsid w:val="0012499E"/>
    <w:rsid w:val="00124A43"/>
    <w:rsid w:val="00124B5A"/>
    <w:rsid w:val="00124BC1"/>
    <w:rsid w:val="00124E61"/>
    <w:rsid w:val="00125005"/>
    <w:rsid w:val="001252D4"/>
    <w:rsid w:val="00125335"/>
    <w:rsid w:val="00125352"/>
    <w:rsid w:val="001254E7"/>
    <w:rsid w:val="00125716"/>
    <w:rsid w:val="00125A08"/>
    <w:rsid w:val="00125C37"/>
    <w:rsid w:val="00125CEB"/>
    <w:rsid w:val="00125F01"/>
    <w:rsid w:val="001260B8"/>
    <w:rsid w:val="001260BA"/>
    <w:rsid w:val="00126244"/>
    <w:rsid w:val="00126267"/>
    <w:rsid w:val="00126279"/>
    <w:rsid w:val="0012637D"/>
    <w:rsid w:val="001263DC"/>
    <w:rsid w:val="00126720"/>
    <w:rsid w:val="00126733"/>
    <w:rsid w:val="00126D08"/>
    <w:rsid w:val="00126DED"/>
    <w:rsid w:val="00126E08"/>
    <w:rsid w:val="00126E18"/>
    <w:rsid w:val="00127461"/>
    <w:rsid w:val="00127591"/>
    <w:rsid w:val="00127849"/>
    <w:rsid w:val="00127921"/>
    <w:rsid w:val="001279BD"/>
    <w:rsid w:val="00127C1B"/>
    <w:rsid w:val="00127C70"/>
    <w:rsid w:val="00127DE1"/>
    <w:rsid w:val="00127F03"/>
    <w:rsid w:val="00130097"/>
    <w:rsid w:val="0013025E"/>
    <w:rsid w:val="0013025F"/>
    <w:rsid w:val="0013038E"/>
    <w:rsid w:val="001305BD"/>
    <w:rsid w:val="00130A2F"/>
    <w:rsid w:val="00130A42"/>
    <w:rsid w:val="00130B50"/>
    <w:rsid w:val="00130C73"/>
    <w:rsid w:val="00130CCF"/>
    <w:rsid w:val="001311D6"/>
    <w:rsid w:val="001311E8"/>
    <w:rsid w:val="0013122A"/>
    <w:rsid w:val="0013128C"/>
    <w:rsid w:val="001312E8"/>
    <w:rsid w:val="001313D1"/>
    <w:rsid w:val="001314BB"/>
    <w:rsid w:val="001316CA"/>
    <w:rsid w:val="00131A3E"/>
    <w:rsid w:val="00131BD6"/>
    <w:rsid w:val="00131BF7"/>
    <w:rsid w:val="00131E00"/>
    <w:rsid w:val="00132411"/>
    <w:rsid w:val="00132430"/>
    <w:rsid w:val="001326E4"/>
    <w:rsid w:val="00132C59"/>
    <w:rsid w:val="00132E3A"/>
    <w:rsid w:val="00132E8C"/>
    <w:rsid w:val="00132FA4"/>
    <w:rsid w:val="00133106"/>
    <w:rsid w:val="00133151"/>
    <w:rsid w:val="001333F3"/>
    <w:rsid w:val="00133504"/>
    <w:rsid w:val="0013369D"/>
    <w:rsid w:val="001337E6"/>
    <w:rsid w:val="0013380E"/>
    <w:rsid w:val="001339D2"/>
    <w:rsid w:val="001339ED"/>
    <w:rsid w:val="00133A2E"/>
    <w:rsid w:val="00133AE9"/>
    <w:rsid w:val="00133CE0"/>
    <w:rsid w:val="00133E46"/>
    <w:rsid w:val="00133F53"/>
    <w:rsid w:val="00134211"/>
    <w:rsid w:val="00134324"/>
    <w:rsid w:val="00134473"/>
    <w:rsid w:val="00134821"/>
    <w:rsid w:val="00135128"/>
    <w:rsid w:val="00135284"/>
    <w:rsid w:val="001353CC"/>
    <w:rsid w:val="00135B3E"/>
    <w:rsid w:val="00135CC4"/>
    <w:rsid w:val="00135DEF"/>
    <w:rsid w:val="00135E0F"/>
    <w:rsid w:val="00135F16"/>
    <w:rsid w:val="001363B4"/>
    <w:rsid w:val="0013650D"/>
    <w:rsid w:val="00136705"/>
    <w:rsid w:val="001368CC"/>
    <w:rsid w:val="0013695A"/>
    <w:rsid w:val="00136A26"/>
    <w:rsid w:val="00136D82"/>
    <w:rsid w:val="00136F4B"/>
    <w:rsid w:val="00137153"/>
    <w:rsid w:val="001374A7"/>
    <w:rsid w:val="00137525"/>
    <w:rsid w:val="001375C5"/>
    <w:rsid w:val="0013768A"/>
    <w:rsid w:val="00137706"/>
    <w:rsid w:val="00137834"/>
    <w:rsid w:val="00137A90"/>
    <w:rsid w:val="00137AF7"/>
    <w:rsid w:val="00137B5B"/>
    <w:rsid w:val="001401AF"/>
    <w:rsid w:val="0014048B"/>
    <w:rsid w:val="001407DE"/>
    <w:rsid w:val="00140CD2"/>
    <w:rsid w:val="00140EBD"/>
    <w:rsid w:val="0014105A"/>
    <w:rsid w:val="001410AC"/>
    <w:rsid w:val="001411C8"/>
    <w:rsid w:val="00141477"/>
    <w:rsid w:val="001414A2"/>
    <w:rsid w:val="00141517"/>
    <w:rsid w:val="001416C3"/>
    <w:rsid w:val="0014181E"/>
    <w:rsid w:val="001419B2"/>
    <w:rsid w:val="00141C2D"/>
    <w:rsid w:val="00141E5A"/>
    <w:rsid w:val="0014227A"/>
    <w:rsid w:val="0014227C"/>
    <w:rsid w:val="00142333"/>
    <w:rsid w:val="0014235D"/>
    <w:rsid w:val="0014253B"/>
    <w:rsid w:val="00142787"/>
    <w:rsid w:val="00142AD8"/>
    <w:rsid w:val="00142B15"/>
    <w:rsid w:val="00142B3B"/>
    <w:rsid w:val="00142C99"/>
    <w:rsid w:val="00142D5F"/>
    <w:rsid w:val="001430D6"/>
    <w:rsid w:val="00143403"/>
    <w:rsid w:val="001436AB"/>
    <w:rsid w:val="00143949"/>
    <w:rsid w:val="00143AC9"/>
    <w:rsid w:val="00143B9B"/>
    <w:rsid w:val="00143CDB"/>
    <w:rsid w:val="001440BF"/>
    <w:rsid w:val="00144178"/>
    <w:rsid w:val="0014442B"/>
    <w:rsid w:val="001445EC"/>
    <w:rsid w:val="00144974"/>
    <w:rsid w:val="00144A75"/>
    <w:rsid w:val="00144B79"/>
    <w:rsid w:val="00144EE0"/>
    <w:rsid w:val="00144F26"/>
    <w:rsid w:val="0014501A"/>
    <w:rsid w:val="00145072"/>
    <w:rsid w:val="00145156"/>
    <w:rsid w:val="00145B17"/>
    <w:rsid w:val="00145B53"/>
    <w:rsid w:val="00145BD2"/>
    <w:rsid w:val="00145DA9"/>
    <w:rsid w:val="00146217"/>
    <w:rsid w:val="001463E8"/>
    <w:rsid w:val="0014656E"/>
    <w:rsid w:val="00146620"/>
    <w:rsid w:val="00146702"/>
    <w:rsid w:val="0014690D"/>
    <w:rsid w:val="00146E58"/>
    <w:rsid w:val="0014708E"/>
    <w:rsid w:val="001473FD"/>
    <w:rsid w:val="001474D5"/>
    <w:rsid w:val="001478AC"/>
    <w:rsid w:val="001503E4"/>
    <w:rsid w:val="00150928"/>
    <w:rsid w:val="00150967"/>
    <w:rsid w:val="00150D64"/>
    <w:rsid w:val="001510F0"/>
    <w:rsid w:val="0015138A"/>
    <w:rsid w:val="001513C1"/>
    <w:rsid w:val="001513D7"/>
    <w:rsid w:val="0015142E"/>
    <w:rsid w:val="0015154D"/>
    <w:rsid w:val="001515F8"/>
    <w:rsid w:val="001519CD"/>
    <w:rsid w:val="001519E1"/>
    <w:rsid w:val="00151B33"/>
    <w:rsid w:val="00151B78"/>
    <w:rsid w:val="00151EFF"/>
    <w:rsid w:val="001521F6"/>
    <w:rsid w:val="001524BB"/>
    <w:rsid w:val="00152953"/>
    <w:rsid w:val="00152AA2"/>
    <w:rsid w:val="00152D56"/>
    <w:rsid w:val="00152E40"/>
    <w:rsid w:val="0015314C"/>
    <w:rsid w:val="00153256"/>
    <w:rsid w:val="001533D0"/>
    <w:rsid w:val="0015373D"/>
    <w:rsid w:val="0015379E"/>
    <w:rsid w:val="0015396B"/>
    <w:rsid w:val="00153D27"/>
    <w:rsid w:val="00153D82"/>
    <w:rsid w:val="00153ED3"/>
    <w:rsid w:val="00153F45"/>
    <w:rsid w:val="001541D1"/>
    <w:rsid w:val="0015485F"/>
    <w:rsid w:val="00154926"/>
    <w:rsid w:val="00154BD3"/>
    <w:rsid w:val="00155295"/>
    <w:rsid w:val="001554EC"/>
    <w:rsid w:val="00155645"/>
    <w:rsid w:val="00155666"/>
    <w:rsid w:val="001556C8"/>
    <w:rsid w:val="001556D3"/>
    <w:rsid w:val="001556D9"/>
    <w:rsid w:val="00155715"/>
    <w:rsid w:val="00155877"/>
    <w:rsid w:val="00155D85"/>
    <w:rsid w:val="001561A5"/>
    <w:rsid w:val="00156227"/>
    <w:rsid w:val="0015624E"/>
    <w:rsid w:val="001562EC"/>
    <w:rsid w:val="00156322"/>
    <w:rsid w:val="001565EC"/>
    <w:rsid w:val="001566C2"/>
    <w:rsid w:val="001567A6"/>
    <w:rsid w:val="00156927"/>
    <w:rsid w:val="00156F78"/>
    <w:rsid w:val="00157138"/>
    <w:rsid w:val="00157244"/>
    <w:rsid w:val="00157269"/>
    <w:rsid w:val="001572BF"/>
    <w:rsid w:val="001573AA"/>
    <w:rsid w:val="0015757A"/>
    <w:rsid w:val="00157859"/>
    <w:rsid w:val="0015792B"/>
    <w:rsid w:val="001579D8"/>
    <w:rsid w:val="00157C8A"/>
    <w:rsid w:val="00157CFA"/>
    <w:rsid w:val="00157EFE"/>
    <w:rsid w:val="0016003F"/>
    <w:rsid w:val="00160251"/>
    <w:rsid w:val="0016043F"/>
    <w:rsid w:val="00160678"/>
    <w:rsid w:val="00160723"/>
    <w:rsid w:val="00160CA0"/>
    <w:rsid w:val="00160FAC"/>
    <w:rsid w:val="00161017"/>
    <w:rsid w:val="0016137C"/>
    <w:rsid w:val="001613A0"/>
    <w:rsid w:val="001614B2"/>
    <w:rsid w:val="001614D6"/>
    <w:rsid w:val="00161BE5"/>
    <w:rsid w:val="00161BFB"/>
    <w:rsid w:val="00161EB4"/>
    <w:rsid w:val="00162065"/>
    <w:rsid w:val="001620DF"/>
    <w:rsid w:val="001620F5"/>
    <w:rsid w:val="001620FC"/>
    <w:rsid w:val="001621C8"/>
    <w:rsid w:val="001623F8"/>
    <w:rsid w:val="00162474"/>
    <w:rsid w:val="0016267E"/>
    <w:rsid w:val="001629E1"/>
    <w:rsid w:val="00162BA3"/>
    <w:rsid w:val="00162DBF"/>
    <w:rsid w:val="0016321E"/>
    <w:rsid w:val="0016392A"/>
    <w:rsid w:val="00163958"/>
    <w:rsid w:val="00164012"/>
    <w:rsid w:val="0016415D"/>
    <w:rsid w:val="00164179"/>
    <w:rsid w:val="0016456B"/>
    <w:rsid w:val="0016471A"/>
    <w:rsid w:val="0016478F"/>
    <w:rsid w:val="001648F9"/>
    <w:rsid w:val="00164A3C"/>
    <w:rsid w:val="00164A9A"/>
    <w:rsid w:val="00164AE8"/>
    <w:rsid w:val="00164AEC"/>
    <w:rsid w:val="00164B30"/>
    <w:rsid w:val="00164E71"/>
    <w:rsid w:val="00165055"/>
    <w:rsid w:val="0016507B"/>
    <w:rsid w:val="00165FB9"/>
    <w:rsid w:val="001664FC"/>
    <w:rsid w:val="001668D6"/>
    <w:rsid w:val="00166CE7"/>
    <w:rsid w:val="00166DFA"/>
    <w:rsid w:val="00166E97"/>
    <w:rsid w:val="00166F28"/>
    <w:rsid w:val="00166F7B"/>
    <w:rsid w:val="0016711A"/>
    <w:rsid w:val="001678A0"/>
    <w:rsid w:val="00167B67"/>
    <w:rsid w:val="0017036B"/>
    <w:rsid w:val="0017074B"/>
    <w:rsid w:val="00171017"/>
    <w:rsid w:val="0017150C"/>
    <w:rsid w:val="00171561"/>
    <w:rsid w:val="0017162F"/>
    <w:rsid w:val="001717F4"/>
    <w:rsid w:val="00171AB6"/>
    <w:rsid w:val="00172321"/>
    <w:rsid w:val="001723D5"/>
    <w:rsid w:val="001724E8"/>
    <w:rsid w:val="001725AD"/>
    <w:rsid w:val="0017268D"/>
    <w:rsid w:val="0017284B"/>
    <w:rsid w:val="00172A6E"/>
    <w:rsid w:val="00172B59"/>
    <w:rsid w:val="00172DB3"/>
    <w:rsid w:val="00172E1D"/>
    <w:rsid w:val="00172ECF"/>
    <w:rsid w:val="001731A2"/>
    <w:rsid w:val="001732CF"/>
    <w:rsid w:val="001732D5"/>
    <w:rsid w:val="00173462"/>
    <w:rsid w:val="001737F3"/>
    <w:rsid w:val="001739E8"/>
    <w:rsid w:val="00173A45"/>
    <w:rsid w:val="00173B0C"/>
    <w:rsid w:val="00173BB1"/>
    <w:rsid w:val="00173DC8"/>
    <w:rsid w:val="00174044"/>
    <w:rsid w:val="0017423E"/>
    <w:rsid w:val="001742A2"/>
    <w:rsid w:val="00174575"/>
    <w:rsid w:val="00174753"/>
    <w:rsid w:val="00174766"/>
    <w:rsid w:val="00174912"/>
    <w:rsid w:val="00174A70"/>
    <w:rsid w:val="00174B0D"/>
    <w:rsid w:val="00174BCF"/>
    <w:rsid w:val="00174DDD"/>
    <w:rsid w:val="00175572"/>
    <w:rsid w:val="001757DD"/>
    <w:rsid w:val="00175806"/>
    <w:rsid w:val="00175C7F"/>
    <w:rsid w:val="00175C8A"/>
    <w:rsid w:val="00176479"/>
    <w:rsid w:val="0017664A"/>
    <w:rsid w:val="0017687D"/>
    <w:rsid w:val="00176B39"/>
    <w:rsid w:val="00176C2B"/>
    <w:rsid w:val="001774C1"/>
    <w:rsid w:val="001774C8"/>
    <w:rsid w:val="001774F3"/>
    <w:rsid w:val="00177642"/>
    <w:rsid w:val="00177676"/>
    <w:rsid w:val="00177D55"/>
    <w:rsid w:val="00177E1F"/>
    <w:rsid w:val="001800D1"/>
    <w:rsid w:val="001802B0"/>
    <w:rsid w:val="00180592"/>
    <w:rsid w:val="0018063C"/>
    <w:rsid w:val="00180663"/>
    <w:rsid w:val="001807A5"/>
    <w:rsid w:val="00180841"/>
    <w:rsid w:val="001809B1"/>
    <w:rsid w:val="00180B54"/>
    <w:rsid w:val="00180C76"/>
    <w:rsid w:val="00180D86"/>
    <w:rsid w:val="00180EF4"/>
    <w:rsid w:val="0018130E"/>
    <w:rsid w:val="0018168C"/>
    <w:rsid w:val="0018181B"/>
    <w:rsid w:val="00181888"/>
    <w:rsid w:val="00181B85"/>
    <w:rsid w:val="00181C21"/>
    <w:rsid w:val="00181C90"/>
    <w:rsid w:val="00181F9C"/>
    <w:rsid w:val="0018200A"/>
    <w:rsid w:val="0018227D"/>
    <w:rsid w:val="00182546"/>
    <w:rsid w:val="0018295F"/>
    <w:rsid w:val="001829A6"/>
    <w:rsid w:val="001829EA"/>
    <w:rsid w:val="00182B14"/>
    <w:rsid w:val="00182CF3"/>
    <w:rsid w:val="0018319C"/>
    <w:rsid w:val="001831A9"/>
    <w:rsid w:val="0018320C"/>
    <w:rsid w:val="00183344"/>
    <w:rsid w:val="00183371"/>
    <w:rsid w:val="001837EB"/>
    <w:rsid w:val="00183A80"/>
    <w:rsid w:val="00183C1C"/>
    <w:rsid w:val="00183C6F"/>
    <w:rsid w:val="00183F9B"/>
    <w:rsid w:val="00184451"/>
    <w:rsid w:val="001844F5"/>
    <w:rsid w:val="00184522"/>
    <w:rsid w:val="001845EF"/>
    <w:rsid w:val="001845F2"/>
    <w:rsid w:val="0018470F"/>
    <w:rsid w:val="00184B72"/>
    <w:rsid w:val="00185065"/>
    <w:rsid w:val="001850ED"/>
    <w:rsid w:val="00185192"/>
    <w:rsid w:val="0018583C"/>
    <w:rsid w:val="001858A9"/>
    <w:rsid w:val="001858F3"/>
    <w:rsid w:val="00185B1D"/>
    <w:rsid w:val="00185B95"/>
    <w:rsid w:val="00185CC0"/>
    <w:rsid w:val="00185DA4"/>
    <w:rsid w:val="00185DF5"/>
    <w:rsid w:val="00185E3E"/>
    <w:rsid w:val="00185EEC"/>
    <w:rsid w:val="00186015"/>
    <w:rsid w:val="00186055"/>
    <w:rsid w:val="00186066"/>
    <w:rsid w:val="00186202"/>
    <w:rsid w:val="0018634B"/>
    <w:rsid w:val="001864FB"/>
    <w:rsid w:val="00186842"/>
    <w:rsid w:val="00186915"/>
    <w:rsid w:val="00186A1B"/>
    <w:rsid w:val="001871F3"/>
    <w:rsid w:val="00187363"/>
    <w:rsid w:val="00187562"/>
    <w:rsid w:val="001876D1"/>
    <w:rsid w:val="001876D7"/>
    <w:rsid w:val="00187886"/>
    <w:rsid w:val="00187A1D"/>
    <w:rsid w:val="00187B6C"/>
    <w:rsid w:val="00187BE0"/>
    <w:rsid w:val="00187D5B"/>
    <w:rsid w:val="00187E04"/>
    <w:rsid w:val="00187F25"/>
    <w:rsid w:val="0019030E"/>
    <w:rsid w:val="0019042E"/>
    <w:rsid w:val="00190752"/>
    <w:rsid w:val="0019090B"/>
    <w:rsid w:val="00190B57"/>
    <w:rsid w:val="00190D0D"/>
    <w:rsid w:val="00190D99"/>
    <w:rsid w:val="00190DF3"/>
    <w:rsid w:val="00190DFA"/>
    <w:rsid w:val="0019117F"/>
    <w:rsid w:val="001912D7"/>
    <w:rsid w:val="00191340"/>
    <w:rsid w:val="00191503"/>
    <w:rsid w:val="00191566"/>
    <w:rsid w:val="00191979"/>
    <w:rsid w:val="00191D5E"/>
    <w:rsid w:val="00191DA0"/>
    <w:rsid w:val="0019227A"/>
    <w:rsid w:val="00192438"/>
    <w:rsid w:val="001926EE"/>
    <w:rsid w:val="00192A91"/>
    <w:rsid w:val="00193094"/>
    <w:rsid w:val="0019313F"/>
    <w:rsid w:val="00193790"/>
    <w:rsid w:val="0019380B"/>
    <w:rsid w:val="0019393E"/>
    <w:rsid w:val="001939E3"/>
    <w:rsid w:val="00193AB6"/>
    <w:rsid w:val="00193AD1"/>
    <w:rsid w:val="00193B45"/>
    <w:rsid w:val="00193BD9"/>
    <w:rsid w:val="00193D5C"/>
    <w:rsid w:val="0019437A"/>
    <w:rsid w:val="00194423"/>
    <w:rsid w:val="001947A0"/>
    <w:rsid w:val="00194923"/>
    <w:rsid w:val="00194AF8"/>
    <w:rsid w:val="00194D88"/>
    <w:rsid w:val="00194FBA"/>
    <w:rsid w:val="0019509F"/>
    <w:rsid w:val="001951D0"/>
    <w:rsid w:val="0019569B"/>
    <w:rsid w:val="001957B4"/>
    <w:rsid w:val="00195AA9"/>
    <w:rsid w:val="001960DD"/>
    <w:rsid w:val="00196165"/>
    <w:rsid w:val="0019618E"/>
    <w:rsid w:val="00196219"/>
    <w:rsid w:val="00196496"/>
    <w:rsid w:val="00196540"/>
    <w:rsid w:val="00196618"/>
    <w:rsid w:val="001966EF"/>
    <w:rsid w:val="00196A39"/>
    <w:rsid w:val="00196B3B"/>
    <w:rsid w:val="00196B88"/>
    <w:rsid w:val="00196BD4"/>
    <w:rsid w:val="00196E0B"/>
    <w:rsid w:val="00196FBE"/>
    <w:rsid w:val="001970E3"/>
    <w:rsid w:val="001971B0"/>
    <w:rsid w:val="0019722E"/>
    <w:rsid w:val="001972B2"/>
    <w:rsid w:val="00197348"/>
    <w:rsid w:val="0019749A"/>
    <w:rsid w:val="00197809"/>
    <w:rsid w:val="001A02E1"/>
    <w:rsid w:val="001A0535"/>
    <w:rsid w:val="001A0678"/>
    <w:rsid w:val="001A0740"/>
    <w:rsid w:val="001A0754"/>
    <w:rsid w:val="001A0FF8"/>
    <w:rsid w:val="001A1481"/>
    <w:rsid w:val="001A184D"/>
    <w:rsid w:val="001A18CB"/>
    <w:rsid w:val="001A18DB"/>
    <w:rsid w:val="001A193D"/>
    <w:rsid w:val="001A199C"/>
    <w:rsid w:val="001A19A3"/>
    <w:rsid w:val="001A1B9B"/>
    <w:rsid w:val="001A1DE0"/>
    <w:rsid w:val="001A1E72"/>
    <w:rsid w:val="001A1E85"/>
    <w:rsid w:val="001A2001"/>
    <w:rsid w:val="001A2159"/>
    <w:rsid w:val="001A231A"/>
    <w:rsid w:val="001A2450"/>
    <w:rsid w:val="001A27E8"/>
    <w:rsid w:val="001A2A18"/>
    <w:rsid w:val="001A2E6B"/>
    <w:rsid w:val="001A2EA8"/>
    <w:rsid w:val="001A2FE7"/>
    <w:rsid w:val="001A3140"/>
    <w:rsid w:val="001A318B"/>
    <w:rsid w:val="001A3468"/>
    <w:rsid w:val="001A3504"/>
    <w:rsid w:val="001A3683"/>
    <w:rsid w:val="001A37B8"/>
    <w:rsid w:val="001A3A19"/>
    <w:rsid w:val="001A3A83"/>
    <w:rsid w:val="001A3E7F"/>
    <w:rsid w:val="001A3E9B"/>
    <w:rsid w:val="001A40FB"/>
    <w:rsid w:val="001A4101"/>
    <w:rsid w:val="001A4182"/>
    <w:rsid w:val="001A4328"/>
    <w:rsid w:val="001A468F"/>
    <w:rsid w:val="001A49CA"/>
    <w:rsid w:val="001A4B04"/>
    <w:rsid w:val="001A4B0B"/>
    <w:rsid w:val="001A4D1F"/>
    <w:rsid w:val="001A4DEE"/>
    <w:rsid w:val="001A4EA3"/>
    <w:rsid w:val="001A5135"/>
    <w:rsid w:val="001A5243"/>
    <w:rsid w:val="001A5405"/>
    <w:rsid w:val="001A5DE3"/>
    <w:rsid w:val="001A5FC6"/>
    <w:rsid w:val="001A5FEB"/>
    <w:rsid w:val="001A603A"/>
    <w:rsid w:val="001A631F"/>
    <w:rsid w:val="001A63AC"/>
    <w:rsid w:val="001A63DB"/>
    <w:rsid w:val="001A6418"/>
    <w:rsid w:val="001A6584"/>
    <w:rsid w:val="001A6803"/>
    <w:rsid w:val="001A6CD7"/>
    <w:rsid w:val="001A6DB3"/>
    <w:rsid w:val="001A6E53"/>
    <w:rsid w:val="001A6EFB"/>
    <w:rsid w:val="001A6F12"/>
    <w:rsid w:val="001A70CA"/>
    <w:rsid w:val="001A719C"/>
    <w:rsid w:val="001A72BD"/>
    <w:rsid w:val="001A75B7"/>
    <w:rsid w:val="001A767B"/>
    <w:rsid w:val="001A7D42"/>
    <w:rsid w:val="001A7DD6"/>
    <w:rsid w:val="001A7EE7"/>
    <w:rsid w:val="001B0091"/>
    <w:rsid w:val="001B00EA"/>
    <w:rsid w:val="001B0320"/>
    <w:rsid w:val="001B0849"/>
    <w:rsid w:val="001B095C"/>
    <w:rsid w:val="001B0E84"/>
    <w:rsid w:val="001B1100"/>
    <w:rsid w:val="001B1256"/>
    <w:rsid w:val="001B1466"/>
    <w:rsid w:val="001B1553"/>
    <w:rsid w:val="001B16D8"/>
    <w:rsid w:val="001B18AF"/>
    <w:rsid w:val="001B190D"/>
    <w:rsid w:val="001B2123"/>
    <w:rsid w:val="001B24C0"/>
    <w:rsid w:val="001B24F4"/>
    <w:rsid w:val="001B250B"/>
    <w:rsid w:val="001B286E"/>
    <w:rsid w:val="001B2892"/>
    <w:rsid w:val="001B2A16"/>
    <w:rsid w:val="001B2F3C"/>
    <w:rsid w:val="001B2FD0"/>
    <w:rsid w:val="001B3549"/>
    <w:rsid w:val="001B379C"/>
    <w:rsid w:val="001B3830"/>
    <w:rsid w:val="001B38BB"/>
    <w:rsid w:val="001B3A82"/>
    <w:rsid w:val="001B3A9B"/>
    <w:rsid w:val="001B3DCF"/>
    <w:rsid w:val="001B4082"/>
    <w:rsid w:val="001B4165"/>
    <w:rsid w:val="001B4398"/>
    <w:rsid w:val="001B44DE"/>
    <w:rsid w:val="001B4528"/>
    <w:rsid w:val="001B46D1"/>
    <w:rsid w:val="001B49F9"/>
    <w:rsid w:val="001B4BF0"/>
    <w:rsid w:val="001B4C0B"/>
    <w:rsid w:val="001B4C78"/>
    <w:rsid w:val="001B5043"/>
    <w:rsid w:val="001B54CD"/>
    <w:rsid w:val="001B57AB"/>
    <w:rsid w:val="001B585B"/>
    <w:rsid w:val="001B5C6F"/>
    <w:rsid w:val="001B5EBD"/>
    <w:rsid w:val="001B5F3A"/>
    <w:rsid w:val="001B6324"/>
    <w:rsid w:val="001B652A"/>
    <w:rsid w:val="001B6534"/>
    <w:rsid w:val="001B6AD0"/>
    <w:rsid w:val="001B6DD6"/>
    <w:rsid w:val="001B702E"/>
    <w:rsid w:val="001B780E"/>
    <w:rsid w:val="001B7C59"/>
    <w:rsid w:val="001B7DF0"/>
    <w:rsid w:val="001B7DF8"/>
    <w:rsid w:val="001B7F60"/>
    <w:rsid w:val="001C07BC"/>
    <w:rsid w:val="001C089B"/>
    <w:rsid w:val="001C0B02"/>
    <w:rsid w:val="001C0B5F"/>
    <w:rsid w:val="001C0ECC"/>
    <w:rsid w:val="001C0F69"/>
    <w:rsid w:val="001C1026"/>
    <w:rsid w:val="001C1244"/>
    <w:rsid w:val="001C19B1"/>
    <w:rsid w:val="001C1B9B"/>
    <w:rsid w:val="001C1F87"/>
    <w:rsid w:val="001C2325"/>
    <w:rsid w:val="001C2332"/>
    <w:rsid w:val="001C2379"/>
    <w:rsid w:val="001C26EC"/>
    <w:rsid w:val="001C2702"/>
    <w:rsid w:val="001C2EA9"/>
    <w:rsid w:val="001C2F1F"/>
    <w:rsid w:val="001C2F69"/>
    <w:rsid w:val="001C3246"/>
    <w:rsid w:val="001C32E9"/>
    <w:rsid w:val="001C33F2"/>
    <w:rsid w:val="001C3540"/>
    <w:rsid w:val="001C36ED"/>
    <w:rsid w:val="001C38D2"/>
    <w:rsid w:val="001C38E0"/>
    <w:rsid w:val="001C39F4"/>
    <w:rsid w:val="001C3C77"/>
    <w:rsid w:val="001C3DCD"/>
    <w:rsid w:val="001C3E52"/>
    <w:rsid w:val="001C4256"/>
    <w:rsid w:val="001C4414"/>
    <w:rsid w:val="001C44CC"/>
    <w:rsid w:val="001C4781"/>
    <w:rsid w:val="001C4916"/>
    <w:rsid w:val="001C4976"/>
    <w:rsid w:val="001C4A36"/>
    <w:rsid w:val="001C51FB"/>
    <w:rsid w:val="001C571F"/>
    <w:rsid w:val="001C57A8"/>
    <w:rsid w:val="001C5988"/>
    <w:rsid w:val="001C5DE6"/>
    <w:rsid w:val="001C5DFD"/>
    <w:rsid w:val="001C5FA7"/>
    <w:rsid w:val="001C642E"/>
    <w:rsid w:val="001C6571"/>
    <w:rsid w:val="001C65CD"/>
    <w:rsid w:val="001C65D4"/>
    <w:rsid w:val="001C688A"/>
    <w:rsid w:val="001C69DD"/>
    <w:rsid w:val="001C6A3D"/>
    <w:rsid w:val="001C6C9A"/>
    <w:rsid w:val="001C6D39"/>
    <w:rsid w:val="001C7006"/>
    <w:rsid w:val="001C75AE"/>
    <w:rsid w:val="001C76DF"/>
    <w:rsid w:val="001C7B81"/>
    <w:rsid w:val="001C7D9E"/>
    <w:rsid w:val="001C7E33"/>
    <w:rsid w:val="001C7ED7"/>
    <w:rsid w:val="001C7FAE"/>
    <w:rsid w:val="001D0546"/>
    <w:rsid w:val="001D05CC"/>
    <w:rsid w:val="001D084B"/>
    <w:rsid w:val="001D0EEC"/>
    <w:rsid w:val="001D0FB2"/>
    <w:rsid w:val="001D1052"/>
    <w:rsid w:val="001D12A1"/>
    <w:rsid w:val="001D12D1"/>
    <w:rsid w:val="001D13BE"/>
    <w:rsid w:val="001D168B"/>
    <w:rsid w:val="001D18A2"/>
    <w:rsid w:val="001D1E6F"/>
    <w:rsid w:val="001D2067"/>
    <w:rsid w:val="001D22EB"/>
    <w:rsid w:val="001D24F0"/>
    <w:rsid w:val="001D2937"/>
    <w:rsid w:val="001D2B36"/>
    <w:rsid w:val="001D2C10"/>
    <w:rsid w:val="001D2E13"/>
    <w:rsid w:val="001D31E7"/>
    <w:rsid w:val="001D31FE"/>
    <w:rsid w:val="001D355F"/>
    <w:rsid w:val="001D3792"/>
    <w:rsid w:val="001D3A87"/>
    <w:rsid w:val="001D3B13"/>
    <w:rsid w:val="001D3DE5"/>
    <w:rsid w:val="001D3DE7"/>
    <w:rsid w:val="001D3FD1"/>
    <w:rsid w:val="001D4421"/>
    <w:rsid w:val="001D445C"/>
    <w:rsid w:val="001D4833"/>
    <w:rsid w:val="001D4876"/>
    <w:rsid w:val="001D4992"/>
    <w:rsid w:val="001D4BFC"/>
    <w:rsid w:val="001D4DC3"/>
    <w:rsid w:val="001D4FCB"/>
    <w:rsid w:val="001D4FD8"/>
    <w:rsid w:val="001D5068"/>
    <w:rsid w:val="001D519B"/>
    <w:rsid w:val="001D531C"/>
    <w:rsid w:val="001D5923"/>
    <w:rsid w:val="001D5B38"/>
    <w:rsid w:val="001D5C05"/>
    <w:rsid w:val="001D5D2D"/>
    <w:rsid w:val="001D5F96"/>
    <w:rsid w:val="001D5FB2"/>
    <w:rsid w:val="001D5FEB"/>
    <w:rsid w:val="001D61AA"/>
    <w:rsid w:val="001D62C6"/>
    <w:rsid w:val="001D6423"/>
    <w:rsid w:val="001D645A"/>
    <w:rsid w:val="001D6480"/>
    <w:rsid w:val="001D65A4"/>
    <w:rsid w:val="001D665C"/>
    <w:rsid w:val="001D6661"/>
    <w:rsid w:val="001D673D"/>
    <w:rsid w:val="001D693E"/>
    <w:rsid w:val="001D6B8A"/>
    <w:rsid w:val="001D6E06"/>
    <w:rsid w:val="001D6EAF"/>
    <w:rsid w:val="001D72D4"/>
    <w:rsid w:val="001D74C8"/>
    <w:rsid w:val="001D74CA"/>
    <w:rsid w:val="001D7544"/>
    <w:rsid w:val="001D76FF"/>
    <w:rsid w:val="001D7870"/>
    <w:rsid w:val="001D7CCD"/>
    <w:rsid w:val="001D7CE8"/>
    <w:rsid w:val="001D7EF4"/>
    <w:rsid w:val="001E004B"/>
    <w:rsid w:val="001E01F6"/>
    <w:rsid w:val="001E0339"/>
    <w:rsid w:val="001E0567"/>
    <w:rsid w:val="001E05EB"/>
    <w:rsid w:val="001E0D89"/>
    <w:rsid w:val="001E0ED5"/>
    <w:rsid w:val="001E0FC8"/>
    <w:rsid w:val="001E0FF7"/>
    <w:rsid w:val="001E102A"/>
    <w:rsid w:val="001E103F"/>
    <w:rsid w:val="001E106B"/>
    <w:rsid w:val="001E127E"/>
    <w:rsid w:val="001E12B3"/>
    <w:rsid w:val="001E1371"/>
    <w:rsid w:val="001E146E"/>
    <w:rsid w:val="001E16C2"/>
    <w:rsid w:val="001E2012"/>
    <w:rsid w:val="001E2203"/>
    <w:rsid w:val="001E23C8"/>
    <w:rsid w:val="001E266C"/>
    <w:rsid w:val="001E26DF"/>
    <w:rsid w:val="001E280D"/>
    <w:rsid w:val="001E281F"/>
    <w:rsid w:val="001E286C"/>
    <w:rsid w:val="001E29A6"/>
    <w:rsid w:val="001E2C57"/>
    <w:rsid w:val="001E3037"/>
    <w:rsid w:val="001E3092"/>
    <w:rsid w:val="001E3120"/>
    <w:rsid w:val="001E3182"/>
    <w:rsid w:val="001E323E"/>
    <w:rsid w:val="001E35F9"/>
    <w:rsid w:val="001E365B"/>
    <w:rsid w:val="001E3736"/>
    <w:rsid w:val="001E3AF4"/>
    <w:rsid w:val="001E3BC6"/>
    <w:rsid w:val="001E3E93"/>
    <w:rsid w:val="001E4386"/>
    <w:rsid w:val="001E453F"/>
    <w:rsid w:val="001E4592"/>
    <w:rsid w:val="001E4A8A"/>
    <w:rsid w:val="001E521F"/>
    <w:rsid w:val="001E5358"/>
    <w:rsid w:val="001E5572"/>
    <w:rsid w:val="001E5C4D"/>
    <w:rsid w:val="001E5D68"/>
    <w:rsid w:val="001E6182"/>
    <w:rsid w:val="001E6549"/>
    <w:rsid w:val="001E6CA7"/>
    <w:rsid w:val="001E6D4C"/>
    <w:rsid w:val="001E6DAC"/>
    <w:rsid w:val="001E6EB5"/>
    <w:rsid w:val="001E7561"/>
    <w:rsid w:val="001E763C"/>
    <w:rsid w:val="001E77AF"/>
    <w:rsid w:val="001E77E5"/>
    <w:rsid w:val="001E7840"/>
    <w:rsid w:val="001E7A32"/>
    <w:rsid w:val="001E7AB5"/>
    <w:rsid w:val="001E7CE7"/>
    <w:rsid w:val="001E7CEC"/>
    <w:rsid w:val="001E7CFF"/>
    <w:rsid w:val="001E7DE8"/>
    <w:rsid w:val="001E7DF9"/>
    <w:rsid w:val="001E7ED4"/>
    <w:rsid w:val="001F006A"/>
    <w:rsid w:val="001F0096"/>
    <w:rsid w:val="001F0099"/>
    <w:rsid w:val="001F0188"/>
    <w:rsid w:val="001F0328"/>
    <w:rsid w:val="001F0363"/>
    <w:rsid w:val="001F0635"/>
    <w:rsid w:val="001F06AD"/>
    <w:rsid w:val="001F08CB"/>
    <w:rsid w:val="001F0A10"/>
    <w:rsid w:val="001F0B2A"/>
    <w:rsid w:val="001F0DE4"/>
    <w:rsid w:val="001F1001"/>
    <w:rsid w:val="001F10DC"/>
    <w:rsid w:val="001F1864"/>
    <w:rsid w:val="001F19F2"/>
    <w:rsid w:val="001F1AB4"/>
    <w:rsid w:val="001F1DE6"/>
    <w:rsid w:val="001F20A1"/>
    <w:rsid w:val="001F2190"/>
    <w:rsid w:val="001F21D6"/>
    <w:rsid w:val="001F22B5"/>
    <w:rsid w:val="001F23F0"/>
    <w:rsid w:val="001F2507"/>
    <w:rsid w:val="001F27A5"/>
    <w:rsid w:val="001F2BC4"/>
    <w:rsid w:val="001F2C4B"/>
    <w:rsid w:val="001F2FAA"/>
    <w:rsid w:val="001F31AD"/>
    <w:rsid w:val="001F3321"/>
    <w:rsid w:val="001F366E"/>
    <w:rsid w:val="001F36B4"/>
    <w:rsid w:val="001F36E7"/>
    <w:rsid w:val="001F3784"/>
    <w:rsid w:val="001F37C7"/>
    <w:rsid w:val="001F3898"/>
    <w:rsid w:val="001F3BEB"/>
    <w:rsid w:val="001F3EBC"/>
    <w:rsid w:val="001F3F59"/>
    <w:rsid w:val="001F4246"/>
    <w:rsid w:val="001F492C"/>
    <w:rsid w:val="001F493C"/>
    <w:rsid w:val="001F4B9C"/>
    <w:rsid w:val="001F4C87"/>
    <w:rsid w:val="001F4E97"/>
    <w:rsid w:val="001F536C"/>
    <w:rsid w:val="001F539C"/>
    <w:rsid w:val="001F555C"/>
    <w:rsid w:val="001F57AB"/>
    <w:rsid w:val="001F5BC2"/>
    <w:rsid w:val="001F5D24"/>
    <w:rsid w:val="001F5D54"/>
    <w:rsid w:val="001F6185"/>
    <w:rsid w:val="001F631B"/>
    <w:rsid w:val="001F634F"/>
    <w:rsid w:val="001F6558"/>
    <w:rsid w:val="001F65D2"/>
    <w:rsid w:val="001F6623"/>
    <w:rsid w:val="001F68B2"/>
    <w:rsid w:val="001F68D7"/>
    <w:rsid w:val="001F6A06"/>
    <w:rsid w:val="001F6A5A"/>
    <w:rsid w:val="001F6BEC"/>
    <w:rsid w:val="001F6C8E"/>
    <w:rsid w:val="001F6CBF"/>
    <w:rsid w:val="001F7125"/>
    <w:rsid w:val="001F71D2"/>
    <w:rsid w:val="001F7250"/>
    <w:rsid w:val="001F741A"/>
    <w:rsid w:val="001F74DB"/>
    <w:rsid w:val="001F754C"/>
    <w:rsid w:val="001F77F9"/>
    <w:rsid w:val="001F78C0"/>
    <w:rsid w:val="001F7947"/>
    <w:rsid w:val="001F7964"/>
    <w:rsid w:val="001F7A28"/>
    <w:rsid w:val="001F7AE5"/>
    <w:rsid w:val="001F7B03"/>
    <w:rsid w:val="001F7E64"/>
    <w:rsid w:val="002005B3"/>
    <w:rsid w:val="002007D6"/>
    <w:rsid w:val="002008A5"/>
    <w:rsid w:val="00200948"/>
    <w:rsid w:val="00200FE5"/>
    <w:rsid w:val="0020111B"/>
    <w:rsid w:val="0020127E"/>
    <w:rsid w:val="002013DD"/>
    <w:rsid w:val="00201644"/>
    <w:rsid w:val="002016BF"/>
    <w:rsid w:val="002017FC"/>
    <w:rsid w:val="0020188D"/>
    <w:rsid w:val="00201CD6"/>
    <w:rsid w:val="00201D17"/>
    <w:rsid w:val="00201EDA"/>
    <w:rsid w:val="00201F17"/>
    <w:rsid w:val="002026B1"/>
    <w:rsid w:val="00202775"/>
    <w:rsid w:val="002027EF"/>
    <w:rsid w:val="00202918"/>
    <w:rsid w:val="00202B2F"/>
    <w:rsid w:val="00202F30"/>
    <w:rsid w:val="0020305F"/>
    <w:rsid w:val="0020323D"/>
    <w:rsid w:val="002032EA"/>
    <w:rsid w:val="00203676"/>
    <w:rsid w:val="00203810"/>
    <w:rsid w:val="0020383A"/>
    <w:rsid w:val="00203929"/>
    <w:rsid w:val="00203987"/>
    <w:rsid w:val="002039F0"/>
    <w:rsid w:val="00203A20"/>
    <w:rsid w:val="00203BC1"/>
    <w:rsid w:val="00204031"/>
    <w:rsid w:val="002043B6"/>
    <w:rsid w:val="002045BB"/>
    <w:rsid w:val="0020468D"/>
    <w:rsid w:val="00204765"/>
    <w:rsid w:val="00204863"/>
    <w:rsid w:val="00204986"/>
    <w:rsid w:val="002049CC"/>
    <w:rsid w:val="00204AD2"/>
    <w:rsid w:val="00204BBD"/>
    <w:rsid w:val="00204CE0"/>
    <w:rsid w:val="0020516F"/>
    <w:rsid w:val="0020539E"/>
    <w:rsid w:val="002053DB"/>
    <w:rsid w:val="00205546"/>
    <w:rsid w:val="00205619"/>
    <w:rsid w:val="00205638"/>
    <w:rsid w:val="002057F8"/>
    <w:rsid w:val="00205B26"/>
    <w:rsid w:val="00205BFF"/>
    <w:rsid w:val="00205D0E"/>
    <w:rsid w:val="00205EA5"/>
    <w:rsid w:val="0020606D"/>
    <w:rsid w:val="00206150"/>
    <w:rsid w:val="00206259"/>
    <w:rsid w:val="00206351"/>
    <w:rsid w:val="00206433"/>
    <w:rsid w:val="0020654A"/>
    <w:rsid w:val="00206789"/>
    <w:rsid w:val="002068AA"/>
    <w:rsid w:val="002068E9"/>
    <w:rsid w:val="002069BB"/>
    <w:rsid w:val="00206A72"/>
    <w:rsid w:val="00206CEE"/>
    <w:rsid w:val="00206F0C"/>
    <w:rsid w:val="002071F4"/>
    <w:rsid w:val="00207445"/>
    <w:rsid w:val="0020747D"/>
    <w:rsid w:val="002074E3"/>
    <w:rsid w:val="002077B4"/>
    <w:rsid w:val="00207B8A"/>
    <w:rsid w:val="00207C6A"/>
    <w:rsid w:val="002107F2"/>
    <w:rsid w:val="00210AFB"/>
    <w:rsid w:val="00210BF1"/>
    <w:rsid w:val="00210FD2"/>
    <w:rsid w:val="002111E2"/>
    <w:rsid w:val="002113B9"/>
    <w:rsid w:val="00211549"/>
    <w:rsid w:val="0021158C"/>
    <w:rsid w:val="00211616"/>
    <w:rsid w:val="00211721"/>
    <w:rsid w:val="002117EB"/>
    <w:rsid w:val="00211824"/>
    <w:rsid w:val="002118DA"/>
    <w:rsid w:val="00211AFD"/>
    <w:rsid w:val="00211D42"/>
    <w:rsid w:val="00212575"/>
    <w:rsid w:val="002127A4"/>
    <w:rsid w:val="002129F9"/>
    <w:rsid w:val="00212B3C"/>
    <w:rsid w:val="00212E1D"/>
    <w:rsid w:val="00212F97"/>
    <w:rsid w:val="002130AF"/>
    <w:rsid w:val="002130F1"/>
    <w:rsid w:val="00213455"/>
    <w:rsid w:val="00213D12"/>
    <w:rsid w:val="00213F18"/>
    <w:rsid w:val="00214006"/>
    <w:rsid w:val="0021405D"/>
    <w:rsid w:val="002140AE"/>
    <w:rsid w:val="00214370"/>
    <w:rsid w:val="00214803"/>
    <w:rsid w:val="00214C05"/>
    <w:rsid w:val="00214D78"/>
    <w:rsid w:val="00214F54"/>
    <w:rsid w:val="002151E9"/>
    <w:rsid w:val="0021536E"/>
    <w:rsid w:val="002154A0"/>
    <w:rsid w:val="002156A3"/>
    <w:rsid w:val="00215799"/>
    <w:rsid w:val="002158B4"/>
    <w:rsid w:val="002158C2"/>
    <w:rsid w:val="00215A03"/>
    <w:rsid w:val="00215B33"/>
    <w:rsid w:val="00215C9C"/>
    <w:rsid w:val="00215CA4"/>
    <w:rsid w:val="00215CE2"/>
    <w:rsid w:val="00215DD2"/>
    <w:rsid w:val="002161B1"/>
    <w:rsid w:val="00216619"/>
    <w:rsid w:val="002166D4"/>
    <w:rsid w:val="00216911"/>
    <w:rsid w:val="00216DF0"/>
    <w:rsid w:val="00216E33"/>
    <w:rsid w:val="00216FBC"/>
    <w:rsid w:val="00217349"/>
    <w:rsid w:val="0021774B"/>
    <w:rsid w:val="002177B3"/>
    <w:rsid w:val="00217AB8"/>
    <w:rsid w:val="00217BE2"/>
    <w:rsid w:val="00217CC9"/>
    <w:rsid w:val="00217F3D"/>
    <w:rsid w:val="002200B1"/>
    <w:rsid w:val="0022014B"/>
    <w:rsid w:val="00220313"/>
    <w:rsid w:val="002203BF"/>
    <w:rsid w:val="00220433"/>
    <w:rsid w:val="002205C9"/>
    <w:rsid w:val="0022080F"/>
    <w:rsid w:val="002208EE"/>
    <w:rsid w:val="002208F0"/>
    <w:rsid w:val="00220ED8"/>
    <w:rsid w:val="00221399"/>
    <w:rsid w:val="0022153A"/>
    <w:rsid w:val="00221611"/>
    <w:rsid w:val="00221848"/>
    <w:rsid w:val="002218EA"/>
    <w:rsid w:val="0022190D"/>
    <w:rsid w:val="0022190F"/>
    <w:rsid w:val="00221971"/>
    <w:rsid w:val="00221A6B"/>
    <w:rsid w:val="00221A94"/>
    <w:rsid w:val="00221AE6"/>
    <w:rsid w:val="00221D0C"/>
    <w:rsid w:val="00221D4C"/>
    <w:rsid w:val="00221FEF"/>
    <w:rsid w:val="00222053"/>
    <w:rsid w:val="00222513"/>
    <w:rsid w:val="0022260F"/>
    <w:rsid w:val="00222747"/>
    <w:rsid w:val="002228B4"/>
    <w:rsid w:val="00222980"/>
    <w:rsid w:val="00222C3F"/>
    <w:rsid w:val="00222D07"/>
    <w:rsid w:val="00222DF0"/>
    <w:rsid w:val="00223140"/>
    <w:rsid w:val="002231B7"/>
    <w:rsid w:val="00223304"/>
    <w:rsid w:val="0022354F"/>
    <w:rsid w:val="00223659"/>
    <w:rsid w:val="002236EA"/>
    <w:rsid w:val="0022386A"/>
    <w:rsid w:val="00223B03"/>
    <w:rsid w:val="00223B73"/>
    <w:rsid w:val="00223C3E"/>
    <w:rsid w:val="00223CD6"/>
    <w:rsid w:val="00223F27"/>
    <w:rsid w:val="002242B2"/>
    <w:rsid w:val="0022430C"/>
    <w:rsid w:val="00224574"/>
    <w:rsid w:val="0022494B"/>
    <w:rsid w:val="00224FDA"/>
    <w:rsid w:val="00225026"/>
    <w:rsid w:val="002250AC"/>
    <w:rsid w:val="002251B6"/>
    <w:rsid w:val="00225204"/>
    <w:rsid w:val="00225361"/>
    <w:rsid w:val="00225B92"/>
    <w:rsid w:val="00225BC9"/>
    <w:rsid w:val="00225CB3"/>
    <w:rsid w:val="002262B8"/>
    <w:rsid w:val="002265D3"/>
    <w:rsid w:val="00226656"/>
    <w:rsid w:val="002269CF"/>
    <w:rsid w:val="00226D10"/>
    <w:rsid w:val="00226E8C"/>
    <w:rsid w:val="002271E7"/>
    <w:rsid w:val="002271FB"/>
    <w:rsid w:val="00227215"/>
    <w:rsid w:val="002272EA"/>
    <w:rsid w:val="002274DE"/>
    <w:rsid w:val="00227538"/>
    <w:rsid w:val="00227756"/>
    <w:rsid w:val="00227862"/>
    <w:rsid w:val="00227A46"/>
    <w:rsid w:val="00227AA7"/>
    <w:rsid w:val="00227CD0"/>
    <w:rsid w:val="00227FB4"/>
    <w:rsid w:val="00230096"/>
    <w:rsid w:val="0023013D"/>
    <w:rsid w:val="002302AF"/>
    <w:rsid w:val="002304ED"/>
    <w:rsid w:val="002305E8"/>
    <w:rsid w:val="0023072F"/>
    <w:rsid w:val="00230811"/>
    <w:rsid w:val="00230AF8"/>
    <w:rsid w:val="00230BD1"/>
    <w:rsid w:val="00230C37"/>
    <w:rsid w:val="00230F3B"/>
    <w:rsid w:val="00231090"/>
    <w:rsid w:val="002311C0"/>
    <w:rsid w:val="002311D9"/>
    <w:rsid w:val="00231297"/>
    <w:rsid w:val="002315D4"/>
    <w:rsid w:val="00231757"/>
    <w:rsid w:val="002317D3"/>
    <w:rsid w:val="002317FC"/>
    <w:rsid w:val="002319E7"/>
    <w:rsid w:val="00231B89"/>
    <w:rsid w:val="00232027"/>
    <w:rsid w:val="00232149"/>
    <w:rsid w:val="00232170"/>
    <w:rsid w:val="00232317"/>
    <w:rsid w:val="0023238D"/>
    <w:rsid w:val="002323C9"/>
    <w:rsid w:val="002323CD"/>
    <w:rsid w:val="00232515"/>
    <w:rsid w:val="00232525"/>
    <w:rsid w:val="00232768"/>
    <w:rsid w:val="002327EE"/>
    <w:rsid w:val="00232A53"/>
    <w:rsid w:val="00232C4A"/>
    <w:rsid w:val="00232EF3"/>
    <w:rsid w:val="00232F28"/>
    <w:rsid w:val="00233421"/>
    <w:rsid w:val="00233A1E"/>
    <w:rsid w:val="00233ABD"/>
    <w:rsid w:val="00233C35"/>
    <w:rsid w:val="00233CAE"/>
    <w:rsid w:val="00233D31"/>
    <w:rsid w:val="00233DCE"/>
    <w:rsid w:val="00234311"/>
    <w:rsid w:val="00234518"/>
    <w:rsid w:val="00234699"/>
    <w:rsid w:val="0023499B"/>
    <w:rsid w:val="00234A97"/>
    <w:rsid w:val="00234E61"/>
    <w:rsid w:val="0023512B"/>
    <w:rsid w:val="002351A8"/>
    <w:rsid w:val="002352C6"/>
    <w:rsid w:val="0023551B"/>
    <w:rsid w:val="00235544"/>
    <w:rsid w:val="0023585A"/>
    <w:rsid w:val="0023593B"/>
    <w:rsid w:val="00235A28"/>
    <w:rsid w:val="00235A81"/>
    <w:rsid w:val="00235BCD"/>
    <w:rsid w:val="00235D84"/>
    <w:rsid w:val="00235D9F"/>
    <w:rsid w:val="00236223"/>
    <w:rsid w:val="00236268"/>
    <w:rsid w:val="002364A6"/>
    <w:rsid w:val="002364A7"/>
    <w:rsid w:val="00236BE8"/>
    <w:rsid w:val="00236E8B"/>
    <w:rsid w:val="00236FCE"/>
    <w:rsid w:val="002373D2"/>
    <w:rsid w:val="002374C6"/>
    <w:rsid w:val="0023761F"/>
    <w:rsid w:val="00237BAC"/>
    <w:rsid w:val="00237BBB"/>
    <w:rsid w:val="00237BD1"/>
    <w:rsid w:val="00240020"/>
    <w:rsid w:val="002401FA"/>
    <w:rsid w:val="00240490"/>
    <w:rsid w:val="00240568"/>
    <w:rsid w:val="00240750"/>
    <w:rsid w:val="00240884"/>
    <w:rsid w:val="00240A17"/>
    <w:rsid w:val="00240A4D"/>
    <w:rsid w:val="00240BC7"/>
    <w:rsid w:val="00240D1A"/>
    <w:rsid w:val="00241001"/>
    <w:rsid w:val="00241017"/>
    <w:rsid w:val="00241277"/>
    <w:rsid w:val="002414EF"/>
    <w:rsid w:val="002416BC"/>
    <w:rsid w:val="00241713"/>
    <w:rsid w:val="002417AB"/>
    <w:rsid w:val="00241DF0"/>
    <w:rsid w:val="002422B2"/>
    <w:rsid w:val="00242461"/>
    <w:rsid w:val="00242528"/>
    <w:rsid w:val="00242683"/>
    <w:rsid w:val="0024285F"/>
    <w:rsid w:val="00242B38"/>
    <w:rsid w:val="00242BF4"/>
    <w:rsid w:val="00242CAE"/>
    <w:rsid w:val="00242E36"/>
    <w:rsid w:val="00242FE5"/>
    <w:rsid w:val="002430CC"/>
    <w:rsid w:val="00243247"/>
    <w:rsid w:val="0024334C"/>
    <w:rsid w:val="00243673"/>
    <w:rsid w:val="00243A5A"/>
    <w:rsid w:val="00243B1B"/>
    <w:rsid w:val="00243C6C"/>
    <w:rsid w:val="00243EE7"/>
    <w:rsid w:val="00243F00"/>
    <w:rsid w:val="00244249"/>
    <w:rsid w:val="0024437B"/>
    <w:rsid w:val="00244706"/>
    <w:rsid w:val="00244DD9"/>
    <w:rsid w:val="0024590A"/>
    <w:rsid w:val="002459B9"/>
    <w:rsid w:val="00245C96"/>
    <w:rsid w:val="00245DCF"/>
    <w:rsid w:val="002463DA"/>
    <w:rsid w:val="002464DE"/>
    <w:rsid w:val="002465E9"/>
    <w:rsid w:val="00246C64"/>
    <w:rsid w:val="00247100"/>
    <w:rsid w:val="00247514"/>
    <w:rsid w:val="00247692"/>
    <w:rsid w:val="00247765"/>
    <w:rsid w:val="00247CC7"/>
    <w:rsid w:val="002500C5"/>
    <w:rsid w:val="00250179"/>
    <w:rsid w:val="00250403"/>
    <w:rsid w:val="00250414"/>
    <w:rsid w:val="00250485"/>
    <w:rsid w:val="0025069E"/>
    <w:rsid w:val="00250B19"/>
    <w:rsid w:val="00250BD2"/>
    <w:rsid w:val="00250C38"/>
    <w:rsid w:val="00250FF3"/>
    <w:rsid w:val="002514A0"/>
    <w:rsid w:val="00251544"/>
    <w:rsid w:val="002516CF"/>
    <w:rsid w:val="0025188E"/>
    <w:rsid w:val="002518A1"/>
    <w:rsid w:val="0025196D"/>
    <w:rsid w:val="002519A1"/>
    <w:rsid w:val="002521BE"/>
    <w:rsid w:val="002523CF"/>
    <w:rsid w:val="00252449"/>
    <w:rsid w:val="00252465"/>
    <w:rsid w:val="00252585"/>
    <w:rsid w:val="00252690"/>
    <w:rsid w:val="002529EA"/>
    <w:rsid w:val="00252B4C"/>
    <w:rsid w:val="00252DF2"/>
    <w:rsid w:val="00253292"/>
    <w:rsid w:val="00253470"/>
    <w:rsid w:val="0025353C"/>
    <w:rsid w:val="002537F9"/>
    <w:rsid w:val="0025391D"/>
    <w:rsid w:val="00253936"/>
    <w:rsid w:val="00253B06"/>
    <w:rsid w:val="00253B3C"/>
    <w:rsid w:val="00253EA6"/>
    <w:rsid w:val="00254067"/>
    <w:rsid w:val="00254251"/>
    <w:rsid w:val="002542BD"/>
    <w:rsid w:val="00254327"/>
    <w:rsid w:val="002543AB"/>
    <w:rsid w:val="002544B6"/>
    <w:rsid w:val="0025468F"/>
    <w:rsid w:val="0025494B"/>
    <w:rsid w:val="00254A72"/>
    <w:rsid w:val="002550AE"/>
    <w:rsid w:val="00255255"/>
    <w:rsid w:val="00255279"/>
    <w:rsid w:val="002555DB"/>
    <w:rsid w:val="002559D6"/>
    <w:rsid w:val="00256028"/>
    <w:rsid w:val="00256070"/>
    <w:rsid w:val="00256236"/>
    <w:rsid w:val="002563F8"/>
    <w:rsid w:val="0025648E"/>
    <w:rsid w:val="0025669E"/>
    <w:rsid w:val="00256771"/>
    <w:rsid w:val="00256BC8"/>
    <w:rsid w:val="00256D05"/>
    <w:rsid w:val="00256F31"/>
    <w:rsid w:val="00256F66"/>
    <w:rsid w:val="00257240"/>
    <w:rsid w:val="00257449"/>
    <w:rsid w:val="002574CE"/>
    <w:rsid w:val="0025754D"/>
    <w:rsid w:val="002577B2"/>
    <w:rsid w:val="00257846"/>
    <w:rsid w:val="00257876"/>
    <w:rsid w:val="00257A7F"/>
    <w:rsid w:val="00257B3B"/>
    <w:rsid w:val="00257D1F"/>
    <w:rsid w:val="00257DFF"/>
    <w:rsid w:val="00257FFE"/>
    <w:rsid w:val="00260248"/>
    <w:rsid w:val="00260629"/>
    <w:rsid w:val="00260772"/>
    <w:rsid w:val="002607D7"/>
    <w:rsid w:val="0026085F"/>
    <w:rsid w:val="00260B6A"/>
    <w:rsid w:val="0026103D"/>
    <w:rsid w:val="002611AF"/>
    <w:rsid w:val="002611DC"/>
    <w:rsid w:val="00261219"/>
    <w:rsid w:val="00261495"/>
    <w:rsid w:val="00261912"/>
    <w:rsid w:val="00261B7E"/>
    <w:rsid w:val="00262187"/>
    <w:rsid w:val="002622CD"/>
    <w:rsid w:val="002622D4"/>
    <w:rsid w:val="00262450"/>
    <w:rsid w:val="00262487"/>
    <w:rsid w:val="00262493"/>
    <w:rsid w:val="0026265A"/>
    <w:rsid w:val="0026277B"/>
    <w:rsid w:val="00262930"/>
    <w:rsid w:val="0026311A"/>
    <w:rsid w:val="0026372F"/>
    <w:rsid w:val="002637CE"/>
    <w:rsid w:val="002637EA"/>
    <w:rsid w:val="002639FA"/>
    <w:rsid w:val="00263B23"/>
    <w:rsid w:val="00263C4D"/>
    <w:rsid w:val="00263E89"/>
    <w:rsid w:val="00263EA7"/>
    <w:rsid w:val="002643D7"/>
    <w:rsid w:val="002645BB"/>
    <w:rsid w:val="002648FD"/>
    <w:rsid w:val="002649E9"/>
    <w:rsid w:val="00264A8C"/>
    <w:rsid w:val="00264D9E"/>
    <w:rsid w:val="00264E80"/>
    <w:rsid w:val="002650B9"/>
    <w:rsid w:val="0026517A"/>
    <w:rsid w:val="002651E2"/>
    <w:rsid w:val="0026528C"/>
    <w:rsid w:val="00265422"/>
    <w:rsid w:val="00265960"/>
    <w:rsid w:val="00265B4B"/>
    <w:rsid w:val="00265BAF"/>
    <w:rsid w:val="00265BF5"/>
    <w:rsid w:val="00265DD3"/>
    <w:rsid w:val="00265FBA"/>
    <w:rsid w:val="0026607A"/>
    <w:rsid w:val="002660FF"/>
    <w:rsid w:val="002664D6"/>
    <w:rsid w:val="002667A1"/>
    <w:rsid w:val="00266B1A"/>
    <w:rsid w:val="00266CEE"/>
    <w:rsid w:val="00266EBC"/>
    <w:rsid w:val="0026724C"/>
    <w:rsid w:val="00267263"/>
    <w:rsid w:val="00267298"/>
    <w:rsid w:val="00267474"/>
    <w:rsid w:val="00267517"/>
    <w:rsid w:val="0026757D"/>
    <w:rsid w:val="00267A2D"/>
    <w:rsid w:val="00267B80"/>
    <w:rsid w:val="00267E92"/>
    <w:rsid w:val="00270149"/>
    <w:rsid w:val="00270205"/>
    <w:rsid w:val="00270603"/>
    <w:rsid w:val="002708A1"/>
    <w:rsid w:val="002708E3"/>
    <w:rsid w:val="00270C4F"/>
    <w:rsid w:val="00271048"/>
    <w:rsid w:val="002711BF"/>
    <w:rsid w:val="00271333"/>
    <w:rsid w:val="00271745"/>
    <w:rsid w:val="002717F3"/>
    <w:rsid w:val="002718B5"/>
    <w:rsid w:val="00271A29"/>
    <w:rsid w:val="00271EFA"/>
    <w:rsid w:val="002723E9"/>
    <w:rsid w:val="002725C9"/>
    <w:rsid w:val="002726A2"/>
    <w:rsid w:val="002727AB"/>
    <w:rsid w:val="002727C5"/>
    <w:rsid w:val="00272901"/>
    <w:rsid w:val="00272BB4"/>
    <w:rsid w:val="00272C39"/>
    <w:rsid w:val="00272C42"/>
    <w:rsid w:val="00272F00"/>
    <w:rsid w:val="00272F8D"/>
    <w:rsid w:val="0027300D"/>
    <w:rsid w:val="00273110"/>
    <w:rsid w:val="002731C4"/>
    <w:rsid w:val="002732A7"/>
    <w:rsid w:val="002733B2"/>
    <w:rsid w:val="002733DF"/>
    <w:rsid w:val="00273585"/>
    <w:rsid w:val="002737EC"/>
    <w:rsid w:val="0027380C"/>
    <w:rsid w:val="002739CA"/>
    <w:rsid w:val="00273BC5"/>
    <w:rsid w:val="00273F82"/>
    <w:rsid w:val="002740DB"/>
    <w:rsid w:val="002740DF"/>
    <w:rsid w:val="002746BD"/>
    <w:rsid w:val="002746E3"/>
    <w:rsid w:val="00274720"/>
    <w:rsid w:val="00274A12"/>
    <w:rsid w:val="00274BAC"/>
    <w:rsid w:val="00274C04"/>
    <w:rsid w:val="00274F24"/>
    <w:rsid w:val="0027506B"/>
    <w:rsid w:val="002755E8"/>
    <w:rsid w:val="00275A00"/>
    <w:rsid w:val="00275B1B"/>
    <w:rsid w:val="00275BBE"/>
    <w:rsid w:val="00275CEE"/>
    <w:rsid w:val="00275E06"/>
    <w:rsid w:val="00275E73"/>
    <w:rsid w:val="00275EAA"/>
    <w:rsid w:val="00275EF1"/>
    <w:rsid w:val="0027609F"/>
    <w:rsid w:val="002761BA"/>
    <w:rsid w:val="00276296"/>
    <w:rsid w:val="00276FFA"/>
    <w:rsid w:val="002770FB"/>
    <w:rsid w:val="00277203"/>
    <w:rsid w:val="002772F1"/>
    <w:rsid w:val="00277419"/>
    <w:rsid w:val="0027741C"/>
    <w:rsid w:val="002776C4"/>
    <w:rsid w:val="002779A5"/>
    <w:rsid w:val="00277AA7"/>
    <w:rsid w:val="00277B4B"/>
    <w:rsid w:val="00277B56"/>
    <w:rsid w:val="00277C32"/>
    <w:rsid w:val="00277C9A"/>
    <w:rsid w:val="00277CF2"/>
    <w:rsid w:val="00277F47"/>
    <w:rsid w:val="00280094"/>
    <w:rsid w:val="002802C8"/>
    <w:rsid w:val="00280444"/>
    <w:rsid w:val="0028046E"/>
    <w:rsid w:val="002806D2"/>
    <w:rsid w:val="002809DA"/>
    <w:rsid w:val="002809ED"/>
    <w:rsid w:val="00280A64"/>
    <w:rsid w:val="00280C53"/>
    <w:rsid w:val="00280DFB"/>
    <w:rsid w:val="00280E61"/>
    <w:rsid w:val="002810DE"/>
    <w:rsid w:val="002811A2"/>
    <w:rsid w:val="00281217"/>
    <w:rsid w:val="0028125A"/>
    <w:rsid w:val="0028154A"/>
    <w:rsid w:val="00281BB7"/>
    <w:rsid w:val="00281E3A"/>
    <w:rsid w:val="00282086"/>
    <w:rsid w:val="00282284"/>
    <w:rsid w:val="0028238B"/>
    <w:rsid w:val="0028271E"/>
    <w:rsid w:val="0028281A"/>
    <w:rsid w:val="0028287A"/>
    <w:rsid w:val="00282921"/>
    <w:rsid w:val="002829F8"/>
    <w:rsid w:val="00282D22"/>
    <w:rsid w:val="00282D4A"/>
    <w:rsid w:val="00282E72"/>
    <w:rsid w:val="00282E97"/>
    <w:rsid w:val="00282F3D"/>
    <w:rsid w:val="00282F6D"/>
    <w:rsid w:val="00282FC1"/>
    <w:rsid w:val="0028327D"/>
    <w:rsid w:val="002837D8"/>
    <w:rsid w:val="00283860"/>
    <w:rsid w:val="00283990"/>
    <w:rsid w:val="00283A66"/>
    <w:rsid w:val="00283AC9"/>
    <w:rsid w:val="00283C91"/>
    <w:rsid w:val="00283DEC"/>
    <w:rsid w:val="00283EC2"/>
    <w:rsid w:val="00284E21"/>
    <w:rsid w:val="002851DB"/>
    <w:rsid w:val="002853A1"/>
    <w:rsid w:val="00285685"/>
    <w:rsid w:val="0028569A"/>
    <w:rsid w:val="00285A94"/>
    <w:rsid w:val="00285B26"/>
    <w:rsid w:val="00285B96"/>
    <w:rsid w:val="00285DCC"/>
    <w:rsid w:val="002860B5"/>
    <w:rsid w:val="002861A5"/>
    <w:rsid w:val="002865CE"/>
    <w:rsid w:val="00286644"/>
    <w:rsid w:val="0028668C"/>
    <w:rsid w:val="002866A9"/>
    <w:rsid w:val="002867B1"/>
    <w:rsid w:val="002869E9"/>
    <w:rsid w:val="00286BCD"/>
    <w:rsid w:val="00287131"/>
    <w:rsid w:val="00287743"/>
    <w:rsid w:val="002877D1"/>
    <w:rsid w:val="002879AF"/>
    <w:rsid w:val="00287A3D"/>
    <w:rsid w:val="00287E7D"/>
    <w:rsid w:val="00287FF2"/>
    <w:rsid w:val="002906B4"/>
    <w:rsid w:val="00290943"/>
    <w:rsid w:val="00290C5B"/>
    <w:rsid w:val="00290C92"/>
    <w:rsid w:val="00290DE0"/>
    <w:rsid w:val="00290FA5"/>
    <w:rsid w:val="0029134A"/>
    <w:rsid w:val="00291925"/>
    <w:rsid w:val="00291B43"/>
    <w:rsid w:val="00291C92"/>
    <w:rsid w:val="00291CF6"/>
    <w:rsid w:val="00292512"/>
    <w:rsid w:val="00292613"/>
    <w:rsid w:val="00292631"/>
    <w:rsid w:val="0029269E"/>
    <w:rsid w:val="00292701"/>
    <w:rsid w:val="0029290E"/>
    <w:rsid w:val="00292FB0"/>
    <w:rsid w:val="00292FBD"/>
    <w:rsid w:val="002934A7"/>
    <w:rsid w:val="002935E5"/>
    <w:rsid w:val="002938D7"/>
    <w:rsid w:val="00293B3B"/>
    <w:rsid w:val="00293C8B"/>
    <w:rsid w:val="00293F72"/>
    <w:rsid w:val="00294112"/>
    <w:rsid w:val="0029418D"/>
    <w:rsid w:val="0029474E"/>
    <w:rsid w:val="002949FC"/>
    <w:rsid w:val="00294BFD"/>
    <w:rsid w:val="00294C38"/>
    <w:rsid w:val="00295157"/>
    <w:rsid w:val="00295231"/>
    <w:rsid w:val="0029527A"/>
    <w:rsid w:val="0029545C"/>
    <w:rsid w:val="002959CF"/>
    <w:rsid w:val="00295E6A"/>
    <w:rsid w:val="00296108"/>
    <w:rsid w:val="00296312"/>
    <w:rsid w:val="0029635D"/>
    <w:rsid w:val="0029660F"/>
    <w:rsid w:val="00296B44"/>
    <w:rsid w:val="00296B7C"/>
    <w:rsid w:val="00296E05"/>
    <w:rsid w:val="00296E6F"/>
    <w:rsid w:val="00296E8F"/>
    <w:rsid w:val="00297546"/>
    <w:rsid w:val="0029763E"/>
    <w:rsid w:val="002976E4"/>
    <w:rsid w:val="002978CE"/>
    <w:rsid w:val="00297944"/>
    <w:rsid w:val="00297AA6"/>
    <w:rsid w:val="00297ADE"/>
    <w:rsid w:val="00297C93"/>
    <w:rsid w:val="00297DAE"/>
    <w:rsid w:val="002A0070"/>
    <w:rsid w:val="002A01EF"/>
    <w:rsid w:val="002A0300"/>
    <w:rsid w:val="002A03FB"/>
    <w:rsid w:val="002A0573"/>
    <w:rsid w:val="002A086A"/>
    <w:rsid w:val="002A0BCF"/>
    <w:rsid w:val="002A0FAC"/>
    <w:rsid w:val="002A1239"/>
    <w:rsid w:val="002A1389"/>
    <w:rsid w:val="002A143F"/>
    <w:rsid w:val="002A1552"/>
    <w:rsid w:val="002A15AD"/>
    <w:rsid w:val="002A1694"/>
    <w:rsid w:val="002A16C5"/>
    <w:rsid w:val="002A1848"/>
    <w:rsid w:val="002A1A46"/>
    <w:rsid w:val="002A1B88"/>
    <w:rsid w:val="002A1C7E"/>
    <w:rsid w:val="002A1FAC"/>
    <w:rsid w:val="002A2181"/>
    <w:rsid w:val="002A23D8"/>
    <w:rsid w:val="002A2477"/>
    <w:rsid w:val="002A2781"/>
    <w:rsid w:val="002A28E7"/>
    <w:rsid w:val="002A294D"/>
    <w:rsid w:val="002A298E"/>
    <w:rsid w:val="002A2B16"/>
    <w:rsid w:val="002A2B7D"/>
    <w:rsid w:val="002A2F7B"/>
    <w:rsid w:val="002A3402"/>
    <w:rsid w:val="002A3665"/>
    <w:rsid w:val="002A396B"/>
    <w:rsid w:val="002A39CA"/>
    <w:rsid w:val="002A3A04"/>
    <w:rsid w:val="002A3D27"/>
    <w:rsid w:val="002A3EA6"/>
    <w:rsid w:val="002A409B"/>
    <w:rsid w:val="002A42A0"/>
    <w:rsid w:val="002A43BA"/>
    <w:rsid w:val="002A44D1"/>
    <w:rsid w:val="002A483F"/>
    <w:rsid w:val="002A489A"/>
    <w:rsid w:val="002A4928"/>
    <w:rsid w:val="002A4995"/>
    <w:rsid w:val="002A5100"/>
    <w:rsid w:val="002A5329"/>
    <w:rsid w:val="002A5645"/>
    <w:rsid w:val="002A56B2"/>
    <w:rsid w:val="002A59AF"/>
    <w:rsid w:val="002A5A16"/>
    <w:rsid w:val="002A5D22"/>
    <w:rsid w:val="002A5E55"/>
    <w:rsid w:val="002A6055"/>
    <w:rsid w:val="002A60E1"/>
    <w:rsid w:val="002A63A0"/>
    <w:rsid w:val="002A64D6"/>
    <w:rsid w:val="002A698C"/>
    <w:rsid w:val="002A6D0C"/>
    <w:rsid w:val="002A6E23"/>
    <w:rsid w:val="002A6ED1"/>
    <w:rsid w:val="002A70EC"/>
    <w:rsid w:val="002A730F"/>
    <w:rsid w:val="002A75AE"/>
    <w:rsid w:val="002A761C"/>
    <w:rsid w:val="002A7699"/>
    <w:rsid w:val="002A7ABD"/>
    <w:rsid w:val="002A7B8E"/>
    <w:rsid w:val="002A7D60"/>
    <w:rsid w:val="002A7D90"/>
    <w:rsid w:val="002A7DC2"/>
    <w:rsid w:val="002A7E70"/>
    <w:rsid w:val="002B0154"/>
    <w:rsid w:val="002B0432"/>
    <w:rsid w:val="002B049C"/>
    <w:rsid w:val="002B070A"/>
    <w:rsid w:val="002B0816"/>
    <w:rsid w:val="002B0916"/>
    <w:rsid w:val="002B0944"/>
    <w:rsid w:val="002B09CB"/>
    <w:rsid w:val="002B0A98"/>
    <w:rsid w:val="002B12E7"/>
    <w:rsid w:val="002B151E"/>
    <w:rsid w:val="002B19F9"/>
    <w:rsid w:val="002B1CF2"/>
    <w:rsid w:val="002B1F1B"/>
    <w:rsid w:val="002B1F27"/>
    <w:rsid w:val="002B20CE"/>
    <w:rsid w:val="002B24FE"/>
    <w:rsid w:val="002B2710"/>
    <w:rsid w:val="002B2A53"/>
    <w:rsid w:val="002B2C1D"/>
    <w:rsid w:val="002B2D1B"/>
    <w:rsid w:val="002B2E04"/>
    <w:rsid w:val="002B2FD9"/>
    <w:rsid w:val="002B3146"/>
    <w:rsid w:val="002B327A"/>
    <w:rsid w:val="002B3401"/>
    <w:rsid w:val="002B3652"/>
    <w:rsid w:val="002B379E"/>
    <w:rsid w:val="002B379F"/>
    <w:rsid w:val="002B3C67"/>
    <w:rsid w:val="002B3D52"/>
    <w:rsid w:val="002B3F39"/>
    <w:rsid w:val="002B400B"/>
    <w:rsid w:val="002B421D"/>
    <w:rsid w:val="002B4285"/>
    <w:rsid w:val="002B449F"/>
    <w:rsid w:val="002B495F"/>
    <w:rsid w:val="002B4A37"/>
    <w:rsid w:val="002B4ADD"/>
    <w:rsid w:val="002B509D"/>
    <w:rsid w:val="002B5202"/>
    <w:rsid w:val="002B5445"/>
    <w:rsid w:val="002B565E"/>
    <w:rsid w:val="002B5BB8"/>
    <w:rsid w:val="002B5C2C"/>
    <w:rsid w:val="002B5D18"/>
    <w:rsid w:val="002B5DB4"/>
    <w:rsid w:val="002B5EE2"/>
    <w:rsid w:val="002B5FF1"/>
    <w:rsid w:val="002B61CB"/>
    <w:rsid w:val="002B6550"/>
    <w:rsid w:val="002B65BB"/>
    <w:rsid w:val="002B6608"/>
    <w:rsid w:val="002B6793"/>
    <w:rsid w:val="002B6AF9"/>
    <w:rsid w:val="002B6B52"/>
    <w:rsid w:val="002B723D"/>
    <w:rsid w:val="002B7573"/>
    <w:rsid w:val="002B75FE"/>
    <w:rsid w:val="002B7877"/>
    <w:rsid w:val="002B7976"/>
    <w:rsid w:val="002B7BF6"/>
    <w:rsid w:val="002B7BFC"/>
    <w:rsid w:val="002B7D88"/>
    <w:rsid w:val="002B7FE9"/>
    <w:rsid w:val="002C0001"/>
    <w:rsid w:val="002C00BE"/>
    <w:rsid w:val="002C03C5"/>
    <w:rsid w:val="002C0744"/>
    <w:rsid w:val="002C09C9"/>
    <w:rsid w:val="002C0DDE"/>
    <w:rsid w:val="002C0EAA"/>
    <w:rsid w:val="002C10B1"/>
    <w:rsid w:val="002C10B2"/>
    <w:rsid w:val="002C120E"/>
    <w:rsid w:val="002C1268"/>
    <w:rsid w:val="002C14EC"/>
    <w:rsid w:val="002C1532"/>
    <w:rsid w:val="002C15BD"/>
    <w:rsid w:val="002C15EF"/>
    <w:rsid w:val="002C165C"/>
    <w:rsid w:val="002C1828"/>
    <w:rsid w:val="002C193E"/>
    <w:rsid w:val="002C1F5A"/>
    <w:rsid w:val="002C1FE7"/>
    <w:rsid w:val="002C20B0"/>
    <w:rsid w:val="002C21FE"/>
    <w:rsid w:val="002C2640"/>
    <w:rsid w:val="002C2842"/>
    <w:rsid w:val="002C2906"/>
    <w:rsid w:val="002C29C3"/>
    <w:rsid w:val="002C2A4F"/>
    <w:rsid w:val="002C2B99"/>
    <w:rsid w:val="002C2EBC"/>
    <w:rsid w:val="002C2F38"/>
    <w:rsid w:val="002C3105"/>
    <w:rsid w:val="002C3133"/>
    <w:rsid w:val="002C3288"/>
    <w:rsid w:val="002C33E5"/>
    <w:rsid w:val="002C347C"/>
    <w:rsid w:val="002C353E"/>
    <w:rsid w:val="002C39F2"/>
    <w:rsid w:val="002C3AE8"/>
    <w:rsid w:val="002C3D94"/>
    <w:rsid w:val="002C419D"/>
    <w:rsid w:val="002C42BD"/>
    <w:rsid w:val="002C44BC"/>
    <w:rsid w:val="002C4AFB"/>
    <w:rsid w:val="002C4C58"/>
    <w:rsid w:val="002C4D33"/>
    <w:rsid w:val="002C4E0C"/>
    <w:rsid w:val="002C50D6"/>
    <w:rsid w:val="002C53F9"/>
    <w:rsid w:val="002C593C"/>
    <w:rsid w:val="002C5BBD"/>
    <w:rsid w:val="002C5CCB"/>
    <w:rsid w:val="002C5DCC"/>
    <w:rsid w:val="002C5E35"/>
    <w:rsid w:val="002C60E6"/>
    <w:rsid w:val="002C61EC"/>
    <w:rsid w:val="002C62AB"/>
    <w:rsid w:val="002C6595"/>
    <w:rsid w:val="002C689A"/>
    <w:rsid w:val="002C6B39"/>
    <w:rsid w:val="002C6CC8"/>
    <w:rsid w:val="002C6E26"/>
    <w:rsid w:val="002C740C"/>
    <w:rsid w:val="002C7573"/>
    <w:rsid w:val="002C76B7"/>
    <w:rsid w:val="002C7730"/>
    <w:rsid w:val="002C7750"/>
    <w:rsid w:val="002C7841"/>
    <w:rsid w:val="002C7AE8"/>
    <w:rsid w:val="002C7BCA"/>
    <w:rsid w:val="002C7BDC"/>
    <w:rsid w:val="002C7FB0"/>
    <w:rsid w:val="002D0195"/>
    <w:rsid w:val="002D01F6"/>
    <w:rsid w:val="002D02AE"/>
    <w:rsid w:val="002D03C8"/>
    <w:rsid w:val="002D04E0"/>
    <w:rsid w:val="002D05E7"/>
    <w:rsid w:val="002D075A"/>
    <w:rsid w:val="002D0F12"/>
    <w:rsid w:val="002D11B3"/>
    <w:rsid w:val="002D180B"/>
    <w:rsid w:val="002D1B3E"/>
    <w:rsid w:val="002D1D6B"/>
    <w:rsid w:val="002D1D79"/>
    <w:rsid w:val="002D1F42"/>
    <w:rsid w:val="002D1FC3"/>
    <w:rsid w:val="002D2011"/>
    <w:rsid w:val="002D2231"/>
    <w:rsid w:val="002D22BC"/>
    <w:rsid w:val="002D244B"/>
    <w:rsid w:val="002D251F"/>
    <w:rsid w:val="002D2746"/>
    <w:rsid w:val="002D27CA"/>
    <w:rsid w:val="002D2EA1"/>
    <w:rsid w:val="002D3065"/>
    <w:rsid w:val="002D3242"/>
    <w:rsid w:val="002D36FF"/>
    <w:rsid w:val="002D37F3"/>
    <w:rsid w:val="002D383D"/>
    <w:rsid w:val="002D3C7E"/>
    <w:rsid w:val="002D3C83"/>
    <w:rsid w:val="002D3F47"/>
    <w:rsid w:val="002D4094"/>
    <w:rsid w:val="002D4162"/>
    <w:rsid w:val="002D423A"/>
    <w:rsid w:val="002D4817"/>
    <w:rsid w:val="002D4948"/>
    <w:rsid w:val="002D4E1D"/>
    <w:rsid w:val="002D4ED4"/>
    <w:rsid w:val="002D4FD3"/>
    <w:rsid w:val="002D5178"/>
    <w:rsid w:val="002D5204"/>
    <w:rsid w:val="002D5A43"/>
    <w:rsid w:val="002D5C55"/>
    <w:rsid w:val="002D6276"/>
    <w:rsid w:val="002D6281"/>
    <w:rsid w:val="002D6716"/>
    <w:rsid w:val="002D6AAC"/>
    <w:rsid w:val="002D6B4A"/>
    <w:rsid w:val="002D6BF8"/>
    <w:rsid w:val="002D6CEF"/>
    <w:rsid w:val="002D6E50"/>
    <w:rsid w:val="002D6FC7"/>
    <w:rsid w:val="002D7054"/>
    <w:rsid w:val="002D7390"/>
    <w:rsid w:val="002D76F7"/>
    <w:rsid w:val="002E006D"/>
    <w:rsid w:val="002E00BD"/>
    <w:rsid w:val="002E0298"/>
    <w:rsid w:val="002E0369"/>
    <w:rsid w:val="002E04B7"/>
    <w:rsid w:val="002E04D4"/>
    <w:rsid w:val="002E0973"/>
    <w:rsid w:val="002E09E9"/>
    <w:rsid w:val="002E0ADA"/>
    <w:rsid w:val="002E0CD0"/>
    <w:rsid w:val="002E0DA2"/>
    <w:rsid w:val="002E0E6A"/>
    <w:rsid w:val="002E0F23"/>
    <w:rsid w:val="002E111D"/>
    <w:rsid w:val="002E130A"/>
    <w:rsid w:val="002E1469"/>
    <w:rsid w:val="002E14FB"/>
    <w:rsid w:val="002E160C"/>
    <w:rsid w:val="002E16AE"/>
    <w:rsid w:val="002E17C6"/>
    <w:rsid w:val="002E1891"/>
    <w:rsid w:val="002E1BF8"/>
    <w:rsid w:val="002E1C94"/>
    <w:rsid w:val="002E1CB8"/>
    <w:rsid w:val="002E21E9"/>
    <w:rsid w:val="002E24B1"/>
    <w:rsid w:val="002E258A"/>
    <w:rsid w:val="002E2635"/>
    <w:rsid w:val="002E269F"/>
    <w:rsid w:val="002E26B1"/>
    <w:rsid w:val="002E2726"/>
    <w:rsid w:val="002E2835"/>
    <w:rsid w:val="002E28DC"/>
    <w:rsid w:val="002E2EEC"/>
    <w:rsid w:val="002E31F0"/>
    <w:rsid w:val="002E3534"/>
    <w:rsid w:val="002E3919"/>
    <w:rsid w:val="002E3A0D"/>
    <w:rsid w:val="002E3A86"/>
    <w:rsid w:val="002E3C72"/>
    <w:rsid w:val="002E3DCC"/>
    <w:rsid w:val="002E3F48"/>
    <w:rsid w:val="002E409B"/>
    <w:rsid w:val="002E444D"/>
    <w:rsid w:val="002E45CE"/>
    <w:rsid w:val="002E46D0"/>
    <w:rsid w:val="002E46FA"/>
    <w:rsid w:val="002E4985"/>
    <w:rsid w:val="002E4ACE"/>
    <w:rsid w:val="002E4B4E"/>
    <w:rsid w:val="002E4CAC"/>
    <w:rsid w:val="002E4ED3"/>
    <w:rsid w:val="002E511E"/>
    <w:rsid w:val="002E54F7"/>
    <w:rsid w:val="002E57E3"/>
    <w:rsid w:val="002E5801"/>
    <w:rsid w:val="002E58F2"/>
    <w:rsid w:val="002E5E3D"/>
    <w:rsid w:val="002E6071"/>
    <w:rsid w:val="002E62B6"/>
    <w:rsid w:val="002E62DF"/>
    <w:rsid w:val="002E65FD"/>
    <w:rsid w:val="002E672A"/>
    <w:rsid w:val="002E6797"/>
    <w:rsid w:val="002E6B99"/>
    <w:rsid w:val="002E6CC9"/>
    <w:rsid w:val="002E7032"/>
    <w:rsid w:val="002E77AC"/>
    <w:rsid w:val="002E7979"/>
    <w:rsid w:val="002E7CA7"/>
    <w:rsid w:val="002E7CBE"/>
    <w:rsid w:val="002E7CC8"/>
    <w:rsid w:val="002E7D6D"/>
    <w:rsid w:val="002E7E4B"/>
    <w:rsid w:val="002F006B"/>
    <w:rsid w:val="002F00EA"/>
    <w:rsid w:val="002F0545"/>
    <w:rsid w:val="002F0A20"/>
    <w:rsid w:val="002F0AA1"/>
    <w:rsid w:val="002F0B3D"/>
    <w:rsid w:val="002F0DC8"/>
    <w:rsid w:val="002F0F5A"/>
    <w:rsid w:val="002F0F8C"/>
    <w:rsid w:val="002F107E"/>
    <w:rsid w:val="002F11C1"/>
    <w:rsid w:val="002F12C0"/>
    <w:rsid w:val="002F14A2"/>
    <w:rsid w:val="002F1952"/>
    <w:rsid w:val="002F1B30"/>
    <w:rsid w:val="002F1BB2"/>
    <w:rsid w:val="002F1BB8"/>
    <w:rsid w:val="002F1DF6"/>
    <w:rsid w:val="002F1FAB"/>
    <w:rsid w:val="002F21E0"/>
    <w:rsid w:val="002F223F"/>
    <w:rsid w:val="002F234E"/>
    <w:rsid w:val="002F2422"/>
    <w:rsid w:val="002F2595"/>
    <w:rsid w:val="002F25EB"/>
    <w:rsid w:val="002F28D1"/>
    <w:rsid w:val="002F2A65"/>
    <w:rsid w:val="002F2BC9"/>
    <w:rsid w:val="002F2EBC"/>
    <w:rsid w:val="002F306F"/>
    <w:rsid w:val="002F30E0"/>
    <w:rsid w:val="002F3256"/>
    <w:rsid w:val="002F330C"/>
    <w:rsid w:val="002F34D8"/>
    <w:rsid w:val="002F3553"/>
    <w:rsid w:val="002F3729"/>
    <w:rsid w:val="002F3732"/>
    <w:rsid w:val="002F390B"/>
    <w:rsid w:val="002F39D6"/>
    <w:rsid w:val="002F3A7F"/>
    <w:rsid w:val="002F3FD1"/>
    <w:rsid w:val="002F40F2"/>
    <w:rsid w:val="002F413C"/>
    <w:rsid w:val="002F4150"/>
    <w:rsid w:val="002F4238"/>
    <w:rsid w:val="002F4286"/>
    <w:rsid w:val="002F43ED"/>
    <w:rsid w:val="002F4504"/>
    <w:rsid w:val="002F481B"/>
    <w:rsid w:val="002F4CC0"/>
    <w:rsid w:val="002F4D4F"/>
    <w:rsid w:val="002F4EA2"/>
    <w:rsid w:val="002F4EC4"/>
    <w:rsid w:val="002F4EDA"/>
    <w:rsid w:val="002F4FDA"/>
    <w:rsid w:val="002F535E"/>
    <w:rsid w:val="002F53A9"/>
    <w:rsid w:val="002F5405"/>
    <w:rsid w:val="002F5451"/>
    <w:rsid w:val="002F5459"/>
    <w:rsid w:val="002F5882"/>
    <w:rsid w:val="002F58AE"/>
    <w:rsid w:val="002F5B14"/>
    <w:rsid w:val="002F5C0E"/>
    <w:rsid w:val="002F5C57"/>
    <w:rsid w:val="002F5E46"/>
    <w:rsid w:val="002F6211"/>
    <w:rsid w:val="002F623A"/>
    <w:rsid w:val="002F655C"/>
    <w:rsid w:val="002F6694"/>
    <w:rsid w:val="002F6995"/>
    <w:rsid w:val="002F6C29"/>
    <w:rsid w:val="002F6F56"/>
    <w:rsid w:val="002F6F90"/>
    <w:rsid w:val="002F744A"/>
    <w:rsid w:val="002F74D0"/>
    <w:rsid w:val="002F7642"/>
    <w:rsid w:val="002F76DF"/>
    <w:rsid w:val="002F7791"/>
    <w:rsid w:val="002F77F8"/>
    <w:rsid w:val="003001AB"/>
    <w:rsid w:val="003003DD"/>
    <w:rsid w:val="003004C3"/>
    <w:rsid w:val="00300692"/>
    <w:rsid w:val="0030077F"/>
    <w:rsid w:val="003007D2"/>
    <w:rsid w:val="00300F1D"/>
    <w:rsid w:val="00300FC6"/>
    <w:rsid w:val="00301138"/>
    <w:rsid w:val="0030128C"/>
    <w:rsid w:val="00301479"/>
    <w:rsid w:val="00301671"/>
    <w:rsid w:val="00301B71"/>
    <w:rsid w:val="00301B8F"/>
    <w:rsid w:val="00301EE8"/>
    <w:rsid w:val="00301F78"/>
    <w:rsid w:val="00302121"/>
    <w:rsid w:val="003023B1"/>
    <w:rsid w:val="00302415"/>
    <w:rsid w:val="0030249D"/>
    <w:rsid w:val="003024E0"/>
    <w:rsid w:val="003026CE"/>
    <w:rsid w:val="00302A3D"/>
    <w:rsid w:val="00302D99"/>
    <w:rsid w:val="00302DF8"/>
    <w:rsid w:val="00302FB9"/>
    <w:rsid w:val="00303207"/>
    <w:rsid w:val="003033F9"/>
    <w:rsid w:val="003034D1"/>
    <w:rsid w:val="00303631"/>
    <w:rsid w:val="00303669"/>
    <w:rsid w:val="00303A3F"/>
    <w:rsid w:val="00303C05"/>
    <w:rsid w:val="00303E25"/>
    <w:rsid w:val="003040E2"/>
    <w:rsid w:val="003041DC"/>
    <w:rsid w:val="0030436C"/>
    <w:rsid w:val="00304418"/>
    <w:rsid w:val="00304690"/>
    <w:rsid w:val="0030476D"/>
    <w:rsid w:val="00304B4F"/>
    <w:rsid w:val="00304BD7"/>
    <w:rsid w:val="00304C0C"/>
    <w:rsid w:val="003050BC"/>
    <w:rsid w:val="003050C4"/>
    <w:rsid w:val="003051FF"/>
    <w:rsid w:val="0030522B"/>
    <w:rsid w:val="003055A9"/>
    <w:rsid w:val="00305986"/>
    <w:rsid w:val="00305B25"/>
    <w:rsid w:val="00305C5B"/>
    <w:rsid w:val="00305D25"/>
    <w:rsid w:val="00305F4A"/>
    <w:rsid w:val="003060EE"/>
    <w:rsid w:val="0030613D"/>
    <w:rsid w:val="0030619B"/>
    <w:rsid w:val="003063E7"/>
    <w:rsid w:val="0030668E"/>
    <w:rsid w:val="00306A12"/>
    <w:rsid w:val="00306B4B"/>
    <w:rsid w:val="00306DDA"/>
    <w:rsid w:val="00306EA4"/>
    <w:rsid w:val="0030744A"/>
    <w:rsid w:val="003076DB"/>
    <w:rsid w:val="003078DC"/>
    <w:rsid w:val="00307A0C"/>
    <w:rsid w:val="00307AB5"/>
    <w:rsid w:val="00307C5A"/>
    <w:rsid w:val="00307E82"/>
    <w:rsid w:val="00310198"/>
    <w:rsid w:val="0031032E"/>
    <w:rsid w:val="003103AB"/>
    <w:rsid w:val="00310508"/>
    <w:rsid w:val="0031081F"/>
    <w:rsid w:val="00310897"/>
    <w:rsid w:val="0031090E"/>
    <w:rsid w:val="00310D24"/>
    <w:rsid w:val="0031112A"/>
    <w:rsid w:val="00311214"/>
    <w:rsid w:val="003112D3"/>
    <w:rsid w:val="00311424"/>
    <w:rsid w:val="0031145B"/>
    <w:rsid w:val="0031149C"/>
    <w:rsid w:val="00311679"/>
    <w:rsid w:val="00311CE4"/>
    <w:rsid w:val="00311E58"/>
    <w:rsid w:val="00311EC0"/>
    <w:rsid w:val="00311F01"/>
    <w:rsid w:val="00311FA1"/>
    <w:rsid w:val="003120F3"/>
    <w:rsid w:val="00312149"/>
    <w:rsid w:val="00312192"/>
    <w:rsid w:val="003121A6"/>
    <w:rsid w:val="003123EF"/>
    <w:rsid w:val="00312561"/>
    <w:rsid w:val="00312610"/>
    <w:rsid w:val="00312C09"/>
    <w:rsid w:val="00312C18"/>
    <w:rsid w:val="00312CBB"/>
    <w:rsid w:val="003130D4"/>
    <w:rsid w:val="0031318A"/>
    <w:rsid w:val="0031339C"/>
    <w:rsid w:val="00313A53"/>
    <w:rsid w:val="00313EAD"/>
    <w:rsid w:val="00313FAD"/>
    <w:rsid w:val="003141F7"/>
    <w:rsid w:val="0031434D"/>
    <w:rsid w:val="0031490E"/>
    <w:rsid w:val="003149AB"/>
    <w:rsid w:val="00314B7E"/>
    <w:rsid w:val="00315020"/>
    <w:rsid w:val="00315087"/>
    <w:rsid w:val="0031516B"/>
    <w:rsid w:val="003154A4"/>
    <w:rsid w:val="00315824"/>
    <w:rsid w:val="00315873"/>
    <w:rsid w:val="00315A59"/>
    <w:rsid w:val="00315C20"/>
    <w:rsid w:val="00315CED"/>
    <w:rsid w:val="00315DDF"/>
    <w:rsid w:val="003161AB"/>
    <w:rsid w:val="00316223"/>
    <w:rsid w:val="0031633B"/>
    <w:rsid w:val="00316644"/>
    <w:rsid w:val="0031682F"/>
    <w:rsid w:val="00316A7E"/>
    <w:rsid w:val="00316EAD"/>
    <w:rsid w:val="003170E5"/>
    <w:rsid w:val="003171F3"/>
    <w:rsid w:val="0031733D"/>
    <w:rsid w:val="0031783B"/>
    <w:rsid w:val="0032022A"/>
    <w:rsid w:val="00320242"/>
    <w:rsid w:val="003203BA"/>
    <w:rsid w:val="0032058A"/>
    <w:rsid w:val="003205EA"/>
    <w:rsid w:val="00320800"/>
    <w:rsid w:val="00320ACD"/>
    <w:rsid w:val="00320B21"/>
    <w:rsid w:val="00320CA2"/>
    <w:rsid w:val="00320CB8"/>
    <w:rsid w:val="00320D07"/>
    <w:rsid w:val="00320E41"/>
    <w:rsid w:val="00321208"/>
    <w:rsid w:val="00321382"/>
    <w:rsid w:val="00321F43"/>
    <w:rsid w:val="00322197"/>
    <w:rsid w:val="003221D9"/>
    <w:rsid w:val="00322257"/>
    <w:rsid w:val="00322685"/>
    <w:rsid w:val="00322713"/>
    <w:rsid w:val="00322C53"/>
    <w:rsid w:val="00323612"/>
    <w:rsid w:val="003237A8"/>
    <w:rsid w:val="003237C3"/>
    <w:rsid w:val="003238C4"/>
    <w:rsid w:val="00323B3D"/>
    <w:rsid w:val="00323C21"/>
    <w:rsid w:val="00323CC6"/>
    <w:rsid w:val="003240FC"/>
    <w:rsid w:val="0032428F"/>
    <w:rsid w:val="0032444A"/>
    <w:rsid w:val="00324457"/>
    <w:rsid w:val="0032485D"/>
    <w:rsid w:val="00324897"/>
    <w:rsid w:val="003248ED"/>
    <w:rsid w:val="00324C41"/>
    <w:rsid w:val="00324CA0"/>
    <w:rsid w:val="00324DD2"/>
    <w:rsid w:val="00324F13"/>
    <w:rsid w:val="00325224"/>
    <w:rsid w:val="0032531C"/>
    <w:rsid w:val="00325340"/>
    <w:rsid w:val="00325495"/>
    <w:rsid w:val="003254C1"/>
    <w:rsid w:val="003258A3"/>
    <w:rsid w:val="003262CE"/>
    <w:rsid w:val="003264C7"/>
    <w:rsid w:val="00326773"/>
    <w:rsid w:val="00326A10"/>
    <w:rsid w:val="00326AE2"/>
    <w:rsid w:val="00326CFF"/>
    <w:rsid w:val="003272A2"/>
    <w:rsid w:val="003273DD"/>
    <w:rsid w:val="003274CF"/>
    <w:rsid w:val="003277CB"/>
    <w:rsid w:val="003277D9"/>
    <w:rsid w:val="003278B3"/>
    <w:rsid w:val="00327A3D"/>
    <w:rsid w:val="00327EA5"/>
    <w:rsid w:val="003300BA"/>
    <w:rsid w:val="00330103"/>
    <w:rsid w:val="00330370"/>
    <w:rsid w:val="0033052A"/>
    <w:rsid w:val="003305EE"/>
    <w:rsid w:val="003307BF"/>
    <w:rsid w:val="003307D1"/>
    <w:rsid w:val="00330A04"/>
    <w:rsid w:val="00330AB4"/>
    <w:rsid w:val="00330C69"/>
    <w:rsid w:val="00330C7F"/>
    <w:rsid w:val="00330EB4"/>
    <w:rsid w:val="00331329"/>
    <w:rsid w:val="0033157E"/>
    <w:rsid w:val="00331589"/>
    <w:rsid w:val="00331795"/>
    <w:rsid w:val="003318D5"/>
    <w:rsid w:val="00331A33"/>
    <w:rsid w:val="00331EBD"/>
    <w:rsid w:val="00332210"/>
    <w:rsid w:val="0033240D"/>
    <w:rsid w:val="00332437"/>
    <w:rsid w:val="00332478"/>
    <w:rsid w:val="003324AC"/>
    <w:rsid w:val="0033254F"/>
    <w:rsid w:val="003325ED"/>
    <w:rsid w:val="003326C6"/>
    <w:rsid w:val="00332D3D"/>
    <w:rsid w:val="00332F54"/>
    <w:rsid w:val="003331A3"/>
    <w:rsid w:val="00333738"/>
    <w:rsid w:val="00333773"/>
    <w:rsid w:val="003339C6"/>
    <w:rsid w:val="00333A1A"/>
    <w:rsid w:val="00333CDE"/>
    <w:rsid w:val="00333DAE"/>
    <w:rsid w:val="00333E49"/>
    <w:rsid w:val="00333F11"/>
    <w:rsid w:val="00333F34"/>
    <w:rsid w:val="003347CF"/>
    <w:rsid w:val="003349CF"/>
    <w:rsid w:val="00334DAE"/>
    <w:rsid w:val="00334DB9"/>
    <w:rsid w:val="00334F4F"/>
    <w:rsid w:val="0033507A"/>
    <w:rsid w:val="003350CE"/>
    <w:rsid w:val="00335442"/>
    <w:rsid w:val="00335519"/>
    <w:rsid w:val="00335572"/>
    <w:rsid w:val="0033561D"/>
    <w:rsid w:val="003356C6"/>
    <w:rsid w:val="0033581E"/>
    <w:rsid w:val="0033591B"/>
    <w:rsid w:val="00335984"/>
    <w:rsid w:val="00335ABE"/>
    <w:rsid w:val="00335CA1"/>
    <w:rsid w:val="00335E51"/>
    <w:rsid w:val="00335EE7"/>
    <w:rsid w:val="00335F09"/>
    <w:rsid w:val="00336559"/>
    <w:rsid w:val="003365F9"/>
    <w:rsid w:val="003368AA"/>
    <w:rsid w:val="003369B7"/>
    <w:rsid w:val="00336A84"/>
    <w:rsid w:val="00336EA0"/>
    <w:rsid w:val="00337064"/>
    <w:rsid w:val="00337105"/>
    <w:rsid w:val="00337201"/>
    <w:rsid w:val="003372D6"/>
    <w:rsid w:val="00337336"/>
    <w:rsid w:val="00337469"/>
    <w:rsid w:val="00337546"/>
    <w:rsid w:val="00337611"/>
    <w:rsid w:val="00337A58"/>
    <w:rsid w:val="00337AC4"/>
    <w:rsid w:val="00340086"/>
    <w:rsid w:val="003401CC"/>
    <w:rsid w:val="0034027F"/>
    <w:rsid w:val="003407C5"/>
    <w:rsid w:val="00340809"/>
    <w:rsid w:val="003408C3"/>
    <w:rsid w:val="00340A5B"/>
    <w:rsid w:val="00340AC0"/>
    <w:rsid w:val="0034122E"/>
    <w:rsid w:val="003412A4"/>
    <w:rsid w:val="0034147A"/>
    <w:rsid w:val="003416A8"/>
    <w:rsid w:val="003418B0"/>
    <w:rsid w:val="00341928"/>
    <w:rsid w:val="003419E4"/>
    <w:rsid w:val="00341EB7"/>
    <w:rsid w:val="00341EDC"/>
    <w:rsid w:val="00342007"/>
    <w:rsid w:val="003420CD"/>
    <w:rsid w:val="0034229E"/>
    <w:rsid w:val="00342344"/>
    <w:rsid w:val="003425E0"/>
    <w:rsid w:val="003425E6"/>
    <w:rsid w:val="00342699"/>
    <w:rsid w:val="0034269B"/>
    <w:rsid w:val="003427D7"/>
    <w:rsid w:val="00342B7F"/>
    <w:rsid w:val="00342C6A"/>
    <w:rsid w:val="00342CB1"/>
    <w:rsid w:val="00342DAF"/>
    <w:rsid w:val="00342F0F"/>
    <w:rsid w:val="00343075"/>
    <w:rsid w:val="003433A6"/>
    <w:rsid w:val="0034340D"/>
    <w:rsid w:val="003437AB"/>
    <w:rsid w:val="00343825"/>
    <w:rsid w:val="00343DC3"/>
    <w:rsid w:val="00343E55"/>
    <w:rsid w:val="00343F92"/>
    <w:rsid w:val="00343F9F"/>
    <w:rsid w:val="00343FC7"/>
    <w:rsid w:val="0034408D"/>
    <w:rsid w:val="003440D8"/>
    <w:rsid w:val="003442BE"/>
    <w:rsid w:val="00344460"/>
    <w:rsid w:val="00344495"/>
    <w:rsid w:val="003444BC"/>
    <w:rsid w:val="00344652"/>
    <w:rsid w:val="003448CE"/>
    <w:rsid w:val="00344A0F"/>
    <w:rsid w:val="00344AB9"/>
    <w:rsid w:val="00344CA4"/>
    <w:rsid w:val="00344CBE"/>
    <w:rsid w:val="00344F32"/>
    <w:rsid w:val="0034521C"/>
    <w:rsid w:val="0034559A"/>
    <w:rsid w:val="0034572A"/>
    <w:rsid w:val="00345D22"/>
    <w:rsid w:val="00345E91"/>
    <w:rsid w:val="00345ED6"/>
    <w:rsid w:val="0034618D"/>
    <w:rsid w:val="003461C2"/>
    <w:rsid w:val="003461FC"/>
    <w:rsid w:val="00346269"/>
    <w:rsid w:val="00346427"/>
    <w:rsid w:val="003468A7"/>
    <w:rsid w:val="00346A52"/>
    <w:rsid w:val="00346D4D"/>
    <w:rsid w:val="00347066"/>
    <w:rsid w:val="003471BD"/>
    <w:rsid w:val="003471E6"/>
    <w:rsid w:val="00347207"/>
    <w:rsid w:val="00347246"/>
    <w:rsid w:val="0034741B"/>
    <w:rsid w:val="00347464"/>
    <w:rsid w:val="0034765D"/>
    <w:rsid w:val="00347774"/>
    <w:rsid w:val="00347BBF"/>
    <w:rsid w:val="00347CCD"/>
    <w:rsid w:val="00347EAA"/>
    <w:rsid w:val="003501ED"/>
    <w:rsid w:val="0035050B"/>
    <w:rsid w:val="00350598"/>
    <w:rsid w:val="0035059F"/>
    <w:rsid w:val="003505DC"/>
    <w:rsid w:val="0035078C"/>
    <w:rsid w:val="00350AE4"/>
    <w:rsid w:val="00350B96"/>
    <w:rsid w:val="00350E1E"/>
    <w:rsid w:val="00350E33"/>
    <w:rsid w:val="00351543"/>
    <w:rsid w:val="00351838"/>
    <w:rsid w:val="0035190F"/>
    <w:rsid w:val="00351936"/>
    <w:rsid w:val="00351971"/>
    <w:rsid w:val="003519E8"/>
    <w:rsid w:val="00351A2D"/>
    <w:rsid w:val="00351FFB"/>
    <w:rsid w:val="0035225B"/>
    <w:rsid w:val="00352369"/>
    <w:rsid w:val="0035238E"/>
    <w:rsid w:val="00352390"/>
    <w:rsid w:val="00352553"/>
    <w:rsid w:val="00352627"/>
    <w:rsid w:val="003526FE"/>
    <w:rsid w:val="00352897"/>
    <w:rsid w:val="00352982"/>
    <w:rsid w:val="00352BDE"/>
    <w:rsid w:val="00352D79"/>
    <w:rsid w:val="00352DE5"/>
    <w:rsid w:val="00352E18"/>
    <w:rsid w:val="00352F16"/>
    <w:rsid w:val="0035312F"/>
    <w:rsid w:val="00353130"/>
    <w:rsid w:val="00353171"/>
    <w:rsid w:val="00353352"/>
    <w:rsid w:val="003533A3"/>
    <w:rsid w:val="00353426"/>
    <w:rsid w:val="003536EB"/>
    <w:rsid w:val="00353762"/>
    <w:rsid w:val="003539F0"/>
    <w:rsid w:val="00353B13"/>
    <w:rsid w:val="00353C52"/>
    <w:rsid w:val="00353CBF"/>
    <w:rsid w:val="00353D5B"/>
    <w:rsid w:val="00353E54"/>
    <w:rsid w:val="00353FD8"/>
    <w:rsid w:val="003540B0"/>
    <w:rsid w:val="0035455D"/>
    <w:rsid w:val="00354837"/>
    <w:rsid w:val="00354A53"/>
    <w:rsid w:val="00354BE9"/>
    <w:rsid w:val="00354CB4"/>
    <w:rsid w:val="003552F6"/>
    <w:rsid w:val="00355993"/>
    <w:rsid w:val="00355ACC"/>
    <w:rsid w:val="00355D0B"/>
    <w:rsid w:val="00355DD8"/>
    <w:rsid w:val="00355F41"/>
    <w:rsid w:val="003562A8"/>
    <w:rsid w:val="00356329"/>
    <w:rsid w:val="00356408"/>
    <w:rsid w:val="00356726"/>
    <w:rsid w:val="003567C0"/>
    <w:rsid w:val="0035681E"/>
    <w:rsid w:val="00356827"/>
    <w:rsid w:val="003569EA"/>
    <w:rsid w:val="00357000"/>
    <w:rsid w:val="00357030"/>
    <w:rsid w:val="003571AC"/>
    <w:rsid w:val="00357C27"/>
    <w:rsid w:val="00360059"/>
    <w:rsid w:val="003602DC"/>
    <w:rsid w:val="003606F3"/>
    <w:rsid w:val="00360B24"/>
    <w:rsid w:val="00360C81"/>
    <w:rsid w:val="00360CC6"/>
    <w:rsid w:val="00360FEB"/>
    <w:rsid w:val="0036100A"/>
    <w:rsid w:val="0036147C"/>
    <w:rsid w:val="0036166D"/>
    <w:rsid w:val="00361931"/>
    <w:rsid w:val="00361A06"/>
    <w:rsid w:val="00361AE8"/>
    <w:rsid w:val="003624EA"/>
    <w:rsid w:val="0036256F"/>
    <w:rsid w:val="003626B9"/>
    <w:rsid w:val="0036288A"/>
    <w:rsid w:val="003628F6"/>
    <w:rsid w:val="00362C93"/>
    <w:rsid w:val="00362D6E"/>
    <w:rsid w:val="00362DE8"/>
    <w:rsid w:val="00362EFE"/>
    <w:rsid w:val="00362F1A"/>
    <w:rsid w:val="00363006"/>
    <w:rsid w:val="0036304E"/>
    <w:rsid w:val="00363073"/>
    <w:rsid w:val="003630A7"/>
    <w:rsid w:val="003630C5"/>
    <w:rsid w:val="0036324B"/>
    <w:rsid w:val="00363252"/>
    <w:rsid w:val="003632CB"/>
    <w:rsid w:val="0036344D"/>
    <w:rsid w:val="00363694"/>
    <w:rsid w:val="00363882"/>
    <w:rsid w:val="00363C78"/>
    <w:rsid w:val="00363E05"/>
    <w:rsid w:val="00364180"/>
    <w:rsid w:val="003641AA"/>
    <w:rsid w:val="003641E4"/>
    <w:rsid w:val="0036444A"/>
    <w:rsid w:val="003646C6"/>
    <w:rsid w:val="0036486E"/>
    <w:rsid w:val="003649E4"/>
    <w:rsid w:val="00364C34"/>
    <w:rsid w:val="00364DF1"/>
    <w:rsid w:val="00364E83"/>
    <w:rsid w:val="00364ED1"/>
    <w:rsid w:val="0036511F"/>
    <w:rsid w:val="0036512E"/>
    <w:rsid w:val="00365152"/>
    <w:rsid w:val="0036527B"/>
    <w:rsid w:val="003652D4"/>
    <w:rsid w:val="003654E9"/>
    <w:rsid w:val="00365639"/>
    <w:rsid w:val="00365768"/>
    <w:rsid w:val="003657D3"/>
    <w:rsid w:val="00365838"/>
    <w:rsid w:val="00365867"/>
    <w:rsid w:val="00365926"/>
    <w:rsid w:val="00365EED"/>
    <w:rsid w:val="00366129"/>
    <w:rsid w:val="00366260"/>
    <w:rsid w:val="00366421"/>
    <w:rsid w:val="00366548"/>
    <w:rsid w:val="00366744"/>
    <w:rsid w:val="00366BE6"/>
    <w:rsid w:val="00366C7A"/>
    <w:rsid w:val="00366CFA"/>
    <w:rsid w:val="00366EE2"/>
    <w:rsid w:val="00366FF1"/>
    <w:rsid w:val="0036732C"/>
    <w:rsid w:val="003676C1"/>
    <w:rsid w:val="0036775C"/>
    <w:rsid w:val="003678A3"/>
    <w:rsid w:val="0036790D"/>
    <w:rsid w:val="00367931"/>
    <w:rsid w:val="00367A77"/>
    <w:rsid w:val="00367EF8"/>
    <w:rsid w:val="00367F1F"/>
    <w:rsid w:val="00370333"/>
    <w:rsid w:val="0037034E"/>
    <w:rsid w:val="0037046F"/>
    <w:rsid w:val="003705A6"/>
    <w:rsid w:val="0037128B"/>
    <w:rsid w:val="00371458"/>
    <w:rsid w:val="003717B2"/>
    <w:rsid w:val="00371849"/>
    <w:rsid w:val="00371AF5"/>
    <w:rsid w:val="00371B45"/>
    <w:rsid w:val="00371BD6"/>
    <w:rsid w:val="00371C09"/>
    <w:rsid w:val="0037201D"/>
    <w:rsid w:val="00372067"/>
    <w:rsid w:val="00372566"/>
    <w:rsid w:val="00372612"/>
    <w:rsid w:val="00372629"/>
    <w:rsid w:val="00372C7E"/>
    <w:rsid w:val="00372F75"/>
    <w:rsid w:val="00372F8F"/>
    <w:rsid w:val="003731DE"/>
    <w:rsid w:val="0037332E"/>
    <w:rsid w:val="0037334F"/>
    <w:rsid w:val="003733E4"/>
    <w:rsid w:val="0037351D"/>
    <w:rsid w:val="003738CB"/>
    <w:rsid w:val="00373AFD"/>
    <w:rsid w:val="00373C4E"/>
    <w:rsid w:val="00373F1B"/>
    <w:rsid w:val="00373F54"/>
    <w:rsid w:val="003741C6"/>
    <w:rsid w:val="00374208"/>
    <w:rsid w:val="00374584"/>
    <w:rsid w:val="003747AB"/>
    <w:rsid w:val="003749FC"/>
    <w:rsid w:val="00374A10"/>
    <w:rsid w:val="00374CE3"/>
    <w:rsid w:val="00374CF1"/>
    <w:rsid w:val="00374E83"/>
    <w:rsid w:val="00374EB3"/>
    <w:rsid w:val="00375664"/>
    <w:rsid w:val="003757EB"/>
    <w:rsid w:val="003759DD"/>
    <w:rsid w:val="00375C65"/>
    <w:rsid w:val="003766D7"/>
    <w:rsid w:val="00376710"/>
    <w:rsid w:val="0037679A"/>
    <w:rsid w:val="003769C6"/>
    <w:rsid w:val="003770CE"/>
    <w:rsid w:val="003773B0"/>
    <w:rsid w:val="00377593"/>
    <w:rsid w:val="003775D5"/>
    <w:rsid w:val="00377722"/>
    <w:rsid w:val="00377725"/>
    <w:rsid w:val="00377985"/>
    <w:rsid w:val="003779EA"/>
    <w:rsid w:val="00377E1C"/>
    <w:rsid w:val="00377F64"/>
    <w:rsid w:val="00377FA2"/>
    <w:rsid w:val="003801CD"/>
    <w:rsid w:val="0038040E"/>
    <w:rsid w:val="003805C4"/>
    <w:rsid w:val="0038074B"/>
    <w:rsid w:val="00380880"/>
    <w:rsid w:val="003808B7"/>
    <w:rsid w:val="00380A14"/>
    <w:rsid w:val="00380CC1"/>
    <w:rsid w:val="00380D6A"/>
    <w:rsid w:val="00380E62"/>
    <w:rsid w:val="003812E7"/>
    <w:rsid w:val="00381730"/>
    <w:rsid w:val="0038177E"/>
    <w:rsid w:val="00381AA0"/>
    <w:rsid w:val="00381C8F"/>
    <w:rsid w:val="00381CE3"/>
    <w:rsid w:val="00381D94"/>
    <w:rsid w:val="00381EE0"/>
    <w:rsid w:val="00382076"/>
    <w:rsid w:val="003822AC"/>
    <w:rsid w:val="00382532"/>
    <w:rsid w:val="003829CE"/>
    <w:rsid w:val="00382A66"/>
    <w:rsid w:val="00382AB5"/>
    <w:rsid w:val="00382CEE"/>
    <w:rsid w:val="00383051"/>
    <w:rsid w:val="003830AE"/>
    <w:rsid w:val="00383332"/>
    <w:rsid w:val="00383395"/>
    <w:rsid w:val="00383399"/>
    <w:rsid w:val="003835B4"/>
    <w:rsid w:val="0038364F"/>
    <w:rsid w:val="00383748"/>
    <w:rsid w:val="003838D4"/>
    <w:rsid w:val="0038391E"/>
    <w:rsid w:val="00383ABB"/>
    <w:rsid w:val="00383AC3"/>
    <w:rsid w:val="00383DC5"/>
    <w:rsid w:val="00383E48"/>
    <w:rsid w:val="00383FFD"/>
    <w:rsid w:val="00384072"/>
    <w:rsid w:val="003842DF"/>
    <w:rsid w:val="0038439F"/>
    <w:rsid w:val="00384513"/>
    <w:rsid w:val="00384B25"/>
    <w:rsid w:val="003853BC"/>
    <w:rsid w:val="003853CE"/>
    <w:rsid w:val="00385423"/>
    <w:rsid w:val="00385807"/>
    <w:rsid w:val="00385B25"/>
    <w:rsid w:val="00385D2A"/>
    <w:rsid w:val="00386058"/>
    <w:rsid w:val="00386099"/>
    <w:rsid w:val="00386184"/>
    <w:rsid w:val="00386256"/>
    <w:rsid w:val="00386576"/>
    <w:rsid w:val="003866F4"/>
    <w:rsid w:val="003869AD"/>
    <w:rsid w:val="003869B0"/>
    <w:rsid w:val="00386CC5"/>
    <w:rsid w:val="00387165"/>
    <w:rsid w:val="003872F1"/>
    <w:rsid w:val="00387474"/>
    <w:rsid w:val="003875C7"/>
    <w:rsid w:val="003877CD"/>
    <w:rsid w:val="00387913"/>
    <w:rsid w:val="0038798A"/>
    <w:rsid w:val="003879E2"/>
    <w:rsid w:val="003879F9"/>
    <w:rsid w:val="00387AEB"/>
    <w:rsid w:val="00387B65"/>
    <w:rsid w:val="00387DCB"/>
    <w:rsid w:val="00387E0E"/>
    <w:rsid w:val="003902E3"/>
    <w:rsid w:val="00390553"/>
    <w:rsid w:val="00390906"/>
    <w:rsid w:val="00390A06"/>
    <w:rsid w:val="00390DB5"/>
    <w:rsid w:val="00390F1F"/>
    <w:rsid w:val="00391027"/>
    <w:rsid w:val="00391154"/>
    <w:rsid w:val="003912B3"/>
    <w:rsid w:val="003914CD"/>
    <w:rsid w:val="00391651"/>
    <w:rsid w:val="00391744"/>
    <w:rsid w:val="003919C0"/>
    <w:rsid w:val="00391A5E"/>
    <w:rsid w:val="00391BC8"/>
    <w:rsid w:val="00391BD5"/>
    <w:rsid w:val="00391D94"/>
    <w:rsid w:val="00391E05"/>
    <w:rsid w:val="0039207A"/>
    <w:rsid w:val="0039228B"/>
    <w:rsid w:val="003922CA"/>
    <w:rsid w:val="003922F4"/>
    <w:rsid w:val="003923E3"/>
    <w:rsid w:val="003924C2"/>
    <w:rsid w:val="00392502"/>
    <w:rsid w:val="00392A05"/>
    <w:rsid w:val="00392D96"/>
    <w:rsid w:val="00393411"/>
    <w:rsid w:val="0039347C"/>
    <w:rsid w:val="0039397E"/>
    <w:rsid w:val="00393A56"/>
    <w:rsid w:val="00393B75"/>
    <w:rsid w:val="00393BAC"/>
    <w:rsid w:val="00393CC9"/>
    <w:rsid w:val="00393E1E"/>
    <w:rsid w:val="00393F25"/>
    <w:rsid w:val="0039430C"/>
    <w:rsid w:val="00394466"/>
    <w:rsid w:val="0039457F"/>
    <w:rsid w:val="0039458E"/>
    <w:rsid w:val="003945E6"/>
    <w:rsid w:val="003946AD"/>
    <w:rsid w:val="003948EF"/>
    <w:rsid w:val="003949F1"/>
    <w:rsid w:val="00394A12"/>
    <w:rsid w:val="00394AF0"/>
    <w:rsid w:val="00394BA5"/>
    <w:rsid w:val="00394F29"/>
    <w:rsid w:val="00394F4E"/>
    <w:rsid w:val="00395023"/>
    <w:rsid w:val="00395165"/>
    <w:rsid w:val="0039547B"/>
    <w:rsid w:val="003955EC"/>
    <w:rsid w:val="003956AE"/>
    <w:rsid w:val="0039573E"/>
    <w:rsid w:val="00395A72"/>
    <w:rsid w:val="00395F72"/>
    <w:rsid w:val="003961D3"/>
    <w:rsid w:val="0039641B"/>
    <w:rsid w:val="003964F6"/>
    <w:rsid w:val="00396798"/>
    <w:rsid w:val="003967DB"/>
    <w:rsid w:val="003968E1"/>
    <w:rsid w:val="00396934"/>
    <w:rsid w:val="00396A9B"/>
    <w:rsid w:val="00396CD6"/>
    <w:rsid w:val="00396D26"/>
    <w:rsid w:val="00396D90"/>
    <w:rsid w:val="00396EBC"/>
    <w:rsid w:val="003971E0"/>
    <w:rsid w:val="00397561"/>
    <w:rsid w:val="003975D3"/>
    <w:rsid w:val="00397766"/>
    <w:rsid w:val="0039782F"/>
    <w:rsid w:val="00397C01"/>
    <w:rsid w:val="00397CDF"/>
    <w:rsid w:val="00397E3D"/>
    <w:rsid w:val="003A0399"/>
    <w:rsid w:val="003A03F6"/>
    <w:rsid w:val="003A04A5"/>
    <w:rsid w:val="003A0947"/>
    <w:rsid w:val="003A0950"/>
    <w:rsid w:val="003A0D21"/>
    <w:rsid w:val="003A0F66"/>
    <w:rsid w:val="003A13ED"/>
    <w:rsid w:val="003A1574"/>
    <w:rsid w:val="003A15C7"/>
    <w:rsid w:val="003A16D1"/>
    <w:rsid w:val="003A18FD"/>
    <w:rsid w:val="003A1ABD"/>
    <w:rsid w:val="003A1D17"/>
    <w:rsid w:val="003A1FAE"/>
    <w:rsid w:val="003A21CC"/>
    <w:rsid w:val="003A22BE"/>
    <w:rsid w:val="003A23D6"/>
    <w:rsid w:val="003A246B"/>
    <w:rsid w:val="003A250C"/>
    <w:rsid w:val="003A27A5"/>
    <w:rsid w:val="003A2924"/>
    <w:rsid w:val="003A2A42"/>
    <w:rsid w:val="003A2A49"/>
    <w:rsid w:val="003A2A4B"/>
    <w:rsid w:val="003A2D15"/>
    <w:rsid w:val="003A2D17"/>
    <w:rsid w:val="003A3569"/>
    <w:rsid w:val="003A370C"/>
    <w:rsid w:val="003A376C"/>
    <w:rsid w:val="003A3A15"/>
    <w:rsid w:val="003A3B14"/>
    <w:rsid w:val="003A3BBF"/>
    <w:rsid w:val="003A3C80"/>
    <w:rsid w:val="003A3CD4"/>
    <w:rsid w:val="003A3DDF"/>
    <w:rsid w:val="003A3E2B"/>
    <w:rsid w:val="003A3E2C"/>
    <w:rsid w:val="003A3FCC"/>
    <w:rsid w:val="003A417F"/>
    <w:rsid w:val="003A4203"/>
    <w:rsid w:val="003A4270"/>
    <w:rsid w:val="003A435A"/>
    <w:rsid w:val="003A457B"/>
    <w:rsid w:val="003A4599"/>
    <w:rsid w:val="003A460E"/>
    <w:rsid w:val="003A4920"/>
    <w:rsid w:val="003A4AC2"/>
    <w:rsid w:val="003A4D0F"/>
    <w:rsid w:val="003A4D71"/>
    <w:rsid w:val="003A51B7"/>
    <w:rsid w:val="003A544C"/>
    <w:rsid w:val="003A555A"/>
    <w:rsid w:val="003A56A1"/>
    <w:rsid w:val="003A5798"/>
    <w:rsid w:val="003A6196"/>
    <w:rsid w:val="003A621F"/>
    <w:rsid w:val="003A62C7"/>
    <w:rsid w:val="003A6475"/>
    <w:rsid w:val="003A64FD"/>
    <w:rsid w:val="003A67B4"/>
    <w:rsid w:val="003A69FD"/>
    <w:rsid w:val="003A6AEE"/>
    <w:rsid w:val="003A6BC0"/>
    <w:rsid w:val="003A6BC7"/>
    <w:rsid w:val="003A6E06"/>
    <w:rsid w:val="003A6EB2"/>
    <w:rsid w:val="003A73D7"/>
    <w:rsid w:val="003A7929"/>
    <w:rsid w:val="003A7E4B"/>
    <w:rsid w:val="003B014E"/>
    <w:rsid w:val="003B0442"/>
    <w:rsid w:val="003B047B"/>
    <w:rsid w:val="003B051F"/>
    <w:rsid w:val="003B058D"/>
    <w:rsid w:val="003B059B"/>
    <w:rsid w:val="003B05D8"/>
    <w:rsid w:val="003B06AC"/>
    <w:rsid w:val="003B077C"/>
    <w:rsid w:val="003B0DCB"/>
    <w:rsid w:val="003B0F74"/>
    <w:rsid w:val="003B10C9"/>
    <w:rsid w:val="003B1278"/>
    <w:rsid w:val="003B18B6"/>
    <w:rsid w:val="003B1B51"/>
    <w:rsid w:val="003B1C1C"/>
    <w:rsid w:val="003B2096"/>
    <w:rsid w:val="003B20BA"/>
    <w:rsid w:val="003B24CF"/>
    <w:rsid w:val="003B2569"/>
    <w:rsid w:val="003B277C"/>
    <w:rsid w:val="003B2B55"/>
    <w:rsid w:val="003B2B56"/>
    <w:rsid w:val="003B2F1C"/>
    <w:rsid w:val="003B3124"/>
    <w:rsid w:val="003B3479"/>
    <w:rsid w:val="003B37BE"/>
    <w:rsid w:val="003B37C5"/>
    <w:rsid w:val="003B3A91"/>
    <w:rsid w:val="003B3C80"/>
    <w:rsid w:val="003B3CDF"/>
    <w:rsid w:val="003B4876"/>
    <w:rsid w:val="003B499A"/>
    <w:rsid w:val="003B4AC4"/>
    <w:rsid w:val="003B4DE7"/>
    <w:rsid w:val="003B5028"/>
    <w:rsid w:val="003B51AB"/>
    <w:rsid w:val="003B5555"/>
    <w:rsid w:val="003B557E"/>
    <w:rsid w:val="003B56EC"/>
    <w:rsid w:val="003B589A"/>
    <w:rsid w:val="003B5DB4"/>
    <w:rsid w:val="003B6017"/>
    <w:rsid w:val="003B606C"/>
    <w:rsid w:val="003B6193"/>
    <w:rsid w:val="003B61F5"/>
    <w:rsid w:val="003B6284"/>
    <w:rsid w:val="003B6597"/>
    <w:rsid w:val="003B6677"/>
    <w:rsid w:val="003B67AC"/>
    <w:rsid w:val="003B687D"/>
    <w:rsid w:val="003B6B2D"/>
    <w:rsid w:val="003B6B55"/>
    <w:rsid w:val="003B6D25"/>
    <w:rsid w:val="003B6FDD"/>
    <w:rsid w:val="003B70AA"/>
    <w:rsid w:val="003B715E"/>
    <w:rsid w:val="003B7213"/>
    <w:rsid w:val="003B745E"/>
    <w:rsid w:val="003B753D"/>
    <w:rsid w:val="003B75F2"/>
    <w:rsid w:val="003B76E3"/>
    <w:rsid w:val="003B77C7"/>
    <w:rsid w:val="003B79BF"/>
    <w:rsid w:val="003B7A17"/>
    <w:rsid w:val="003B7CB7"/>
    <w:rsid w:val="003B7D2E"/>
    <w:rsid w:val="003B7E0C"/>
    <w:rsid w:val="003C0083"/>
    <w:rsid w:val="003C0368"/>
    <w:rsid w:val="003C075F"/>
    <w:rsid w:val="003C0BAA"/>
    <w:rsid w:val="003C0C9C"/>
    <w:rsid w:val="003C1874"/>
    <w:rsid w:val="003C1976"/>
    <w:rsid w:val="003C1A6F"/>
    <w:rsid w:val="003C1AC3"/>
    <w:rsid w:val="003C1AE9"/>
    <w:rsid w:val="003C1B84"/>
    <w:rsid w:val="003C1D52"/>
    <w:rsid w:val="003C1E09"/>
    <w:rsid w:val="003C1ED8"/>
    <w:rsid w:val="003C2658"/>
    <w:rsid w:val="003C2851"/>
    <w:rsid w:val="003C2C1F"/>
    <w:rsid w:val="003C2EA1"/>
    <w:rsid w:val="003C337D"/>
    <w:rsid w:val="003C3468"/>
    <w:rsid w:val="003C36B2"/>
    <w:rsid w:val="003C379B"/>
    <w:rsid w:val="003C37D6"/>
    <w:rsid w:val="003C38CE"/>
    <w:rsid w:val="003C3AC8"/>
    <w:rsid w:val="003C3B16"/>
    <w:rsid w:val="003C3BE1"/>
    <w:rsid w:val="003C3D21"/>
    <w:rsid w:val="003C405C"/>
    <w:rsid w:val="003C425F"/>
    <w:rsid w:val="003C4468"/>
    <w:rsid w:val="003C4595"/>
    <w:rsid w:val="003C47B4"/>
    <w:rsid w:val="003C497C"/>
    <w:rsid w:val="003C4AD6"/>
    <w:rsid w:val="003C4AFB"/>
    <w:rsid w:val="003C4D9B"/>
    <w:rsid w:val="003C4F1C"/>
    <w:rsid w:val="003C515D"/>
    <w:rsid w:val="003C516E"/>
    <w:rsid w:val="003C54DE"/>
    <w:rsid w:val="003C573D"/>
    <w:rsid w:val="003C5799"/>
    <w:rsid w:val="003C5804"/>
    <w:rsid w:val="003C5937"/>
    <w:rsid w:val="003C5D9E"/>
    <w:rsid w:val="003C5E8A"/>
    <w:rsid w:val="003C5ED4"/>
    <w:rsid w:val="003C5F98"/>
    <w:rsid w:val="003C609B"/>
    <w:rsid w:val="003C62C4"/>
    <w:rsid w:val="003C6309"/>
    <w:rsid w:val="003C644F"/>
    <w:rsid w:val="003C654D"/>
    <w:rsid w:val="003C65D9"/>
    <w:rsid w:val="003C663F"/>
    <w:rsid w:val="003C6A37"/>
    <w:rsid w:val="003C6BD4"/>
    <w:rsid w:val="003C6CF1"/>
    <w:rsid w:val="003C6D5D"/>
    <w:rsid w:val="003C6EC3"/>
    <w:rsid w:val="003C70B8"/>
    <w:rsid w:val="003C70D7"/>
    <w:rsid w:val="003C70F3"/>
    <w:rsid w:val="003C71BD"/>
    <w:rsid w:val="003C71EC"/>
    <w:rsid w:val="003C72FA"/>
    <w:rsid w:val="003C7552"/>
    <w:rsid w:val="003C770E"/>
    <w:rsid w:val="003C7750"/>
    <w:rsid w:val="003C77DB"/>
    <w:rsid w:val="003C7A07"/>
    <w:rsid w:val="003C7A7E"/>
    <w:rsid w:val="003C7AF4"/>
    <w:rsid w:val="003C7C1B"/>
    <w:rsid w:val="003C7C44"/>
    <w:rsid w:val="003C7E03"/>
    <w:rsid w:val="003C7E9E"/>
    <w:rsid w:val="003C7FBF"/>
    <w:rsid w:val="003D00B5"/>
    <w:rsid w:val="003D01DB"/>
    <w:rsid w:val="003D01EB"/>
    <w:rsid w:val="003D0275"/>
    <w:rsid w:val="003D0515"/>
    <w:rsid w:val="003D056B"/>
    <w:rsid w:val="003D0870"/>
    <w:rsid w:val="003D08E8"/>
    <w:rsid w:val="003D0C36"/>
    <w:rsid w:val="003D0E43"/>
    <w:rsid w:val="003D0EEF"/>
    <w:rsid w:val="003D0FB2"/>
    <w:rsid w:val="003D114B"/>
    <w:rsid w:val="003D1C6B"/>
    <w:rsid w:val="003D1EAE"/>
    <w:rsid w:val="003D1FAB"/>
    <w:rsid w:val="003D2023"/>
    <w:rsid w:val="003D20B5"/>
    <w:rsid w:val="003D20F8"/>
    <w:rsid w:val="003D21C1"/>
    <w:rsid w:val="003D21E3"/>
    <w:rsid w:val="003D2343"/>
    <w:rsid w:val="003D23BA"/>
    <w:rsid w:val="003D2430"/>
    <w:rsid w:val="003D26BE"/>
    <w:rsid w:val="003D27C6"/>
    <w:rsid w:val="003D28DA"/>
    <w:rsid w:val="003D2ABF"/>
    <w:rsid w:val="003D2BFE"/>
    <w:rsid w:val="003D2C5B"/>
    <w:rsid w:val="003D2CFD"/>
    <w:rsid w:val="003D31B9"/>
    <w:rsid w:val="003D3278"/>
    <w:rsid w:val="003D33C5"/>
    <w:rsid w:val="003D33FE"/>
    <w:rsid w:val="003D357C"/>
    <w:rsid w:val="003D3581"/>
    <w:rsid w:val="003D36A1"/>
    <w:rsid w:val="003D36CD"/>
    <w:rsid w:val="003D397F"/>
    <w:rsid w:val="003D3A42"/>
    <w:rsid w:val="003D3B90"/>
    <w:rsid w:val="003D3BBB"/>
    <w:rsid w:val="003D4047"/>
    <w:rsid w:val="003D42C1"/>
    <w:rsid w:val="003D456A"/>
    <w:rsid w:val="003D45DE"/>
    <w:rsid w:val="003D4701"/>
    <w:rsid w:val="003D4959"/>
    <w:rsid w:val="003D4980"/>
    <w:rsid w:val="003D4AD6"/>
    <w:rsid w:val="003D4C19"/>
    <w:rsid w:val="003D56B2"/>
    <w:rsid w:val="003D5800"/>
    <w:rsid w:val="003D5B15"/>
    <w:rsid w:val="003D5D51"/>
    <w:rsid w:val="003D6272"/>
    <w:rsid w:val="003D6601"/>
    <w:rsid w:val="003D677D"/>
    <w:rsid w:val="003D68D2"/>
    <w:rsid w:val="003D6B54"/>
    <w:rsid w:val="003D6DB3"/>
    <w:rsid w:val="003D75CA"/>
    <w:rsid w:val="003D7643"/>
    <w:rsid w:val="003D77DD"/>
    <w:rsid w:val="003D7901"/>
    <w:rsid w:val="003D7930"/>
    <w:rsid w:val="003D794B"/>
    <w:rsid w:val="003D7B1F"/>
    <w:rsid w:val="003E000A"/>
    <w:rsid w:val="003E00DE"/>
    <w:rsid w:val="003E0327"/>
    <w:rsid w:val="003E0462"/>
    <w:rsid w:val="003E09B9"/>
    <w:rsid w:val="003E09E8"/>
    <w:rsid w:val="003E0A54"/>
    <w:rsid w:val="003E0ABC"/>
    <w:rsid w:val="003E0CA4"/>
    <w:rsid w:val="003E0F77"/>
    <w:rsid w:val="003E114C"/>
    <w:rsid w:val="003E17A7"/>
    <w:rsid w:val="003E18BE"/>
    <w:rsid w:val="003E18E3"/>
    <w:rsid w:val="003E194C"/>
    <w:rsid w:val="003E1E74"/>
    <w:rsid w:val="003E24B5"/>
    <w:rsid w:val="003E267E"/>
    <w:rsid w:val="003E26FB"/>
    <w:rsid w:val="003E2798"/>
    <w:rsid w:val="003E279B"/>
    <w:rsid w:val="003E291A"/>
    <w:rsid w:val="003E29EF"/>
    <w:rsid w:val="003E2B3B"/>
    <w:rsid w:val="003E36AA"/>
    <w:rsid w:val="003E3760"/>
    <w:rsid w:val="003E37ED"/>
    <w:rsid w:val="003E3AF9"/>
    <w:rsid w:val="003E3BEA"/>
    <w:rsid w:val="003E3F03"/>
    <w:rsid w:val="003E4172"/>
    <w:rsid w:val="003E4195"/>
    <w:rsid w:val="003E44B1"/>
    <w:rsid w:val="003E450E"/>
    <w:rsid w:val="003E46C6"/>
    <w:rsid w:val="003E48AF"/>
    <w:rsid w:val="003E48C2"/>
    <w:rsid w:val="003E4AC1"/>
    <w:rsid w:val="003E4D7E"/>
    <w:rsid w:val="003E4E12"/>
    <w:rsid w:val="003E4F3F"/>
    <w:rsid w:val="003E4FF7"/>
    <w:rsid w:val="003E5010"/>
    <w:rsid w:val="003E567B"/>
    <w:rsid w:val="003E5729"/>
    <w:rsid w:val="003E57C8"/>
    <w:rsid w:val="003E5934"/>
    <w:rsid w:val="003E5EB0"/>
    <w:rsid w:val="003E67CD"/>
    <w:rsid w:val="003E6918"/>
    <w:rsid w:val="003E6947"/>
    <w:rsid w:val="003E6DAF"/>
    <w:rsid w:val="003E70FD"/>
    <w:rsid w:val="003E748F"/>
    <w:rsid w:val="003E750F"/>
    <w:rsid w:val="003E7533"/>
    <w:rsid w:val="003E7545"/>
    <w:rsid w:val="003E7810"/>
    <w:rsid w:val="003E7848"/>
    <w:rsid w:val="003E7DC5"/>
    <w:rsid w:val="003E7FB7"/>
    <w:rsid w:val="003F0371"/>
    <w:rsid w:val="003F044C"/>
    <w:rsid w:val="003F04B6"/>
    <w:rsid w:val="003F0680"/>
    <w:rsid w:val="003F0784"/>
    <w:rsid w:val="003F07EC"/>
    <w:rsid w:val="003F08FE"/>
    <w:rsid w:val="003F0D92"/>
    <w:rsid w:val="003F0E7D"/>
    <w:rsid w:val="003F1122"/>
    <w:rsid w:val="003F1874"/>
    <w:rsid w:val="003F1CBD"/>
    <w:rsid w:val="003F1E28"/>
    <w:rsid w:val="003F21F4"/>
    <w:rsid w:val="003F2257"/>
    <w:rsid w:val="003F22FE"/>
    <w:rsid w:val="003F2581"/>
    <w:rsid w:val="003F26A9"/>
    <w:rsid w:val="003F2801"/>
    <w:rsid w:val="003F2819"/>
    <w:rsid w:val="003F2986"/>
    <w:rsid w:val="003F2C1E"/>
    <w:rsid w:val="003F2E57"/>
    <w:rsid w:val="003F3036"/>
    <w:rsid w:val="003F314B"/>
    <w:rsid w:val="003F32E0"/>
    <w:rsid w:val="003F37C0"/>
    <w:rsid w:val="003F37D8"/>
    <w:rsid w:val="003F3862"/>
    <w:rsid w:val="003F3B7E"/>
    <w:rsid w:val="003F3D94"/>
    <w:rsid w:val="003F3E4C"/>
    <w:rsid w:val="003F3F23"/>
    <w:rsid w:val="003F4548"/>
    <w:rsid w:val="003F456A"/>
    <w:rsid w:val="003F4623"/>
    <w:rsid w:val="003F4936"/>
    <w:rsid w:val="003F4B4F"/>
    <w:rsid w:val="003F4E65"/>
    <w:rsid w:val="003F4FB6"/>
    <w:rsid w:val="003F53BF"/>
    <w:rsid w:val="003F57BA"/>
    <w:rsid w:val="003F5866"/>
    <w:rsid w:val="003F5ED5"/>
    <w:rsid w:val="003F64EB"/>
    <w:rsid w:val="003F6508"/>
    <w:rsid w:val="003F6634"/>
    <w:rsid w:val="003F67EE"/>
    <w:rsid w:val="003F6940"/>
    <w:rsid w:val="003F69D5"/>
    <w:rsid w:val="003F6A4B"/>
    <w:rsid w:val="003F6BE2"/>
    <w:rsid w:val="003F6D54"/>
    <w:rsid w:val="003F6FF0"/>
    <w:rsid w:val="003F7169"/>
    <w:rsid w:val="003F7252"/>
    <w:rsid w:val="003F727B"/>
    <w:rsid w:val="003F733D"/>
    <w:rsid w:val="003F74DF"/>
    <w:rsid w:val="003F752F"/>
    <w:rsid w:val="003F7A6A"/>
    <w:rsid w:val="003F7CC8"/>
    <w:rsid w:val="004002FB"/>
    <w:rsid w:val="004004EB"/>
    <w:rsid w:val="00400720"/>
    <w:rsid w:val="00400B9D"/>
    <w:rsid w:val="00400BF2"/>
    <w:rsid w:val="00400C5A"/>
    <w:rsid w:val="00400F30"/>
    <w:rsid w:val="00400F37"/>
    <w:rsid w:val="0040129A"/>
    <w:rsid w:val="00401397"/>
    <w:rsid w:val="0040193C"/>
    <w:rsid w:val="00401B0F"/>
    <w:rsid w:val="00401CC3"/>
    <w:rsid w:val="00401DFF"/>
    <w:rsid w:val="0040212C"/>
    <w:rsid w:val="00402172"/>
    <w:rsid w:val="0040219D"/>
    <w:rsid w:val="004022D7"/>
    <w:rsid w:val="004024A6"/>
    <w:rsid w:val="0040268E"/>
    <w:rsid w:val="004026CB"/>
    <w:rsid w:val="004029B5"/>
    <w:rsid w:val="004029FD"/>
    <w:rsid w:val="00402EB0"/>
    <w:rsid w:val="00403003"/>
    <w:rsid w:val="00403198"/>
    <w:rsid w:val="004035F4"/>
    <w:rsid w:val="0040393D"/>
    <w:rsid w:val="00403F54"/>
    <w:rsid w:val="00403FEE"/>
    <w:rsid w:val="004043FF"/>
    <w:rsid w:val="004045DC"/>
    <w:rsid w:val="0040474C"/>
    <w:rsid w:val="00404923"/>
    <w:rsid w:val="00405053"/>
    <w:rsid w:val="00405351"/>
    <w:rsid w:val="0040540C"/>
    <w:rsid w:val="0040567F"/>
    <w:rsid w:val="004056CD"/>
    <w:rsid w:val="00405748"/>
    <w:rsid w:val="0040591B"/>
    <w:rsid w:val="00405A08"/>
    <w:rsid w:val="00405A4C"/>
    <w:rsid w:val="00405C63"/>
    <w:rsid w:val="00405C67"/>
    <w:rsid w:val="004062AF"/>
    <w:rsid w:val="004066EB"/>
    <w:rsid w:val="00406AC8"/>
    <w:rsid w:val="00406E57"/>
    <w:rsid w:val="00406FB9"/>
    <w:rsid w:val="004076D7"/>
    <w:rsid w:val="004077C6"/>
    <w:rsid w:val="00407801"/>
    <w:rsid w:val="00407872"/>
    <w:rsid w:val="00407AAC"/>
    <w:rsid w:val="00407B9E"/>
    <w:rsid w:val="00407C09"/>
    <w:rsid w:val="00407EA4"/>
    <w:rsid w:val="004101E6"/>
    <w:rsid w:val="004102D3"/>
    <w:rsid w:val="004105A1"/>
    <w:rsid w:val="00410964"/>
    <w:rsid w:val="00410AE9"/>
    <w:rsid w:val="00410AF3"/>
    <w:rsid w:val="00410D05"/>
    <w:rsid w:val="00410D46"/>
    <w:rsid w:val="00410F9A"/>
    <w:rsid w:val="00410FF2"/>
    <w:rsid w:val="0041106B"/>
    <w:rsid w:val="00411087"/>
    <w:rsid w:val="00411207"/>
    <w:rsid w:val="004112D9"/>
    <w:rsid w:val="00411CEF"/>
    <w:rsid w:val="0041203F"/>
    <w:rsid w:val="00412252"/>
    <w:rsid w:val="004124A2"/>
    <w:rsid w:val="004125E6"/>
    <w:rsid w:val="00412C5B"/>
    <w:rsid w:val="00412E49"/>
    <w:rsid w:val="00412E8A"/>
    <w:rsid w:val="004130BF"/>
    <w:rsid w:val="004131EE"/>
    <w:rsid w:val="004135A3"/>
    <w:rsid w:val="004135D0"/>
    <w:rsid w:val="0041368B"/>
    <w:rsid w:val="00413C82"/>
    <w:rsid w:val="00413CB5"/>
    <w:rsid w:val="00413F49"/>
    <w:rsid w:val="00414367"/>
    <w:rsid w:val="00414380"/>
    <w:rsid w:val="0041443E"/>
    <w:rsid w:val="0041451D"/>
    <w:rsid w:val="00414C78"/>
    <w:rsid w:val="00414DC8"/>
    <w:rsid w:val="00414E8D"/>
    <w:rsid w:val="00414FB2"/>
    <w:rsid w:val="00415082"/>
    <w:rsid w:val="00415230"/>
    <w:rsid w:val="0041562D"/>
    <w:rsid w:val="00415747"/>
    <w:rsid w:val="00415AD4"/>
    <w:rsid w:val="00415B7D"/>
    <w:rsid w:val="00415D1F"/>
    <w:rsid w:val="00416067"/>
    <w:rsid w:val="00416100"/>
    <w:rsid w:val="004164C3"/>
    <w:rsid w:val="00416554"/>
    <w:rsid w:val="00416664"/>
    <w:rsid w:val="004168A1"/>
    <w:rsid w:val="004168C4"/>
    <w:rsid w:val="004169E3"/>
    <w:rsid w:val="00416B75"/>
    <w:rsid w:val="00416B9C"/>
    <w:rsid w:val="00416C60"/>
    <w:rsid w:val="00416D0E"/>
    <w:rsid w:val="00416D7E"/>
    <w:rsid w:val="00416E11"/>
    <w:rsid w:val="00416FD3"/>
    <w:rsid w:val="004170D6"/>
    <w:rsid w:val="004172DB"/>
    <w:rsid w:val="004172DC"/>
    <w:rsid w:val="004177C2"/>
    <w:rsid w:val="00417938"/>
    <w:rsid w:val="00417A0C"/>
    <w:rsid w:val="00417C35"/>
    <w:rsid w:val="004200B7"/>
    <w:rsid w:val="00420198"/>
    <w:rsid w:val="00420408"/>
    <w:rsid w:val="00420AD7"/>
    <w:rsid w:val="00420B56"/>
    <w:rsid w:val="00420BDC"/>
    <w:rsid w:val="00420E44"/>
    <w:rsid w:val="00420FE9"/>
    <w:rsid w:val="004210F4"/>
    <w:rsid w:val="004212E1"/>
    <w:rsid w:val="004213BA"/>
    <w:rsid w:val="004214A5"/>
    <w:rsid w:val="004216AD"/>
    <w:rsid w:val="004217B5"/>
    <w:rsid w:val="00421823"/>
    <w:rsid w:val="0042189A"/>
    <w:rsid w:val="00421B35"/>
    <w:rsid w:val="00421CEF"/>
    <w:rsid w:val="00422211"/>
    <w:rsid w:val="00422222"/>
    <w:rsid w:val="00422325"/>
    <w:rsid w:val="00422370"/>
    <w:rsid w:val="00422553"/>
    <w:rsid w:val="00422792"/>
    <w:rsid w:val="00422B54"/>
    <w:rsid w:val="00422BDB"/>
    <w:rsid w:val="00422D23"/>
    <w:rsid w:val="0042316C"/>
    <w:rsid w:val="004231FF"/>
    <w:rsid w:val="00423335"/>
    <w:rsid w:val="0042333A"/>
    <w:rsid w:val="004235E9"/>
    <w:rsid w:val="00423B7E"/>
    <w:rsid w:val="00423D15"/>
    <w:rsid w:val="00423D1C"/>
    <w:rsid w:val="00423E0E"/>
    <w:rsid w:val="00424530"/>
    <w:rsid w:val="00424564"/>
    <w:rsid w:val="00424574"/>
    <w:rsid w:val="004245AB"/>
    <w:rsid w:val="004245F4"/>
    <w:rsid w:val="00424646"/>
    <w:rsid w:val="00424921"/>
    <w:rsid w:val="00424EAD"/>
    <w:rsid w:val="00424FBE"/>
    <w:rsid w:val="0042505D"/>
    <w:rsid w:val="004257C3"/>
    <w:rsid w:val="00425AB1"/>
    <w:rsid w:val="00425ABD"/>
    <w:rsid w:val="00425CC0"/>
    <w:rsid w:val="00425DF6"/>
    <w:rsid w:val="004260EF"/>
    <w:rsid w:val="004262F4"/>
    <w:rsid w:val="004264A3"/>
    <w:rsid w:val="0042664F"/>
    <w:rsid w:val="00426715"/>
    <w:rsid w:val="00426894"/>
    <w:rsid w:val="00426A60"/>
    <w:rsid w:val="004270E3"/>
    <w:rsid w:val="00427671"/>
    <w:rsid w:val="00427944"/>
    <w:rsid w:val="00427E4B"/>
    <w:rsid w:val="00430385"/>
    <w:rsid w:val="00430657"/>
    <w:rsid w:val="004306F6"/>
    <w:rsid w:val="00430917"/>
    <w:rsid w:val="00430B09"/>
    <w:rsid w:val="00430BDA"/>
    <w:rsid w:val="00430C6A"/>
    <w:rsid w:val="00430DF3"/>
    <w:rsid w:val="00430E14"/>
    <w:rsid w:val="00430E1A"/>
    <w:rsid w:val="004310CE"/>
    <w:rsid w:val="00431195"/>
    <w:rsid w:val="004312BC"/>
    <w:rsid w:val="004312EC"/>
    <w:rsid w:val="00431491"/>
    <w:rsid w:val="004315E2"/>
    <w:rsid w:val="00431974"/>
    <w:rsid w:val="00431ABA"/>
    <w:rsid w:val="00431B56"/>
    <w:rsid w:val="00431D96"/>
    <w:rsid w:val="00431DA7"/>
    <w:rsid w:val="00431FB1"/>
    <w:rsid w:val="00431FB4"/>
    <w:rsid w:val="0043208C"/>
    <w:rsid w:val="004320F6"/>
    <w:rsid w:val="004325B3"/>
    <w:rsid w:val="004325FF"/>
    <w:rsid w:val="00432AFE"/>
    <w:rsid w:val="00432DBF"/>
    <w:rsid w:val="00432FC9"/>
    <w:rsid w:val="004331E6"/>
    <w:rsid w:val="0043386C"/>
    <w:rsid w:val="00433A3E"/>
    <w:rsid w:val="00433B40"/>
    <w:rsid w:val="00433D60"/>
    <w:rsid w:val="00433E6E"/>
    <w:rsid w:val="00434009"/>
    <w:rsid w:val="004340D5"/>
    <w:rsid w:val="00434181"/>
    <w:rsid w:val="004342B0"/>
    <w:rsid w:val="004342C3"/>
    <w:rsid w:val="00434313"/>
    <w:rsid w:val="0043435F"/>
    <w:rsid w:val="004344CD"/>
    <w:rsid w:val="004345A9"/>
    <w:rsid w:val="0043484A"/>
    <w:rsid w:val="00434894"/>
    <w:rsid w:val="004348FC"/>
    <w:rsid w:val="00434960"/>
    <w:rsid w:val="00434988"/>
    <w:rsid w:val="00434AEF"/>
    <w:rsid w:val="00434C19"/>
    <w:rsid w:val="00434C69"/>
    <w:rsid w:val="00434F0F"/>
    <w:rsid w:val="00434F18"/>
    <w:rsid w:val="004351EF"/>
    <w:rsid w:val="004351F3"/>
    <w:rsid w:val="004352F7"/>
    <w:rsid w:val="0043553F"/>
    <w:rsid w:val="004356C5"/>
    <w:rsid w:val="00435B83"/>
    <w:rsid w:val="00435E8A"/>
    <w:rsid w:val="004365A9"/>
    <w:rsid w:val="0043666B"/>
    <w:rsid w:val="0043677B"/>
    <w:rsid w:val="00436949"/>
    <w:rsid w:val="00436A7C"/>
    <w:rsid w:val="00436B6B"/>
    <w:rsid w:val="00436C94"/>
    <w:rsid w:val="00436D3C"/>
    <w:rsid w:val="00436DD6"/>
    <w:rsid w:val="00437067"/>
    <w:rsid w:val="0043715E"/>
    <w:rsid w:val="00437658"/>
    <w:rsid w:val="004376F2"/>
    <w:rsid w:val="004377A7"/>
    <w:rsid w:val="00437993"/>
    <w:rsid w:val="00437C9F"/>
    <w:rsid w:val="00437F2F"/>
    <w:rsid w:val="00437FAB"/>
    <w:rsid w:val="00440029"/>
    <w:rsid w:val="004402CD"/>
    <w:rsid w:val="00440302"/>
    <w:rsid w:val="0044053B"/>
    <w:rsid w:val="004407A8"/>
    <w:rsid w:val="0044094C"/>
    <w:rsid w:val="00440989"/>
    <w:rsid w:val="00440B8A"/>
    <w:rsid w:val="00440DF7"/>
    <w:rsid w:val="00441019"/>
    <w:rsid w:val="00441508"/>
    <w:rsid w:val="0044155B"/>
    <w:rsid w:val="00441672"/>
    <w:rsid w:val="004419BE"/>
    <w:rsid w:val="00441E88"/>
    <w:rsid w:val="0044202C"/>
    <w:rsid w:val="00442361"/>
    <w:rsid w:val="0044262C"/>
    <w:rsid w:val="00442965"/>
    <w:rsid w:val="00442996"/>
    <w:rsid w:val="00442B0D"/>
    <w:rsid w:val="00442C13"/>
    <w:rsid w:val="00442C61"/>
    <w:rsid w:val="00442D50"/>
    <w:rsid w:val="00442F5C"/>
    <w:rsid w:val="00442FB5"/>
    <w:rsid w:val="0044308A"/>
    <w:rsid w:val="00443160"/>
    <w:rsid w:val="00443270"/>
    <w:rsid w:val="0044336C"/>
    <w:rsid w:val="00443450"/>
    <w:rsid w:val="004439ED"/>
    <w:rsid w:val="00443D01"/>
    <w:rsid w:val="004447B1"/>
    <w:rsid w:val="00444879"/>
    <w:rsid w:val="00444B7A"/>
    <w:rsid w:val="00444C5B"/>
    <w:rsid w:val="00444CDD"/>
    <w:rsid w:val="00444D09"/>
    <w:rsid w:val="00444D5D"/>
    <w:rsid w:val="00444E5A"/>
    <w:rsid w:val="00444FFA"/>
    <w:rsid w:val="004450A2"/>
    <w:rsid w:val="0044535F"/>
    <w:rsid w:val="0044572E"/>
    <w:rsid w:val="004457D2"/>
    <w:rsid w:val="004458D1"/>
    <w:rsid w:val="00445A53"/>
    <w:rsid w:val="00445F1C"/>
    <w:rsid w:val="00446262"/>
    <w:rsid w:val="004463EC"/>
    <w:rsid w:val="004463FB"/>
    <w:rsid w:val="0044644D"/>
    <w:rsid w:val="00446535"/>
    <w:rsid w:val="004465C6"/>
    <w:rsid w:val="004469FE"/>
    <w:rsid w:val="00446A16"/>
    <w:rsid w:val="00446AAF"/>
    <w:rsid w:val="00446B5F"/>
    <w:rsid w:val="00446D51"/>
    <w:rsid w:val="00446E5A"/>
    <w:rsid w:val="004470E8"/>
    <w:rsid w:val="00447175"/>
    <w:rsid w:val="00447290"/>
    <w:rsid w:val="004473CB"/>
    <w:rsid w:val="004473D8"/>
    <w:rsid w:val="0044740D"/>
    <w:rsid w:val="004478FC"/>
    <w:rsid w:val="004479D1"/>
    <w:rsid w:val="00447C4E"/>
    <w:rsid w:val="00447D78"/>
    <w:rsid w:val="00447DC9"/>
    <w:rsid w:val="00447DCD"/>
    <w:rsid w:val="00447DF2"/>
    <w:rsid w:val="00447F08"/>
    <w:rsid w:val="0045010C"/>
    <w:rsid w:val="004504C0"/>
    <w:rsid w:val="004504DC"/>
    <w:rsid w:val="004505FF"/>
    <w:rsid w:val="004508BE"/>
    <w:rsid w:val="004509F8"/>
    <w:rsid w:val="00450A97"/>
    <w:rsid w:val="00450C34"/>
    <w:rsid w:val="00451442"/>
    <w:rsid w:val="00451501"/>
    <w:rsid w:val="004515AF"/>
    <w:rsid w:val="00451682"/>
    <w:rsid w:val="0045172A"/>
    <w:rsid w:val="00451753"/>
    <w:rsid w:val="00451884"/>
    <w:rsid w:val="00451A0E"/>
    <w:rsid w:val="00451C1A"/>
    <w:rsid w:val="00451CA7"/>
    <w:rsid w:val="00451D24"/>
    <w:rsid w:val="00451EE7"/>
    <w:rsid w:val="00452030"/>
    <w:rsid w:val="00452151"/>
    <w:rsid w:val="00452197"/>
    <w:rsid w:val="004521FD"/>
    <w:rsid w:val="00452204"/>
    <w:rsid w:val="004523C4"/>
    <w:rsid w:val="0045250A"/>
    <w:rsid w:val="004525E7"/>
    <w:rsid w:val="004526DD"/>
    <w:rsid w:val="0045289C"/>
    <w:rsid w:val="004528C4"/>
    <w:rsid w:val="004529B9"/>
    <w:rsid w:val="004529E3"/>
    <w:rsid w:val="00452D6B"/>
    <w:rsid w:val="00452E67"/>
    <w:rsid w:val="00452EA2"/>
    <w:rsid w:val="00452EE2"/>
    <w:rsid w:val="00453723"/>
    <w:rsid w:val="004537D1"/>
    <w:rsid w:val="00453AFE"/>
    <w:rsid w:val="00453D3E"/>
    <w:rsid w:val="00454154"/>
    <w:rsid w:val="004544B8"/>
    <w:rsid w:val="004546D0"/>
    <w:rsid w:val="004547FC"/>
    <w:rsid w:val="00454B5E"/>
    <w:rsid w:val="00454C25"/>
    <w:rsid w:val="00454D6A"/>
    <w:rsid w:val="00454F38"/>
    <w:rsid w:val="00454F45"/>
    <w:rsid w:val="0045514F"/>
    <w:rsid w:val="00455163"/>
    <w:rsid w:val="004551B2"/>
    <w:rsid w:val="00455219"/>
    <w:rsid w:val="00455368"/>
    <w:rsid w:val="004555A3"/>
    <w:rsid w:val="00455E39"/>
    <w:rsid w:val="00455EE8"/>
    <w:rsid w:val="00455F8B"/>
    <w:rsid w:val="0045629B"/>
    <w:rsid w:val="00456517"/>
    <w:rsid w:val="00456CC4"/>
    <w:rsid w:val="00456D25"/>
    <w:rsid w:val="00456DA6"/>
    <w:rsid w:val="00457140"/>
    <w:rsid w:val="00457284"/>
    <w:rsid w:val="00457454"/>
    <w:rsid w:val="0045752D"/>
    <w:rsid w:val="00457594"/>
    <w:rsid w:val="00457E0C"/>
    <w:rsid w:val="00457E4D"/>
    <w:rsid w:val="00457E8E"/>
    <w:rsid w:val="00460334"/>
    <w:rsid w:val="00460850"/>
    <w:rsid w:val="00460990"/>
    <w:rsid w:val="004609FC"/>
    <w:rsid w:val="00460A97"/>
    <w:rsid w:val="00460C7B"/>
    <w:rsid w:val="00460DB3"/>
    <w:rsid w:val="00460E40"/>
    <w:rsid w:val="00460EFA"/>
    <w:rsid w:val="00461211"/>
    <w:rsid w:val="004612EB"/>
    <w:rsid w:val="00461335"/>
    <w:rsid w:val="004613E7"/>
    <w:rsid w:val="004613F9"/>
    <w:rsid w:val="0046143A"/>
    <w:rsid w:val="00461578"/>
    <w:rsid w:val="0046179F"/>
    <w:rsid w:val="00461CB6"/>
    <w:rsid w:val="00461CBA"/>
    <w:rsid w:val="00462208"/>
    <w:rsid w:val="0046235B"/>
    <w:rsid w:val="0046240B"/>
    <w:rsid w:val="0046265C"/>
    <w:rsid w:val="004628E2"/>
    <w:rsid w:val="0046294C"/>
    <w:rsid w:val="00462A57"/>
    <w:rsid w:val="00462D0F"/>
    <w:rsid w:val="00462FF5"/>
    <w:rsid w:val="00463470"/>
    <w:rsid w:val="004635F6"/>
    <w:rsid w:val="0046364D"/>
    <w:rsid w:val="0046364F"/>
    <w:rsid w:val="00463A3E"/>
    <w:rsid w:val="00463D7E"/>
    <w:rsid w:val="00463E53"/>
    <w:rsid w:val="00463E91"/>
    <w:rsid w:val="00464185"/>
    <w:rsid w:val="0046443C"/>
    <w:rsid w:val="004644EC"/>
    <w:rsid w:val="00464504"/>
    <w:rsid w:val="0046459D"/>
    <w:rsid w:val="0046473C"/>
    <w:rsid w:val="00464896"/>
    <w:rsid w:val="00464A1F"/>
    <w:rsid w:val="00464A31"/>
    <w:rsid w:val="00464D11"/>
    <w:rsid w:val="00464EBD"/>
    <w:rsid w:val="00465038"/>
    <w:rsid w:val="00465308"/>
    <w:rsid w:val="00465786"/>
    <w:rsid w:val="004657C2"/>
    <w:rsid w:val="00465E2F"/>
    <w:rsid w:val="00465F3D"/>
    <w:rsid w:val="00465FF9"/>
    <w:rsid w:val="004663C9"/>
    <w:rsid w:val="00466406"/>
    <w:rsid w:val="0046641B"/>
    <w:rsid w:val="00466503"/>
    <w:rsid w:val="004668C0"/>
    <w:rsid w:val="0046690C"/>
    <w:rsid w:val="00466B14"/>
    <w:rsid w:val="00467206"/>
    <w:rsid w:val="0046786B"/>
    <w:rsid w:val="004679A1"/>
    <w:rsid w:val="00467C38"/>
    <w:rsid w:val="00467C40"/>
    <w:rsid w:val="0047018D"/>
    <w:rsid w:val="00470240"/>
    <w:rsid w:val="004702D0"/>
    <w:rsid w:val="0047054D"/>
    <w:rsid w:val="0047077C"/>
    <w:rsid w:val="00470952"/>
    <w:rsid w:val="00470ADD"/>
    <w:rsid w:val="00470C0A"/>
    <w:rsid w:val="00470F0A"/>
    <w:rsid w:val="00471114"/>
    <w:rsid w:val="004712F1"/>
    <w:rsid w:val="004713E7"/>
    <w:rsid w:val="004719EF"/>
    <w:rsid w:val="00471AAB"/>
    <w:rsid w:val="00471D5C"/>
    <w:rsid w:val="00471FC7"/>
    <w:rsid w:val="00472502"/>
    <w:rsid w:val="00472830"/>
    <w:rsid w:val="00472A5B"/>
    <w:rsid w:val="00472DB1"/>
    <w:rsid w:val="00472E1A"/>
    <w:rsid w:val="0047320F"/>
    <w:rsid w:val="0047329D"/>
    <w:rsid w:val="004732C5"/>
    <w:rsid w:val="004732C6"/>
    <w:rsid w:val="0047334D"/>
    <w:rsid w:val="00473AEE"/>
    <w:rsid w:val="00473D56"/>
    <w:rsid w:val="00473D8A"/>
    <w:rsid w:val="00473E62"/>
    <w:rsid w:val="0047421D"/>
    <w:rsid w:val="004745BC"/>
    <w:rsid w:val="00474645"/>
    <w:rsid w:val="00474673"/>
    <w:rsid w:val="00474758"/>
    <w:rsid w:val="004748CB"/>
    <w:rsid w:val="00474AFF"/>
    <w:rsid w:val="00474CC6"/>
    <w:rsid w:val="00474D2D"/>
    <w:rsid w:val="00474F6E"/>
    <w:rsid w:val="004752FF"/>
    <w:rsid w:val="0047544F"/>
    <w:rsid w:val="00475770"/>
    <w:rsid w:val="004757C5"/>
    <w:rsid w:val="00475B4E"/>
    <w:rsid w:val="00475C22"/>
    <w:rsid w:val="00475D25"/>
    <w:rsid w:val="00475D6B"/>
    <w:rsid w:val="00475E25"/>
    <w:rsid w:val="00475FF2"/>
    <w:rsid w:val="0047614C"/>
    <w:rsid w:val="00476334"/>
    <w:rsid w:val="004765B1"/>
    <w:rsid w:val="00476682"/>
    <w:rsid w:val="004768E8"/>
    <w:rsid w:val="00476D38"/>
    <w:rsid w:val="00476F64"/>
    <w:rsid w:val="004770B8"/>
    <w:rsid w:val="0047743F"/>
    <w:rsid w:val="00477679"/>
    <w:rsid w:val="004776EC"/>
    <w:rsid w:val="00477878"/>
    <w:rsid w:val="00477A34"/>
    <w:rsid w:val="00477D47"/>
    <w:rsid w:val="00477DFE"/>
    <w:rsid w:val="0048010F"/>
    <w:rsid w:val="0048030E"/>
    <w:rsid w:val="0048045A"/>
    <w:rsid w:val="0048046F"/>
    <w:rsid w:val="004805F2"/>
    <w:rsid w:val="0048070D"/>
    <w:rsid w:val="00480829"/>
    <w:rsid w:val="00480AA5"/>
    <w:rsid w:val="00480D86"/>
    <w:rsid w:val="00481136"/>
    <w:rsid w:val="004811AA"/>
    <w:rsid w:val="0048127E"/>
    <w:rsid w:val="0048153E"/>
    <w:rsid w:val="00481565"/>
    <w:rsid w:val="0048182B"/>
    <w:rsid w:val="00481A20"/>
    <w:rsid w:val="00481A2F"/>
    <w:rsid w:val="00481C48"/>
    <w:rsid w:val="00481CAB"/>
    <w:rsid w:val="00481EDB"/>
    <w:rsid w:val="004821DB"/>
    <w:rsid w:val="00482695"/>
    <w:rsid w:val="0048295A"/>
    <w:rsid w:val="00482ED1"/>
    <w:rsid w:val="00482FBC"/>
    <w:rsid w:val="004833E0"/>
    <w:rsid w:val="00483590"/>
    <w:rsid w:val="004838D2"/>
    <w:rsid w:val="00483ED6"/>
    <w:rsid w:val="004841B4"/>
    <w:rsid w:val="004844DB"/>
    <w:rsid w:val="004844EA"/>
    <w:rsid w:val="0048483E"/>
    <w:rsid w:val="00484891"/>
    <w:rsid w:val="00484A99"/>
    <w:rsid w:val="00484C66"/>
    <w:rsid w:val="00484E87"/>
    <w:rsid w:val="00485161"/>
    <w:rsid w:val="00485331"/>
    <w:rsid w:val="004857E0"/>
    <w:rsid w:val="00485A08"/>
    <w:rsid w:val="00485A6B"/>
    <w:rsid w:val="00485C9B"/>
    <w:rsid w:val="00486052"/>
    <w:rsid w:val="00486071"/>
    <w:rsid w:val="0048617E"/>
    <w:rsid w:val="0048636D"/>
    <w:rsid w:val="0048643C"/>
    <w:rsid w:val="00486486"/>
    <w:rsid w:val="004864EA"/>
    <w:rsid w:val="004866A0"/>
    <w:rsid w:val="00486AED"/>
    <w:rsid w:val="00486C07"/>
    <w:rsid w:val="00486CA9"/>
    <w:rsid w:val="00486DDC"/>
    <w:rsid w:val="00486EA3"/>
    <w:rsid w:val="004872BC"/>
    <w:rsid w:val="0048740D"/>
    <w:rsid w:val="0048750B"/>
    <w:rsid w:val="00487690"/>
    <w:rsid w:val="0049003F"/>
    <w:rsid w:val="00490275"/>
    <w:rsid w:val="0049052C"/>
    <w:rsid w:val="0049069B"/>
    <w:rsid w:val="00490749"/>
    <w:rsid w:val="00490831"/>
    <w:rsid w:val="00490848"/>
    <w:rsid w:val="0049099A"/>
    <w:rsid w:val="00490DEC"/>
    <w:rsid w:val="0049103D"/>
    <w:rsid w:val="00491327"/>
    <w:rsid w:val="00491471"/>
    <w:rsid w:val="00491832"/>
    <w:rsid w:val="00491A08"/>
    <w:rsid w:val="00491E6E"/>
    <w:rsid w:val="00491F68"/>
    <w:rsid w:val="00491FF6"/>
    <w:rsid w:val="0049230B"/>
    <w:rsid w:val="004923E1"/>
    <w:rsid w:val="0049249D"/>
    <w:rsid w:val="0049251C"/>
    <w:rsid w:val="004927FE"/>
    <w:rsid w:val="004928C7"/>
    <w:rsid w:val="00493051"/>
    <w:rsid w:val="0049366C"/>
    <w:rsid w:val="004936C2"/>
    <w:rsid w:val="00493950"/>
    <w:rsid w:val="00493B1C"/>
    <w:rsid w:val="00493C6B"/>
    <w:rsid w:val="00493C82"/>
    <w:rsid w:val="004943BA"/>
    <w:rsid w:val="00494ACD"/>
    <w:rsid w:val="004951A6"/>
    <w:rsid w:val="004953A0"/>
    <w:rsid w:val="004956AD"/>
    <w:rsid w:val="0049573A"/>
    <w:rsid w:val="00495A15"/>
    <w:rsid w:val="00495CFD"/>
    <w:rsid w:val="00495DEE"/>
    <w:rsid w:val="00495FC4"/>
    <w:rsid w:val="0049633B"/>
    <w:rsid w:val="004963E7"/>
    <w:rsid w:val="004965DD"/>
    <w:rsid w:val="004965FA"/>
    <w:rsid w:val="0049665C"/>
    <w:rsid w:val="004966C7"/>
    <w:rsid w:val="004966D7"/>
    <w:rsid w:val="00496839"/>
    <w:rsid w:val="00496850"/>
    <w:rsid w:val="00496886"/>
    <w:rsid w:val="00496A22"/>
    <w:rsid w:val="00496BAC"/>
    <w:rsid w:val="00496BD5"/>
    <w:rsid w:val="00496D11"/>
    <w:rsid w:val="00496E52"/>
    <w:rsid w:val="00497113"/>
    <w:rsid w:val="00497215"/>
    <w:rsid w:val="00497308"/>
    <w:rsid w:val="00497425"/>
    <w:rsid w:val="004975C0"/>
    <w:rsid w:val="0049761E"/>
    <w:rsid w:val="00497D32"/>
    <w:rsid w:val="00497D49"/>
    <w:rsid w:val="00497E33"/>
    <w:rsid w:val="00497F50"/>
    <w:rsid w:val="004A0149"/>
    <w:rsid w:val="004A0188"/>
    <w:rsid w:val="004A053D"/>
    <w:rsid w:val="004A0797"/>
    <w:rsid w:val="004A0866"/>
    <w:rsid w:val="004A0E5D"/>
    <w:rsid w:val="004A0E98"/>
    <w:rsid w:val="004A1200"/>
    <w:rsid w:val="004A12D4"/>
    <w:rsid w:val="004A130B"/>
    <w:rsid w:val="004A13FB"/>
    <w:rsid w:val="004A1446"/>
    <w:rsid w:val="004A144A"/>
    <w:rsid w:val="004A1549"/>
    <w:rsid w:val="004A184A"/>
    <w:rsid w:val="004A192A"/>
    <w:rsid w:val="004A1998"/>
    <w:rsid w:val="004A1A49"/>
    <w:rsid w:val="004A1B4C"/>
    <w:rsid w:val="004A1CA3"/>
    <w:rsid w:val="004A1CDB"/>
    <w:rsid w:val="004A1EC6"/>
    <w:rsid w:val="004A1F8D"/>
    <w:rsid w:val="004A20CE"/>
    <w:rsid w:val="004A211C"/>
    <w:rsid w:val="004A2591"/>
    <w:rsid w:val="004A2B02"/>
    <w:rsid w:val="004A2CA3"/>
    <w:rsid w:val="004A30F1"/>
    <w:rsid w:val="004A31D7"/>
    <w:rsid w:val="004A338B"/>
    <w:rsid w:val="004A3643"/>
    <w:rsid w:val="004A384D"/>
    <w:rsid w:val="004A39F7"/>
    <w:rsid w:val="004A3ABC"/>
    <w:rsid w:val="004A3B27"/>
    <w:rsid w:val="004A3CB4"/>
    <w:rsid w:val="004A3EC9"/>
    <w:rsid w:val="004A3EF5"/>
    <w:rsid w:val="004A4043"/>
    <w:rsid w:val="004A423A"/>
    <w:rsid w:val="004A4268"/>
    <w:rsid w:val="004A4319"/>
    <w:rsid w:val="004A45D3"/>
    <w:rsid w:val="004A462A"/>
    <w:rsid w:val="004A46B4"/>
    <w:rsid w:val="004A470B"/>
    <w:rsid w:val="004A4F69"/>
    <w:rsid w:val="004A504D"/>
    <w:rsid w:val="004A551C"/>
    <w:rsid w:val="004A5998"/>
    <w:rsid w:val="004A5B99"/>
    <w:rsid w:val="004A63A6"/>
    <w:rsid w:val="004A6451"/>
    <w:rsid w:val="004A665F"/>
    <w:rsid w:val="004A6BC1"/>
    <w:rsid w:val="004A6C5F"/>
    <w:rsid w:val="004A6FED"/>
    <w:rsid w:val="004A71AB"/>
    <w:rsid w:val="004A738E"/>
    <w:rsid w:val="004A76D3"/>
    <w:rsid w:val="004A7741"/>
    <w:rsid w:val="004A789B"/>
    <w:rsid w:val="004A78A7"/>
    <w:rsid w:val="004A7E9D"/>
    <w:rsid w:val="004A7EFB"/>
    <w:rsid w:val="004B020D"/>
    <w:rsid w:val="004B03F5"/>
    <w:rsid w:val="004B06E3"/>
    <w:rsid w:val="004B0B24"/>
    <w:rsid w:val="004B0B2A"/>
    <w:rsid w:val="004B0C43"/>
    <w:rsid w:val="004B0ED9"/>
    <w:rsid w:val="004B0FC9"/>
    <w:rsid w:val="004B11E6"/>
    <w:rsid w:val="004B1260"/>
    <w:rsid w:val="004B1320"/>
    <w:rsid w:val="004B1449"/>
    <w:rsid w:val="004B14F5"/>
    <w:rsid w:val="004B176F"/>
    <w:rsid w:val="004B17C0"/>
    <w:rsid w:val="004B2261"/>
    <w:rsid w:val="004B23B9"/>
    <w:rsid w:val="004B23CF"/>
    <w:rsid w:val="004B253D"/>
    <w:rsid w:val="004B27E1"/>
    <w:rsid w:val="004B2852"/>
    <w:rsid w:val="004B2B6D"/>
    <w:rsid w:val="004B2D1E"/>
    <w:rsid w:val="004B2DF2"/>
    <w:rsid w:val="004B2DF6"/>
    <w:rsid w:val="004B3057"/>
    <w:rsid w:val="004B310B"/>
    <w:rsid w:val="004B34A2"/>
    <w:rsid w:val="004B376A"/>
    <w:rsid w:val="004B3BF4"/>
    <w:rsid w:val="004B3D67"/>
    <w:rsid w:val="004B3D74"/>
    <w:rsid w:val="004B3DB6"/>
    <w:rsid w:val="004B3DC8"/>
    <w:rsid w:val="004B3F52"/>
    <w:rsid w:val="004B40BE"/>
    <w:rsid w:val="004B4189"/>
    <w:rsid w:val="004B41FE"/>
    <w:rsid w:val="004B44A4"/>
    <w:rsid w:val="004B451A"/>
    <w:rsid w:val="004B47D9"/>
    <w:rsid w:val="004B48A1"/>
    <w:rsid w:val="004B4903"/>
    <w:rsid w:val="004B4C0B"/>
    <w:rsid w:val="004B4C19"/>
    <w:rsid w:val="004B4E83"/>
    <w:rsid w:val="004B4FC6"/>
    <w:rsid w:val="004B5117"/>
    <w:rsid w:val="004B5622"/>
    <w:rsid w:val="004B5842"/>
    <w:rsid w:val="004B589B"/>
    <w:rsid w:val="004B5965"/>
    <w:rsid w:val="004B5E57"/>
    <w:rsid w:val="004B6138"/>
    <w:rsid w:val="004B62A7"/>
    <w:rsid w:val="004B6363"/>
    <w:rsid w:val="004B6714"/>
    <w:rsid w:val="004B6A32"/>
    <w:rsid w:val="004B6C73"/>
    <w:rsid w:val="004B6ED9"/>
    <w:rsid w:val="004B72AA"/>
    <w:rsid w:val="004B734C"/>
    <w:rsid w:val="004B762F"/>
    <w:rsid w:val="004B7831"/>
    <w:rsid w:val="004C01F8"/>
    <w:rsid w:val="004C03ED"/>
    <w:rsid w:val="004C051B"/>
    <w:rsid w:val="004C0545"/>
    <w:rsid w:val="004C0BB9"/>
    <w:rsid w:val="004C0BF9"/>
    <w:rsid w:val="004C0CCC"/>
    <w:rsid w:val="004C1439"/>
    <w:rsid w:val="004C150F"/>
    <w:rsid w:val="004C15FC"/>
    <w:rsid w:val="004C1693"/>
    <w:rsid w:val="004C16DD"/>
    <w:rsid w:val="004C1747"/>
    <w:rsid w:val="004C20DB"/>
    <w:rsid w:val="004C294E"/>
    <w:rsid w:val="004C2B36"/>
    <w:rsid w:val="004C2DC3"/>
    <w:rsid w:val="004C2F6A"/>
    <w:rsid w:val="004C303E"/>
    <w:rsid w:val="004C32C6"/>
    <w:rsid w:val="004C3460"/>
    <w:rsid w:val="004C36AF"/>
    <w:rsid w:val="004C39B0"/>
    <w:rsid w:val="004C3AAE"/>
    <w:rsid w:val="004C4200"/>
    <w:rsid w:val="004C4260"/>
    <w:rsid w:val="004C4757"/>
    <w:rsid w:val="004C4813"/>
    <w:rsid w:val="004C48DA"/>
    <w:rsid w:val="004C4995"/>
    <w:rsid w:val="004C499A"/>
    <w:rsid w:val="004C4DF7"/>
    <w:rsid w:val="004C5330"/>
    <w:rsid w:val="004C5437"/>
    <w:rsid w:val="004C544F"/>
    <w:rsid w:val="004C54C6"/>
    <w:rsid w:val="004C552A"/>
    <w:rsid w:val="004C5B0C"/>
    <w:rsid w:val="004C5C08"/>
    <w:rsid w:val="004C5D6B"/>
    <w:rsid w:val="004C5D77"/>
    <w:rsid w:val="004C5DA6"/>
    <w:rsid w:val="004C6110"/>
    <w:rsid w:val="004C6144"/>
    <w:rsid w:val="004C624F"/>
    <w:rsid w:val="004C6274"/>
    <w:rsid w:val="004C62DF"/>
    <w:rsid w:val="004C62E7"/>
    <w:rsid w:val="004C634C"/>
    <w:rsid w:val="004C6365"/>
    <w:rsid w:val="004C665B"/>
    <w:rsid w:val="004C66E3"/>
    <w:rsid w:val="004C66EC"/>
    <w:rsid w:val="004C6903"/>
    <w:rsid w:val="004C693D"/>
    <w:rsid w:val="004C69A6"/>
    <w:rsid w:val="004C69DC"/>
    <w:rsid w:val="004C6AFB"/>
    <w:rsid w:val="004C6BAC"/>
    <w:rsid w:val="004C6BCB"/>
    <w:rsid w:val="004C6D0C"/>
    <w:rsid w:val="004C7162"/>
    <w:rsid w:val="004C7211"/>
    <w:rsid w:val="004C73E4"/>
    <w:rsid w:val="004C7604"/>
    <w:rsid w:val="004C764D"/>
    <w:rsid w:val="004C78A0"/>
    <w:rsid w:val="004C78EB"/>
    <w:rsid w:val="004C78F5"/>
    <w:rsid w:val="004C79CF"/>
    <w:rsid w:val="004C79E5"/>
    <w:rsid w:val="004C7BF4"/>
    <w:rsid w:val="004D00DD"/>
    <w:rsid w:val="004D01DE"/>
    <w:rsid w:val="004D02DD"/>
    <w:rsid w:val="004D0423"/>
    <w:rsid w:val="004D07E9"/>
    <w:rsid w:val="004D090D"/>
    <w:rsid w:val="004D0A49"/>
    <w:rsid w:val="004D0C8C"/>
    <w:rsid w:val="004D0CD6"/>
    <w:rsid w:val="004D114F"/>
    <w:rsid w:val="004D133B"/>
    <w:rsid w:val="004D13C7"/>
    <w:rsid w:val="004D18DE"/>
    <w:rsid w:val="004D1A32"/>
    <w:rsid w:val="004D1F9F"/>
    <w:rsid w:val="004D2203"/>
    <w:rsid w:val="004D26A1"/>
    <w:rsid w:val="004D28CB"/>
    <w:rsid w:val="004D291B"/>
    <w:rsid w:val="004D2980"/>
    <w:rsid w:val="004D2A41"/>
    <w:rsid w:val="004D2C19"/>
    <w:rsid w:val="004D305F"/>
    <w:rsid w:val="004D3139"/>
    <w:rsid w:val="004D3398"/>
    <w:rsid w:val="004D353D"/>
    <w:rsid w:val="004D37B8"/>
    <w:rsid w:val="004D39B8"/>
    <w:rsid w:val="004D3A94"/>
    <w:rsid w:val="004D3B79"/>
    <w:rsid w:val="004D400B"/>
    <w:rsid w:val="004D408E"/>
    <w:rsid w:val="004D42DB"/>
    <w:rsid w:val="004D4AB6"/>
    <w:rsid w:val="004D4B32"/>
    <w:rsid w:val="004D4BCF"/>
    <w:rsid w:val="004D4D83"/>
    <w:rsid w:val="004D504A"/>
    <w:rsid w:val="004D512A"/>
    <w:rsid w:val="004D51FD"/>
    <w:rsid w:val="004D5583"/>
    <w:rsid w:val="004D55BB"/>
    <w:rsid w:val="004D5BFC"/>
    <w:rsid w:val="004D5D43"/>
    <w:rsid w:val="004D61C8"/>
    <w:rsid w:val="004D61E2"/>
    <w:rsid w:val="004D6476"/>
    <w:rsid w:val="004D689C"/>
    <w:rsid w:val="004D68F6"/>
    <w:rsid w:val="004D6C56"/>
    <w:rsid w:val="004D6D0E"/>
    <w:rsid w:val="004D6EFE"/>
    <w:rsid w:val="004D6F60"/>
    <w:rsid w:val="004D7220"/>
    <w:rsid w:val="004D7372"/>
    <w:rsid w:val="004D74A8"/>
    <w:rsid w:val="004D7A27"/>
    <w:rsid w:val="004D7AAD"/>
    <w:rsid w:val="004D7FB0"/>
    <w:rsid w:val="004E005C"/>
    <w:rsid w:val="004E0089"/>
    <w:rsid w:val="004E0182"/>
    <w:rsid w:val="004E02BB"/>
    <w:rsid w:val="004E08BF"/>
    <w:rsid w:val="004E091B"/>
    <w:rsid w:val="004E0C98"/>
    <w:rsid w:val="004E0C9A"/>
    <w:rsid w:val="004E0F61"/>
    <w:rsid w:val="004E1837"/>
    <w:rsid w:val="004E18D0"/>
    <w:rsid w:val="004E1D72"/>
    <w:rsid w:val="004E1E28"/>
    <w:rsid w:val="004E232E"/>
    <w:rsid w:val="004E2354"/>
    <w:rsid w:val="004E29C0"/>
    <w:rsid w:val="004E2BCF"/>
    <w:rsid w:val="004E2DBD"/>
    <w:rsid w:val="004E33B8"/>
    <w:rsid w:val="004E38EE"/>
    <w:rsid w:val="004E38F0"/>
    <w:rsid w:val="004E3912"/>
    <w:rsid w:val="004E3AC5"/>
    <w:rsid w:val="004E3BE9"/>
    <w:rsid w:val="004E40C9"/>
    <w:rsid w:val="004E4695"/>
    <w:rsid w:val="004E47C0"/>
    <w:rsid w:val="004E4EB6"/>
    <w:rsid w:val="004E5090"/>
    <w:rsid w:val="004E50D5"/>
    <w:rsid w:val="004E5105"/>
    <w:rsid w:val="004E5C5E"/>
    <w:rsid w:val="004E5CD4"/>
    <w:rsid w:val="004E61AA"/>
    <w:rsid w:val="004E6585"/>
    <w:rsid w:val="004E65B5"/>
    <w:rsid w:val="004E6689"/>
    <w:rsid w:val="004E67C7"/>
    <w:rsid w:val="004E6989"/>
    <w:rsid w:val="004E69E7"/>
    <w:rsid w:val="004E6A57"/>
    <w:rsid w:val="004E6BF0"/>
    <w:rsid w:val="004E6C00"/>
    <w:rsid w:val="004E6D65"/>
    <w:rsid w:val="004E6F15"/>
    <w:rsid w:val="004E746E"/>
    <w:rsid w:val="004E74F6"/>
    <w:rsid w:val="004E7913"/>
    <w:rsid w:val="004E7B1C"/>
    <w:rsid w:val="004E7DA2"/>
    <w:rsid w:val="004E7E22"/>
    <w:rsid w:val="004F00F1"/>
    <w:rsid w:val="004F0151"/>
    <w:rsid w:val="004F0769"/>
    <w:rsid w:val="004F0C76"/>
    <w:rsid w:val="004F1204"/>
    <w:rsid w:val="004F134F"/>
    <w:rsid w:val="004F1906"/>
    <w:rsid w:val="004F1918"/>
    <w:rsid w:val="004F1BE8"/>
    <w:rsid w:val="004F1F19"/>
    <w:rsid w:val="004F1F38"/>
    <w:rsid w:val="004F1F3E"/>
    <w:rsid w:val="004F264C"/>
    <w:rsid w:val="004F2916"/>
    <w:rsid w:val="004F2F40"/>
    <w:rsid w:val="004F30A3"/>
    <w:rsid w:val="004F3464"/>
    <w:rsid w:val="004F3707"/>
    <w:rsid w:val="004F38A3"/>
    <w:rsid w:val="004F3F84"/>
    <w:rsid w:val="004F40D4"/>
    <w:rsid w:val="004F440A"/>
    <w:rsid w:val="004F44CB"/>
    <w:rsid w:val="004F45FA"/>
    <w:rsid w:val="004F47B1"/>
    <w:rsid w:val="004F49BF"/>
    <w:rsid w:val="004F4AEF"/>
    <w:rsid w:val="004F516F"/>
    <w:rsid w:val="004F563A"/>
    <w:rsid w:val="004F57E0"/>
    <w:rsid w:val="004F57E6"/>
    <w:rsid w:val="004F591D"/>
    <w:rsid w:val="004F5959"/>
    <w:rsid w:val="004F5DDB"/>
    <w:rsid w:val="004F617A"/>
    <w:rsid w:val="004F650D"/>
    <w:rsid w:val="004F66B8"/>
    <w:rsid w:val="004F689B"/>
    <w:rsid w:val="004F68DB"/>
    <w:rsid w:val="004F6983"/>
    <w:rsid w:val="004F6B22"/>
    <w:rsid w:val="004F6CB7"/>
    <w:rsid w:val="004F6E30"/>
    <w:rsid w:val="004F72BB"/>
    <w:rsid w:val="004F73C1"/>
    <w:rsid w:val="004F7890"/>
    <w:rsid w:val="004F7A6D"/>
    <w:rsid w:val="004F7CC7"/>
    <w:rsid w:val="004F7DD9"/>
    <w:rsid w:val="004F7FC1"/>
    <w:rsid w:val="00500010"/>
    <w:rsid w:val="00500300"/>
    <w:rsid w:val="00500474"/>
    <w:rsid w:val="00500558"/>
    <w:rsid w:val="00500566"/>
    <w:rsid w:val="00500766"/>
    <w:rsid w:val="00500818"/>
    <w:rsid w:val="00500830"/>
    <w:rsid w:val="005008C2"/>
    <w:rsid w:val="005009F9"/>
    <w:rsid w:val="00500BCD"/>
    <w:rsid w:val="00500E8E"/>
    <w:rsid w:val="00501228"/>
    <w:rsid w:val="00501495"/>
    <w:rsid w:val="00501655"/>
    <w:rsid w:val="005016E4"/>
    <w:rsid w:val="00501718"/>
    <w:rsid w:val="00501B60"/>
    <w:rsid w:val="00501C9F"/>
    <w:rsid w:val="00501EA6"/>
    <w:rsid w:val="00502012"/>
    <w:rsid w:val="00502097"/>
    <w:rsid w:val="00502103"/>
    <w:rsid w:val="0050221C"/>
    <w:rsid w:val="00502536"/>
    <w:rsid w:val="00502813"/>
    <w:rsid w:val="00502C52"/>
    <w:rsid w:val="00502E81"/>
    <w:rsid w:val="00502E9B"/>
    <w:rsid w:val="00503134"/>
    <w:rsid w:val="005033C1"/>
    <w:rsid w:val="005034A0"/>
    <w:rsid w:val="00503E05"/>
    <w:rsid w:val="005040ED"/>
    <w:rsid w:val="00504293"/>
    <w:rsid w:val="00504474"/>
    <w:rsid w:val="00504575"/>
    <w:rsid w:val="005045BF"/>
    <w:rsid w:val="0050486C"/>
    <w:rsid w:val="00504896"/>
    <w:rsid w:val="0050494A"/>
    <w:rsid w:val="005049FE"/>
    <w:rsid w:val="00504A6A"/>
    <w:rsid w:val="00504B97"/>
    <w:rsid w:val="00504D79"/>
    <w:rsid w:val="00504EA8"/>
    <w:rsid w:val="00505026"/>
    <w:rsid w:val="00505198"/>
    <w:rsid w:val="00505248"/>
    <w:rsid w:val="00505737"/>
    <w:rsid w:val="00505A65"/>
    <w:rsid w:val="00505B52"/>
    <w:rsid w:val="00505DB9"/>
    <w:rsid w:val="00505EB6"/>
    <w:rsid w:val="0050608F"/>
    <w:rsid w:val="0050619F"/>
    <w:rsid w:val="00506233"/>
    <w:rsid w:val="005064D7"/>
    <w:rsid w:val="005067B2"/>
    <w:rsid w:val="0050692E"/>
    <w:rsid w:val="00506BF2"/>
    <w:rsid w:val="00506C26"/>
    <w:rsid w:val="00506CC5"/>
    <w:rsid w:val="00506D42"/>
    <w:rsid w:val="00507103"/>
    <w:rsid w:val="00507225"/>
    <w:rsid w:val="005079A3"/>
    <w:rsid w:val="00507A11"/>
    <w:rsid w:val="00507CE7"/>
    <w:rsid w:val="00507DBF"/>
    <w:rsid w:val="00507FB8"/>
    <w:rsid w:val="00507FC2"/>
    <w:rsid w:val="0051001D"/>
    <w:rsid w:val="0051006F"/>
    <w:rsid w:val="0051024C"/>
    <w:rsid w:val="00510453"/>
    <w:rsid w:val="0051045B"/>
    <w:rsid w:val="00510B66"/>
    <w:rsid w:val="00510C72"/>
    <w:rsid w:val="00510F67"/>
    <w:rsid w:val="005110D6"/>
    <w:rsid w:val="0051120D"/>
    <w:rsid w:val="0051150A"/>
    <w:rsid w:val="00511CA1"/>
    <w:rsid w:val="00511EB6"/>
    <w:rsid w:val="00511EEB"/>
    <w:rsid w:val="0051243B"/>
    <w:rsid w:val="005126DC"/>
    <w:rsid w:val="005127FF"/>
    <w:rsid w:val="00512A0C"/>
    <w:rsid w:val="00512A32"/>
    <w:rsid w:val="00512A46"/>
    <w:rsid w:val="00512B30"/>
    <w:rsid w:val="00512D31"/>
    <w:rsid w:val="00512D8C"/>
    <w:rsid w:val="00512E84"/>
    <w:rsid w:val="00513062"/>
    <w:rsid w:val="005133EB"/>
    <w:rsid w:val="00513419"/>
    <w:rsid w:val="00513442"/>
    <w:rsid w:val="00513B9C"/>
    <w:rsid w:val="00513BE7"/>
    <w:rsid w:val="00513CA6"/>
    <w:rsid w:val="00513D3B"/>
    <w:rsid w:val="00513EA1"/>
    <w:rsid w:val="005145A8"/>
    <w:rsid w:val="00514612"/>
    <w:rsid w:val="00514792"/>
    <w:rsid w:val="0051493C"/>
    <w:rsid w:val="00514A5D"/>
    <w:rsid w:val="00514CAE"/>
    <w:rsid w:val="00514D11"/>
    <w:rsid w:val="00514E76"/>
    <w:rsid w:val="00514FD7"/>
    <w:rsid w:val="00515063"/>
    <w:rsid w:val="0051518D"/>
    <w:rsid w:val="005151E5"/>
    <w:rsid w:val="005151FA"/>
    <w:rsid w:val="0051526E"/>
    <w:rsid w:val="005152E2"/>
    <w:rsid w:val="005154FD"/>
    <w:rsid w:val="00515757"/>
    <w:rsid w:val="005157BE"/>
    <w:rsid w:val="005159AD"/>
    <w:rsid w:val="00515D3A"/>
    <w:rsid w:val="00515E09"/>
    <w:rsid w:val="00515F7D"/>
    <w:rsid w:val="00516177"/>
    <w:rsid w:val="00516319"/>
    <w:rsid w:val="0051637C"/>
    <w:rsid w:val="005164C4"/>
    <w:rsid w:val="00516614"/>
    <w:rsid w:val="00516716"/>
    <w:rsid w:val="005169D7"/>
    <w:rsid w:val="00516ACE"/>
    <w:rsid w:val="00516C0F"/>
    <w:rsid w:val="00516C93"/>
    <w:rsid w:val="00516EE9"/>
    <w:rsid w:val="00516F2D"/>
    <w:rsid w:val="0051712C"/>
    <w:rsid w:val="00517141"/>
    <w:rsid w:val="00517839"/>
    <w:rsid w:val="00517B87"/>
    <w:rsid w:val="00517C4C"/>
    <w:rsid w:val="0052049B"/>
    <w:rsid w:val="005204C0"/>
    <w:rsid w:val="005205F1"/>
    <w:rsid w:val="00520698"/>
    <w:rsid w:val="005206E9"/>
    <w:rsid w:val="005206FC"/>
    <w:rsid w:val="0052083C"/>
    <w:rsid w:val="00520BAC"/>
    <w:rsid w:val="00520D5E"/>
    <w:rsid w:val="00520D98"/>
    <w:rsid w:val="00520F3D"/>
    <w:rsid w:val="00520FEB"/>
    <w:rsid w:val="00521255"/>
    <w:rsid w:val="0052135A"/>
    <w:rsid w:val="00521466"/>
    <w:rsid w:val="005216C4"/>
    <w:rsid w:val="00521B61"/>
    <w:rsid w:val="00521D75"/>
    <w:rsid w:val="0052249C"/>
    <w:rsid w:val="005224FC"/>
    <w:rsid w:val="00522515"/>
    <w:rsid w:val="00522689"/>
    <w:rsid w:val="00522A10"/>
    <w:rsid w:val="00522A6F"/>
    <w:rsid w:val="00522B73"/>
    <w:rsid w:val="00522B7E"/>
    <w:rsid w:val="00522C26"/>
    <w:rsid w:val="00522D6E"/>
    <w:rsid w:val="00522F40"/>
    <w:rsid w:val="00523423"/>
    <w:rsid w:val="005234CA"/>
    <w:rsid w:val="005235BD"/>
    <w:rsid w:val="0052364D"/>
    <w:rsid w:val="005236C0"/>
    <w:rsid w:val="005236F8"/>
    <w:rsid w:val="00523793"/>
    <w:rsid w:val="00523AC7"/>
    <w:rsid w:val="00523B20"/>
    <w:rsid w:val="00523B61"/>
    <w:rsid w:val="00523BAF"/>
    <w:rsid w:val="0052435B"/>
    <w:rsid w:val="0052450B"/>
    <w:rsid w:val="0052461C"/>
    <w:rsid w:val="00524713"/>
    <w:rsid w:val="00525519"/>
    <w:rsid w:val="00525646"/>
    <w:rsid w:val="00525DC9"/>
    <w:rsid w:val="00526140"/>
    <w:rsid w:val="0052636A"/>
    <w:rsid w:val="0052638A"/>
    <w:rsid w:val="00526478"/>
    <w:rsid w:val="00526593"/>
    <w:rsid w:val="0052666B"/>
    <w:rsid w:val="005267BF"/>
    <w:rsid w:val="0052695C"/>
    <w:rsid w:val="00526F0B"/>
    <w:rsid w:val="00526FB6"/>
    <w:rsid w:val="00527005"/>
    <w:rsid w:val="005270A2"/>
    <w:rsid w:val="0052727D"/>
    <w:rsid w:val="005273ED"/>
    <w:rsid w:val="005277AE"/>
    <w:rsid w:val="00527851"/>
    <w:rsid w:val="00527C13"/>
    <w:rsid w:val="00527CBE"/>
    <w:rsid w:val="00527F80"/>
    <w:rsid w:val="00527FF2"/>
    <w:rsid w:val="00530006"/>
    <w:rsid w:val="005301BE"/>
    <w:rsid w:val="005302F2"/>
    <w:rsid w:val="005303C0"/>
    <w:rsid w:val="00530722"/>
    <w:rsid w:val="00530B44"/>
    <w:rsid w:val="00530BAE"/>
    <w:rsid w:val="00530C54"/>
    <w:rsid w:val="00531083"/>
    <w:rsid w:val="005313CF"/>
    <w:rsid w:val="00531749"/>
    <w:rsid w:val="005317F0"/>
    <w:rsid w:val="005318EB"/>
    <w:rsid w:val="005319F4"/>
    <w:rsid w:val="00531C88"/>
    <w:rsid w:val="00531CBF"/>
    <w:rsid w:val="00531EE1"/>
    <w:rsid w:val="00531FBC"/>
    <w:rsid w:val="0053216B"/>
    <w:rsid w:val="00532250"/>
    <w:rsid w:val="005325A9"/>
    <w:rsid w:val="005325F5"/>
    <w:rsid w:val="005327A9"/>
    <w:rsid w:val="0053288D"/>
    <w:rsid w:val="0053325D"/>
    <w:rsid w:val="005333BC"/>
    <w:rsid w:val="00533467"/>
    <w:rsid w:val="00533A64"/>
    <w:rsid w:val="00533CE6"/>
    <w:rsid w:val="00533DCD"/>
    <w:rsid w:val="0053403A"/>
    <w:rsid w:val="0053403E"/>
    <w:rsid w:val="00534087"/>
    <w:rsid w:val="0053417F"/>
    <w:rsid w:val="005344A3"/>
    <w:rsid w:val="00534565"/>
    <w:rsid w:val="00534986"/>
    <w:rsid w:val="00534A6C"/>
    <w:rsid w:val="00534AC1"/>
    <w:rsid w:val="00534AE2"/>
    <w:rsid w:val="00534D1E"/>
    <w:rsid w:val="00534DA3"/>
    <w:rsid w:val="005354BB"/>
    <w:rsid w:val="00535509"/>
    <w:rsid w:val="00535514"/>
    <w:rsid w:val="00535647"/>
    <w:rsid w:val="005356E5"/>
    <w:rsid w:val="005359A8"/>
    <w:rsid w:val="00535A26"/>
    <w:rsid w:val="00535A4D"/>
    <w:rsid w:val="00535AAE"/>
    <w:rsid w:val="00535CB7"/>
    <w:rsid w:val="00535D5D"/>
    <w:rsid w:val="00535ED3"/>
    <w:rsid w:val="005361BE"/>
    <w:rsid w:val="005361EB"/>
    <w:rsid w:val="00536278"/>
    <w:rsid w:val="005362B0"/>
    <w:rsid w:val="0053644F"/>
    <w:rsid w:val="00536538"/>
    <w:rsid w:val="00536A63"/>
    <w:rsid w:val="00536AD1"/>
    <w:rsid w:val="00536BA9"/>
    <w:rsid w:val="00536D6C"/>
    <w:rsid w:val="0053715B"/>
    <w:rsid w:val="0053717F"/>
    <w:rsid w:val="00537496"/>
    <w:rsid w:val="005374CF"/>
    <w:rsid w:val="00537558"/>
    <w:rsid w:val="00537689"/>
    <w:rsid w:val="005376A1"/>
    <w:rsid w:val="005376E9"/>
    <w:rsid w:val="00537853"/>
    <w:rsid w:val="005378DB"/>
    <w:rsid w:val="00537D9E"/>
    <w:rsid w:val="00540110"/>
    <w:rsid w:val="00540191"/>
    <w:rsid w:val="00540283"/>
    <w:rsid w:val="005407DA"/>
    <w:rsid w:val="00540BF8"/>
    <w:rsid w:val="00540FA0"/>
    <w:rsid w:val="00540FF3"/>
    <w:rsid w:val="00541112"/>
    <w:rsid w:val="005411AF"/>
    <w:rsid w:val="00541452"/>
    <w:rsid w:val="005414F5"/>
    <w:rsid w:val="00541638"/>
    <w:rsid w:val="0054164C"/>
    <w:rsid w:val="00541770"/>
    <w:rsid w:val="0054185A"/>
    <w:rsid w:val="005419E7"/>
    <w:rsid w:val="00541BDD"/>
    <w:rsid w:val="00541C1F"/>
    <w:rsid w:val="00541DC9"/>
    <w:rsid w:val="0054208A"/>
    <w:rsid w:val="00542140"/>
    <w:rsid w:val="00542595"/>
    <w:rsid w:val="005425B6"/>
    <w:rsid w:val="005428FF"/>
    <w:rsid w:val="0054310D"/>
    <w:rsid w:val="005434E6"/>
    <w:rsid w:val="005434EE"/>
    <w:rsid w:val="005439B8"/>
    <w:rsid w:val="00543B3A"/>
    <w:rsid w:val="00543E64"/>
    <w:rsid w:val="00543E9B"/>
    <w:rsid w:val="00543E9E"/>
    <w:rsid w:val="00543EB7"/>
    <w:rsid w:val="00543F7F"/>
    <w:rsid w:val="0054408E"/>
    <w:rsid w:val="005441AE"/>
    <w:rsid w:val="005442BC"/>
    <w:rsid w:val="0054441B"/>
    <w:rsid w:val="005446B7"/>
    <w:rsid w:val="00544829"/>
    <w:rsid w:val="00544BEE"/>
    <w:rsid w:val="00545349"/>
    <w:rsid w:val="00545616"/>
    <w:rsid w:val="0054576B"/>
    <w:rsid w:val="005457C7"/>
    <w:rsid w:val="005461BC"/>
    <w:rsid w:val="005462B3"/>
    <w:rsid w:val="0054653A"/>
    <w:rsid w:val="00546624"/>
    <w:rsid w:val="00546E89"/>
    <w:rsid w:val="0054702C"/>
    <w:rsid w:val="005470E3"/>
    <w:rsid w:val="005471C6"/>
    <w:rsid w:val="00547925"/>
    <w:rsid w:val="005501E4"/>
    <w:rsid w:val="005503C4"/>
    <w:rsid w:val="005503F5"/>
    <w:rsid w:val="005505B3"/>
    <w:rsid w:val="005506E7"/>
    <w:rsid w:val="005509AB"/>
    <w:rsid w:val="00550A05"/>
    <w:rsid w:val="00550B7B"/>
    <w:rsid w:val="00550D67"/>
    <w:rsid w:val="0055100A"/>
    <w:rsid w:val="005513AE"/>
    <w:rsid w:val="005515C3"/>
    <w:rsid w:val="00551683"/>
    <w:rsid w:val="0055173E"/>
    <w:rsid w:val="00551989"/>
    <w:rsid w:val="00551A03"/>
    <w:rsid w:val="00552059"/>
    <w:rsid w:val="005522CD"/>
    <w:rsid w:val="0055273E"/>
    <w:rsid w:val="00552D72"/>
    <w:rsid w:val="00552F05"/>
    <w:rsid w:val="00552F84"/>
    <w:rsid w:val="0055319A"/>
    <w:rsid w:val="005534D7"/>
    <w:rsid w:val="0055353E"/>
    <w:rsid w:val="00553B5C"/>
    <w:rsid w:val="00554101"/>
    <w:rsid w:val="0055418F"/>
    <w:rsid w:val="005541DD"/>
    <w:rsid w:val="00554238"/>
    <w:rsid w:val="005543BD"/>
    <w:rsid w:val="005549DB"/>
    <w:rsid w:val="005549E8"/>
    <w:rsid w:val="00554E4D"/>
    <w:rsid w:val="00554F83"/>
    <w:rsid w:val="0055506A"/>
    <w:rsid w:val="005550D8"/>
    <w:rsid w:val="00555323"/>
    <w:rsid w:val="005558AA"/>
    <w:rsid w:val="00555ABD"/>
    <w:rsid w:val="00556056"/>
    <w:rsid w:val="005561E2"/>
    <w:rsid w:val="00556250"/>
    <w:rsid w:val="0055645E"/>
    <w:rsid w:val="00556559"/>
    <w:rsid w:val="005565D8"/>
    <w:rsid w:val="00556CD5"/>
    <w:rsid w:val="00556DB2"/>
    <w:rsid w:val="00556E84"/>
    <w:rsid w:val="005572C9"/>
    <w:rsid w:val="005572F9"/>
    <w:rsid w:val="00557385"/>
    <w:rsid w:val="005573BD"/>
    <w:rsid w:val="005577BC"/>
    <w:rsid w:val="00557871"/>
    <w:rsid w:val="0055787D"/>
    <w:rsid w:val="00557994"/>
    <w:rsid w:val="00557A55"/>
    <w:rsid w:val="00557B02"/>
    <w:rsid w:val="00557C72"/>
    <w:rsid w:val="0056002F"/>
    <w:rsid w:val="0056016D"/>
    <w:rsid w:val="00560456"/>
    <w:rsid w:val="0056078F"/>
    <w:rsid w:val="00560B7B"/>
    <w:rsid w:val="00560C2F"/>
    <w:rsid w:val="00561013"/>
    <w:rsid w:val="00561058"/>
    <w:rsid w:val="00561403"/>
    <w:rsid w:val="0056162A"/>
    <w:rsid w:val="00561A39"/>
    <w:rsid w:val="00561A9A"/>
    <w:rsid w:val="00561C4C"/>
    <w:rsid w:val="00561C6B"/>
    <w:rsid w:val="00561C9A"/>
    <w:rsid w:val="00561CB0"/>
    <w:rsid w:val="005621D1"/>
    <w:rsid w:val="00562469"/>
    <w:rsid w:val="005626BE"/>
    <w:rsid w:val="00562CE6"/>
    <w:rsid w:val="00562CFF"/>
    <w:rsid w:val="00562EC9"/>
    <w:rsid w:val="005633F3"/>
    <w:rsid w:val="00563402"/>
    <w:rsid w:val="005635B3"/>
    <w:rsid w:val="005635F1"/>
    <w:rsid w:val="005638D4"/>
    <w:rsid w:val="00563BD4"/>
    <w:rsid w:val="00563D3A"/>
    <w:rsid w:val="00563E15"/>
    <w:rsid w:val="00563EC5"/>
    <w:rsid w:val="00563F36"/>
    <w:rsid w:val="00563FA7"/>
    <w:rsid w:val="00564002"/>
    <w:rsid w:val="005644EE"/>
    <w:rsid w:val="0056474B"/>
    <w:rsid w:val="005649B8"/>
    <w:rsid w:val="00564F41"/>
    <w:rsid w:val="005650D5"/>
    <w:rsid w:val="0056522D"/>
    <w:rsid w:val="005654E8"/>
    <w:rsid w:val="005655EF"/>
    <w:rsid w:val="0056564B"/>
    <w:rsid w:val="00565888"/>
    <w:rsid w:val="00565D66"/>
    <w:rsid w:val="005660D6"/>
    <w:rsid w:val="00566149"/>
    <w:rsid w:val="00566174"/>
    <w:rsid w:val="005662DC"/>
    <w:rsid w:val="00566318"/>
    <w:rsid w:val="00566697"/>
    <w:rsid w:val="005666CB"/>
    <w:rsid w:val="00566795"/>
    <w:rsid w:val="005667F8"/>
    <w:rsid w:val="005668F8"/>
    <w:rsid w:val="00566B35"/>
    <w:rsid w:val="00566BCE"/>
    <w:rsid w:val="00566D8B"/>
    <w:rsid w:val="00567202"/>
    <w:rsid w:val="00567271"/>
    <w:rsid w:val="00567297"/>
    <w:rsid w:val="0056737C"/>
    <w:rsid w:val="005677CF"/>
    <w:rsid w:val="00567C2B"/>
    <w:rsid w:val="005700B5"/>
    <w:rsid w:val="0057019B"/>
    <w:rsid w:val="00570266"/>
    <w:rsid w:val="0057060C"/>
    <w:rsid w:val="0057083E"/>
    <w:rsid w:val="00570BC8"/>
    <w:rsid w:val="00570DD1"/>
    <w:rsid w:val="005710DC"/>
    <w:rsid w:val="005710FA"/>
    <w:rsid w:val="0057126F"/>
    <w:rsid w:val="00571466"/>
    <w:rsid w:val="0057147D"/>
    <w:rsid w:val="0057159D"/>
    <w:rsid w:val="0057185C"/>
    <w:rsid w:val="00571960"/>
    <w:rsid w:val="00571A39"/>
    <w:rsid w:val="00571D5B"/>
    <w:rsid w:val="00571EAC"/>
    <w:rsid w:val="00571F02"/>
    <w:rsid w:val="00572085"/>
    <w:rsid w:val="005721B3"/>
    <w:rsid w:val="0057269A"/>
    <w:rsid w:val="005726F1"/>
    <w:rsid w:val="0057299B"/>
    <w:rsid w:val="00572B36"/>
    <w:rsid w:val="00572F69"/>
    <w:rsid w:val="00573255"/>
    <w:rsid w:val="00573928"/>
    <w:rsid w:val="00573989"/>
    <w:rsid w:val="00573A70"/>
    <w:rsid w:val="00573AB4"/>
    <w:rsid w:val="00573AEE"/>
    <w:rsid w:val="00573B77"/>
    <w:rsid w:val="00573BC6"/>
    <w:rsid w:val="00573D01"/>
    <w:rsid w:val="00573E63"/>
    <w:rsid w:val="00573F50"/>
    <w:rsid w:val="005740C2"/>
    <w:rsid w:val="005743D5"/>
    <w:rsid w:val="00574452"/>
    <w:rsid w:val="0057460C"/>
    <w:rsid w:val="00574891"/>
    <w:rsid w:val="005748F9"/>
    <w:rsid w:val="0057495A"/>
    <w:rsid w:val="00574AA6"/>
    <w:rsid w:val="00574AF0"/>
    <w:rsid w:val="00574C5C"/>
    <w:rsid w:val="00574EC6"/>
    <w:rsid w:val="00574F99"/>
    <w:rsid w:val="00575406"/>
    <w:rsid w:val="005754BD"/>
    <w:rsid w:val="005755B8"/>
    <w:rsid w:val="005755E9"/>
    <w:rsid w:val="0057574C"/>
    <w:rsid w:val="00575832"/>
    <w:rsid w:val="00575B80"/>
    <w:rsid w:val="00575BAD"/>
    <w:rsid w:val="00575DC9"/>
    <w:rsid w:val="00575F53"/>
    <w:rsid w:val="0057667D"/>
    <w:rsid w:val="00576821"/>
    <w:rsid w:val="005769B0"/>
    <w:rsid w:val="00576C38"/>
    <w:rsid w:val="00576FA0"/>
    <w:rsid w:val="00576FA1"/>
    <w:rsid w:val="005770A7"/>
    <w:rsid w:val="0057711D"/>
    <w:rsid w:val="005772BC"/>
    <w:rsid w:val="005772EE"/>
    <w:rsid w:val="005774E8"/>
    <w:rsid w:val="00577B43"/>
    <w:rsid w:val="00577B7D"/>
    <w:rsid w:val="00577BE3"/>
    <w:rsid w:val="00577C1D"/>
    <w:rsid w:val="00577DBD"/>
    <w:rsid w:val="0058008F"/>
    <w:rsid w:val="00580101"/>
    <w:rsid w:val="00580123"/>
    <w:rsid w:val="0058015B"/>
    <w:rsid w:val="00580341"/>
    <w:rsid w:val="0058062C"/>
    <w:rsid w:val="00580810"/>
    <w:rsid w:val="0058088E"/>
    <w:rsid w:val="005809E4"/>
    <w:rsid w:val="00580A6F"/>
    <w:rsid w:val="00580C0B"/>
    <w:rsid w:val="00580F75"/>
    <w:rsid w:val="005812DA"/>
    <w:rsid w:val="00581319"/>
    <w:rsid w:val="0058174F"/>
    <w:rsid w:val="00581772"/>
    <w:rsid w:val="005817A7"/>
    <w:rsid w:val="00581915"/>
    <w:rsid w:val="00581A7C"/>
    <w:rsid w:val="00581B51"/>
    <w:rsid w:val="00581C5F"/>
    <w:rsid w:val="00581E8B"/>
    <w:rsid w:val="0058257B"/>
    <w:rsid w:val="0058266B"/>
    <w:rsid w:val="00582B57"/>
    <w:rsid w:val="00582D6C"/>
    <w:rsid w:val="00582E70"/>
    <w:rsid w:val="00583199"/>
    <w:rsid w:val="005831F1"/>
    <w:rsid w:val="0058336B"/>
    <w:rsid w:val="005833CA"/>
    <w:rsid w:val="00583B8C"/>
    <w:rsid w:val="00583C72"/>
    <w:rsid w:val="00583EBE"/>
    <w:rsid w:val="005840DE"/>
    <w:rsid w:val="005844C5"/>
    <w:rsid w:val="0058466A"/>
    <w:rsid w:val="00584675"/>
    <w:rsid w:val="00584708"/>
    <w:rsid w:val="005847DA"/>
    <w:rsid w:val="00584899"/>
    <w:rsid w:val="0058489B"/>
    <w:rsid w:val="00584CD7"/>
    <w:rsid w:val="00584D60"/>
    <w:rsid w:val="00584DA1"/>
    <w:rsid w:val="0058527C"/>
    <w:rsid w:val="005855CB"/>
    <w:rsid w:val="0058574F"/>
    <w:rsid w:val="005857ED"/>
    <w:rsid w:val="00585B64"/>
    <w:rsid w:val="0058611A"/>
    <w:rsid w:val="00586336"/>
    <w:rsid w:val="005864D9"/>
    <w:rsid w:val="005866DE"/>
    <w:rsid w:val="00586766"/>
    <w:rsid w:val="005867A0"/>
    <w:rsid w:val="005867E6"/>
    <w:rsid w:val="00586979"/>
    <w:rsid w:val="005869E4"/>
    <w:rsid w:val="00586A9E"/>
    <w:rsid w:val="005870B6"/>
    <w:rsid w:val="00587686"/>
    <w:rsid w:val="00587BFA"/>
    <w:rsid w:val="00587C22"/>
    <w:rsid w:val="00587C76"/>
    <w:rsid w:val="00587E7A"/>
    <w:rsid w:val="00587F4B"/>
    <w:rsid w:val="00587F66"/>
    <w:rsid w:val="00590185"/>
    <w:rsid w:val="00590205"/>
    <w:rsid w:val="005902E9"/>
    <w:rsid w:val="005905AE"/>
    <w:rsid w:val="005905F0"/>
    <w:rsid w:val="005907BA"/>
    <w:rsid w:val="005907F4"/>
    <w:rsid w:val="0059080B"/>
    <w:rsid w:val="00590A31"/>
    <w:rsid w:val="00590B16"/>
    <w:rsid w:val="00590D40"/>
    <w:rsid w:val="00590EA5"/>
    <w:rsid w:val="00590FC6"/>
    <w:rsid w:val="00591264"/>
    <w:rsid w:val="005915AE"/>
    <w:rsid w:val="00591AE3"/>
    <w:rsid w:val="00591B9B"/>
    <w:rsid w:val="00591BB4"/>
    <w:rsid w:val="00591DA1"/>
    <w:rsid w:val="00591EA4"/>
    <w:rsid w:val="0059213C"/>
    <w:rsid w:val="005921B9"/>
    <w:rsid w:val="0059225E"/>
    <w:rsid w:val="005926B8"/>
    <w:rsid w:val="00592776"/>
    <w:rsid w:val="005927DA"/>
    <w:rsid w:val="00592B63"/>
    <w:rsid w:val="00592BD8"/>
    <w:rsid w:val="0059347A"/>
    <w:rsid w:val="005939EB"/>
    <w:rsid w:val="00593B08"/>
    <w:rsid w:val="00594203"/>
    <w:rsid w:val="00594218"/>
    <w:rsid w:val="005944B7"/>
    <w:rsid w:val="005944C1"/>
    <w:rsid w:val="005946A2"/>
    <w:rsid w:val="00594796"/>
    <w:rsid w:val="00594824"/>
    <w:rsid w:val="00594AF8"/>
    <w:rsid w:val="00594D3F"/>
    <w:rsid w:val="005950C9"/>
    <w:rsid w:val="005950E5"/>
    <w:rsid w:val="00595179"/>
    <w:rsid w:val="005951B1"/>
    <w:rsid w:val="005952EA"/>
    <w:rsid w:val="005952EE"/>
    <w:rsid w:val="0059534B"/>
    <w:rsid w:val="005954EC"/>
    <w:rsid w:val="005955B5"/>
    <w:rsid w:val="00595747"/>
    <w:rsid w:val="00595D1E"/>
    <w:rsid w:val="00595F26"/>
    <w:rsid w:val="00595FB3"/>
    <w:rsid w:val="00596B12"/>
    <w:rsid w:val="00596DC6"/>
    <w:rsid w:val="00596DC8"/>
    <w:rsid w:val="00596E8D"/>
    <w:rsid w:val="00596FC1"/>
    <w:rsid w:val="00597071"/>
    <w:rsid w:val="005977D3"/>
    <w:rsid w:val="0059786B"/>
    <w:rsid w:val="005978AE"/>
    <w:rsid w:val="00597F89"/>
    <w:rsid w:val="005A01B0"/>
    <w:rsid w:val="005A07AF"/>
    <w:rsid w:val="005A091D"/>
    <w:rsid w:val="005A095E"/>
    <w:rsid w:val="005A0962"/>
    <w:rsid w:val="005A0A82"/>
    <w:rsid w:val="005A0AC0"/>
    <w:rsid w:val="005A0B6F"/>
    <w:rsid w:val="005A0B73"/>
    <w:rsid w:val="005A0C66"/>
    <w:rsid w:val="005A0E30"/>
    <w:rsid w:val="005A1253"/>
    <w:rsid w:val="005A1311"/>
    <w:rsid w:val="005A1710"/>
    <w:rsid w:val="005A19CC"/>
    <w:rsid w:val="005A19F8"/>
    <w:rsid w:val="005A1C7A"/>
    <w:rsid w:val="005A1CC0"/>
    <w:rsid w:val="005A1D55"/>
    <w:rsid w:val="005A1E8D"/>
    <w:rsid w:val="005A230B"/>
    <w:rsid w:val="005A2B51"/>
    <w:rsid w:val="005A2C09"/>
    <w:rsid w:val="005A2CC4"/>
    <w:rsid w:val="005A2DC3"/>
    <w:rsid w:val="005A2ECA"/>
    <w:rsid w:val="005A2F45"/>
    <w:rsid w:val="005A3A7A"/>
    <w:rsid w:val="005A3D7A"/>
    <w:rsid w:val="005A3F2F"/>
    <w:rsid w:val="005A40D2"/>
    <w:rsid w:val="005A41EF"/>
    <w:rsid w:val="005A4518"/>
    <w:rsid w:val="005A47BE"/>
    <w:rsid w:val="005A48CD"/>
    <w:rsid w:val="005A4AA2"/>
    <w:rsid w:val="005A4B9F"/>
    <w:rsid w:val="005A4D90"/>
    <w:rsid w:val="005A4D9D"/>
    <w:rsid w:val="005A4E9D"/>
    <w:rsid w:val="005A50B9"/>
    <w:rsid w:val="005A5236"/>
    <w:rsid w:val="005A5359"/>
    <w:rsid w:val="005A5369"/>
    <w:rsid w:val="005A542E"/>
    <w:rsid w:val="005A56ED"/>
    <w:rsid w:val="005A5BB3"/>
    <w:rsid w:val="005A5FE3"/>
    <w:rsid w:val="005A60FA"/>
    <w:rsid w:val="005A6177"/>
    <w:rsid w:val="005A63E5"/>
    <w:rsid w:val="005A6D28"/>
    <w:rsid w:val="005A6D9B"/>
    <w:rsid w:val="005A70EA"/>
    <w:rsid w:val="005A74F5"/>
    <w:rsid w:val="005A78E3"/>
    <w:rsid w:val="005A7B0F"/>
    <w:rsid w:val="005A7C97"/>
    <w:rsid w:val="005A7F22"/>
    <w:rsid w:val="005B0022"/>
    <w:rsid w:val="005B0217"/>
    <w:rsid w:val="005B02E4"/>
    <w:rsid w:val="005B0526"/>
    <w:rsid w:val="005B05D3"/>
    <w:rsid w:val="005B06B1"/>
    <w:rsid w:val="005B0795"/>
    <w:rsid w:val="005B0949"/>
    <w:rsid w:val="005B0A16"/>
    <w:rsid w:val="005B0C2C"/>
    <w:rsid w:val="005B0CF5"/>
    <w:rsid w:val="005B0D95"/>
    <w:rsid w:val="005B118A"/>
    <w:rsid w:val="005B24E4"/>
    <w:rsid w:val="005B25C4"/>
    <w:rsid w:val="005B27AC"/>
    <w:rsid w:val="005B283D"/>
    <w:rsid w:val="005B28D9"/>
    <w:rsid w:val="005B2DCA"/>
    <w:rsid w:val="005B34A3"/>
    <w:rsid w:val="005B375A"/>
    <w:rsid w:val="005B39E5"/>
    <w:rsid w:val="005B3A07"/>
    <w:rsid w:val="005B3AF0"/>
    <w:rsid w:val="005B4193"/>
    <w:rsid w:val="005B4515"/>
    <w:rsid w:val="005B45DD"/>
    <w:rsid w:val="005B45E3"/>
    <w:rsid w:val="005B48A6"/>
    <w:rsid w:val="005B5058"/>
    <w:rsid w:val="005B50A1"/>
    <w:rsid w:val="005B5157"/>
    <w:rsid w:val="005B565A"/>
    <w:rsid w:val="005B573B"/>
    <w:rsid w:val="005B5A27"/>
    <w:rsid w:val="005B5E80"/>
    <w:rsid w:val="005B6393"/>
    <w:rsid w:val="005B63A4"/>
    <w:rsid w:val="005B645D"/>
    <w:rsid w:val="005B648A"/>
    <w:rsid w:val="005B650A"/>
    <w:rsid w:val="005B675E"/>
    <w:rsid w:val="005B67FC"/>
    <w:rsid w:val="005B6A2E"/>
    <w:rsid w:val="005B6B28"/>
    <w:rsid w:val="005B6B73"/>
    <w:rsid w:val="005B6B75"/>
    <w:rsid w:val="005B6BD5"/>
    <w:rsid w:val="005B6DB7"/>
    <w:rsid w:val="005B7143"/>
    <w:rsid w:val="005B740A"/>
    <w:rsid w:val="005B746B"/>
    <w:rsid w:val="005B74FC"/>
    <w:rsid w:val="005B7793"/>
    <w:rsid w:val="005B79AA"/>
    <w:rsid w:val="005B7BB4"/>
    <w:rsid w:val="005B7CEF"/>
    <w:rsid w:val="005B7FC5"/>
    <w:rsid w:val="005C0346"/>
    <w:rsid w:val="005C051A"/>
    <w:rsid w:val="005C06C4"/>
    <w:rsid w:val="005C0D5C"/>
    <w:rsid w:val="005C12DB"/>
    <w:rsid w:val="005C142C"/>
    <w:rsid w:val="005C189D"/>
    <w:rsid w:val="005C2026"/>
    <w:rsid w:val="005C2263"/>
    <w:rsid w:val="005C2409"/>
    <w:rsid w:val="005C244E"/>
    <w:rsid w:val="005C29E6"/>
    <w:rsid w:val="005C2FFE"/>
    <w:rsid w:val="005C30B4"/>
    <w:rsid w:val="005C31FB"/>
    <w:rsid w:val="005C374C"/>
    <w:rsid w:val="005C397C"/>
    <w:rsid w:val="005C3BF6"/>
    <w:rsid w:val="005C3DA2"/>
    <w:rsid w:val="005C4215"/>
    <w:rsid w:val="005C42AB"/>
    <w:rsid w:val="005C44CE"/>
    <w:rsid w:val="005C4537"/>
    <w:rsid w:val="005C45F1"/>
    <w:rsid w:val="005C4956"/>
    <w:rsid w:val="005C4993"/>
    <w:rsid w:val="005C4A7C"/>
    <w:rsid w:val="005C4B66"/>
    <w:rsid w:val="005C50DC"/>
    <w:rsid w:val="005C5166"/>
    <w:rsid w:val="005C52ED"/>
    <w:rsid w:val="005C5587"/>
    <w:rsid w:val="005C55CE"/>
    <w:rsid w:val="005C561B"/>
    <w:rsid w:val="005C56A9"/>
    <w:rsid w:val="005C57F8"/>
    <w:rsid w:val="005C5A07"/>
    <w:rsid w:val="005C613A"/>
    <w:rsid w:val="005C62AE"/>
    <w:rsid w:val="005C64ED"/>
    <w:rsid w:val="005C669B"/>
    <w:rsid w:val="005C67D3"/>
    <w:rsid w:val="005C68A6"/>
    <w:rsid w:val="005C6A11"/>
    <w:rsid w:val="005C6C04"/>
    <w:rsid w:val="005C7195"/>
    <w:rsid w:val="005C733D"/>
    <w:rsid w:val="005C73C0"/>
    <w:rsid w:val="005C7426"/>
    <w:rsid w:val="005C7543"/>
    <w:rsid w:val="005C756C"/>
    <w:rsid w:val="005C78DD"/>
    <w:rsid w:val="005C7BD5"/>
    <w:rsid w:val="005C7CD3"/>
    <w:rsid w:val="005C7EDA"/>
    <w:rsid w:val="005D011D"/>
    <w:rsid w:val="005D023F"/>
    <w:rsid w:val="005D02CE"/>
    <w:rsid w:val="005D05DC"/>
    <w:rsid w:val="005D0BBE"/>
    <w:rsid w:val="005D0C27"/>
    <w:rsid w:val="005D0CD4"/>
    <w:rsid w:val="005D0D14"/>
    <w:rsid w:val="005D0DB1"/>
    <w:rsid w:val="005D0DB6"/>
    <w:rsid w:val="005D104A"/>
    <w:rsid w:val="005D1901"/>
    <w:rsid w:val="005D1952"/>
    <w:rsid w:val="005D1A3D"/>
    <w:rsid w:val="005D1CB9"/>
    <w:rsid w:val="005D1E9C"/>
    <w:rsid w:val="005D1ECB"/>
    <w:rsid w:val="005D20BF"/>
    <w:rsid w:val="005D2C8D"/>
    <w:rsid w:val="005D2CC8"/>
    <w:rsid w:val="005D2F0F"/>
    <w:rsid w:val="005D3223"/>
    <w:rsid w:val="005D3276"/>
    <w:rsid w:val="005D32B7"/>
    <w:rsid w:val="005D3380"/>
    <w:rsid w:val="005D3395"/>
    <w:rsid w:val="005D3A4B"/>
    <w:rsid w:val="005D3CAF"/>
    <w:rsid w:val="005D3D4F"/>
    <w:rsid w:val="005D3D73"/>
    <w:rsid w:val="005D3DAE"/>
    <w:rsid w:val="005D3DDC"/>
    <w:rsid w:val="005D3ECF"/>
    <w:rsid w:val="005D3EDA"/>
    <w:rsid w:val="005D408E"/>
    <w:rsid w:val="005D4154"/>
    <w:rsid w:val="005D4349"/>
    <w:rsid w:val="005D438E"/>
    <w:rsid w:val="005D4443"/>
    <w:rsid w:val="005D44E4"/>
    <w:rsid w:val="005D452A"/>
    <w:rsid w:val="005D4794"/>
    <w:rsid w:val="005D48B4"/>
    <w:rsid w:val="005D4ABC"/>
    <w:rsid w:val="005D4C1B"/>
    <w:rsid w:val="005D4C9E"/>
    <w:rsid w:val="005D4E0B"/>
    <w:rsid w:val="005D51B4"/>
    <w:rsid w:val="005D522C"/>
    <w:rsid w:val="005D5265"/>
    <w:rsid w:val="005D5273"/>
    <w:rsid w:val="005D5376"/>
    <w:rsid w:val="005D54B4"/>
    <w:rsid w:val="005D552E"/>
    <w:rsid w:val="005D58D7"/>
    <w:rsid w:val="005D5918"/>
    <w:rsid w:val="005D5964"/>
    <w:rsid w:val="005D5A2A"/>
    <w:rsid w:val="005D62D1"/>
    <w:rsid w:val="005D679F"/>
    <w:rsid w:val="005D6B93"/>
    <w:rsid w:val="005D6BDD"/>
    <w:rsid w:val="005D6C09"/>
    <w:rsid w:val="005D71D5"/>
    <w:rsid w:val="005D72A3"/>
    <w:rsid w:val="005D73DE"/>
    <w:rsid w:val="005D7406"/>
    <w:rsid w:val="005D7514"/>
    <w:rsid w:val="005D76B7"/>
    <w:rsid w:val="005D7A58"/>
    <w:rsid w:val="005D7AEE"/>
    <w:rsid w:val="005D7EC3"/>
    <w:rsid w:val="005D7F51"/>
    <w:rsid w:val="005D7F52"/>
    <w:rsid w:val="005E0428"/>
    <w:rsid w:val="005E0585"/>
    <w:rsid w:val="005E068A"/>
    <w:rsid w:val="005E0832"/>
    <w:rsid w:val="005E0D6A"/>
    <w:rsid w:val="005E0E69"/>
    <w:rsid w:val="005E0FC2"/>
    <w:rsid w:val="005E1251"/>
    <w:rsid w:val="005E1303"/>
    <w:rsid w:val="005E1546"/>
    <w:rsid w:val="005E1682"/>
    <w:rsid w:val="005E1808"/>
    <w:rsid w:val="005E1B22"/>
    <w:rsid w:val="005E1B47"/>
    <w:rsid w:val="005E1B54"/>
    <w:rsid w:val="005E1E4C"/>
    <w:rsid w:val="005E217A"/>
    <w:rsid w:val="005E234D"/>
    <w:rsid w:val="005E242B"/>
    <w:rsid w:val="005E24BD"/>
    <w:rsid w:val="005E269B"/>
    <w:rsid w:val="005E281C"/>
    <w:rsid w:val="005E29E1"/>
    <w:rsid w:val="005E2AE1"/>
    <w:rsid w:val="005E2DDF"/>
    <w:rsid w:val="005E2FA3"/>
    <w:rsid w:val="005E3104"/>
    <w:rsid w:val="005E31DC"/>
    <w:rsid w:val="005E363E"/>
    <w:rsid w:val="005E3700"/>
    <w:rsid w:val="005E3942"/>
    <w:rsid w:val="005E3A56"/>
    <w:rsid w:val="005E3B90"/>
    <w:rsid w:val="005E3BB1"/>
    <w:rsid w:val="005E3CFC"/>
    <w:rsid w:val="005E3ECE"/>
    <w:rsid w:val="005E422A"/>
    <w:rsid w:val="005E42B4"/>
    <w:rsid w:val="005E4312"/>
    <w:rsid w:val="005E4370"/>
    <w:rsid w:val="005E44C6"/>
    <w:rsid w:val="005E4830"/>
    <w:rsid w:val="005E48CF"/>
    <w:rsid w:val="005E4998"/>
    <w:rsid w:val="005E49A7"/>
    <w:rsid w:val="005E49B1"/>
    <w:rsid w:val="005E4F90"/>
    <w:rsid w:val="005E52D3"/>
    <w:rsid w:val="005E5447"/>
    <w:rsid w:val="005E5514"/>
    <w:rsid w:val="005E5624"/>
    <w:rsid w:val="005E5831"/>
    <w:rsid w:val="005E5839"/>
    <w:rsid w:val="005E5C11"/>
    <w:rsid w:val="005E5FF2"/>
    <w:rsid w:val="005E60A0"/>
    <w:rsid w:val="005E60AA"/>
    <w:rsid w:val="005E61F4"/>
    <w:rsid w:val="005E61FD"/>
    <w:rsid w:val="005E6490"/>
    <w:rsid w:val="005E65D3"/>
    <w:rsid w:val="005E6719"/>
    <w:rsid w:val="005E6D33"/>
    <w:rsid w:val="005E6D86"/>
    <w:rsid w:val="005E6E6E"/>
    <w:rsid w:val="005E6F27"/>
    <w:rsid w:val="005E7362"/>
    <w:rsid w:val="005E78C1"/>
    <w:rsid w:val="005E7B08"/>
    <w:rsid w:val="005E7B62"/>
    <w:rsid w:val="005E7CEF"/>
    <w:rsid w:val="005E7EFF"/>
    <w:rsid w:val="005F006E"/>
    <w:rsid w:val="005F013C"/>
    <w:rsid w:val="005F02EC"/>
    <w:rsid w:val="005F0544"/>
    <w:rsid w:val="005F087A"/>
    <w:rsid w:val="005F0A40"/>
    <w:rsid w:val="005F0B67"/>
    <w:rsid w:val="005F13A6"/>
    <w:rsid w:val="005F1405"/>
    <w:rsid w:val="005F143D"/>
    <w:rsid w:val="005F1874"/>
    <w:rsid w:val="005F1DCB"/>
    <w:rsid w:val="005F1EEB"/>
    <w:rsid w:val="005F1F2F"/>
    <w:rsid w:val="005F20FC"/>
    <w:rsid w:val="005F21C9"/>
    <w:rsid w:val="005F253C"/>
    <w:rsid w:val="005F2811"/>
    <w:rsid w:val="005F2A17"/>
    <w:rsid w:val="005F2FC0"/>
    <w:rsid w:val="005F30A9"/>
    <w:rsid w:val="005F3142"/>
    <w:rsid w:val="005F3229"/>
    <w:rsid w:val="005F32C6"/>
    <w:rsid w:val="005F3401"/>
    <w:rsid w:val="005F341A"/>
    <w:rsid w:val="005F367C"/>
    <w:rsid w:val="005F379E"/>
    <w:rsid w:val="005F37DB"/>
    <w:rsid w:val="005F37FF"/>
    <w:rsid w:val="005F39AA"/>
    <w:rsid w:val="005F3C1C"/>
    <w:rsid w:val="005F3C97"/>
    <w:rsid w:val="005F3E1B"/>
    <w:rsid w:val="005F3ECB"/>
    <w:rsid w:val="005F4091"/>
    <w:rsid w:val="005F410E"/>
    <w:rsid w:val="005F4135"/>
    <w:rsid w:val="005F44DF"/>
    <w:rsid w:val="005F4583"/>
    <w:rsid w:val="005F4620"/>
    <w:rsid w:val="005F467B"/>
    <w:rsid w:val="005F4788"/>
    <w:rsid w:val="005F483F"/>
    <w:rsid w:val="005F48B7"/>
    <w:rsid w:val="005F4CE3"/>
    <w:rsid w:val="005F4CF0"/>
    <w:rsid w:val="005F50FB"/>
    <w:rsid w:val="005F528C"/>
    <w:rsid w:val="005F52FC"/>
    <w:rsid w:val="005F5670"/>
    <w:rsid w:val="005F568C"/>
    <w:rsid w:val="005F56A4"/>
    <w:rsid w:val="005F5705"/>
    <w:rsid w:val="005F593E"/>
    <w:rsid w:val="005F59C8"/>
    <w:rsid w:val="005F5B3B"/>
    <w:rsid w:val="005F5E8A"/>
    <w:rsid w:val="005F6007"/>
    <w:rsid w:val="005F614E"/>
    <w:rsid w:val="005F6237"/>
    <w:rsid w:val="005F6292"/>
    <w:rsid w:val="005F6319"/>
    <w:rsid w:val="005F64D0"/>
    <w:rsid w:val="005F677B"/>
    <w:rsid w:val="005F6D4F"/>
    <w:rsid w:val="005F6DC3"/>
    <w:rsid w:val="005F6F96"/>
    <w:rsid w:val="005F71BA"/>
    <w:rsid w:val="005F739D"/>
    <w:rsid w:val="005F7A0E"/>
    <w:rsid w:val="005F7AD4"/>
    <w:rsid w:val="005F7B6D"/>
    <w:rsid w:val="005F7CCE"/>
    <w:rsid w:val="005F7E09"/>
    <w:rsid w:val="005F7E32"/>
    <w:rsid w:val="005F7E53"/>
    <w:rsid w:val="005F7F07"/>
    <w:rsid w:val="00600126"/>
    <w:rsid w:val="006001CE"/>
    <w:rsid w:val="006002F0"/>
    <w:rsid w:val="0060046E"/>
    <w:rsid w:val="00600572"/>
    <w:rsid w:val="006005C9"/>
    <w:rsid w:val="006005F8"/>
    <w:rsid w:val="006009F6"/>
    <w:rsid w:val="00600B6E"/>
    <w:rsid w:val="00600C07"/>
    <w:rsid w:val="00600D72"/>
    <w:rsid w:val="00600DF3"/>
    <w:rsid w:val="00600F12"/>
    <w:rsid w:val="0060113D"/>
    <w:rsid w:val="0060148A"/>
    <w:rsid w:val="006015C6"/>
    <w:rsid w:val="00601760"/>
    <w:rsid w:val="00601BB8"/>
    <w:rsid w:val="00601E72"/>
    <w:rsid w:val="00601EC4"/>
    <w:rsid w:val="00601EE3"/>
    <w:rsid w:val="00601F99"/>
    <w:rsid w:val="0060227C"/>
    <w:rsid w:val="006023B4"/>
    <w:rsid w:val="00602649"/>
    <w:rsid w:val="00602696"/>
    <w:rsid w:val="00602717"/>
    <w:rsid w:val="006027FB"/>
    <w:rsid w:val="006028DC"/>
    <w:rsid w:val="00602A65"/>
    <w:rsid w:val="00602EED"/>
    <w:rsid w:val="00602F1A"/>
    <w:rsid w:val="00603011"/>
    <w:rsid w:val="006035CA"/>
    <w:rsid w:val="00603855"/>
    <w:rsid w:val="00603946"/>
    <w:rsid w:val="00603B7D"/>
    <w:rsid w:val="00603C9D"/>
    <w:rsid w:val="00603D89"/>
    <w:rsid w:val="00603F1A"/>
    <w:rsid w:val="00604540"/>
    <w:rsid w:val="006045F5"/>
    <w:rsid w:val="00604625"/>
    <w:rsid w:val="0060468E"/>
    <w:rsid w:val="00604738"/>
    <w:rsid w:val="006048DC"/>
    <w:rsid w:val="00604928"/>
    <w:rsid w:val="006049AD"/>
    <w:rsid w:val="00604B60"/>
    <w:rsid w:val="00604BC5"/>
    <w:rsid w:val="00604D1D"/>
    <w:rsid w:val="00604D45"/>
    <w:rsid w:val="00605099"/>
    <w:rsid w:val="00605140"/>
    <w:rsid w:val="0060520A"/>
    <w:rsid w:val="00605314"/>
    <w:rsid w:val="0060544A"/>
    <w:rsid w:val="00605560"/>
    <w:rsid w:val="006058B3"/>
    <w:rsid w:val="006059FD"/>
    <w:rsid w:val="00605AE1"/>
    <w:rsid w:val="00605CED"/>
    <w:rsid w:val="00605FFC"/>
    <w:rsid w:val="00606225"/>
    <w:rsid w:val="006066AA"/>
    <w:rsid w:val="006069E6"/>
    <w:rsid w:val="00607086"/>
    <w:rsid w:val="006074A2"/>
    <w:rsid w:val="00607567"/>
    <w:rsid w:val="00607709"/>
    <w:rsid w:val="00607BC4"/>
    <w:rsid w:val="00607FBD"/>
    <w:rsid w:val="00610132"/>
    <w:rsid w:val="00610148"/>
    <w:rsid w:val="006103AB"/>
    <w:rsid w:val="00610447"/>
    <w:rsid w:val="00610934"/>
    <w:rsid w:val="00610E35"/>
    <w:rsid w:val="00611108"/>
    <w:rsid w:val="0061115D"/>
    <w:rsid w:val="00611696"/>
    <w:rsid w:val="006117F0"/>
    <w:rsid w:val="00611863"/>
    <w:rsid w:val="00611904"/>
    <w:rsid w:val="00611993"/>
    <w:rsid w:val="00611B91"/>
    <w:rsid w:val="00611BAC"/>
    <w:rsid w:val="00611F07"/>
    <w:rsid w:val="00612187"/>
    <w:rsid w:val="006122E9"/>
    <w:rsid w:val="00612388"/>
    <w:rsid w:val="0061250D"/>
    <w:rsid w:val="006125A0"/>
    <w:rsid w:val="006125E4"/>
    <w:rsid w:val="0061261B"/>
    <w:rsid w:val="00612A7F"/>
    <w:rsid w:val="00612BB4"/>
    <w:rsid w:val="00612BCD"/>
    <w:rsid w:val="00612BD6"/>
    <w:rsid w:val="00612D6F"/>
    <w:rsid w:val="00612E71"/>
    <w:rsid w:val="00612F96"/>
    <w:rsid w:val="006132EA"/>
    <w:rsid w:val="00613310"/>
    <w:rsid w:val="00613585"/>
    <w:rsid w:val="0061362A"/>
    <w:rsid w:val="0061364C"/>
    <w:rsid w:val="006137F3"/>
    <w:rsid w:val="00613953"/>
    <w:rsid w:val="00613A70"/>
    <w:rsid w:val="00613B1B"/>
    <w:rsid w:val="00613C7F"/>
    <w:rsid w:val="00614211"/>
    <w:rsid w:val="0061441F"/>
    <w:rsid w:val="00614517"/>
    <w:rsid w:val="0061473A"/>
    <w:rsid w:val="00614A18"/>
    <w:rsid w:val="00614AA5"/>
    <w:rsid w:val="00614DD1"/>
    <w:rsid w:val="00615037"/>
    <w:rsid w:val="00615076"/>
    <w:rsid w:val="006151B6"/>
    <w:rsid w:val="0061561B"/>
    <w:rsid w:val="006158B9"/>
    <w:rsid w:val="00615B78"/>
    <w:rsid w:val="00615B8D"/>
    <w:rsid w:val="00616076"/>
    <w:rsid w:val="006161EE"/>
    <w:rsid w:val="006162E9"/>
    <w:rsid w:val="006163C2"/>
    <w:rsid w:val="006163FA"/>
    <w:rsid w:val="00616757"/>
    <w:rsid w:val="00616A0D"/>
    <w:rsid w:val="00616C61"/>
    <w:rsid w:val="00616CE2"/>
    <w:rsid w:val="00616EDB"/>
    <w:rsid w:val="00616F1F"/>
    <w:rsid w:val="00616F3F"/>
    <w:rsid w:val="00616F60"/>
    <w:rsid w:val="00616FBE"/>
    <w:rsid w:val="00617725"/>
    <w:rsid w:val="00617A62"/>
    <w:rsid w:val="00617CF3"/>
    <w:rsid w:val="006203B9"/>
    <w:rsid w:val="00620450"/>
    <w:rsid w:val="006207D9"/>
    <w:rsid w:val="006208A5"/>
    <w:rsid w:val="00620BDB"/>
    <w:rsid w:val="00620C99"/>
    <w:rsid w:val="00620CFE"/>
    <w:rsid w:val="00620DD5"/>
    <w:rsid w:val="00621378"/>
    <w:rsid w:val="0062142B"/>
    <w:rsid w:val="00621491"/>
    <w:rsid w:val="0062149F"/>
    <w:rsid w:val="006215CE"/>
    <w:rsid w:val="00621AFD"/>
    <w:rsid w:val="00621D82"/>
    <w:rsid w:val="00621E13"/>
    <w:rsid w:val="00622086"/>
    <w:rsid w:val="006221D2"/>
    <w:rsid w:val="0062232A"/>
    <w:rsid w:val="006225AF"/>
    <w:rsid w:val="006228FD"/>
    <w:rsid w:val="00622948"/>
    <w:rsid w:val="00622A9D"/>
    <w:rsid w:val="00622B95"/>
    <w:rsid w:val="00622D97"/>
    <w:rsid w:val="00622F1D"/>
    <w:rsid w:val="006232E5"/>
    <w:rsid w:val="00623972"/>
    <w:rsid w:val="00623A67"/>
    <w:rsid w:val="00623AEE"/>
    <w:rsid w:val="00623B09"/>
    <w:rsid w:val="00623EE9"/>
    <w:rsid w:val="00624046"/>
    <w:rsid w:val="006244FA"/>
    <w:rsid w:val="0062451D"/>
    <w:rsid w:val="006245B6"/>
    <w:rsid w:val="006247FA"/>
    <w:rsid w:val="006248EB"/>
    <w:rsid w:val="00624938"/>
    <w:rsid w:val="0062493A"/>
    <w:rsid w:val="00624B08"/>
    <w:rsid w:val="00624EB5"/>
    <w:rsid w:val="00624F68"/>
    <w:rsid w:val="006252BC"/>
    <w:rsid w:val="0062543A"/>
    <w:rsid w:val="006254DC"/>
    <w:rsid w:val="0062564A"/>
    <w:rsid w:val="00625A74"/>
    <w:rsid w:val="00625B5F"/>
    <w:rsid w:val="00626318"/>
    <w:rsid w:val="0062647A"/>
    <w:rsid w:val="0062675F"/>
    <w:rsid w:val="00626806"/>
    <w:rsid w:val="00626AAF"/>
    <w:rsid w:val="00626DF3"/>
    <w:rsid w:val="00626F01"/>
    <w:rsid w:val="006271B5"/>
    <w:rsid w:val="006276AE"/>
    <w:rsid w:val="00627903"/>
    <w:rsid w:val="00627A39"/>
    <w:rsid w:val="00627E2A"/>
    <w:rsid w:val="00630089"/>
    <w:rsid w:val="006305B3"/>
    <w:rsid w:val="00630A6E"/>
    <w:rsid w:val="00630C67"/>
    <w:rsid w:val="00630DED"/>
    <w:rsid w:val="00630E51"/>
    <w:rsid w:val="00630E59"/>
    <w:rsid w:val="00631542"/>
    <w:rsid w:val="00631A36"/>
    <w:rsid w:val="00631BB5"/>
    <w:rsid w:val="00631C40"/>
    <w:rsid w:val="00631C73"/>
    <w:rsid w:val="00631CFC"/>
    <w:rsid w:val="00631E47"/>
    <w:rsid w:val="00631FFE"/>
    <w:rsid w:val="0063202C"/>
    <w:rsid w:val="00632816"/>
    <w:rsid w:val="00632909"/>
    <w:rsid w:val="00632A7B"/>
    <w:rsid w:val="00632E1B"/>
    <w:rsid w:val="00633172"/>
    <w:rsid w:val="00633725"/>
    <w:rsid w:val="006338D8"/>
    <w:rsid w:val="006338F1"/>
    <w:rsid w:val="00633955"/>
    <w:rsid w:val="00633B1A"/>
    <w:rsid w:val="00633C58"/>
    <w:rsid w:val="0063421A"/>
    <w:rsid w:val="006342D2"/>
    <w:rsid w:val="00634392"/>
    <w:rsid w:val="006343F0"/>
    <w:rsid w:val="006345D7"/>
    <w:rsid w:val="00634651"/>
    <w:rsid w:val="00634786"/>
    <w:rsid w:val="006348C8"/>
    <w:rsid w:val="00634962"/>
    <w:rsid w:val="00634A87"/>
    <w:rsid w:val="00634AE0"/>
    <w:rsid w:val="00634B0B"/>
    <w:rsid w:val="00634E35"/>
    <w:rsid w:val="00634E88"/>
    <w:rsid w:val="00635049"/>
    <w:rsid w:val="0063518C"/>
    <w:rsid w:val="0063518D"/>
    <w:rsid w:val="00635207"/>
    <w:rsid w:val="00635441"/>
    <w:rsid w:val="0063559D"/>
    <w:rsid w:val="00635B15"/>
    <w:rsid w:val="00635BAD"/>
    <w:rsid w:val="00635D56"/>
    <w:rsid w:val="00635DEF"/>
    <w:rsid w:val="00635FA9"/>
    <w:rsid w:val="0063602F"/>
    <w:rsid w:val="00636158"/>
    <w:rsid w:val="0063661F"/>
    <w:rsid w:val="006366D8"/>
    <w:rsid w:val="00636B65"/>
    <w:rsid w:val="00636BDA"/>
    <w:rsid w:val="00636C86"/>
    <w:rsid w:val="006370AB"/>
    <w:rsid w:val="00637165"/>
    <w:rsid w:val="006374CB"/>
    <w:rsid w:val="006375B6"/>
    <w:rsid w:val="006376DC"/>
    <w:rsid w:val="006378A4"/>
    <w:rsid w:val="00637BD8"/>
    <w:rsid w:val="00637D4D"/>
    <w:rsid w:val="00637F30"/>
    <w:rsid w:val="00640232"/>
    <w:rsid w:val="00640656"/>
    <w:rsid w:val="00640861"/>
    <w:rsid w:val="00640A05"/>
    <w:rsid w:val="00640AF6"/>
    <w:rsid w:val="00640C7A"/>
    <w:rsid w:val="00640C96"/>
    <w:rsid w:val="00640F84"/>
    <w:rsid w:val="00641075"/>
    <w:rsid w:val="00641099"/>
    <w:rsid w:val="006411E4"/>
    <w:rsid w:val="0064121D"/>
    <w:rsid w:val="0064126E"/>
    <w:rsid w:val="0064192F"/>
    <w:rsid w:val="0064194F"/>
    <w:rsid w:val="00641958"/>
    <w:rsid w:val="00641CB2"/>
    <w:rsid w:val="00641CD7"/>
    <w:rsid w:val="00642110"/>
    <w:rsid w:val="00642388"/>
    <w:rsid w:val="0064268A"/>
    <w:rsid w:val="006426CA"/>
    <w:rsid w:val="0064275A"/>
    <w:rsid w:val="006428B2"/>
    <w:rsid w:val="00642A8C"/>
    <w:rsid w:val="00642B17"/>
    <w:rsid w:val="00642C6C"/>
    <w:rsid w:val="00642DAD"/>
    <w:rsid w:val="0064300E"/>
    <w:rsid w:val="00643085"/>
    <w:rsid w:val="006436F0"/>
    <w:rsid w:val="0064375B"/>
    <w:rsid w:val="006437DC"/>
    <w:rsid w:val="00643985"/>
    <w:rsid w:val="00643A0A"/>
    <w:rsid w:val="00643A5C"/>
    <w:rsid w:val="00643ED4"/>
    <w:rsid w:val="00643EDD"/>
    <w:rsid w:val="00644257"/>
    <w:rsid w:val="00644306"/>
    <w:rsid w:val="00644639"/>
    <w:rsid w:val="006447BD"/>
    <w:rsid w:val="006447F2"/>
    <w:rsid w:val="006448E3"/>
    <w:rsid w:val="00644CD9"/>
    <w:rsid w:val="00645103"/>
    <w:rsid w:val="00645535"/>
    <w:rsid w:val="006457D0"/>
    <w:rsid w:val="00645981"/>
    <w:rsid w:val="00645A86"/>
    <w:rsid w:val="00646043"/>
    <w:rsid w:val="00646052"/>
    <w:rsid w:val="006460EA"/>
    <w:rsid w:val="0064618E"/>
    <w:rsid w:val="00646238"/>
    <w:rsid w:val="006462A7"/>
    <w:rsid w:val="006463AB"/>
    <w:rsid w:val="00646730"/>
    <w:rsid w:val="0064687A"/>
    <w:rsid w:val="00646A4E"/>
    <w:rsid w:val="00646C52"/>
    <w:rsid w:val="00646C58"/>
    <w:rsid w:val="00646F39"/>
    <w:rsid w:val="00646FC5"/>
    <w:rsid w:val="00647407"/>
    <w:rsid w:val="00647547"/>
    <w:rsid w:val="00647578"/>
    <w:rsid w:val="006475B8"/>
    <w:rsid w:val="0064774E"/>
    <w:rsid w:val="006478C9"/>
    <w:rsid w:val="00647E17"/>
    <w:rsid w:val="00647E52"/>
    <w:rsid w:val="00647F4E"/>
    <w:rsid w:val="00647FBA"/>
    <w:rsid w:val="00650079"/>
    <w:rsid w:val="00650116"/>
    <w:rsid w:val="00650317"/>
    <w:rsid w:val="0065088E"/>
    <w:rsid w:val="00650E8E"/>
    <w:rsid w:val="00650FF0"/>
    <w:rsid w:val="00651065"/>
    <w:rsid w:val="006511D0"/>
    <w:rsid w:val="0065158D"/>
    <w:rsid w:val="0065178C"/>
    <w:rsid w:val="0065187F"/>
    <w:rsid w:val="00651E13"/>
    <w:rsid w:val="00651E1F"/>
    <w:rsid w:val="00651E36"/>
    <w:rsid w:val="00651E5C"/>
    <w:rsid w:val="00651F89"/>
    <w:rsid w:val="00652345"/>
    <w:rsid w:val="006523DA"/>
    <w:rsid w:val="006524D7"/>
    <w:rsid w:val="006525C1"/>
    <w:rsid w:val="006526F8"/>
    <w:rsid w:val="00652CC9"/>
    <w:rsid w:val="00652ECB"/>
    <w:rsid w:val="006532E8"/>
    <w:rsid w:val="00653356"/>
    <w:rsid w:val="00653533"/>
    <w:rsid w:val="00653707"/>
    <w:rsid w:val="00653812"/>
    <w:rsid w:val="00653AFB"/>
    <w:rsid w:val="00653BEC"/>
    <w:rsid w:val="00653C23"/>
    <w:rsid w:val="00653D06"/>
    <w:rsid w:val="00653D51"/>
    <w:rsid w:val="00653E91"/>
    <w:rsid w:val="006540FD"/>
    <w:rsid w:val="006542BB"/>
    <w:rsid w:val="006543AC"/>
    <w:rsid w:val="006543F5"/>
    <w:rsid w:val="006544BF"/>
    <w:rsid w:val="00654A6F"/>
    <w:rsid w:val="00654E54"/>
    <w:rsid w:val="0065501B"/>
    <w:rsid w:val="00655029"/>
    <w:rsid w:val="00655875"/>
    <w:rsid w:val="00655C15"/>
    <w:rsid w:val="00655D19"/>
    <w:rsid w:val="00656074"/>
    <w:rsid w:val="0065611C"/>
    <w:rsid w:val="00656578"/>
    <w:rsid w:val="006567FB"/>
    <w:rsid w:val="0065695F"/>
    <w:rsid w:val="00656A98"/>
    <w:rsid w:val="00656B59"/>
    <w:rsid w:val="00656F39"/>
    <w:rsid w:val="00657156"/>
    <w:rsid w:val="006571D8"/>
    <w:rsid w:val="00657323"/>
    <w:rsid w:val="00657401"/>
    <w:rsid w:val="0065742B"/>
    <w:rsid w:val="0065756B"/>
    <w:rsid w:val="00657844"/>
    <w:rsid w:val="0065790A"/>
    <w:rsid w:val="00657E7B"/>
    <w:rsid w:val="00657E81"/>
    <w:rsid w:val="00657EAA"/>
    <w:rsid w:val="00657F13"/>
    <w:rsid w:val="00660270"/>
    <w:rsid w:val="00660779"/>
    <w:rsid w:val="00660AD6"/>
    <w:rsid w:val="00660CC8"/>
    <w:rsid w:val="00660EE4"/>
    <w:rsid w:val="00661614"/>
    <w:rsid w:val="00661859"/>
    <w:rsid w:val="00661898"/>
    <w:rsid w:val="00661AE6"/>
    <w:rsid w:val="00661BD2"/>
    <w:rsid w:val="00661C39"/>
    <w:rsid w:val="00661C7D"/>
    <w:rsid w:val="00661D05"/>
    <w:rsid w:val="00662095"/>
    <w:rsid w:val="006620F2"/>
    <w:rsid w:val="006621F3"/>
    <w:rsid w:val="006624DE"/>
    <w:rsid w:val="006626EB"/>
    <w:rsid w:val="006627CE"/>
    <w:rsid w:val="006628E6"/>
    <w:rsid w:val="00662A90"/>
    <w:rsid w:val="00662D0B"/>
    <w:rsid w:val="00662E6D"/>
    <w:rsid w:val="006634DC"/>
    <w:rsid w:val="00663591"/>
    <w:rsid w:val="00663871"/>
    <w:rsid w:val="006638EB"/>
    <w:rsid w:val="00663969"/>
    <w:rsid w:val="00663A76"/>
    <w:rsid w:val="00663AA9"/>
    <w:rsid w:val="00663DA0"/>
    <w:rsid w:val="00663E32"/>
    <w:rsid w:val="00663E9C"/>
    <w:rsid w:val="00664112"/>
    <w:rsid w:val="00664328"/>
    <w:rsid w:val="006646EF"/>
    <w:rsid w:val="00664761"/>
    <w:rsid w:val="00664868"/>
    <w:rsid w:val="00664901"/>
    <w:rsid w:val="00664D3B"/>
    <w:rsid w:val="00664F61"/>
    <w:rsid w:val="00664FE1"/>
    <w:rsid w:val="00664FED"/>
    <w:rsid w:val="00665053"/>
    <w:rsid w:val="0066554D"/>
    <w:rsid w:val="00665768"/>
    <w:rsid w:val="006657D7"/>
    <w:rsid w:val="00665AD6"/>
    <w:rsid w:val="00665BE8"/>
    <w:rsid w:val="00665EB9"/>
    <w:rsid w:val="00665F45"/>
    <w:rsid w:val="00665F67"/>
    <w:rsid w:val="0066654F"/>
    <w:rsid w:val="00666699"/>
    <w:rsid w:val="006666F9"/>
    <w:rsid w:val="0066679D"/>
    <w:rsid w:val="006667AD"/>
    <w:rsid w:val="00666819"/>
    <w:rsid w:val="00666F1E"/>
    <w:rsid w:val="00667206"/>
    <w:rsid w:val="0066727E"/>
    <w:rsid w:val="00667408"/>
    <w:rsid w:val="00667676"/>
    <w:rsid w:val="00667729"/>
    <w:rsid w:val="0066786E"/>
    <w:rsid w:val="006678FB"/>
    <w:rsid w:val="00670653"/>
    <w:rsid w:val="006706CE"/>
    <w:rsid w:val="00670A8D"/>
    <w:rsid w:val="00670B5D"/>
    <w:rsid w:val="00670C1C"/>
    <w:rsid w:val="00670C92"/>
    <w:rsid w:val="00670DA8"/>
    <w:rsid w:val="00671070"/>
    <w:rsid w:val="006711B6"/>
    <w:rsid w:val="0067148B"/>
    <w:rsid w:val="00671818"/>
    <w:rsid w:val="00671C6D"/>
    <w:rsid w:val="0067217B"/>
    <w:rsid w:val="006722C3"/>
    <w:rsid w:val="00672849"/>
    <w:rsid w:val="0067288B"/>
    <w:rsid w:val="00672AC2"/>
    <w:rsid w:val="00672AD8"/>
    <w:rsid w:val="00672AF6"/>
    <w:rsid w:val="00672F0D"/>
    <w:rsid w:val="00673054"/>
    <w:rsid w:val="00673131"/>
    <w:rsid w:val="006737CD"/>
    <w:rsid w:val="0067397C"/>
    <w:rsid w:val="006739D7"/>
    <w:rsid w:val="00673FFD"/>
    <w:rsid w:val="006740CC"/>
    <w:rsid w:val="0067429B"/>
    <w:rsid w:val="00674463"/>
    <w:rsid w:val="00674808"/>
    <w:rsid w:val="00674A6C"/>
    <w:rsid w:val="00674AB7"/>
    <w:rsid w:val="00674AFD"/>
    <w:rsid w:val="00674D81"/>
    <w:rsid w:val="00674EB4"/>
    <w:rsid w:val="006754A9"/>
    <w:rsid w:val="006757B2"/>
    <w:rsid w:val="00675883"/>
    <w:rsid w:val="006758EA"/>
    <w:rsid w:val="00675E4F"/>
    <w:rsid w:val="00676198"/>
    <w:rsid w:val="006763EC"/>
    <w:rsid w:val="00676516"/>
    <w:rsid w:val="00676829"/>
    <w:rsid w:val="00676B3B"/>
    <w:rsid w:val="00677092"/>
    <w:rsid w:val="00677186"/>
    <w:rsid w:val="0067735B"/>
    <w:rsid w:val="00677403"/>
    <w:rsid w:val="006778B6"/>
    <w:rsid w:val="006778BF"/>
    <w:rsid w:val="006779C4"/>
    <w:rsid w:val="00677A59"/>
    <w:rsid w:val="00677AC3"/>
    <w:rsid w:val="00677B88"/>
    <w:rsid w:val="00677BFE"/>
    <w:rsid w:val="00677C5F"/>
    <w:rsid w:val="00677D17"/>
    <w:rsid w:val="00677D8D"/>
    <w:rsid w:val="00677E3A"/>
    <w:rsid w:val="00680263"/>
    <w:rsid w:val="006803D7"/>
    <w:rsid w:val="006808BA"/>
    <w:rsid w:val="006809F0"/>
    <w:rsid w:val="00680F54"/>
    <w:rsid w:val="006811EE"/>
    <w:rsid w:val="0068179A"/>
    <w:rsid w:val="00681899"/>
    <w:rsid w:val="00681C77"/>
    <w:rsid w:val="00681D83"/>
    <w:rsid w:val="00681FEA"/>
    <w:rsid w:val="006821DB"/>
    <w:rsid w:val="006825D8"/>
    <w:rsid w:val="006826C1"/>
    <w:rsid w:val="00682847"/>
    <w:rsid w:val="00682850"/>
    <w:rsid w:val="006829DE"/>
    <w:rsid w:val="00682A8F"/>
    <w:rsid w:val="00682AC4"/>
    <w:rsid w:val="00682CA4"/>
    <w:rsid w:val="00683267"/>
    <w:rsid w:val="006833AF"/>
    <w:rsid w:val="00683E00"/>
    <w:rsid w:val="00684038"/>
    <w:rsid w:val="00684271"/>
    <w:rsid w:val="00684883"/>
    <w:rsid w:val="00684904"/>
    <w:rsid w:val="00684A6A"/>
    <w:rsid w:val="00684C50"/>
    <w:rsid w:val="00685013"/>
    <w:rsid w:val="00685250"/>
    <w:rsid w:val="0068558D"/>
    <w:rsid w:val="006856BA"/>
    <w:rsid w:val="00685724"/>
    <w:rsid w:val="00685BA6"/>
    <w:rsid w:val="00685C0B"/>
    <w:rsid w:val="00685C14"/>
    <w:rsid w:val="00685E11"/>
    <w:rsid w:val="006862DF"/>
    <w:rsid w:val="00686394"/>
    <w:rsid w:val="00686790"/>
    <w:rsid w:val="006868E9"/>
    <w:rsid w:val="00686B6F"/>
    <w:rsid w:val="006870F2"/>
    <w:rsid w:val="0068714E"/>
    <w:rsid w:val="00687189"/>
    <w:rsid w:val="0068775B"/>
    <w:rsid w:val="0068794F"/>
    <w:rsid w:val="00687960"/>
    <w:rsid w:val="006900F3"/>
    <w:rsid w:val="0069016C"/>
    <w:rsid w:val="006903D0"/>
    <w:rsid w:val="006905BF"/>
    <w:rsid w:val="006907B3"/>
    <w:rsid w:val="006908B5"/>
    <w:rsid w:val="00690B10"/>
    <w:rsid w:val="00690D46"/>
    <w:rsid w:val="00691084"/>
    <w:rsid w:val="0069119A"/>
    <w:rsid w:val="006911C5"/>
    <w:rsid w:val="00691210"/>
    <w:rsid w:val="006912A5"/>
    <w:rsid w:val="0069134A"/>
    <w:rsid w:val="006916C9"/>
    <w:rsid w:val="00691902"/>
    <w:rsid w:val="00691C36"/>
    <w:rsid w:val="00691F23"/>
    <w:rsid w:val="006920D6"/>
    <w:rsid w:val="00692188"/>
    <w:rsid w:val="006924F8"/>
    <w:rsid w:val="00692530"/>
    <w:rsid w:val="006925A5"/>
    <w:rsid w:val="0069289D"/>
    <w:rsid w:val="006929AD"/>
    <w:rsid w:val="00692B8E"/>
    <w:rsid w:val="00692ED8"/>
    <w:rsid w:val="006930D9"/>
    <w:rsid w:val="00693114"/>
    <w:rsid w:val="00693286"/>
    <w:rsid w:val="006932E1"/>
    <w:rsid w:val="00693459"/>
    <w:rsid w:val="00693BE6"/>
    <w:rsid w:val="00693D4F"/>
    <w:rsid w:val="00693F32"/>
    <w:rsid w:val="0069403A"/>
    <w:rsid w:val="006941EF"/>
    <w:rsid w:val="00694322"/>
    <w:rsid w:val="00694412"/>
    <w:rsid w:val="0069461C"/>
    <w:rsid w:val="0069491B"/>
    <w:rsid w:val="00694AD3"/>
    <w:rsid w:val="00694E11"/>
    <w:rsid w:val="00694E63"/>
    <w:rsid w:val="00694E66"/>
    <w:rsid w:val="006951B2"/>
    <w:rsid w:val="006952D9"/>
    <w:rsid w:val="00695351"/>
    <w:rsid w:val="006955AE"/>
    <w:rsid w:val="00695601"/>
    <w:rsid w:val="00695A04"/>
    <w:rsid w:val="00695AF4"/>
    <w:rsid w:val="00695E23"/>
    <w:rsid w:val="00695E30"/>
    <w:rsid w:val="006960B2"/>
    <w:rsid w:val="006964E0"/>
    <w:rsid w:val="00696519"/>
    <w:rsid w:val="00696642"/>
    <w:rsid w:val="006966F9"/>
    <w:rsid w:val="00696CC1"/>
    <w:rsid w:val="00696D4F"/>
    <w:rsid w:val="006970E4"/>
    <w:rsid w:val="0069749C"/>
    <w:rsid w:val="006975CD"/>
    <w:rsid w:val="006975F4"/>
    <w:rsid w:val="0069779E"/>
    <w:rsid w:val="006978D4"/>
    <w:rsid w:val="00697931"/>
    <w:rsid w:val="00697B74"/>
    <w:rsid w:val="00697C4B"/>
    <w:rsid w:val="00697D39"/>
    <w:rsid w:val="00697E3F"/>
    <w:rsid w:val="00697E5D"/>
    <w:rsid w:val="00697ED9"/>
    <w:rsid w:val="006A00C6"/>
    <w:rsid w:val="006A01D0"/>
    <w:rsid w:val="006A0227"/>
    <w:rsid w:val="006A0D6C"/>
    <w:rsid w:val="006A0D73"/>
    <w:rsid w:val="006A134B"/>
    <w:rsid w:val="006A1582"/>
    <w:rsid w:val="006A1D90"/>
    <w:rsid w:val="006A1DCA"/>
    <w:rsid w:val="006A1FD1"/>
    <w:rsid w:val="006A20AD"/>
    <w:rsid w:val="006A250B"/>
    <w:rsid w:val="006A2600"/>
    <w:rsid w:val="006A2FB2"/>
    <w:rsid w:val="006A2FDE"/>
    <w:rsid w:val="006A3322"/>
    <w:rsid w:val="006A3340"/>
    <w:rsid w:val="006A358E"/>
    <w:rsid w:val="006A3A14"/>
    <w:rsid w:val="006A3AF2"/>
    <w:rsid w:val="006A3C02"/>
    <w:rsid w:val="006A3C19"/>
    <w:rsid w:val="006A3C21"/>
    <w:rsid w:val="006A3C47"/>
    <w:rsid w:val="006A3DBA"/>
    <w:rsid w:val="006A3FF2"/>
    <w:rsid w:val="006A405E"/>
    <w:rsid w:val="006A4151"/>
    <w:rsid w:val="006A4968"/>
    <w:rsid w:val="006A4FEC"/>
    <w:rsid w:val="006A54E9"/>
    <w:rsid w:val="006A55DC"/>
    <w:rsid w:val="006A55E3"/>
    <w:rsid w:val="006A56C8"/>
    <w:rsid w:val="006A57FA"/>
    <w:rsid w:val="006A5AA0"/>
    <w:rsid w:val="006A5E99"/>
    <w:rsid w:val="006A6003"/>
    <w:rsid w:val="006A61BE"/>
    <w:rsid w:val="006A61CC"/>
    <w:rsid w:val="006A62C9"/>
    <w:rsid w:val="006A64BD"/>
    <w:rsid w:val="006A64CC"/>
    <w:rsid w:val="006A6AB2"/>
    <w:rsid w:val="006A6AFF"/>
    <w:rsid w:val="006A6BD2"/>
    <w:rsid w:val="006A74CA"/>
    <w:rsid w:val="006A7520"/>
    <w:rsid w:val="006A77E2"/>
    <w:rsid w:val="006A789D"/>
    <w:rsid w:val="006A7B64"/>
    <w:rsid w:val="006A7CA1"/>
    <w:rsid w:val="006A7CA7"/>
    <w:rsid w:val="006B0084"/>
    <w:rsid w:val="006B031C"/>
    <w:rsid w:val="006B06A4"/>
    <w:rsid w:val="006B0731"/>
    <w:rsid w:val="006B073B"/>
    <w:rsid w:val="006B0819"/>
    <w:rsid w:val="006B10F7"/>
    <w:rsid w:val="006B1592"/>
    <w:rsid w:val="006B1884"/>
    <w:rsid w:val="006B1A84"/>
    <w:rsid w:val="006B1DD4"/>
    <w:rsid w:val="006B1F41"/>
    <w:rsid w:val="006B209C"/>
    <w:rsid w:val="006B20CB"/>
    <w:rsid w:val="006B20D9"/>
    <w:rsid w:val="006B20F8"/>
    <w:rsid w:val="006B2279"/>
    <w:rsid w:val="006B25D6"/>
    <w:rsid w:val="006B25F4"/>
    <w:rsid w:val="006B26E4"/>
    <w:rsid w:val="006B2795"/>
    <w:rsid w:val="006B2952"/>
    <w:rsid w:val="006B2B01"/>
    <w:rsid w:val="006B2DDA"/>
    <w:rsid w:val="006B3204"/>
    <w:rsid w:val="006B32A2"/>
    <w:rsid w:val="006B346F"/>
    <w:rsid w:val="006B34F5"/>
    <w:rsid w:val="006B3D9F"/>
    <w:rsid w:val="006B3EB2"/>
    <w:rsid w:val="006B3F24"/>
    <w:rsid w:val="006B4068"/>
    <w:rsid w:val="006B4373"/>
    <w:rsid w:val="006B44C8"/>
    <w:rsid w:val="006B45CB"/>
    <w:rsid w:val="006B48BC"/>
    <w:rsid w:val="006B4DC4"/>
    <w:rsid w:val="006B4E6C"/>
    <w:rsid w:val="006B5213"/>
    <w:rsid w:val="006B56C0"/>
    <w:rsid w:val="006B58AF"/>
    <w:rsid w:val="006B5C6F"/>
    <w:rsid w:val="006B5D63"/>
    <w:rsid w:val="006B5D6D"/>
    <w:rsid w:val="006B5E25"/>
    <w:rsid w:val="006B61ED"/>
    <w:rsid w:val="006B6B64"/>
    <w:rsid w:val="006B6BCC"/>
    <w:rsid w:val="006B6BF9"/>
    <w:rsid w:val="006B74AD"/>
    <w:rsid w:val="006B796D"/>
    <w:rsid w:val="006B7B69"/>
    <w:rsid w:val="006B7CA0"/>
    <w:rsid w:val="006B7CD0"/>
    <w:rsid w:val="006B7F6C"/>
    <w:rsid w:val="006C0149"/>
    <w:rsid w:val="006C01A2"/>
    <w:rsid w:val="006C029E"/>
    <w:rsid w:val="006C045C"/>
    <w:rsid w:val="006C05EC"/>
    <w:rsid w:val="006C0706"/>
    <w:rsid w:val="006C0809"/>
    <w:rsid w:val="006C0B26"/>
    <w:rsid w:val="006C0D16"/>
    <w:rsid w:val="006C0FF8"/>
    <w:rsid w:val="006C120F"/>
    <w:rsid w:val="006C1387"/>
    <w:rsid w:val="006C1684"/>
    <w:rsid w:val="006C173C"/>
    <w:rsid w:val="006C1872"/>
    <w:rsid w:val="006C18CA"/>
    <w:rsid w:val="006C1A11"/>
    <w:rsid w:val="006C1B07"/>
    <w:rsid w:val="006C1CC3"/>
    <w:rsid w:val="006C1F90"/>
    <w:rsid w:val="006C1FD8"/>
    <w:rsid w:val="006C218D"/>
    <w:rsid w:val="006C22A8"/>
    <w:rsid w:val="006C2712"/>
    <w:rsid w:val="006C27E9"/>
    <w:rsid w:val="006C28F7"/>
    <w:rsid w:val="006C2B41"/>
    <w:rsid w:val="006C2D70"/>
    <w:rsid w:val="006C2DC3"/>
    <w:rsid w:val="006C305A"/>
    <w:rsid w:val="006C307A"/>
    <w:rsid w:val="006C3121"/>
    <w:rsid w:val="006C320F"/>
    <w:rsid w:val="006C3254"/>
    <w:rsid w:val="006C3392"/>
    <w:rsid w:val="006C33EF"/>
    <w:rsid w:val="006C3488"/>
    <w:rsid w:val="006C36EF"/>
    <w:rsid w:val="006C3878"/>
    <w:rsid w:val="006C38B9"/>
    <w:rsid w:val="006C38F3"/>
    <w:rsid w:val="006C3924"/>
    <w:rsid w:val="006C3EC6"/>
    <w:rsid w:val="006C3F50"/>
    <w:rsid w:val="006C3F79"/>
    <w:rsid w:val="006C428D"/>
    <w:rsid w:val="006C447F"/>
    <w:rsid w:val="006C461B"/>
    <w:rsid w:val="006C4D60"/>
    <w:rsid w:val="006C5058"/>
    <w:rsid w:val="006C538F"/>
    <w:rsid w:val="006C5403"/>
    <w:rsid w:val="006C5407"/>
    <w:rsid w:val="006C54B2"/>
    <w:rsid w:val="006C54B8"/>
    <w:rsid w:val="006C5690"/>
    <w:rsid w:val="006C5724"/>
    <w:rsid w:val="006C5D5E"/>
    <w:rsid w:val="006C5EBF"/>
    <w:rsid w:val="006C5F33"/>
    <w:rsid w:val="006C644E"/>
    <w:rsid w:val="006C6567"/>
    <w:rsid w:val="006C66C7"/>
    <w:rsid w:val="006C66E3"/>
    <w:rsid w:val="006C681C"/>
    <w:rsid w:val="006C6D2D"/>
    <w:rsid w:val="006C6DD6"/>
    <w:rsid w:val="006C6E8D"/>
    <w:rsid w:val="006C6EE5"/>
    <w:rsid w:val="006C7178"/>
    <w:rsid w:val="006C7269"/>
    <w:rsid w:val="006C7814"/>
    <w:rsid w:val="006C7A7F"/>
    <w:rsid w:val="006C7E17"/>
    <w:rsid w:val="006C7E9E"/>
    <w:rsid w:val="006D03B5"/>
    <w:rsid w:val="006D03BF"/>
    <w:rsid w:val="006D041C"/>
    <w:rsid w:val="006D0901"/>
    <w:rsid w:val="006D0A1F"/>
    <w:rsid w:val="006D0BB0"/>
    <w:rsid w:val="006D0C03"/>
    <w:rsid w:val="006D0C2E"/>
    <w:rsid w:val="006D0E6B"/>
    <w:rsid w:val="006D176C"/>
    <w:rsid w:val="006D1963"/>
    <w:rsid w:val="006D1BB9"/>
    <w:rsid w:val="006D1C50"/>
    <w:rsid w:val="006D1D19"/>
    <w:rsid w:val="006D1E46"/>
    <w:rsid w:val="006D2219"/>
    <w:rsid w:val="006D259C"/>
    <w:rsid w:val="006D2682"/>
    <w:rsid w:val="006D2734"/>
    <w:rsid w:val="006D2A7F"/>
    <w:rsid w:val="006D3448"/>
    <w:rsid w:val="006D389E"/>
    <w:rsid w:val="006D38A2"/>
    <w:rsid w:val="006D38AE"/>
    <w:rsid w:val="006D3C52"/>
    <w:rsid w:val="006D4018"/>
    <w:rsid w:val="006D4127"/>
    <w:rsid w:val="006D41BB"/>
    <w:rsid w:val="006D4538"/>
    <w:rsid w:val="006D45CF"/>
    <w:rsid w:val="006D47E5"/>
    <w:rsid w:val="006D4826"/>
    <w:rsid w:val="006D4A31"/>
    <w:rsid w:val="006D4AAB"/>
    <w:rsid w:val="006D4CAC"/>
    <w:rsid w:val="006D4E50"/>
    <w:rsid w:val="006D4F2D"/>
    <w:rsid w:val="006D5094"/>
    <w:rsid w:val="006D5173"/>
    <w:rsid w:val="006D5235"/>
    <w:rsid w:val="006D5349"/>
    <w:rsid w:val="006D5611"/>
    <w:rsid w:val="006D5663"/>
    <w:rsid w:val="006D5A72"/>
    <w:rsid w:val="006D5BB2"/>
    <w:rsid w:val="006D5E86"/>
    <w:rsid w:val="006D5F38"/>
    <w:rsid w:val="006D6229"/>
    <w:rsid w:val="006D6303"/>
    <w:rsid w:val="006D6550"/>
    <w:rsid w:val="006D655D"/>
    <w:rsid w:val="006D662B"/>
    <w:rsid w:val="006D6776"/>
    <w:rsid w:val="006D6DDA"/>
    <w:rsid w:val="006D703D"/>
    <w:rsid w:val="006D70EB"/>
    <w:rsid w:val="006D7414"/>
    <w:rsid w:val="006D74A7"/>
    <w:rsid w:val="006D78B0"/>
    <w:rsid w:val="006D7A6A"/>
    <w:rsid w:val="006D7B53"/>
    <w:rsid w:val="006E0311"/>
    <w:rsid w:val="006E041E"/>
    <w:rsid w:val="006E08F8"/>
    <w:rsid w:val="006E0B87"/>
    <w:rsid w:val="006E0BE5"/>
    <w:rsid w:val="006E0CB7"/>
    <w:rsid w:val="006E0E17"/>
    <w:rsid w:val="006E0F82"/>
    <w:rsid w:val="006E0FBC"/>
    <w:rsid w:val="006E125A"/>
    <w:rsid w:val="006E13FE"/>
    <w:rsid w:val="006E147D"/>
    <w:rsid w:val="006E1538"/>
    <w:rsid w:val="006E1865"/>
    <w:rsid w:val="006E1A1E"/>
    <w:rsid w:val="006E1D6E"/>
    <w:rsid w:val="006E24E0"/>
    <w:rsid w:val="006E2601"/>
    <w:rsid w:val="006E277F"/>
    <w:rsid w:val="006E2879"/>
    <w:rsid w:val="006E2B57"/>
    <w:rsid w:val="006E2B60"/>
    <w:rsid w:val="006E2BD1"/>
    <w:rsid w:val="006E2E8A"/>
    <w:rsid w:val="006E2EBC"/>
    <w:rsid w:val="006E3305"/>
    <w:rsid w:val="006E3327"/>
    <w:rsid w:val="006E3374"/>
    <w:rsid w:val="006E34B0"/>
    <w:rsid w:val="006E3692"/>
    <w:rsid w:val="006E3844"/>
    <w:rsid w:val="006E38C3"/>
    <w:rsid w:val="006E3A56"/>
    <w:rsid w:val="006E3AA7"/>
    <w:rsid w:val="006E3B84"/>
    <w:rsid w:val="006E3BE7"/>
    <w:rsid w:val="006E4212"/>
    <w:rsid w:val="006E4351"/>
    <w:rsid w:val="006E4492"/>
    <w:rsid w:val="006E47D1"/>
    <w:rsid w:val="006E494F"/>
    <w:rsid w:val="006E49B2"/>
    <w:rsid w:val="006E4D30"/>
    <w:rsid w:val="006E4E6B"/>
    <w:rsid w:val="006E4FE4"/>
    <w:rsid w:val="006E50A2"/>
    <w:rsid w:val="006E51DB"/>
    <w:rsid w:val="006E54D9"/>
    <w:rsid w:val="006E58CA"/>
    <w:rsid w:val="006E590F"/>
    <w:rsid w:val="006E5AD9"/>
    <w:rsid w:val="006E5BF9"/>
    <w:rsid w:val="006E5C2A"/>
    <w:rsid w:val="006E5FB6"/>
    <w:rsid w:val="006E60BC"/>
    <w:rsid w:val="006E6308"/>
    <w:rsid w:val="006E658B"/>
    <w:rsid w:val="006E6A38"/>
    <w:rsid w:val="006E6CC2"/>
    <w:rsid w:val="006E6F76"/>
    <w:rsid w:val="006E710E"/>
    <w:rsid w:val="006E7529"/>
    <w:rsid w:val="006E760A"/>
    <w:rsid w:val="006E7AD3"/>
    <w:rsid w:val="006E7B32"/>
    <w:rsid w:val="006E7C87"/>
    <w:rsid w:val="006E7D6D"/>
    <w:rsid w:val="006E7FD9"/>
    <w:rsid w:val="006F013A"/>
    <w:rsid w:val="006F0147"/>
    <w:rsid w:val="006F0232"/>
    <w:rsid w:val="006F058C"/>
    <w:rsid w:val="006F05A9"/>
    <w:rsid w:val="006F06F2"/>
    <w:rsid w:val="006F0E16"/>
    <w:rsid w:val="006F0EEA"/>
    <w:rsid w:val="006F1072"/>
    <w:rsid w:val="006F1206"/>
    <w:rsid w:val="006F12C8"/>
    <w:rsid w:val="006F15A6"/>
    <w:rsid w:val="006F15BA"/>
    <w:rsid w:val="006F172F"/>
    <w:rsid w:val="006F17DA"/>
    <w:rsid w:val="006F1AD2"/>
    <w:rsid w:val="006F1E68"/>
    <w:rsid w:val="006F1EA6"/>
    <w:rsid w:val="006F227D"/>
    <w:rsid w:val="006F2321"/>
    <w:rsid w:val="006F2546"/>
    <w:rsid w:val="006F2725"/>
    <w:rsid w:val="006F276C"/>
    <w:rsid w:val="006F3535"/>
    <w:rsid w:val="006F355D"/>
    <w:rsid w:val="006F3595"/>
    <w:rsid w:val="006F35F1"/>
    <w:rsid w:val="006F36C3"/>
    <w:rsid w:val="006F3704"/>
    <w:rsid w:val="006F376C"/>
    <w:rsid w:val="006F3AE1"/>
    <w:rsid w:val="006F3BB6"/>
    <w:rsid w:val="006F3F6E"/>
    <w:rsid w:val="006F4133"/>
    <w:rsid w:val="006F431F"/>
    <w:rsid w:val="006F4445"/>
    <w:rsid w:val="006F45DA"/>
    <w:rsid w:val="006F485E"/>
    <w:rsid w:val="006F4AB2"/>
    <w:rsid w:val="006F4E7E"/>
    <w:rsid w:val="006F5212"/>
    <w:rsid w:val="006F5242"/>
    <w:rsid w:val="006F52EB"/>
    <w:rsid w:val="006F55D7"/>
    <w:rsid w:val="006F57A7"/>
    <w:rsid w:val="006F5B16"/>
    <w:rsid w:val="006F5C15"/>
    <w:rsid w:val="006F5C40"/>
    <w:rsid w:val="006F5D7D"/>
    <w:rsid w:val="006F5E0F"/>
    <w:rsid w:val="006F5EE6"/>
    <w:rsid w:val="006F5FE6"/>
    <w:rsid w:val="006F6092"/>
    <w:rsid w:val="006F609C"/>
    <w:rsid w:val="006F6418"/>
    <w:rsid w:val="006F667F"/>
    <w:rsid w:val="006F6C16"/>
    <w:rsid w:val="006F6FB1"/>
    <w:rsid w:val="006F7255"/>
    <w:rsid w:val="006F727D"/>
    <w:rsid w:val="006F7C69"/>
    <w:rsid w:val="006F7EDA"/>
    <w:rsid w:val="006F7EEF"/>
    <w:rsid w:val="006F7FFE"/>
    <w:rsid w:val="00700379"/>
    <w:rsid w:val="00700504"/>
    <w:rsid w:val="00700567"/>
    <w:rsid w:val="0070058C"/>
    <w:rsid w:val="00700590"/>
    <w:rsid w:val="0070063C"/>
    <w:rsid w:val="00700A1E"/>
    <w:rsid w:val="00700DDC"/>
    <w:rsid w:val="00700F04"/>
    <w:rsid w:val="00700F13"/>
    <w:rsid w:val="00700F38"/>
    <w:rsid w:val="0070138C"/>
    <w:rsid w:val="007014B5"/>
    <w:rsid w:val="0070175D"/>
    <w:rsid w:val="0070190C"/>
    <w:rsid w:val="00701F93"/>
    <w:rsid w:val="0070225C"/>
    <w:rsid w:val="007022EA"/>
    <w:rsid w:val="0070260A"/>
    <w:rsid w:val="00702C50"/>
    <w:rsid w:val="007034A4"/>
    <w:rsid w:val="00703544"/>
    <w:rsid w:val="00703841"/>
    <w:rsid w:val="007038AD"/>
    <w:rsid w:val="007038BD"/>
    <w:rsid w:val="007039A4"/>
    <w:rsid w:val="00703DF0"/>
    <w:rsid w:val="00703FE6"/>
    <w:rsid w:val="00704BF4"/>
    <w:rsid w:val="00704E5F"/>
    <w:rsid w:val="00704EC2"/>
    <w:rsid w:val="00704FB1"/>
    <w:rsid w:val="00705055"/>
    <w:rsid w:val="0070513A"/>
    <w:rsid w:val="00705257"/>
    <w:rsid w:val="007053EE"/>
    <w:rsid w:val="007056A5"/>
    <w:rsid w:val="007056E2"/>
    <w:rsid w:val="00705830"/>
    <w:rsid w:val="00705A9C"/>
    <w:rsid w:val="00705F6F"/>
    <w:rsid w:val="00705F96"/>
    <w:rsid w:val="007062C5"/>
    <w:rsid w:val="007062CE"/>
    <w:rsid w:val="007064C6"/>
    <w:rsid w:val="007066EA"/>
    <w:rsid w:val="00706743"/>
    <w:rsid w:val="00706A90"/>
    <w:rsid w:val="00706A93"/>
    <w:rsid w:val="00707121"/>
    <w:rsid w:val="007071E9"/>
    <w:rsid w:val="00707649"/>
    <w:rsid w:val="00707759"/>
    <w:rsid w:val="007077C4"/>
    <w:rsid w:val="007077E4"/>
    <w:rsid w:val="00707870"/>
    <w:rsid w:val="007078D5"/>
    <w:rsid w:val="00707972"/>
    <w:rsid w:val="00707CDB"/>
    <w:rsid w:val="00707E61"/>
    <w:rsid w:val="0071030E"/>
    <w:rsid w:val="0071078B"/>
    <w:rsid w:val="0071092F"/>
    <w:rsid w:val="00710CFC"/>
    <w:rsid w:val="00710D80"/>
    <w:rsid w:val="00710F39"/>
    <w:rsid w:val="0071105C"/>
    <w:rsid w:val="00711132"/>
    <w:rsid w:val="00711495"/>
    <w:rsid w:val="007115AE"/>
    <w:rsid w:val="00711996"/>
    <w:rsid w:val="00711B09"/>
    <w:rsid w:val="00711C92"/>
    <w:rsid w:val="00711D11"/>
    <w:rsid w:val="00712436"/>
    <w:rsid w:val="00712583"/>
    <w:rsid w:val="00712845"/>
    <w:rsid w:val="00712AB7"/>
    <w:rsid w:val="00712D28"/>
    <w:rsid w:val="00712EE9"/>
    <w:rsid w:val="00712FBC"/>
    <w:rsid w:val="007132B2"/>
    <w:rsid w:val="007132D7"/>
    <w:rsid w:val="0071333C"/>
    <w:rsid w:val="00713457"/>
    <w:rsid w:val="007136AA"/>
    <w:rsid w:val="00713713"/>
    <w:rsid w:val="00713964"/>
    <w:rsid w:val="00713D39"/>
    <w:rsid w:val="00714021"/>
    <w:rsid w:val="00714124"/>
    <w:rsid w:val="00714260"/>
    <w:rsid w:val="0071457A"/>
    <w:rsid w:val="007147FC"/>
    <w:rsid w:val="00714953"/>
    <w:rsid w:val="00714C18"/>
    <w:rsid w:val="00714C85"/>
    <w:rsid w:val="00714D90"/>
    <w:rsid w:val="00714FD3"/>
    <w:rsid w:val="00714FEE"/>
    <w:rsid w:val="0071502E"/>
    <w:rsid w:val="00715438"/>
    <w:rsid w:val="0071571E"/>
    <w:rsid w:val="00715771"/>
    <w:rsid w:val="00715D9B"/>
    <w:rsid w:val="00715EBA"/>
    <w:rsid w:val="00715F02"/>
    <w:rsid w:val="00716033"/>
    <w:rsid w:val="00716261"/>
    <w:rsid w:val="00716694"/>
    <w:rsid w:val="00716BDB"/>
    <w:rsid w:val="00716CE7"/>
    <w:rsid w:val="00716D90"/>
    <w:rsid w:val="00716DB9"/>
    <w:rsid w:val="00717290"/>
    <w:rsid w:val="0071732F"/>
    <w:rsid w:val="007175BB"/>
    <w:rsid w:val="007175F1"/>
    <w:rsid w:val="00717BC6"/>
    <w:rsid w:val="00717DFC"/>
    <w:rsid w:val="00717E3D"/>
    <w:rsid w:val="00720001"/>
    <w:rsid w:val="007201B8"/>
    <w:rsid w:val="007202BE"/>
    <w:rsid w:val="00720402"/>
    <w:rsid w:val="00720849"/>
    <w:rsid w:val="007218C7"/>
    <w:rsid w:val="00721950"/>
    <w:rsid w:val="00721952"/>
    <w:rsid w:val="007219FF"/>
    <w:rsid w:val="00721B33"/>
    <w:rsid w:val="00721D57"/>
    <w:rsid w:val="00722446"/>
    <w:rsid w:val="007224BD"/>
    <w:rsid w:val="007224F1"/>
    <w:rsid w:val="00722A47"/>
    <w:rsid w:val="00722F51"/>
    <w:rsid w:val="0072314D"/>
    <w:rsid w:val="00723396"/>
    <w:rsid w:val="0072375A"/>
    <w:rsid w:val="007239DE"/>
    <w:rsid w:val="00723AE5"/>
    <w:rsid w:val="00723C79"/>
    <w:rsid w:val="00723C9D"/>
    <w:rsid w:val="00723ED1"/>
    <w:rsid w:val="007240AB"/>
    <w:rsid w:val="007241CC"/>
    <w:rsid w:val="0072446C"/>
    <w:rsid w:val="00724A3E"/>
    <w:rsid w:val="00724B5F"/>
    <w:rsid w:val="00724E4A"/>
    <w:rsid w:val="007252AB"/>
    <w:rsid w:val="007254DC"/>
    <w:rsid w:val="007255EA"/>
    <w:rsid w:val="00725657"/>
    <w:rsid w:val="007256CD"/>
    <w:rsid w:val="00725C82"/>
    <w:rsid w:val="0072608D"/>
    <w:rsid w:val="007260C7"/>
    <w:rsid w:val="007260E9"/>
    <w:rsid w:val="007264F2"/>
    <w:rsid w:val="00726580"/>
    <w:rsid w:val="00726638"/>
    <w:rsid w:val="0072678F"/>
    <w:rsid w:val="00726C4F"/>
    <w:rsid w:val="00726C75"/>
    <w:rsid w:val="00727116"/>
    <w:rsid w:val="00727297"/>
    <w:rsid w:val="007272F7"/>
    <w:rsid w:val="00727320"/>
    <w:rsid w:val="0072737D"/>
    <w:rsid w:val="00727403"/>
    <w:rsid w:val="00727C00"/>
    <w:rsid w:val="00727C2B"/>
    <w:rsid w:val="00727E72"/>
    <w:rsid w:val="00727F16"/>
    <w:rsid w:val="00730131"/>
    <w:rsid w:val="007307BE"/>
    <w:rsid w:val="00730916"/>
    <w:rsid w:val="00730A21"/>
    <w:rsid w:val="00730BB9"/>
    <w:rsid w:val="00730D78"/>
    <w:rsid w:val="00730F13"/>
    <w:rsid w:val="00730F44"/>
    <w:rsid w:val="007311F8"/>
    <w:rsid w:val="007313F7"/>
    <w:rsid w:val="00731643"/>
    <w:rsid w:val="00731786"/>
    <w:rsid w:val="007318D9"/>
    <w:rsid w:val="0073199C"/>
    <w:rsid w:val="00731C03"/>
    <w:rsid w:val="00731C46"/>
    <w:rsid w:val="00731CA0"/>
    <w:rsid w:val="00731F36"/>
    <w:rsid w:val="007321F0"/>
    <w:rsid w:val="007323A3"/>
    <w:rsid w:val="007324A8"/>
    <w:rsid w:val="00732667"/>
    <w:rsid w:val="0073297F"/>
    <w:rsid w:val="00732982"/>
    <w:rsid w:val="007329DB"/>
    <w:rsid w:val="00732EC6"/>
    <w:rsid w:val="00732FF8"/>
    <w:rsid w:val="00733329"/>
    <w:rsid w:val="00733526"/>
    <w:rsid w:val="0073366A"/>
    <w:rsid w:val="00733762"/>
    <w:rsid w:val="007339DA"/>
    <w:rsid w:val="00733A64"/>
    <w:rsid w:val="00733A6A"/>
    <w:rsid w:val="00733A90"/>
    <w:rsid w:val="00733EDE"/>
    <w:rsid w:val="0073420E"/>
    <w:rsid w:val="007344D6"/>
    <w:rsid w:val="007345B7"/>
    <w:rsid w:val="007345C4"/>
    <w:rsid w:val="007345CC"/>
    <w:rsid w:val="0073481A"/>
    <w:rsid w:val="00734883"/>
    <w:rsid w:val="00734D2B"/>
    <w:rsid w:val="00735034"/>
    <w:rsid w:val="0073507D"/>
    <w:rsid w:val="0073598E"/>
    <w:rsid w:val="00735A86"/>
    <w:rsid w:val="00735B54"/>
    <w:rsid w:val="00735CBD"/>
    <w:rsid w:val="00736006"/>
    <w:rsid w:val="0073624C"/>
    <w:rsid w:val="00736367"/>
    <w:rsid w:val="007363A8"/>
    <w:rsid w:val="00736522"/>
    <w:rsid w:val="007365F4"/>
    <w:rsid w:val="0073670E"/>
    <w:rsid w:val="00736871"/>
    <w:rsid w:val="00736A95"/>
    <w:rsid w:val="00736F3A"/>
    <w:rsid w:val="00737009"/>
    <w:rsid w:val="00737402"/>
    <w:rsid w:val="00737485"/>
    <w:rsid w:val="007378E1"/>
    <w:rsid w:val="007378FE"/>
    <w:rsid w:val="00737C04"/>
    <w:rsid w:val="00740212"/>
    <w:rsid w:val="00740299"/>
    <w:rsid w:val="00740627"/>
    <w:rsid w:val="00740B6C"/>
    <w:rsid w:val="00740CDF"/>
    <w:rsid w:val="00740EA8"/>
    <w:rsid w:val="00740FE6"/>
    <w:rsid w:val="0074111A"/>
    <w:rsid w:val="0074120F"/>
    <w:rsid w:val="007413C2"/>
    <w:rsid w:val="00741630"/>
    <w:rsid w:val="00741634"/>
    <w:rsid w:val="0074172E"/>
    <w:rsid w:val="007417E3"/>
    <w:rsid w:val="007418C2"/>
    <w:rsid w:val="00741972"/>
    <w:rsid w:val="007422BB"/>
    <w:rsid w:val="007425ED"/>
    <w:rsid w:val="00742760"/>
    <w:rsid w:val="007427C6"/>
    <w:rsid w:val="0074293A"/>
    <w:rsid w:val="00742C4B"/>
    <w:rsid w:val="007431E3"/>
    <w:rsid w:val="00743327"/>
    <w:rsid w:val="007435BD"/>
    <w:rsid w:val="0074399F"/>
    <w:rsid w:val="00743E09"/>
    <w:rsid w:val="00743E79"/>
    <w:rsid w:val="00744008"/>
    <w:rsid w:val="0074450A"/>
    <w:rsid w:val="007445C3"/>
    <w:rsid w:val="007445F2"/>
    <w:rsid w:val="00744737"/>
    <w:rsid w:val="00744901"/>
    <w:rsid w:val="00745283"/>
    <w:rsid w:val="007456FD"/>
    <w:rsid w:val="0074578C"/>
    <w:rsid w:val="00745A37"/>
    <w:rsid w:val="00745EC3"/>
    <w:rsid w:val="00745EEB"/>
    <w:rsid w:val="0074604A"/>
    <w:rsid w:val="00746223"/>
    <w:rsid w:val="00746254"/>
    <w:rsid w:val="007468C3"/>
    <w:rsid w:val="007468F8"/>
    <w:rsid w:val="00746B01"/>
    <w:rsid w:val="00746B9F"/>
    <w:rsid w:val="00746C11"/>
    <w:rsid w:val="00746D18"/>
    <w:rsid w:val="00746DC0"/>
    <w:rsid w:val="00746E92"/>
    <w:rsid w:val="0074701B"/>
    <w:rsid w:val="0074711D"/>
    <w:rsid w:val="00747216"/>
    <w:rsid w:val="00747262"/>
    <w:rsid w:val="007472D2"/>
    <w:rsid w:val="007477AD"/>
    <w:rsid w:val="00747EF1"/>
    <w:rsid w:val="00747F12"/>
    <w:rsid w:val="007502C1"/>
    <w:rsid w:val="00750573"/>
    <w:rsid w:val="007507BA"/>
    <w:rsid w:val="007507EA"/>
    <w:rsid w:val="00750A1D"/>
    <w:rsid w:val="00750A7E"/>
    <w:rsid w:val="00750FB1"/>
    <w:rsid w:val="0075103F"/>
    <w:rsid w:val="00751318"/>
    <w:rsid w:val="00751433"/>
    <w:rsid w:val="007515D5"/>
    <w:rsid w:val="007518BB"/>
    <w:rsid w:val="00751979"/>
    <w:rsid w:val="00751C79"/>
    <w:rsid w:val="00752044"/>
    <w:rsid w:val="007522C6"/>
    <w:rsid w:val="00752593"/>
    <w:rsid w:val="007526A2"/>
    <w:rsid w:val="007526D3"/>
    <w:rsid w:val="00752744"/>
    <w:rsid w:val="007528F4"/>
    <w:rsid w:val="00752AE3"/>
    <w:rsid w:val="00752BC1"/>
    <w:rsid w:val="00752C9D"/>
    <w:rsid w:val="00752EC9"/>
    <w:rsid w:val="00752F1F"/>
    <w:rsid w:val="00752FA0"/>
    <w:rsid w:val="00752FEC"/>
    <w:rsid w:val="00753094"/>
    <w:rsid w:val="007531F0"/>
    <w:rsid w:val="00753358"/>
    <w:rsid w:val="00753683"/>
    <w:rsid w:val="00753D41"/>
    <w:rsid w:val="00753EA6"/>
    <w:rsid w:val="00753F93"/>
    <w:rsid w:val="00754799"/>
    <w:rsid w:val="007549A2"/>
    <w:rsid w:val="00754C63"/>
    <w:rsid w:val="00754FE7"/>
    <w:rsid w:val="007551A2"/>
    <w:rsid w:val="00755241"/>
    <w:rsid w:val="0075536D"/>
    <w:rsid w:val="0075560E"/>
    <w:rsid w:val="00755722"/>
    <w:rsid w:val="00755A2A"/>
    <w:rsid w:val="00755B37"/>
    <w:rsid w:val="00755BD2"/>
    <w:rsid w:val="00755C6B"/>
    <w:rsid w:val="00756173"/>
    <w:rsid w:val="007563C6"/>
    <w:rsid w:val="0075640E"/>
    <w:rsid w:val="0075647F"/>
    <w:rsid w:val="0075651C"/>
    <w:rsid w:val="00756581"/>
    <w:rsid w:val="007565EC"/>
    <w:rsid w:val="00756649"/>
    <w:rsid w:val="0075670B"/>
    <w:rsid w:val="0075698D"/>
    <w:rsid w:val="0075699B"/>
    <w:rsid w:val="00756B1A"/>
    <w:rsid w:val="00756C31"/>
    <w:rsid w:val="00757244"/>
    <w:rsid w:val="007578CD"/>
    <w:rsid w:val="00757A76"/>
    <w:rsid w:val="00757C76"/>
    <w:rsid w:val="00757D7F"/>
    <w:rsid w:val="007600D8"/>
    <w:rsid w:val="00760234"/>
    <w:rsid w:val="007602E6"/>
    <w:rsid w:val="00760447"/>
    <w:rsid w:val="00760632"/>
    <w:rsid w:val="00760751"/>
    <w:rsid w:val="0076088F"/>
    <w:rsid w:val="00760C43"/>
    <w:rsid w:val="00760DFE"/>
    <w:rsid w:val="00760FEB"/>
    <w:rsid w:val="00761165"/>
    <w:rsid w:val="00761750"/>
    <w:rsid w:val="00761CB6"/>
    <w:rsid w:val="00761FBC"/>
    <w:rsid w:val="0076210C"/>
    <w:rsid w:val="00762397"/>
    <w:rsid w:val="00762450"/>
    <w:rsid w:val="00762458"/>
    <w:rsid w:val="0076254C"/>
    <w:rsid w:val="007629C8"/>
    <w:rsid w:val="007629FC"/>
    <w:rsid w:val="00762A1B"/>
    <w:rsid w:val="00762B6D"/>
    <w:rsid w:val="00762BEB"/>
    <w:rsid w:val="00762C01"/>
    <w:rsid w:val="00762C20"/>
    <w:rsid w:val="007631D5"/>
    <w:rsid w:val="0076368F"/>
    <w:rsid w:val="00763808"/>
    <w:rsid w:val="007638AA"/>
    <w:rsid w:val="00763A19"/>
    <w:rsid w:val="00763AF8"/>
    <w:rsid w:val="00763B7D"/>
    <w:rsid w:val="00763C46"/>
    <w:rsid w:val="00763F9B"/>
    <w:rsid w:val="00763F9E"/>
    <w:rsid w:val="00763FD6"/>
    <w:rsid w:val="0076432E"/>
    <w:rsid w:val="0076433F"/>
    <w:rsid w:val="007643C2"/>
    <w:rsid w:val="007645E6"/>
    <w:rsid w:val="00764786"/>
    <w:rsid w:val="007648A5"/>
    <w:rsid w:val="00764993"/>
    <w:rsid w:val="00764ACF"/>
    <w:rsid w:val="0076503F"/>
    <w:rsid w:val="0076521F"/>
    <w:rsid w:val="00765581"/>
    <w:rsid w:val="007655F8"/>
    <w:rsid w:val="0076596D"/>
    <w:rsid w:val="00765A4C"/>
    <w:rsid w:val="00765A77"/>
    <w:rsid w:val="00765C9C"/>
    <w:rsid w:val="0076609E"/>
    <w:rsid w:val="0076614B"/>
    <w:rsid w:val="007661C4"/>
    <w:rsid w:val="0076654F"/>
    <w:rsid w:val="007666E5"/>
    <w:rsid w:val="00766864"/>
    <w:rsid w:val="00766937"/>
    <w:rsid w:val="00766A3C"/>
    <w:rsid w:val="00766BD1"/>
    <w:rsid w:val="00766DA3"/>
    <w:rsid w:val="0076709F"/>
    <w:rsid w:val="007671B6"/>
    <w:rsid w:val="00767440"/>
    <w:rsid w:val="00767727"/>
    <w:rsid w:val="00767D2A"/>
    <w:rsid w:val="00767E1D"/>
    <w:rsid w:val="00767F01"/>
    <w:rsid w:val="00767F89"/>
    <w:rsid w:val="0077073D"/>
    <w:rsid w:val="0077084E"/>
    <w:rsid w:val="0077095A"/>
    <w:rsid w:val="00770B9F"/>
    <w:rsid w:val="00770CF7"/>
    <w:rsid w:val="00770E98"/>
    <w:rsid w:val="00771289"/>
    <w:rsid w:val="0077137C"/>
    <w:rsid w:val="007714DD"/>
    <w:rsid w:val="00771571"/>
    <w:rsid w:val="00771708"/>
    <w:rsid w:val="00771770"/>
    <w:rsid w:val="00771C28"/>
    <w:rsid w:val="00771E5D"/>
    <w:rsid w:val="0077205C"/>
    <w:rsid w:val="00772634"/>
    <w:rsid w:val="0077278D"/>
    <w:rsid w:val="007728BF"/>
    <w:rsid w:val="0077290C"/>
    <w:rsid w:val="00772C80"/>
    <w:rsid w:val="00772F33"/>
    <w:rsid w:val="0077308E"/>
    <w:rsid w:val="00773335"/>
    <w:rsid w:val="0077350C"/>
    <w:rsid w:val="0077371F"/>
    <w:rsid w:val="00773907"/>
    <w:rsid w:val="00773E06"/>
    <w:rsid w:val="00774041"/>
    <w:rsid w:val="00774130"/>
    <w:rsid w:val="00774252"/>
    <w:rsid w:val="007744DB"/>
    <w:rsid w:val="007744F3"/>
    <w:rsid w:val="0077499C"/>
    <w:rsid w:val="00774A58"/>
    <w:rsid w:val="00774B36"/>
    <w:rsid w:val="00774C4D"/>
    <w:rsid w:val="00774C99"/>
    <w:rsid w:val="00774E22"/>
    <w:rsid w:val="00775D80"/>
    <w:rsid w:val="00775FC4"/>
    <w:rsid w:val="0077636F"/>
    <w:rsid w:val="007765E1"/>
    <w:rsid w:val="00776893"/>
    <w:rsid w:val="0077699C"/>
    <w:rsid w:val="00776A48"/>
    <w:rsid w:val="00776AC3"/>
    <w:rsid w:val="00776F36"/>
    <w:rsid w:val="00777008"/>
    <w:rsid w:val="00777033"/>
    <w:rsid w:val="00777219"/>
    <w:rsid w:val="00777389"/>
    <w:rsid w:val="007773C1"/>
    <w:rsid w:val="007776BF"/>
    <w:rsid w:val="00777942"/>
    <w:rsid w:val="00777C9A"/>
    <w:rsid w:val="00777EAB"/>
    <w:rsid w:val="00777EE5"/>
    <w:rsid w:val="00777F3C"/>
    <w:rsid w:val="00780140"/>
    <w:rsid w:val="007802A8"/>
    <w:rsid w:val="0078046A"/>
    <w:rsid w:val="007804A9"/>
    <w:rsid w:val="00780508"/>
    <w:rsid w:val="007808D6"/>
    <w:rsid w:val="00780B1A"/>
    <w:rsid w:val="00780BC0"/>
    <w:rsid w:val="00780E16"/>
    <w:rsid w:val="007811FD"/>
    <w:rsid w:val="0078124A"/>
    <w:rsid w:val="00781674"/>
    <w:rsid w:val="007816C5"/>
    <w:rsid w:val="00781856"/>
    <w:rsid w:val="007819A4"/>
    <w:rsid w:val="00781B01"/>
    <w:rsid w:val="00782087"/>
    <w:rsid w:val="00782440"/>
    <w:rsid w:val="00782478"/>
    <w:rsid w:val="007824C4"/>
    <w:rsid w:val="007827E4"/>
    <w:rsid w:val="007828C8"/>
    <w:rsid w:val="007828D0"/>
    <w:rsid w:val="00782F3F"/>
    <w:rsid w:val="00782F5F"/>
    <w:rsid w:val="00783500"/>
    <w:rsid w:val="00783810"/>
    <w:rsid w:val="00783CCF"/>
    <w:rsid w:val="00783D8A"/>
    <w:rsid w:val="00783DCB"/>
    <w:rsid w:val="00783EE4"/>
    <w:rsid w:val="00783F1E"/>
    <w:rsid w:val="00783F90"/>
    <w:rsid w:val="00783FF9"/>
    <w:rsid w:val="007840A0"/>
    <w:rsid w:val="007844CC"/>
    <w:rsid w:val="00784601"/>
    <w:rsid w:val="00784971"/>
    <w:rsid w:val="00784AF9"/>
    <w:rsid w:val="00784B54"/>
    <w:rsid w:val="00785097"/>
    <w:rsid w:val="007850A7"/>
    <w:rsid w:val="007854A2"/>
    <w:rsid w:val="0078566B"/>
    <w:rsid w:val="007857A1"/>
    <w:rsid w:val="00785993"/>
    <w:rsid w:val="00785C06"/>
    <w:rsid w:val="00785E75"/>
    <w:rsid w:val="00785FA6"/>
    <w:rsid w:val="00785FDB"/>
    <w:rsid w:val="00786025"/>
    <w:rsid w:val="007863CC"/>
    <w:rsid w:val="007869CF"/>
    <w:rsid w:val="00786C2F"/>
    <w:rsid w:val="00786E2E"/>
    <w:rsid w:val="00786F88"/>
    <w:rsid w:val="00787286"/>
    <w:rsid w:val="0078735D"/>
    <w:rsid w:val="00787613"/>
    <w:rsid w:val="00787944"/>
    <w:rsid w:val="00787A6A"/>
    <w:rsid w:val="00787B11"/>
    <w:rsid w:val="00787DB0"/>
    <w:rsid w:val="00787F1E"/>
    <w:rsid w:val="00787FBC"/>
    <w:rsid w:val="0079008B"/>
    <w:rsid w:val="007901A7"/>
    <w:rsid w:val="0079027D"/>
    <w:rsid w:val="00790329"/>
    <w:rsid w:val="007904A9"/>
    <w:rsid w:val="00790619"/>
    <w:rsid w:val="00790648"/>
    <w:rsid w:val="00790971"/>
    <w:rsid w:val="007909D1"/>
    <w:rsid w:val="00790A9D"/>
    <w:rsid w:val="00790DBF"/>
    <w:rsid w:val="00790EC1"/>
    <w:rsid w:val="0079109E"/>
    <w:rsid w:val="007911D6"/>
    <w:rsid w:val="007911F0"/>
    <w:rsid w:val="0079158A"/>
    <w:rsid w:val="00791637"/>
    <w:rsid w:val="00791761"/>
    <w:rsid w:val="00791A0A"/>
    <w:rsid w:val="00791AB4"/>
    <w:rsid w:val="00791D34"/>
    <w:rsid w:val="00792016"/>
    <w:rsid w:val="0079219A"/>
    <w:rsid w:val="007923F9"/>
    <w:rsid w:val="00792496"/>
    <w:rsid w:val="00792D31"/>
    <w:rsid w:val="00792DC8"/>
    <w:rsid w:val="00792F04"/>
    <w:rsid w:val="00792F93"/>
    <w:rsid w:val="007932FB"/>
    <w:rsid w:val="007933AE"/>
    <w:rsid w:val="00793A3B"/>
    <w:rsid w:val="00793D4D"/>
    <w:rsid w:val="00793DAA"/>
    <w:rsid w:val="00793E4C"/>
    <w:rsid w:val="0079405B"/>
    <w:rsid w:val="0079421D"/>
    <w:rsid w:val="007944A1"/>
    <w:rsid w:val="00794560"/>
    <w:rsid w:val="0079459A"/>
    <w:rsid w:val="007948BC"/>
    <w:rsid w:val="007949B4"/>
    <w:rsid w:val="00794A4E"/>
    <w:rsid w:val="00794A6A"/>
    <w:rsid w:val="00794CA1"/>
    <w:rsid w:val="00794CEC"/>
    <w:rsid w:val="00794D7F"/>
    <w:rsid w:val="00794E80"/>
    <w:rsid w:val="00795141"/>
    <w:rsid w:val="0079547C"/>
    <w:rsid w:val="007957B8"/>
    <w:rsid w:val="007957D2"/>
    <w:rsid w:val="0079582E"/>
    <w:rsid w:val="00795884"/>
    <w:rsid w:val="00795B2D"/>
    <w:rsid w:val="00795BD5"/>
    <w:rsid w:val="00795F19"/>
    <w:rsid w:val="00795FE4"/>
    <w:rsid w:val="00796108"/>
    <w:rsid w:val="00796606"/>
    <w:rsid w:val="00796790"/>
    <w:rsid w:val="0079690E"/>
    <w:rsid w:val="00796D6D"/>
    <w:rsid w:val="0079729F"/>
    <w:rsid w:val="007972EC"/>
    <w:rsid w:val="0079760B"/>
    <w:rsid w:val="00797779"/>
    <w:rsid w:val="00797810"/>
    <w:rsid w:val="0079784F"/>
    <w:rsid w:val="00797B25"/>
    <w:rsid w:val="00797BAE"/>
    <w:rsid w:val="00797D90"/>
    <w:rsid w:val="00797F5E"/>
    <w:rsid w:val="007A0331"/>
    <w:rsid w:val="007A0355"/>
    <w:rsid w:val="007A053A"/>
    <w:rsid w:val="007A0876"/>
    <w:rsid w:val="007A0888"/>
    <w:rsid w:val="007A089D"/>
    <w:rsid w:val="007A0C5D"/>
    <w:rsid w:val="007A0C5E"/>
    <w:rsid w:val="007A0FE5"/>
    <w:rsid w:val="007A11FB"/>
    <w:rsid w:val="007A14D9"/>
    <w:rsid w:val="007A175B"/>
    <w:rsid w:val="007A1772"/>
    <w:rsid w:val="007A1845"/>
    <w:rsid w:val="007A1A13"/>
    <w:rsid w:val="007A1BFA"/>
    <w:rsid w:val="007A1BFB"/>
    <w:rsid w:val="007A1D25"/>
    <w:rsid w:val="007A2187"/>
    <w:rsid w:val="007A24F9"/>
    <w:rsid w:val="007A24FE"/>
    <w:rsid w:val="007A2611"/>
    <w:rsid w:val="007A2A23"/>
    <w:rsid w:val="007A2CA4"/>
    <w:rsid w:val="007A2FD2"/>
    <w:rsid w:val="007A30BE"/>
    <w:rsid w:val="007A30E6"/>
    <w:rsid w:val="007A31F8"/>
    <w:rsid w:val="007A3651"/>
    <w:rsid w:val="007A3F64"/>
    <w:rsid w:val="007A42AE"/>
    <w:rsid w:val="007A433F"/>
    <w:rsid w:val="007A4689"/>
    <w:rsid w:val="007A46E8"/>
    <w:rsid w:val="007A48BB"/>
    <w:rsid w:val="007A49AB"/>
    <w:rsid w:val="007A508E"/>
    <w:rsid w:val="007A5685"/>
    <w:rsid w:val="007A58CF"/>
    <w:rsid w:val="007A5F82"/>
    <w:rsid w:val="007A5FDF"/>
    <w:rsid w:val="007A60DF"/>
    <w:rsid w:val="007A635D"/>
    <w:rsid w:val="007A649E"/>
    <w:rsid w:val="007A6520"/>
    <w:rsid w:val="007A6B90"/>
    <w:rsid w:val="007A6BD6"/>
    <w:rsid w:val="007A6C69"/>
    <w:rsid w:val="007A6D65"/>
    <w:rsid w:val="007A71C3"/>
    <w:rsid w:val="007A7308"/>
    <w:rsid w:val="007A73A6"/>
    <w:rsid w:val="007A7424"/>
    <w:rsid w:val="007A7470"/>
    <w:rsid w:val="007A752A"/>
    <w:rsid w:val="007A755C"/>
    <w:rsid w:val="007A778A"/>
    <w:rsid w:val="007A7865"/>
    <w:rsid w:val="007A7AFA"/>
    <w:rsid w:val="007B0044"/>
    <w:rsid w:val="007B0191"/>
    <w:rsid w:val="007B05AD"/>
    <w:rsid w:val="007B05FE"/>
    <w:rsid w:val="007B067C"/>
    <w:rsid w:val="007B06E9"/>
    <w:rsid w:val="007B0950"/>
    <w:rsid w:val="007B0B36"/>
    <w:rsid w:val="007B0CE5"/>
    <w:rsid w:val="007B0FA4"/>
    <w:rsid w:val="007B10B2"/>
    <w:rsid w:val="007B10CD"/>
    <w:rsid w:val="007B12D1"/>
    <w:rsid w:val="007B156B"/>
    <w:rsid w:val="007B1646"/>
    <w:rsid w:val="007B17ED"/>
    <w:rsid w:val="007B180A"/>
    <w:rsid w:val="007B19CD"/>
    <w:rsid w:val="007B1CFF"/>
    <w:rsid w:val="007B1D04"/>
    <w:rsid w:val="007B1D84"/>
    <w:rsid w:val="007B1E9C"/>
    <w:rsid w:val="007B20BD"/>
    <w:rsid w:val="007B2261"/>
    <w:rsid w:val="007B232B"/>
    <w:rsid w:val="007B24CD"/>
    <w:rsid w:val="007B282E"/>
    <w:rsid w:val="007B2A70"/>
    <w:rsid w:val="007B2B0D"/>
    <w:rsid w:val="007B2C92"/>
    <w:rsid w:val="007B31D7"/>
    <w:rsid w:val="007B33F8"/>
    <w:rsid w:val="007B3C6A"/>
    <w:rsid w:val="007B4297"/>
    <w:rsid w:val="007B43E3"/>
    <w:rsid w:val="007B4682"/>
    <w:rsid w:val="007B4A76"/>
    <w:rsid w:val="007B4D58"/>
    <w:rsid w:val="007B4DC7"/>
    <w:rsid w:val="007B4E98"/>
    <w:rsid w:val="007B500A"/>
    <w:rsid w:val="007B5023"/>
    <w:rsid w:val="007B5196"/>
    <w:rsid w:val="007B53AC"/>
    <w:rsid w:val="007B5404"/>
    <w:rsid w:val="007B5521"/>
    <w:rsid w:val="007B5586"/>
    <w:rsid w:val="007B5598"/>
    <w:rsid w:val="007B5809"/>
    <w:rsid w:val="007B5D16"/>
    <w:rsid w:val="007B5D9C"/>
    <w:rsid w:val="007B5FEF"/>
    <w:rsid w:val="007B6307"/>
    <w:rsid w:val="007B64EB"/>
    <w:rsid w:val="007B6C00"/>
    <w:rsid w:val="007B6E13"/>
    <w:rsid w:val="007B6EFD"/>
    <w:rsid w:val="007B6FA4"/>
    <w:rsid w:val="007B717D"/>
    <w:rsid w:val="007B75C5"/>
    <w:rsid w:val="007B762E"/>
    <w:rsid w:val="007B76A2"/>
    <w:rsid w:val="007B7949"/>
    <w:rsid w:val="007B79E1"/>
    <w:rsid w:val="007C00E5"/>
    <w:rsid w:val="007C04F2"/>
    <w:rsid w:val="007C0801"/>
    <w:rsid w:val="007C0896"/>
    <w:rsid w:val="007C0D47"/>
    <w:rsid w:val="007C100A"/>
    <w:rsid w:val="007C1049"/>
    <w:rsid w:val="007C112A"/>
    <w:rsid w:val="007C11E4"/>
    <w:rsid w:val="007C121A"/>
    <w:rsid w:val="007C1419"/>
    <w:rsid w:val="007C15B2"/>
    <w:rsid w:val="007C15CE"/>
    <w:rsid w:val="007C15D6"/>
    <w:rsid w:val="007C16B4"/>
    <w:rsid w:val="007C174D"/>
    <w:rsid w:val="007C1ECA"/>
    <w:rsid w:val="007C22F9"/>
    <w:rsid w:val="007C2333"/>
    <w:rsid w:val="007C23EA"/>
    <w:rsid w:val="007C250E"/>
    <w:rsid w:val="007C25FB"/>
    <w:rsid w:val="007C27EE"/>
    <w:rsid w:val="007C2AFA"/>
    <w:rsid w:val="007C2B64"/>
    <w:rsid w:val="007C2B7C"/>
    <w:rsid w:val="007C2BD3"/>
    <w:rsid w:val="007C2DFB"/>
    <w:rsid w:val="007C3391"/>
    <w:rsid w:val="007C3566"/>
    <w:rsid w:val="007C35C4"/>
    <w:rsid w:val="007C3986"/>
    <w:rsid w:val="007C3AE2"/>
    <w:rsid w:val="007C3E43"/>
    <w:rsid w:val="007C3FAA"/>
    <w:rsid w:val="007C3FF5"/>
    <w:rsid w:val="007C416A"/>
    <w:rsid w:val="007C4264"/>
    <w:rsid w:val="007C47DE"/>
    <w:rsid w:val="007C483E"/>
    <w:rsid w:val="007C485A"/>
    <w:rsid w:val="007C488B"/>
    <w:rsid w:val="007C4A46"/>
    <w:rsid w:val="007C4A99"/>
    <w:rsid w:val="007C4AA5"/>
    <w:rsid w:val="007C51F6"/>
    <w:rsid w:val="007C528C"/>
    <w:rsid w:val="007C5373"/>
    <w:rsid w:val="007C53F7"/>
    <w:rsid w:val="007C54DD"/>
    <w:rsid w:val="007C5662"/>
    <w:rsid w:val="007C5746"/>
    <w:rsid w:val="007C5770"/>
    <w:rsid w:val="007C58C5"/>
    <w:rsid w:val="007C5916"/>
    <w:rsid w:val="007C594E"/>
    <w:rsid w:val="007C6159"/>
    <w:rsid w:val="007C62A8"/>
    <w:rsid w:val="007C638A"/>
    <w:rsid w:val="007C66B7"/>
    <w:rsid w:val="007C67F6"/>
    <w:rsid w:val="007C692C"/>
    <w:rsid w:val="007C6AB0"/>
    <w:rsid w:val="007C6EDD"/>
    <w:rsid w:val="007C6F56"/>
    <w:rsid w:val="007C7256"/>
    <w:rsid w:val="007C7428"/>
    <w:rsid w:val="007C767A"/>
    <w:rsid w:val="007C7802"/>
    <w:rsid w:val="007C7AAA"/>
    <w:rsid w:val="007C7AC4"/>
    <w:rsid w:val="007C7FAD"/>
    <w:rsid w:val="007D00B4"/>
    <w:rsid w:val="007D00C7"/>
    <w:rsid w:val="007D024E"/>
    <w:rsid w:val="007D0377"/>
    <w:rsid w:val="007D03CB"/>
    <w:rsid w:val="007D03E9"/>
    <w:rsid w:val="007D08F5"/>
    <w:rsid w:val="007D0A36"/>
    <w:rsid w:val="007D0C04"/>
    <w:rsid w:val="007D0C9E"/>
    <w:rsid w:val="007D0D93"/>
    <w:rsid w:val="007D105C"/>
    <w:rsid w:val="007D11A1"/>
    <w:rsid w:val="007D1507"/>
    <w:rsid w:val="007D1768"/>
    <w:rsid w:val="007D17BE"/>
    <w:rsid w:val="007D17D2"/>
    <w:rsid w:val="007D19F7"/>
    <w:rsid w:val="007D1BCB"/>
    <w:rsid w:val="007D1D13"/>
    <w:rsid w:val="007D1DD3"/>
    <w:rsid w:val="007D2062"/>
    <w:rsid w:val="007D21D6"/>
    <w:rsid w:val="007D23F7"/>
    <w:rsid w:val="007D2480"/>
    <w:rsid w:val="007D248E"/>
    <w:rsid w:val="007D256B"/>
    <w:rsid w:val="007D26AB"/>
    <w:rsid w:val="007D27F1"/>
    <w:rsid w:val="007D28F9"/>
    <w:rsid w:val="007D3ADA"/>
    <w:rsid w:val="007D3F7B"/>
    <w:rsid w:val="007D428E"/>
    <w:rsid w:val="007D43AA"/>
    <w:rsid w:val="007D477B"/>
    <w:rsid w:val="007D4AC9"/>
    <w:rsid w:val="007D4B08"/>
    <w:rsid w:val="007D4EF5"/>
    <w:rsid w:val="007D53CA"/>
    <w:rsid w:val="007D54A9"/>
    <w:rsid w:val="007D5C5C"/>
    <w:rsid w:val="007D6012"/>
    <w:rsid w:val="007D625D"/>
    <w:rsid w:val="007D6AD1"/>
    <w:rsid w:val="007D6C9A"/>
    <w:rsid w:val="007D6CC7"/>
    <w:rsid w:val="007D6CF0"/>
    <w:rsid w:val="007D6EBA"/>
    <w:rsid w:val="007D70DD"/>
    <w:rsid w:val="007D74C3"/>
    <w:rsid w:val="007D74DD"/>
    <w:rsid w:val="007D7950"/>
    <w:rsid w:val="007D7CD2"/>
    <w:rsid w:val="007D7ED0"/>
    <w:rsid w:val="007D7EE2"/>
    <w:rsid w:val="007D7F3A"/>
    <w:rsid w:val="007D7FF4"/>
    <w:rsid w:val="007E0123"/>
    <w:rsid w:val="007E05D1"/>
    <w:rsid w:val="007E08A2"/>
    <w:rsid w:val="007E0B20"/>
    <w:rsid w:val="007E0C2E"/>
    <w:rsid w:val="007E0C2F"/>
    <w:rsid w:val="007E0F8F"/>
    <w:rsid w:val="007E10B3"/>
    <w:rsid w:val="007E152E"/>
    <w:rsid w:val="007E16AE"/>
    <w:rsid w:val="007E19D2"/>
    <w:rsid w:val="007E19F4"/>
    <w:rsid w:val="007E1CA2"/>
    <w:rsid w:val="007E1F71"/>
    <w:rsid w:val="007E1FF3"/>
    <w:rsid w:val="007E203A"/>
    <w:rsid w:val="007E2365"/>
    <w:rsid w:val="007E2884"/>
    <w:rsid w:val="007E2950"/>
    <w:rsid w:val="007E2BBD"/>
    <w:rsid w:val="007E2D01"/>
    <w:rsid w:val="007E2EB4"/>
    <w:rsid w:val="007E321E"/>
    <w:rsid w:val="007E32F3"/>
    <w:rsid w:val="007E3373"/>
    <w:rsid w:val="007E3880"/>
    <w:rsid w:val="007E3B98"/>
    <w:rsid w:val="007E3CDF"/>
    <w:rsid w:val="007E3E4F"/>
    <w:rsid w:val="007E3EF1"/>
    <w:rsid w:val="007E3F3A"/>
    <w:rsid w:val="007E41E3"/>
    <w:rsid w:val="007E4354"/>
    <w:rsid w:val="007E43DE"/>
    <w:rsid w:val="007E4422"/>
    <w:rsid w:val="007E446B"/>
    <w:rsid w:val="007E46D7"/>
    <w:rsid w:val="007E4724"/>
    <w:rsid w:val="007E4A44"/>
    <w:rsid w:val="007E4A5A"/>
    <w:rsid w:val="007E4EC4"/>
    <w:rsid w:val="007E52C4"/>
    <w:rsid w:val="007E5646"/>
    <w:rsid w:val="007E57B4"/>
    <w:rsid w:val="007E5E34"/>
    <w:rsid w:val="007E61C7"/>
    <w:rsid w:val="007E65E7"/>
    <w:rsid w:val="007E65E8"/>
    <w:rsid w:val="007E6770"/>
    <w:rsid w:val="007E69B7"/>
    <w:rsid w:val="007E6B93"/>
    <w:rsid w:val="007E6F23"/>
    <w:rsid w:val="007E71A2"/>
    <w:rsid w:val="007E767B"/>
    <w:rsid w:val="007E76BD"/>
    <w:rsid w:val="007E7B59"/>
    <w:rsid w:val="007E7B9E"/>
    <w:rsid w:val="007E7DB8"/>
    <w:rsid w:val="007E7F07"/>
    <w:rsid w:val="007F004E"/>
    <w:rsid w:val="007F0126"/>
    <w:rsid w:val="007F0213"/>
    <w:rsid w:val="007F02D7"/>
    <w:rsid w:val="007F04F6"/>
    <w:rsid w:val="007F0541"/>
    <w:rsid w:val="007F06ED"/>
    <w:rsid w:val="007F0B6C"/>
    <w:rsid w:val="007F0CA9"/>
    <w:rsid w:val="007F0CFA"/>
    <w:rsid w:val="007F0D1A"/>
    <w:rsid w:val="007F0D4A"/>
    <w:rsid w:val="007F0E56"/>
    <w:rsid w:val="007F10E1"/>
    <w:rsid w:val="007F187F"/>
    <w:rsid w:val="007F1890"/>
    <w:rsid w:val="007F1960"/>
    <w:rsid w:val="007F1977"/>
    <w:rsid w:val="007F1D9E"/>
    <w:rsid w:val="007F1DFF"/>
    <w:rsid w:val="007F1FA1"/>
    <w:rsid w:val="007F209F"/>
    <w:rsid w:val="007F2138"/>
    <w:rsid w:val="007F2867"/>
    <w:rsid w:val="007F2969"/>
    <w:rsid w:val="007F2A5C"/>
    <w:rsid w:val="007F2A9D"/>
    <w:rsid w:val="007F2D56"/>
    <w:rsid w:val="007F304C"/>
    <w:rsid w:val="007F314E"/>
    <w:rsid w:val="007F3470"/>
    <w:rsid w:val="007F3C38"/>
    <w:rsid w:val="007F3EFB"/>
    <w:rsid w:val="007F411A"/>
    <w:rsid w:val="007F4361"/>
    <w:rsid w:val="007F43AD"/>
    <w:rsid w:val="007F447D"/>
    <w:rsid w:val="007F44FF"/>
    <w:rsid w:val="007F4800"/>
    <w:rsid w:val="007F4C04"/>
    <w:rsid w:val="007F4F2A"/>
    <w:rsid w:val="007F52BD"/>
    <w:rsid w:val="007F52DB"/>
    <w:rsid w:val="007F5305"/>
    <w:rsid w:val="007F540D"/>
    <w:rsid w:val="007F5431"/>
    <w:rsid w:val="007F5704"/>
    <w:rsid w:val="007F57DD"/>
    <w:rsid w:val="007F5924"/>
    <w:rsid w:val="007F5A8B"/>
    <w:rsid w:val="007F5B61"/>
    <w:rsid w:val="007F5B77"/>
    <w:rsid w:val="007F5CA3"/>
    <w:rsid w:val="007F6318"/>
    <w:rsid w:val="007F65CE"/>
    <w:rsid w:val="007F67C2"/>
    <w:rsid w:val="007F6B55"/>
    <w:rsid w:val="007F71B1"/>
    <w:rsid w:val="007F749C"/>
    <w:rsid w:val="007F75D8"/>
    <w:rsid w:val="007F78A6"/>
    <w:rsid w:val="007F7BC5"/>
    <w:rsid w:val="007F7F93"/>
    <w:rsid w:val="008001E7"/>
    <w:rsid w:val="00800246"/>
    <w:rsid w:val="008005BB"/>
    <w:rsid w:val="00800F93"/>
    <w:rsid w:val="0080103F"/>
    <w:rsid w:val="008010A1"/>
    <w:rsid w:val="008010AC"/>
    <w:rsid w:val="00801641"/>
    <w:rsid w:val="00801691"/>
    <w:rsid w:val="008016B8"/>
    <w:rsid w:val="00801751"/>
    <w:rsid w:val="008018F5"/>
    <w:rsid w:val="0080193D"/>
    <w:rsid w:val="00801AC6"/>
    <w:rsid w:val="00801EB3"/>
    <w:rsid w:val="00802102"/>
    <w:rsid w:val="00802134"/>
    <w:rsid w:val="008028CA"/>
    <w:rsid w:val="00802A67"/>
    <w:rsid w:val="00802BB0"/>
    <w:rsid w:val="00802C66"/>
    <w:rsid w:val="00802CAD"/>
    <w:rsid w:val="00802F06"/>
    <w:rsid w:val="00802FFB"/>
    <w:rsid w:val="0080328D"/>
    <w:rsid w:val="008038D1"/>
    <w:rsid w:val="00803C2C"/>
    <w:rsid w:val="00803C8D"/>
    <w:rsid w:val="00803D48"/>
    <w:rsid w:val="00803E5D"/>
    <w:rsid w:val="00804339"/>
    <w:rsid w:val="0080440E"/>
    <w:rsid w:val="008046C4"/>
    <w:rsid w:val="008046D9"/>
    <w:rsid w:val="00804B6C"/>
    <w:rsid w:val="00804F2B"/>
    <w:rsid w:val="00805360"/>
    <w:rsid w:val="00805494"/>
    <w:rsid w:val="0080562E"/>
    <w:rsid w:val="0080566F"/>
    <w:rsid w:val="0080577E"/>
    <w:rsid w:val="0080590A"/>
    <w:rsid w:val="00805BCE"/>
    <w:rsid w:val="00805D92"/>
    <w:rsid w:val="00805E69"/>
    <w:rsid w:val="00806046"/>
    <w:rsid w:val="008061D1"/>
    <w:rsid w:val="00806207"/>
    <w:rsid w:val="008062E1"/>
    <w:rsid w:val="008063B0"/>
    <w:rsid w:val="00806537"/>
    <w:rsid w:val="008066E5"/>
    <w:rsid w:val="008067F8"/>
    <w:rsid w:val="008068DA"/>
    <w:rsid w:val="00806926"/>
    <w:rsid w:val="00806928"/>
    <w:rsid w:val="00806BF4"/>
    <w:rsid w:val="00806FBD"/>
    <w:rsid w:val="00806FDA"/>
    <w:rsid w:val="008071DF"/>
    <w:rsid w:val="00807206"/>
    <w:rsid w:val="0080720C"/>
    <w:rsid w:val="0080729B"/>
    <w:rsid w:val="00807313"/>
    <w:rsid w:val="00807468"/>
    <w:rsid w:val="00807500"/>
    <w:rsid w:val="00807620"/>
    <w:rsid w:val="008077E9"/>
    <w:rsid w:val="0080782C"/>
    <w:rsid w:val="00807B00"/>
    <w:rsid w:val="00807CA5"/>
    <w:rsid w:val="00810024"/>
    <w:rsid w:val="0081031A"/>
    <w:rsid w:val="0081046F"/>
    <w:rsid w:val="0081056C"/>
    <w:rsid w:val="0081056F"/>
    <w:rsid w:val="008105D3"/>
    <w:rsid w:val="0081089C"/>
    <w:rsid w:val="00810D52"/>
    <w:rsid w:val="00810F17"/>
    <w:rsid w:val="00810F7B"/>
    <w:rsid w:val="00811066"/>
    <w:rsid w:val="008112D8"/>
    <w:rsid w:val="008113C2"/>
    <w:rsid w:val="00811891"/>
    <w:rsid w:val="00811922"/>
    <w:rsid w:val="00811C18"/>
    <w:rsid w:val="00811E42"/>
    <w:rsid w:val="00811F44"/>
    <w:rsid w:val="00811FE8"/>
    <w:rsid w:val="008121D4"/>
    <w:rsid w:val="00812321"/>
    <w:rsid w:val="00812389"/>
    <w:rsid w:val="00812603"/>
    <w:rsid w:val="00812805"/>
    <w:rsid w:val="008128E4"/>
    <w:rsid w:val="00812914"/>
    <w:rsid w:val="00812A03"/>
    <w:rsid w:val="00812D10"/>
    <w:rsid w:val="00812D5B"/>
    <w:rsid w:val="00812EB9"/>
    <w:rsid w:val="00812F1D"/>
    <w:rsid w:val="00813092"/>
    <w:rsid w:val="008135BB"/>
    <w:rsid w:val="00813727"/>
    <w:rsid w:val="00813888"/>
    <w:rsid w:val="008138B1"/>
    <w:rsid w:val="0081390A"/>
    <w:rsid w:val="00813A10"/>
    <w:rsid w:val="00813C78"/>
    <w:rsid w:val="00813E1D"/>
    <w:rsid w:val="00813FF4"/>
    <w:rsid w:val="0081413D"/>
    <w:rsid w:val="008144D3"/>
    <w:rsid w:val="008145C9"/>
    <w:rsid w:val="00814A10"/>
    <w:rsid w:val="00814A45"/>
    <w:rsid w:val="00814B9F"/>
    <w:rsid w:val="008154C0"/>
    <w:rsid w:val="00815639"/>
    <w:rsid w:val="0081592A"/>
    <w:rsid w:val="00815FE2"/>
    <w:rsid w:val="00816069"/>
    <w:rsid w:val="00816257"/>
    <w:rsid w:val="00816325"/>
    <w:rsid w:val="00816459"/>
    <w:rsid w:val="0081653C"/>
    <w:rsid w:val="0081674A"/>
    <w:rsid w:val="008168A9"/>
    <w:rsid w:val="00816A55"/>
    <w:rsid w:val="00816AED"/>
    <w:rsid w:val="00816D0D"/>
    <w:rsid w:val="00816DA2"/>
    <w:rsid w:val="00816DA5"/>
    <w:rsid w:val="00816DC6"/>
    <w:rsid w:val="00816F81"/>
    <w:rsid w:val="0081726A"/>
    <w:rsid w:val="00817898"/>
    <w:rsid w:val="00817A92"/>
    <w:rsid w:val="00817D07"/>
    <w:rsid w:val="00817D10"/>
    <w:rsid w:val="00817F24"/>
    <w:rsid w:val="00817F61"/>
    <w:rsid w:val="0082042D"/>
    <w:rsid w:val="00820810"/>
    <w:rsid w:val="00820AC8"/>
    <w:rsid w:val="00820B8A"/>
    <w:rsid w:val="00820E88"/>
    <w:rsid w:val="00820F31"/>
    <w:rsid w:val="008213D9"/>
    <w:rsid w:val="008219E2"/>
    <w:rsid w:val="00821A61"/>
    <w:rsid w:val="00821F23"/>
    <w:rsid w:val="0082224A"/>
    <w:rsid w:val="008222AD"/>
    <w:rsid w:val="0082255C"/>
    <w:rsid w:val="008226F9"/>
    <w:rsid w:val="0082281B"/>
    <w:rsid w:val="00822B66"/>
    <w:rsid w:val="00822E5C"/>
    <w:rsid w:val="008231AC"/>
    <w:rsid w:val="00823559"/>
    <w:rsid w:val="00823642"/>
    <w:rsid w:val="008238B7"/>
    <w:rsid w:val="00823954"/>
    <w:rsid w:val="00823B10"/>
    <w:rsid w:val="00823B68"/>
    <w:rsid w:val="00823CDB"/>
    <w:rsid w:val="00823D09"/>
    <w:rsid w:val="00823EE6"/>
    <w:rsid w:val="008244B1"/>
    <w:rsid w:val="008244E6"/>
    <w:rsid w:val="008245EA"/>
    <w:rsid w:val="008247C2"/>
    <w:rsid w:val="00824879"/>
    <w:rsid w:val="00824A02"/>
    <w:rsid w:val="00824A74"/>
    <w:rsid w:val="00824B1D"/>
    <w:rsid w:val="00824B62"/>
    <w:rsid w:val="00824D02"/>
    <w:rsid w:val="00824F78"/>
    <w:rsid w:val="008250AC"/>
    <w:rsid w:val="00825171"/>
    <w:rsid w:val="0082519B"/>
    <w:rsid w:val="008255B6"/>
    <w:rsid w:val="008256F4"/>
    <w:rsid w:val="00825ABC"/>
    <w:rsid w:val="00825B6F"/>
    <w:rsid w:val="00825BD8"/>
    <w:rsid w:val="00825FAA"/>
    <w:rsid w:val="0082625B"/>
    <w:rsid w:val="00826586"/>
    <w:rsid w:val="0082660C"/>
    <w:rsid w:val="0082666F"/>
    <w:rsid w:val="00826737"/>
    <w:rsid w:val="00826C12"/>
    <w:rsid w:val="00826D04"/>
    <w:rsid w:val="00826D6F"/>
    <w:rsid w:val="00827081"/>
    <w:rsid w:val="008270D1"/>
    <w:rsid w:val="008273EA"/>
    <w:rsid w:val="0082779E"/>
    <w:rsid w:val="00827863"/>
    <w:rsid w:val="00827BB1"/>
    <w:rsid w:val="00827D1B"/>
    <w:rsid w:val="00827DFE"/>
    <w:rsid w:val="008300CC"/>
    <w:rsid w:val="0083092F"/>
    <w:rsid w:val="00830B93"/>
    <w:rsid w:val="00830C10"/>
    <w:rsid w:val="008310CD"/>
    <w:rsid w:val="008313EC"/>
    <w:rsid w:val="0083185B"/>
    <w:rsid w:val="00831C3C"/>
    <w:rsid w:val="008322BC"/>
    <w:rsid w:val="008326E8"/>
    <w:rsid w:val="0083272E"/>
    <w:rsid w:val="008328C3"/>
    <w:rsid w:val="00832A26"/>
    <w:rsid w:val="00832ACE"/>
    <w:rsid w:val="00832E02"/>
    <w:rsid w:val="00832F4B"/>
    <w:rsid w:val="00832F73"/>
    <w:rsid w:val="00833331"/>
    <w:rsid w:val="0083357A"/>
    <w:rsid w:val="00833887"/>
    <w:rsid w:val="00833899"/>
    <w:rsid w:val="00833BD4"/>
    <w:rsid w:val="008341AC"/>
    <w:rsid w:val="00834216"/>
    <w:rsid w:val="00834531"/>
    <w:rsid w:val="00834985"/>
    <w:rsid w:val="00834B8B"/>
    <w:rsid w:val="00834D4C"/>
    <w:rsid w:val="00834E05"/>
    <w:rsid w:val="00834FED"/>
    <w:rsid w:val="008351DA"/>
    <w:rsid w:val="00835443"/>
    <w:rsid w:val="00835703"/>
    <w:rsid w:val="00835727"/>
    <w:rsid w:val="00835768"/>
    <w:rsid w:val="008358C9"/>
    <w:rsid w:val="00835BEC"/>
    <w:rsid w:val="00835C96"/>
    <w:rsid w:val="008363A1"/>
    <w:rsid w:val="008363D5"/>
    <w:rsid w:val="008365FA"/>
    <w:rsid w:val="00836746"/>
    <w:rsid w:val="008367EA"/>
    <w:rsid w:val="008368C9"/>
    <w:rsid w:val="008369D1"/>
    <w:rsid w:val="00836AB5"/>
    <w:rsid w:val="00836B8C"/>
    <w:rsid w:val="00836FD5"/>
    <w:rsid w:val="00837130"/>
    <w:rsid w:val="00837174"/>
    <w:rsid w:val="00837450"/>
    <w:rsid w:val="00837466"/>
    <w:rsid w:val="00837600"/>
    <w:rsid w:val="00837818"/>
    <w:rsid w:val="008379DF"/>
    <w:rsid w:val="00837AAC"/>
    <w:rsid w:val="00837BC5"/>
    <w:rsid w:val="00837C8F"/>
    <w:rsid w:val="00837D25"/>
    <w:rsid w:val="00837D35"/>
    <w:rsid w:val="00837ED9"/>
    <w:rsid w:val="008401A4"/>
    <w:rsid w:val="00840332"/>
    <w:rsid w:val="0084044A"/>
    <w:rsid w:val="00840849"/>
    <w:rsid w:val="00840F35"/>
    <w:rsid w:val="008411AB"/>
    <w:rsid w:val="008414DA"/>
    <w:rsid w:val="0084153D"/>
    <w:rsid w:val="008415C7"/>
    <w:rsid w:val="00841639"/>
    <w:rsid w:val="0084191F"/>
    <w:rsid w:val="00841B13"/>
    <w:rsid w:val="00841C5A"/>
    <w:rsid w:val="0084202A"/>
    <w:rsid w:val="008420B8"/>
    <w:rsid w:val="008420C9"/>
    <w:rsid w:val="008420EC"/>
    <w:rsid w:val="008424DC"/>
    <w:rsid w:val="008425C4"/>
    <w:rsid w:val="00842633"/>
    <w:rsid w:val="0084275A"/>
    <w:rsid w:val="00842994"/>
    <w:rsid w:val="008429B7"/>
    <w:rsid w:val="00842F74"/>
    <w:rsid w:val="008433A0"/>
    <w:rsid w:val="008433A6"/>
    <w:rsid w:val="0084369F"/>
    <w:rsid w:val="00843A39"/>
    <w:rsid w:val="00843C88"/>
    <w:rsid w:val="00843CE4"/>
    <w:rsid w:val="008440AC"/>
    <w:rsid w:val="0084466A"/>
    <w:rsid w:val="008448E0"/>
    <w:rsid w:val="008449D0"/>
    <w:rsid w:val="00844B8B"/>
    <w:rsid w:val="00844F80"/>
    <w:rsid w:val="00844FD8"/>
    <w:rsid w:val="008451E7"/>
    <w:rsid w:val="0084581E"/>
    <w:rsid w:val="00845C93"/>
    <w:rsid w:val="00845DFC"/>
    <w:rsid w:val="00845F56"/>
    <w:rsid w:val="00845F5C"/>
    <w:rsid w:val="0084602C"/>
    <w:rsid w:val="00846033"/>
    <w:rsid w:val="0084691C"/>
    <w:rsid w:val="00846972"/>
    <w:rsid w:val="00846B45"/>
    <w:rsid w:val="00846DC1"/>
    <w:rsid w:val="00847050"/>
    <w:rsid w:val="00847055"/>
    <w:rsid w:val="008470F3"/>
    <w:rsid w:val="00847307"/>
    <w:rsid w:val="00847340"/>
    <w:rsid w:val="00847490"/>
    <w:rsid w:val="00847622"/>
    <w:rsid w:val="00847943"/>
    <w:rsid w:val="008479D5"/>
    <w:rsid w:val="00850442"/>
    <w:rsid w:val="00850493"/>
    <w:rsid w:val="0085066B"/>
    <w:rsid w:val="008506DC"/>
    <w:rsid w:val="00850734"/>
    <w:rsid w:val="008509CB"/>
    <w:rsid w:val="00850EB8"/>
    <w:rsid w:val="00850EDE"/>
    <w:rsid w:val="00851294"/>
    <w:rsid w:val="008512B0"/>
    <w:rsid w:val="00851440"/>
    <w:rsid w:val="008515B2"/>
    <w:rsid w:val="008515E4"/>
    <w:rsid w:val="008517AF"/>
    <w:rsid w:val="0085180A"/>
    <w:rsid w:val="008519C5"/>
    <w:rsid w:val="00851AE6"/>
    <w:rsid w:val="00851E75"/>
    <w:rsid w:val="008522BA"/>
    <w:rsid w:val="008522EA"/>
    <w:rsid w:val="00852574"/>
    <w:rsid w:val="0085261E"/>
    <w:rsid w:val="00852B96"/>
    <w:rsid w:val="00852BCF"/>
    <w:rsid w:val="00852D86"/>
    <w:rsid w:val="00852FB6"/>
    <w:rsid w:val="00853035"/>
    <w:rsid w:val="00853086"/>
    <w:rsid w:val="0085355A"/>
    <w:rsid w:val="00853652"/>
    <w:rsid w:val="008536F6"/>
    <w:rsid w:val="00853971"/>
    <w:rsid w:val="00853A1E"/>
    <w:rsid w:val="00853B54"/>
    <w:rsid w:val="00853F6C"/>
    <w:rsid w:val="00853F8A"/>
    <w:rsid w:val="00854194"/>
    <w:rsid w:val="0085431A"/>
    <w:rsid w:val="008543F2"/>
    <w:rsid w:val="0085447D"/>
    <w:rsid w:val="0085479A"/>
    <w:rsid w:val="00854CEB"/>
    <w:rsid w:val="00855434"/>
    <w:rsid w:val="008556E4"/>
    <w:rsid w:val="008557E8"/>
    <w:rsid w:val="0085586E"/>
    <w:rsid w:val="00855929"/>
    <w:rsid w:val="00855A23"/>
    <w:rsid w:val="00855D82"/>
    <w:rsid w:val="008562C5"/>
    <w:rsid w:val="008562CB"/>
    <w:rsid w:val="00856B78"/>
    <w:rsid w:val="00856C1D"/>
    <w:rsid w:val="00856F33"/>
    <w:rsid w:val="008570E5"/>
    <w:rsid w:val="0085710E"/>
    <w:rsid w:val="008574B0"/>
    <w:rsid w:val="00857A1C"/>
    <w:rsid w:val="00857DD8"/>
    <w:rsid w:val="0086017B"/>
    <w:rsid w:val="008601D1"/>
    <w:rsid w:val="00860328"/>
    <w:rsid w:val="00860405"/>
    <w:rsid w:val="0086047D"/>
    <w:rsid w:val="00860A27"/>
    <w:rsid w:val="00860ACD"/>
    <w:rsid w:val="00860C68"/>
    <w:rsid w:val="00860CC3"/>
    <w:rsid w:val="00860F9A"/>
    <w:rsid w:val="00860FE7"/>
    <w:rsid w:val="0086103E"/>
    <w:rsid w:val="0086112E"/>
    <w:rsid w:val="00861188"/>
    <w:rsid w:val="00861674"/>
    <w:rsid w:val="00861AC7"/>
    <w:rsid w:val="00861AE2"/>
    <w:rsid w:val="00861D1A"/>
    <w:rsid w:val="00861E27"/>
    <w:rsid w:val="00861FE2"/>
    <w:rsid w:val="00862047"/>
    <w:rsid w:val="00862051"/>
    <w:rsid w:val="008620A0"/>
    <w:rsid w:val="00862154"/>
    <w:rsid w:val="0086232D"/>
    <w:rsid w:val="0086240B"/>
    <w:rsid w:val="0086270F"/>
    <w:rsid w:val="008627E0"/>
    <w:rsid w:val="00862922"/>
    <w:rsid w:val="008629C9"/>
    <w:rsid w:val="00862A64"/>
    <w:rsid w:val="00862BCA"/>
    <w:rsid w:val="00862C4F"/>
    <w:rsid w:val="00862C80"/>
    <w:rsid w:val="0086331B"/>
    <w:rsid w:val="008636F8"/>
    <w:rsid w:val="00863858"/>
    <w:rsid w:val="00863871"/>
    <w:rsid w:val="00863D87"/>
    <w:rsid w:val="00863D8C"/>
    <w:rsid w:val="0086436A"/>
    <w:rsid w:val="00864478"/>
    <w:rsid w:val="00864586"/>
    <w:rsid w:val="00864594"/>
    <w:rsid w:val="0086466D"/>
    <w:rsid w:val="00864881"/>
    <w:rsid w:val="0086488A"/>
    <w:rsid w:val="008649F8"/>
    <w:rsid w:val="00864B69"/>
    <w:rsid w:val="00864E86"/>
    <w:rsid w:val="00864EFE"/>
    <w:rsid w:val="00864FD4"/>
    <w:rsid w:val="00865194"/>
    <w:rsid w:val="00865213"/>
    <w:rsid w:val="00865217"/>
    <w:rsid w:val="0086524C"/>
    <w:rsid w:val="008652B0"/>
    <w:rsid w:val="008652EA"/>
    <w:rsid w:val="008653C7"/>
    <w:rsid w:val="00865444"/>
    <w:rsid w:val="00865771"/>
    <w:rsid w:val="00865A64"/>
    <w:rsid w:val="00865D7E"/>
    <w:rsid w:val="008662E2"/>
    <w:rsid w:val="0086656D"/>
    <w:rsid w:val="008665AA"/>
    <w:rsid w:val="008666C4"/>
    <w:rsid w:val="008666F4"/>
    <w:rsid w:val="0086677B"/>
    <w:rsid w:val="0086682B"/>
    <w:rsid w:val="00866BF7"/>
    <w:rsid w:val="00866DBA"/>
    <w:rsid w:val="008671AD"/>
    <w:rsid w:val="008672EA"/>
    <w:rsid w:val="0086733F"/>
    <w:rsid w:val="0086737E"/>
    <w:rsid w:val="00867406"/>
    <w:rsid w:val="00867659"/>
    <w:rsid w:val="0086771C"/>
    <w:rsid w:val="0086778B"/>
    <w:rsid w:val="0086793C"/>
    <w:rsid w:val="00867A21"/>
    <w:rsid w:val="00867C84"/>
    <w:rsid w:val="00867DC4"/>
    <w:rsid w:val="0087018C"/>
    <w:rsid w:val="00870585"/>
    <w:rsid w:val="00870784"/>
    <w:rsid w:val="00870BB8"/>
    <w:rsid w:val="00870D5C"/>
    <w:rsid w:val="00870EB1"/>
    <w:rsid w:val="00870EDA"/>
    <w:rsid w:val="00870F63"/>
    <w:rsid w:val="008710D0"/>
    <w:rsid w:val="00871793"/>
    <w:rsid w:val="00871E46"/>
    <w:rsid w:val="00871EA8"/>
    <w:rsid w:val="008720CC"/>
    <w:rsid w:val="008723CC"/>
    <w:rsid w:val="0087260A"/>
    <w:rsid w:val="00872C23"/>
    <w:rsid w:val="00873049"/>
    <w:rsid w:val="008731F2"/>
    <w:rsid w:val="008732B7"/>
    <w:rsid w:val="00873351"/>
    <w:rsid w:val="00873403"/>
    <w:rsid w:val="008736A8"/>
    <w:rsid w:val="00873758"/>
    <w:rsid w:val="008737DD"/>
    <w:rsid w:val="00873810"/>
    <w:rsid w:val="0087381F"/>
    <w:rsid w:val="00873BE7"/>
    <w:rsid w:val="0087404E"/>
    <w:rsid w:val="008740C1"/>
    <w:rsid w:val="0087424D"/>
    <w:rsid w:val="00874522"/>
    <w:rsid w:val="00874710"/>
    <w:rsid w:val="00874A3C"/>
    <w:rsid w:val="00874A92"/>
    <w:rsid w:val="00874E3F"/>
    <w:rsid w:val="00875143"/>
    <w:rsid w:val="008752DA"/>
    <w:rsid w:val="0087569A"/>
    <w:rsid w:val="00875734"/>
    <w:rsid w:val="00875792"/>
    <w:rsid w:val="00875A3A"/>
    <w:rsid w:val="00875AA5"/>
    <w:rsid w:val="00875C3B"/>
    <w:rsid w:val="00875DF5"/>
    <w:rsid w:val="00876580"/>
    <w:rsid w:val="00876889"/>
    <w:rsid w:val="00876B67"/>
    <w:rsid w:val="00876B70"/>
    <w:rsid w:val="00876EB7"/>
    <w:rsid w:val="0087715D"/>
    <w:rsid w:val="00877298"/>
    <w:rsid w:val="008772D8"/>
    <w:rsid w:val="0087748F"/>
    <w:rsid w:val="008775ED"/>
    <w:rsid w:val="008775FE"/>
    <w:rsid w:val="00877CCD"/>
    <w:rsid w:val="00877F0B"/>
    <w:rsid w:val="00877F83"/>
    <w:rsid w:val="0088000A"/>
    <w:rsid w:val="0088058B"/>
    <w:rsid w:val="008807CF"/>
    <w:rsid w:val="00880845"/>
    <w:rsid w:val="0088095D"/>
    <w:rsid w:val="00880A42"/>
    <w:rsid w:val="00880A75"/>
    <w:rsid w:val="00880F2A"/>
    <w:rsid w:val="008812C9"/>
    <w:rsid w:val="00881533"/>
    <w:rsid w:val="00881E2F"/>
    <w:rsid w:val="00881F93"/>
    <w:rsid w:val="00882110"/>
    <w:rsid w:val="00882197"/>
    <w:rsid w:val="0088227D"/>
    <w:rsid w:val="008823E5"/>
    <w:rsid w:val="00882516"/>
    <w:rsid w:val="008826D9"/>
    <w:rsid w:val="0088284C"/>
    <w:rsid w:val="0088300E"/>
    <w:rsid w:val="0088301F"/>
    <w:rsid w:val="0088307B"/>
    <w:rsid w:val="00883289"/>
    <w:rsid w:val="008832EF"/>
    <w:rsid w:val="0088333E"/>
    <w:rsid w:val="008834BD"/>
    <w:rsid w:val="00883528"/>
    <w:rsid w:val="008835DF"/>
    <w:rsid w:val="008837D2"/>
    <w:rsid w:val="00883F4F"/>
    <w:rsid w:val="008840EA"/>
    <w:rsid w:val="00884135"/>
    <w:rsid w:val="008841EE"/>
    <w:rsid w:val="0088429F"/>
    <w:rsid w:val="00884537"/>
    <w:rsid w:val="008845CA"/>
    <w:rsid w:val="008845D2"/>
    <w:rsid w:val="008847B8"/>
    <w:rsid w:val="008848A8"/>
    <w:rsid w:val="00884C4F"/>
    <w:rsid w:val="00884CFE"/>
    <w:rsid w:val="00884DD1"/>
    <w:rsid w:val="00884EC5"/>
    <w:rsid w:val="008852B6"/>
    <w:rsid w:val="008853D9"/>
    <w:rsid w:val="008856B3"/>
    <w:rsid w:val="008858C7"/>
    <w:rsid w:val="00885932"/>
    <w:rsid w:val="00885972"/>
    <w:rsid w:val="008860E1"/>
    <w:rsid w:val="0088636A"/>
    <w:rsid w:val="008865D7"/>
    <w:rsid w:val="0088669F"/>
    <w:rsid w:val="00886B09"/>
    <w:rsid w:val="00886BFC"/>
    <w:rsid w:val="0088760B"/>
    <w:rsid w:val="00887C1D"/>
    <w:rsid w:val="0089016A"/>
    <w:rsid w:val="00890251"/>
    <w:rsid w:val="008902C0"/>
    <w:rsid w:val="0089033A"/>
    <w:rsid w:val="0089053E"/>
    <w:rsid w:val="00890708"/>
    <w:rsid w:val="00890A24"/>
    <w:rsid w:val="00890C2B"/>
    <w:rsid w:val="00890D63"/>
    <w:rsid w:val="00890F56"/>
    <w:rsid w:val="00891242"/>
    <w:rsid w:val="00891336"/>
    <w:rsid w:val="00891428"/>
    <w:rsid w:val="008914AA"/>
    <w:rsid w:val="0089199A"/>
    <w:rsid w:val="00891C6A"/>
    <w:rsid w:val="00891DD4"/>
    <w:rsid w:val="00891FC0"/>
    <w:rsid w:val="0089269A"/>
    <w:rsid w:val="0089292C"/>
    <w:rsid w:val="00892A2B"/>
    <w:rsid w:val="00892E42"/>
    <w:rsid w:val="0089317A"/>
    <w:rsid w:val="008933D9"/>
    <w:rsid w:val="008937DA"/>
    <w:rsid w:val="00893806"/>
    <w:rsid w:val="00893904"/>
    <w:rsid w:val="008939DC"/>
    <w:rsid w:val="00893C8F"/>
    <w:rsid w:val="00893D0D"/>
    <w:rsid w:val="00893E7B"/>
    <w:rsid w:val="00893F3D"/>
    <w:rsid w:val="00893FD2"/>
    <w:rsid w:val="00893FFD"/>
    <w:rsid w:val="0089447C"/>
    <w:rsid w:val="008944FC"/>
    <w:rsid w:val="0089476A"/>
    <w:rsid w:val="00894794"/>
    <w:rsid w:val="0089484B"/>
    <w:rsid w:val="00894E01"/>
    <w:rsid w:val="00894F2D"/>
    <w:rsid w:val="00894FF9"/>
    <w:rsid w:val="0089503F"/>
    <w:rsid w:val="008953CB"/>
    <w:rsid w:val="008957A9"/>
    <w:rsid w:val="00895A4F"/>
    <w:rsid w:val="00895D61"/>
    <w:rsid w:val="00895E31"/>
    <w:rsid w:val="00895F2B"/>
    <w:rsid w:val="00895F85"/>
    <w:rsid w:val="00896309"/>
    <w:rsid w:val="00896394"/>
    <w:rsid w:val="00896479"/>
    <w:rsid w:val="008964D0"/>
    <w:rsid w:val="00896782"/>
    <w:rsid w:val="0089690F"/>
    <w:rsid w:val="0089693F"/>
    <w:rsid w:val="0089696D"/>
    <w:rsid w:val="00896A74"/>
    <w:rsid w:val="00896ADE"/>
    <w:rsid w:val="008978C9"/>
    <w:rsid w:val="008978CE"/>
    <w:rsid w:val="0089791B"/>
    <w:rsid w:val="008979C7"/>
    <w:rsid w:val="00897A79"/>
    <w:rsid w:val="00897D13"/>
    <w:rsid w:val="008A000F"/>
    <w:rsid w:val="008A0015"/>
    <w:rsid w:val="008A00A7"/>
    <w:rsid w:val="008A0130"/>
    <w:rsid w:val="008A029D"/>
    <w:rsid w:val="008A03BD"/>
    <w:rsid w:val="008A0805"/>
    <w:rsid w:val="008A0906"/>
    <w:rsid w:val="008A09AA"/>
    <w:rsid w:val="008A0AC3"/>
    <w:rsid w:val="008A0B48"/>
    <w:rsid w:val="008A0C1A"/>
    <w:rsid w:val="008A0D3F"/>
    <w:rsid w:val="008A0D4A"/>
    <w:rsid w:val="008A1202"/>
    <w:rsid w:val="008A16FF"/>
    <w:rsid w:val="008A1814"/>
    <w:rsid w:val="008A188F"/>
    <w:rsid w:val="008A198A"/>
    <w:rsid w:val="008A1DD1"/>
    <w:rsid w:val="008A1E42"/>
    <w:rsid w:val="008A2040"/>
    <w:rsid w:val="008A204B"/>
    <w:rsid w:val="008A20CA"/>
    <w:rsid w:val="008A227B"/>
    <w:rsid w:val="008A23FE"/>
    <w:rsid w:val="008A2813"/>
    <w:rsid w:val="008A28F3"/>
    <w:rsid w:val="008A2952"/>
    <w:rsid w:val="008A339D"/>
    <w:rsid w:val="008A36DA"/>
    <w:rsid w:val="008A36F2"/>
    <w:rsid w:val="008A3DAA"/>
    <w:rsid w:val="008A3E3B"/>
    <w:rsid w:val="008A3EA9"/>
    <w:rsid w:val="008A3FD3"/>
    <w:rsid w:val="008A4332"/>
    <w:rsid w:val="008A44C8"/>
    <w:rsid w:val="008A4594"/>
    <w:rsid w:val="008A481F"/>
    <w:rsid w:val="008A4940"/>
    <w:rsid w:val="008A4B51"/>
    <w:rsid w:val="008A4D96"/>
    <w:rsid w:val="008A4EBB"/>
    <w:rsid w:val="008A5053"/>
    <w:rsid w:val="008A556F"/>
    <w:rsid w:val="008A587F"/>
    <w:rsid w:val="008A5A9A"/>
    <w:rsid w:val="008A64D2"/>
    <w:rsid w:val="008A6838"/>
    <w:rsid w:val="008A6917"/>
    <w:rsid w:val="008A6D04"/>
    <w:rsid w:val="008A720B"/>
    <w:rsid w:val="008A723F"/>
    <w:rsid w:val="008A72BC"/>
    <w:rsid w:val="008A751D"/>
    <w:rsid w:val="008A7D06"/>
    <w:rsid w:val="008A7E7B"/>
    <w:rsid w:val="008B0057"/>
    <w:rsid w:val="008B005D"/>
    <w:rsid w:val="008B012C"/>
    <w:rsid w:val="008B0507"/>
    <w:rsid w:val="008B0624"/>
    <w:rsid w:val="008B065A"/>
    <w:rsid w:val="008B0740"/>
    <w:rsid w:val="008B0A42"/>
    <w:rsid w:val="008B0EB2"/>
    <w:rsid w:val="008B10DB"/>
    <w:rsid w:val="008B113D"/>
    <w:rsid w:val="008B116A"/>
    <w:rsid w:val="008B12EC"/>
    <w:rsid w:val="008B15B8"/>
    <w:rsid w:val="008B1792"/>
    <w:rsid w:val="008B1DB1"/>
    <w:rsid w:val="008B1ECB"/>
    <w:rsid w:val="008B1EF1"/>
    <w:rsid w:val="008B1F47"/>
    <w:rsid w:val="008B1F9F"/>
    <w:rsid w:val="008B2256"/>
    <w:rsid w:val="008B236D"/>
    <w:rsid w:val="008B2440"/>
    <w:rsid w:val="008B2AEC"/>
    <w:rsid w:val="008B2BB6"/>
    <w:rsid w:val="008B2CCF"/>
    <w:rsid w:val="008B2D8C"/>
    <w:rsid w:val="008B2F5F"/>
    <w:rsid w:val="008B31F0"/>
    <w:rsid w:val="008B3709"/>
    <w:rsid w:val="008B38ED"/>
    <w:rsid w:val="008B39F8"/>
    <w:rsid w:val="008B3A82"/>
    <w:rsid w:val="008B3A89"/>
    <w:rsid w:val="008B3BB0"/>
    <w:rsid w:val="008B3BDA"/>
    <w:rsid w:val="008B3EDD"/>
    <w:rsid w:val="008B3F54"/>
    <w:rsid w:val="008B46AC"/>
    <w:rsid w:val="008B47EC"/>
    <w:rsid w:val="008B505A"/>
    <w:rsid w:val="008B5470"/>
    <w:rsid w:val="008B552A"/>
    <w:rsid w:val="008B5569"/>
    <w:rsid w:val="008B5657"/>
    <w:rsid w:val="008B5986"/>
    <w:rsid w:val="008B599B"/>
    <w:rsid w:val="008B5BA1"/>
    <w:rsid w:val="008B5FC0"/>
    <w:rsid w:val="008B6841"/>
    <w:rsid w:val="008B6A50"/>
    <w:rsid w:val="008B6BCC"/>
    <w:rsid w:val="008B6BE6"/>
    <w:rsid w:val="008B6C6D"/>
    <w:rsid w:val="008B6D4B"/>
    <w:rsid w:val="008B6D6B"/>
    <w:rsid w:val="008B6ED3"/>
    <w:rsid w:val="008B7070"/>
    <w:rsid w:val="008B70DA"/>
    <w:rsid w:val="008B746E"/>
    <w:rsid w:val="008B77EB"/>
    <w:rsid w:val="008B78ED"/>
    <w:rsid w:val="008B79B1"/>
    <w:rsid w:val="008B7A50"/>
    <w:rsid w:val="008B7A9C"/>
    <w:rsid w:val="008B7B1C"/>
    <w:rsid w:val="008B7D76"/>
    <w:rsid w:val="008C044F"/>
    <w:rsid w:val="008C04F3"/>
    <w:rsid w:val="008C0602"/>
    <w:rsid w:val="008C0745"/>
    <w:rsid w:val="008C0899"/>
    <w:rsid w:val="008C0ACA"/>
    <w:rsid w:val="008C0C27"/>
    <w:rsid w:val="008C0E9A"/>
    <w:rsid w:val="008C1242"/>
    <w:rsid w:val="008C144C"/>
    <w:rsid w:val="008C18A9"/>
    <w:rsid w:val="008C19AA"/>
    <w:rsid w:val="008C1D98"/>
    <w:rsid w:val="008C206C"/>
    <w:rsid w:val="008C2096"/>
    <w:rsid w:val="008C2148"/>
    <w:rsid w:val="008C2571"/>
    <w:rsid w:val="008C29AC"/>
    <w:rsid w:val="008C29CF"/>
    <w:rsid w:val="008C2C5D"/>
    <w:rsid w:val="008C2E15"/>
    <w:rsid w:val="008C2E99"/>
    <w:rsid w:val="008C2EDE"/>
    <w:rsid w:val="008C331F"/>
    <w:rsid w:val="008C337E"/>
    <w:rsid w:val="008C3732"/>
    <w:rsid w:val="008C3A7D"/>
    <w:rsid w:val="008C3A9B"/>
    <w:rsid w:val="008C3DFA"/>
    <w:rsid w:val="008C3E5C"/>
    <w:rsid w:val="008C3ECA"/>
    <w:rsid w:val="008C3F4B"/>
    <w:rsid w:val="008C3FEE"/>
    <w:rsid w:val="008C4116"/>
    <w:rsid w:val="008C4200"/>
    <w:rsid w:val="008C43A9"/>
    <w:rsid w:val="008C4809"/>
    <w:rsid w:val="008C4B0E"/>
    <w:rsid w:val="008C4C82"/>
    <w:rsid w:val="008C4D5C"/>
    <w:rsid w:val="008C4E36"/>
    <w:rsid w:val="008C4F0C"/>
    <w:rsid w:val="008C504A"/>
    <w:rsid w:val="008C50E6"/>
    <w:rsid w:val="008C51B1"/>
    <w:rsid w:val="008C530D"/>
    <w:rsid w:val="008C5713"/>
    <w:rsid w:val="008C5DD1"/>
    <w:rsid w:val="008C5E93"/>
    <w:rsid w:val="008C60AC"/>
    <w:rsid w:val="008C631D"/>
    <w:rsid w:val="008C648D"/>
    <w:rsid w:val="008C681E"/>
    <w:rsid w:val="008C6864"/>
    <w:rsid w:val="008C68B0"/>
    <w:rsid w:val="008C6ACC"/>
    <w:rsid w:val="008C6F3E"/>
    <w:rsid w:val="008C7415"/>
    <w:rsid w:val="008C79F3"/>
    <w:rsid w:val="008C7EF8"/>
    <w:rsid w:val="008C7F86"/>
    <w:rsid w:val="008D0290"/>
    <w:rsid w:val="008D083F"/>
    <w:rsid w:val="008D0A29"/>
    <w:rsid w:val="008D0DB2"/>
    <w:rsid w:val="008D0E90"/>
    <w:rsid w:val="008D0F21"/>
    <w:rsid w:val="008D16E1"/>
    <w:rsid w:val="008D1874"/>
    <w:rsid w:val="008D1E1B"/>
    <w:rsid w:val="008D1EDE"/>
    <w:rsid w:val="008D235A"/>
    <w:rsid w:val="008D2469"/>
    <w:rsid w:val="008D24DE"/>
    <w:rsid w:val="008D29EB"/>
    <w:rsid w:val="008D2A21"/>
    <w:rsid w:val="008D2AE3"/>
    <w:rsid w:val="008D2E34"/>
    <w:rsid w:val="008D2F14"/>
    <w:rsid w:val="008D3477"/>
    <w:rsid w:val="008D3549"/>
    <w:rsid w:val="008D3650"/>
    <w:rsid w:val="008D379C"/>
    <w:rsid w:val="008D37E9"/>
    <w:rsid w:val="008D399D"/>
    <w:rsid w:val="008D3B33"/>
    <w:rsid w:val="008D3C5B"/>
    <w:rsid w:val="008D3D64"/>
    <w:rsid w:val="008D3D9B"/>
    <w:rsid w:val="008D3FC2"/>
    <w:rsid w:val="008D40BD"/>
    <w:rsid w:val="008D426F"/>
    <w:rsid w:val="008D44CB"/>
    <w:rsid w:val="008D45FF"/>
    <w:rsid w:val="008D4F20"/>
    <w:rsid w:val="008D5A93"/>
    <w:rsid w:val="008D5ADC"/>
    <w:rsid w:val="008D5CDD"/>
    <w:rsid w:val="008D5FAA"/>
    <w:rsid w:val="008D600E"/>
    <w:rsid w:val="008D6139"/>
    <w:rsid w:val="008D6564"/>
    <w:rsid w:val="008D678F"/>
    <w:rsid w:val="008D67C7"/>
    <w:rsid w:val="008D6A2B"/>
    <w:rsid w:val="008D6DF0"/>
    <w:rsid w:val="008D737A"/>
    <w:rsid w:val="008D7459"/>
    <w:rsid w:val="008D7523"/>
    <w:rsid w:val="008D780C"/>
    <w:rsid w:val="008D7A2B"/>
    <w:rsid w:val="008D7AB3"/>
    <w:rsid w:val="008D7C9B"/>
    <w:rsid w:val="008D7F20"/>
    <w:rsid w:val="008D7F89"/>
    <w:rsid w:val="008E02B9"/>
    <w:rsid w:val="008E08BA"/>
    <w:rsid w:val="008E09A9"/>
    <w:rsid w:val="008E0C66"/>
    <w:rsid w:val="008E0E12"/>
    <w:rsid w:val="008E119B"/>
    <w:rsid w:val="008E127B"/>
    <w:rsid w:val="008E1301"/>
    <w:rsid w:val="008E14E2"/>
    <w:rsid w:val="008E1592"/>
    <w:rsid w:val="008E1596"/>
    <w:rsid w:val="008E1676"/>
    <w:rsid w:val="008E16CB"/>
    <w:rsid w:val="008E1713"/>
    <w:rsid w:val="008E171F"/>
    <w:rsid w:val="008E177E"/>
    <w:rsid w:val="008E183B"/>
    <w:rsid w:val="008E18B2"/>
    <w:rsid w:val="008E1BA7"/>
    <w:rsid w:val="008E1FFD"/>
    <w:rsid w:val="008E216F"/>
    <w:rsid w:val="008E231B"/>
    <w:rsid w:val="008E25AF"/>
    <w:rsid w:val="008E2B19"/>
    <w:rsid w:val="008E2C6C"/>
    <w:rsid w:val="008E32A5"/>
    <w:rsid w:val="008E348A"/>
    <w:rsid w:val="008E3665"/>
    <w:rsid w:val="008E3AA7"/>
    <w:rsid w:val="008E3CBD"/>
    <w:rsid w:val="008E3D60"/>
    <w:rsid w:val="008E3E38"/>
    <w:rsid w:val="008E412E"/>
    <w:rsid w:val="008E434E"/>
    <w:rsid w:val="008E43C0"/>
    <w:rsid w:val="008E44B2"/>
    <w:rsid w:val="008E44D4"/>
    <w:rsid w:val="008E4BF2"/>
    <w:rsid w:val="008E4C25"/>
    <w:rsid w:val="008E4C5A"/>
    <w:rsid w:val="008E4D13"/>
    <w:rsid w:val="008E50D4"/>
    <w:rsid w:val="008E5978"/>
    <w:rsid w:val="008E5F53"/>
    <w:rsid w:val="008E5F5E"/>
    <w:rsid w:val="008E656C"/>
    <w:rsid w:val="008E6626"/>
    <w:rsid w:val="008E672E"/>
    <w:rsid w:val="008E6991"/>
    <w:rsid w:val="008E6B02"/>
    <w:rsid w:val="008E6D2A"/>
    <w:rsid w:val="008E6D31"/>
    <w:rsid w:val="008E6E00"/>
    <w:rsid w:val="008E7005"/>
    <w:rsid w:val="008E70E2"/>
    <w:rsid w:val="008E74DD"/>
    <w:rsid w:val="008E74EB"/>
    <w:rsid w:val="008E753C"/>
    <w:rsid w:val="008E7836"/>
    <w:rsid w:val="008E7968"/>
    <w:rsid w:val="008E79F9"/>
    <w:rsid w:val="008E7A8A"/>
    <w:rsid w:val="008E7B1D"/>
    <w:rsid w:val="008E7D72"/>
    <w:rsid w:val="008F03A9"/>
    <w:rsid w:val="008F0570"/>
    <w:rsid w:val="008F0738"/>
    <w:rsid w:val="008F07F1"/>
    <w:rsid w:val="008F087F"/>
    <w:rsid w:val="008F0A62"/>
    <w:rsid w:val="008F0C92"/>
    <w:rsid w:val="008F0F73"/>
    <w:rsid w:val="008F1039"/>
    <w:rsid w:val="008F13D4"/>
    <w:rsid w:val="008F1488"/>
    <w:rsid w:val="008F157F"/>
    <w:rsid w:val="008F182C"/>
    <w:rsid w:val="008F1AA3"/>
    <w:rsid w:val="008F1C0B"/>
    <w:rsid w:val="008F1CFF"/>
    <w:rsid w:val="008F1E49"/>
    <w:rsid w:val="008F1FC9"/>
    <w:rsid w:val="008F20C0"/>
    <w:rsid w:val="008F20D1"/>
    <w:rsid w:val="008F212F"/>
    <w:rsid w:val="008F273A"/>
    <w:rsid w:val="008F2AEC"/>
    <w:rsid w:val="008F2B98"/>
    <w:rsid w:val="008F2BF8"/>
    <w:rsid w:val="008F2F71"/>
    <w:rsid w:val="008F3276"/>
    <w:rsid w:val="008F34A3"/>
    <w:rsid w:val="008F34AD"/>
    <w:rsid w:val="008F3666"/>
    <w:rsid w:val="008F3670"/>
    <w:rsid w:val="008F3776"/>
    <w:rsid w:val="008F46EC"/>
    <w:rsid w:val="008F4780"/>
    <w:rsid w:val="008F4A6A"/>
    <w:rsid w:val="008F4B83"/>
    <w:rsid w:val="008F4B86"/>
    <w:rsid w:val="008F4DCE"/>
    <w:rsid w:val="008F51F8"/>
    <w:rsid w:val="008F5409"/>
    <w:rsid w:val="008F5722"/>
    <w:rsid w:val="008F5799"/>
    <w:rsid w:val="008F58C3"/>
    <w:rsid w:val="008F5A50"/>
    <w:rsid w:val="008F5BBC"/>
    <w:rsid w:val="008F5D22"/>
    <w:rsid w:val="008F62E3"/>
    <w:rsid w:val="008F648E"/>
    <w:rsid w:val="008F64AE"/>
    <w:rsid w:val="008F650F"/>
    <w:rsid w:val="008F6622"/>
    <w:rsid w:val="008F67C6"/>
    <w:rsid w:val="008F67CC"/>
    <w:rsid w:val="008F67CE"/>
    <w:rsid w:val="008F68D9"/>
    <w:rsid w:val="008F69B6"/>
    <w:rsid w:val="008F6A7A"/>
    <w:rsid w:val="008F6A7D"/>
    <w:rsid w:val="008F6AA9"/>
    <w:rsid w:val="008F6B7F"/>
    <w:rsid w:val="008F6D7A"/>
    <w:rsid w:val="008F7180"/>
    <w:rsid w:val="008F7204"/>
    <w:rsid w:val="008F7541"/>
    <w:rsid w:val="008F768D"/>
    <w:rsid w:val="008F795D"/>
    <w:rsid w:val="008F7A8B"/>
    <w:rsid w:val="008F7ACB"/>
    <w:rsid w:val="008F7ACF"/>
    <w:rsid w:val="008F7B9D"/>
    <w:rsid w:val="008F7BF1"/>
    <w:rsid w:val="009002D5"/>
    <w:rsid w:val="009004F9"/>
    <w:rsid w:val="00900AD9"/>
    <w:rsid w:val="00900D40"/>
    <w:rsid w:val="00900F7C"/>
    <w:rsid w:val="0090136F"/>
    <w:rsid w:val="00901515"/>
    <w:rsid w:val="00901617"/>
    <w:rsid w:val="0090169B"/>
    <w:rsid w:val="009016EB"/>
    <w:rsid w:val="0090178A"/>
    <w:rsid w:val="00901CA9"/>
    <w:rsid w:val="00901EBF"/>
    <w:rsid w:val="00902498"/>
    <w:rsid w:val="009024A4"/>
    <w:rsid w:val="0090250A"/>
    <w:rsid w:val="00902F17"/>
    <w:rsid w:val="00903210"/>
    <w:rsid w:val="009033CA"/>
    <w:rsid w:val="00903890"/>
    <w:rsid w:val="00903B2D"/>
    <w:rsid w:val="00903B38"/>
    <w:rsid w:val="00903E66"/>
    <w:rsid w:val="00903EE7"/>
    <w:rsid w:val="00904313"/>
    <w:rsid w:val="0090435C"/>
    <w:rsid w:val="00904422"/>
    <w:rsid w:val="00904435"/>
    <w:rsid w:val="0090449A"/>
    <w:rsid w:val="00904544"/>
    <w:rsid w:val="0090455E"/>
    <w:rsid w:val="00904678"/>
    <w:rsid w:val="009046F1"/>
    <w:rsid w:val="00904E87"/>
    <w:rsid w:val="00905095"/>
    <w:rsid w:val="00905284"/>
    <w:rsid w:val="009057E4"/>
    <w:rsid w:val="00905BCD"/>
    <w:rsid w:val="00906485"/>
    <w:rsid w:val="00906898"/>
    <w:rsid w:val="00906A77"/>
    <w:rsid w:val="00906C86"/>
    <w:rsid w:val="009070B2"/>
    <w:rsid w:val="0090713A"/>
    <w:rsid w:val="00907270"/>
    <w:rsid w:val="0090753C"/>
    <w:rsid w:val="00907D7D"/>
    <w:rsid w:val="0091040D"/>
    <w:rsid w:val="0091046D"/>
    <w:rsid w:val="00910899"/>
    <w:rsid w:val="00910D05"/>
    <w:rsid w:val="00910D66"/>
    <w:rsid w:val="00910DD0"/>
    <w:rsid w:val="00911402"/>
    <w:rsid w:val="00911711"/>
    <w:rsid w:val="009118D5"/>
    <w:rsid w:val="009119BC"/>
    <w:rsid w:val="00911DD3"/>
    <w:rsid w:val="00911EAC"/>
    <w:rsid w:val="00912094"/>
    <w:rsid w:val="009121EC"/>
    <w:rsid w:val="009122A2"/>
    <w:rsid w:val="0091274B"/>
    <w:rsid w:val="0091275D"/>
    <w:rsid w:val="00912901"/>
    <w:rsid w:val="00912998"/>
    <w:rsid w:val="00912BD7"/>
    <w:rsid w:val="00912CB5"/>
    <w:rsid w:val="00912FDA"/>
    <w:rsid w:val="00912FFE"/>
    <w:rsid w:val="00913147"/>
    <w:rsid w:val="00913175"/>
    <w:rsid w:val="009133E9"/>
    <w:rsid w:val="009135B4"/>
    <w:rsid w:val="0091373C"/>
    <w:rsid w:val="0091394B"/>
    <w:rsid w:val="00913E1A"/>
    <w:rsid w:val="00914063"/>
    <w:rsid w:val="0091412C"/>
    <w:rsid w:val="00914390"/>
    <w:rsid w:val="009143C1"/>
    <w:rsid w:val="009143C5"/>
    <w:rsid w:val="009147E1"/>
    <w:rsid w:val="00914939"/>
    <w:rsid w:val="00915023"/>
    <w:rsid w:val="00915208"/>
    <w:rsid w:val="009154AD"/>
    <w:rsid w:val="009154F4"/>
    <w:rsid w:val="009154F8"/>
    <w:rsid w:val="0091550E"/>
    <w:rsid w:val="00915543"/>
    <w:rsid w:val="009157E4"/>
    <w:rsid w:val="009158C2"/>
    <w:rsid w:val="009158D8"/>
    <w:rsid w:val="0091605C"/>
    <w:rsid w:val="00916467"/>
    <w:rsid w:val="009165F8"/>
    <w:rsid w:val="00916744"/>
    <w:rsid w:val="0091697F"/>
    <w:rsid w:val="009169DF"/>
    <w:rsid w:val="00916AF2"/>
    <w:rsid w:val="00916BE2"/>
    <w:rsid w:val="00916BFE"/>
    <w:rsid w:val="00916E48"/>
    <w:rsid w:val="00916ECA"/>
    <w:rsid w:val="00916EF1"/>
    <w:rsid w:val="00916F6F"/>
    <w:rsid w:val="0091764D"/>
    <w:rsid w:val="0091795F"/>
    <w:rsid w:val="00917B03"/>
    <w:rsid w:val="00917E3C"/>
    <w:rsid w:val="00917F3E"/>
    <w:rsid w:val="00917FE5"/>
    <w:rsid w:val="00920050"/>
    <w:rsid w:val="009201AB"/>
    <w:rsid w:val="00920307"/>
    <w:rsid w:val="00920381"/>
    <w:rsid w:val="00920880"/>
    <w:rsid w:val="00920A9F"/>
    <w:rsid w:val="00920C4F"/>
    <w:rsid w:val="00920D46"/>
    <w:rsid w:val="00920D51"/>
    <w:rsid w:val="00920F48"/>
    <w:rsid w:val="00920FA3"/>
    <w:rsid w:val="00920FB6"/>
    <w:rsid w:val="0092112A"/>
    <w:rsid w:val="0092124C"/>
    <w:rsid w:val="00921457"/>
    <w:rsid w:val="00921543"/>
    <w:rsid w:val="009215A8"/>
    <w:rsid w:val="00921ABD"/>
    <w:rsid w:val="00921D8F"/>
    <w:rsid w:val="009220A5"/>
    <w:rsid w:val="00922458"/>
    <w:rsid w:val="00922638"/>
    <w:rsid w:val="009229E0"/>
    <w:rsid w:val="00922B14"/>
    <w:rsid w:val="00922C6E"/>
    <w:rsid w:val="00923373"/>
    <w:rsid w:val="009234F1"/>
    <w:rsid w:val="00923509"/>
    <w:rsid w:val="0092357F"/>
    <w:rsid w:val="0092379A"/>
    <w:rsid w:val="009237CE"/>
    <w:rsid w:val="00923C30"/>
    <w:rsid w:val="00923DA9"/>
    <w:rsid w:val="00923F1E"/>
    <w:rsid w:val="00924101"/>
    <w:rsid w:val="00924586"/>
    <w:rsid w:val="00924996"/>
    <w:rsid w:val="00925005"/>
    <w:rsid w:val="009250FC"/>
    <w:rsid w:val="00925151"/>
    <w:rsid w:val="009251D9"/>
    <w:rsid w:val="009251E8"/>
    <w:rsid w:val="0092523E"/>
    <w:rsid w:val="00925340"/>
    <w:rsid w:val="00925580"/>
    <w:rsid w:val="009259B1"/>
    <w:rsid w:val="00925BDC"/>
    <w:rsid w:val="00925BE6"/>
    <w:rsid w:val="00925EEC"/>
    <w:rsid w:val="00926088"/>
    <w:rsid w:val="00926237"/>
    <w:rsid w:val="0092655F"/>
    <w:rsid w:val="0092672C"/>
    <w:rsid w:val="009267F0"/>
    <w:rsid w:val="00926879"/>
    <w:rsid w:val="0092687E"/>
    <w:rsid w:val="0092699E"/>
    <w:rsid w:val="00926B87"/>
    <w:rsid w:val="00926D75"/>
    <w:rsid w:val="00926FA7"/>
    <w:rsid w:val="00926FCE"/>
    <w:rsid w:val="00927688"/>
    <w:rsid w:val="00927B8A"/>
    <w:rsid w:val="00927BA6"/>
    <w:rsid w:val="00927DA3"/>
    <w:rsid w:val="009300C1"/>
    <w:rsid w:val="00930739"/>
    <w:rsid w:val="009307B7"/>
    <w:rsid w:val="00930972"/>
    <w:rsid w:val="00930D7A"/>
    <w:rsid w:val="00930F49"/>
    <w:rsid w:val="00930FC4"/>
    <w:rsid w:val="009310EE"/>
    <w:rsid w:val="009311F6"/>
    <w:rsid w:val="009314C4"/>
    <w:rsid w:val="009315FC"/>
    <w:rsid w:val="00931680"/>
    <w:rsid w:val="00931965"/>
    <w:rsid w:val="00931AE5"/>
    <w:rsid w:val="00931FCF"/>
    <w:rsid w:val="00931FE9"/>
    <w:rsid w:val="00932440"/>
    <w:rsid w:val="009325D3"/>
    <w:rsid w:val="00932603"/>
    <w:rsid w:val="0093269B"/>
    <w:rsid w:val="00932938"/>
    <w:rsid w:val="009329DA"/>
    <w:rsid w:val="00932AAC"/>
    <w:rsid w:val="00932B59"/>
    <w:rsid w:val="00932C54"/>
    <w:rsid w:val="0093308F"/>
    <w:rsid w:val="0093323A"/>
    <w:rsid w:val="0093323B"/>
    <w:rsid w:val="009334D3"/>
    <w:rsid w:val="009335E7"/>
    <w:rsid w:val="00933635"/>
    <w:rsid w:val="009338B8"/>
    <w:rsid w:val="00933F64"/>
    <w:rsid w:val="00933FD5"/>
    <w:rsid w:val="009342B5"/>
    <w:rsid w:val="00934AE4"/>
    <w:rsid w:val="00934B24"/>
    <w:rsid w:val="00934DBD"/>
    <w:rsid w:val="00934EC6"/>
    <w:rsid w:val="00934F27"/>
    <w:rsid w:val="0093520F"/>
    <w:rsid w:val="00935228"/>
    <w:rsid w:val="00935550"/>
    <w:rsid w:val="009357F5"/>
    <w:rsid w:val="0093581E"/>
    <w:rsid w:val="0093590F"/>
    <w:rsid w:val="00935948"/>
    <w:rsid w:val="009359CB"/>
    <w:rsid w:val="00935F23"/>
    <w:rsid w:val="00936309"/>
    <w:rsid w:val="00936355"/>
    <w:rsid w:val="0093640D"/>
    <w:rsid w:val="009368BD"/>
    <w:rsid w:val="00936A22"/>
    <w:rsid w:val="00936DE1"/>
    <w:rsid w:val="00936E3E"/>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0D6A"/>
    <w:rsid w:val="00940EDA"/>
    <w:rsid w:val="0094109A"/>
    <w:rsid w:val="00941174"/>
    <w:rsid w:val="00941435"/>
    <w:rsid w:val="00941635"/>
    <w:rsid w:val="00941683"/>
    <w:rsid w:val="009416B1"/>
    <w:rsid w:val="00941719"/>
    <w:rsid w:val="00941C86"/>
    <w:rsid w:val="00941CF8"/>
    <w:rsid w:val="00942189"/>
    <w:rsid w:val="00942255"/>
    <w:rsid w:val="00942825"/>
    <w:rsid w:val="00942C89"/>
    <w:rsid w:val="00942CAD"/>
    <w:rsid w:val="00942CDF"/>
    <w:rsid w:val="00942D46"/>
    <w:rsid w:val="00942DBE"/>
    <w:rsid w:val="009430B5"/>
    <w:rsid w:val="0094312E"/>
    <w:rsid w:val="00943616"/>
    <w:rsid w:val="00943794"/>
    <w:rsid w:val="00943857"/>
    <w:rsid w:val="009439A9"/>
    <w:rsid w:val="00943B64"/>
    <w:rsid w:val="00943B70"/>
    <w:rsid w:val="00943DFB"/>
    <w:rsid w:val="00943FF9"/>
    <w:rsid w:val="00944025"/>
    <w:rsid w:val="009444B1"/>
    <w:rsid w:val="00944667"/>
    <w:rsid w:val="00944C8B"/>
    <w:rsid w:val="00944D10"/>
    <w:rsid w:val="00944EB9"/>
    <w:rsid w:val="009450BB"/>
    <w:rsid w:val="00945511"/>
    <w:rsid w:val="009457F6"/>
    <w:rsid w:val="009459CB"/>
    <w:rsid w:val="00945D70"/>
    <w:rsid w:val="00946104"/>
    <w:rsid w:val="009461B9"/>
    <w:rsid w:val="00946241"/>
    <w:rsid w:val="009463C1"/>
    <w:rsid w:val="00946BDA"/>
    <w:rsid w:val="00946DFD"/>
    <w:rsid w:val="00946F92"/>
    <w:rsid w:val="0094704F"/>
    <w:rsid w:val="009470AC"/>
    <w:rsid w:val="0094734B"/>
    <w:rsid w:val="00947464"/>
    <w:rsid w:val="00947557"/>
    <w:rsid w:val="009477D5"/>
    <w:rsid w:val="00947A7B"/>
    <w:rsid w:val="00947BF5"/>
    <w:rsid w:val="00947C09"/>
    <w:rsid w:val="00950083"/>
    <w:rsid w:val="00950295"/>
    <w:rsid w:val="0095042B"/>
    <w:rsid w:val="009504C6"/>
    <w:rsid w:val="00950565"/>
    <w:rsid w:val="00950680"/>
    <w:rsid w:val="009506F2"/>
    <w:rsid w:val="00950EE8"/>
    <w:rsid w:val="00951241"/>
    <w:rsid w:val="00951361"/>
    <w:rsid w:val="0095139E"/>
    <w:rsid w:val="009514EA"/>
    <w:rsid w:val="0095150B"/>
    <w:rsid w:val="00951530"/>
    <w:rsid w:val="0095156A"/>
    <w:rsid w:val="00951720"/>
    <w:rsid w:val="00951BE9"/>
    <w:rsid w:val="00951FDD"/>
    <w:rsid w:val="00952192"/>
    <w:rsid w:val="009521A9"/>
    <w:rsid w:val="0095226D"/>
    <w:rsid w:val="0095229D"/>
    <w:rsid w:val="00952394"/>
    <w:rsid w:val="00952493"/>
    <w:rsid w:val="0095309A"/>
    <w:rsid w:val="00953446"/>
    <w:rsid w:val="0095361E"/>
    <w:rsid w:val="009538E3"/>
    <w:rsid w:val="00953905"/>
    <w:rsid w:val="00953B25"/>
    <w:rsid w:val="00953EAB"/>
    <w:rsid w:val="00953F8E"/>
    <w:rsid w:val="0095405D"/>
    <w:rsid w:val="009540A1"/>
    <w:rsid w:val="009541D6"/>
    <w:rsid w:val="009543FC"/>
    <w:rsid w:val="00954480"/>
    <w:rsid w:val="00954740"/>
    <w:rsid w:val="009548C6"/>
    <w:rsid w:val="00954A36"/>
    <w:rsid w:val="00954B44"/>
    <w:rsid w:val="00954F46"/>
    <w:rsid w:val="00954F50"/>
    <w:rsid w:val="00955850"/>
    <w:rsid w:val="009559F9"/>
    <w:rsid w:val="00955AC7"/>
    <w:rsid w:val="00955AEE"/>
    <w:rsid w:val="00955B14"/>
    <w:rsid w:val="00956140"/>
    <w:rsid w:val="0095628B"/>
    <w:rsid w:val="00956349"/>
    <w:rsid w:val="00956456"/>
    <w:rsid w:val="0095676A"/>
    <w:rsid w:val="00956ADD"/>
    <w:rsid w:val="00956E59"/>
    <w:rsid w:val="0095712C"/>
    <w:rsid w:val="0095756A"/>
    <w:rsid w:val="00957590"/>
    <w:rsid w:val="00957964"/>
    <w:rsid w:val="00957ADC"/>
    <w:rsid w:val="00957B3A"/>
    <w:rsid w:val="00957C8D"/>
    <w:rsid w:val="00957DBF"/>
    <w:rsid w:val="00957E03"/>
    <w:rsid w:val="00957E29"/>
    <w:rsid w:val="00957F0A"/>
    <w:rsid w:val="00957F2A"/>
    <w:rsid w:val="00960301"/>
    <w:rsid w:val="0096050E"/>
    <w:rsid w:val="00960644"/>
    <w:rsid w:val="009608ED"/>
    <w:rsid w:val="0096093B"/>
    <w:rsid w:val="00960BF9"/>
    <w:rsid w:val="00960F8E"/>
    <w:rsid w:val="0096112D"/>
    <w:rsid w:val="00961214"/>
    <w:rsid w:val="009612E5"/>
    <w:rsid w:val="00961362"/>
    <w:rsid w:val="00961409"/>
    <w:rsid w:val="0096146F"/>
    <w:rsid w:val="00961479"/>
    <w:rsid w:val="009614F4"/>
    <w:rsid w:val="00961814"/>
    <w:rsid w:val="00961A0C"/>
    <w:rsid w:val="00961AFC"/>
    <w:rsid w:val="00961C9D"/>
    <w:rsid w:val="00961CC0"/>
    <w:rsid w:val="00961F8C"/>
    <w:rsid w:val="0096204B"/>
    <w:rsid w:val="0096268B"/>
    <w:rsid w:val="00962950"/>
    <w:rsid w:val="00962B2E"/>
    <w:rsid w:val="00962BC7"/>
    <w:rsid w:val="00962CF6"/>
    <w:rsid w:val="00962F5E"/>
    <w:rsid w:val="009631C6"/>
    <w:rsid w:val="009636F1"/>
    <w:rsid w:val="0096388E"/>
    <w:rsid w:val="009639B2"/>
    <w:rsid w:val="00963A35"/>
    <w:rsid w:val="00963A70"/>
    <w:rsid w:val="00963BBA"/>
    <w:rsid w:val="00963CAF"/>
    <w:rsid w:val="00963CD9"/>
    <w:rsid w:val="00963CEB"/>
    <w:rsid w:val="00963D44"/>
    <w:rsid w:val="00963FBB"/>
    <w:rsid w:val="0096422D"/>
    <w:rsid w:val="0096431D"/>
    <w:rsid w:val="00964399"/>
    <w:rsid w:val="009644A4"/>
    <w:rsid w:val="009644B9"/>
    <w:rsid w:val="009644D3"/>
    <w:rsid w:val="009644E6"/>
    <w:rsid w:val="0096467E"/>
    <w:rsid w:val="009646F9"/>
    <w:rsid w:val="0096480E"/>
    <w:rsid w:val="00964E3B"/>
    <w:rsid w:val="00965570"/>
    <w:rsid w:val="00965711"/>
    <w:rsid w:val="009657CE"/>
    <w:rsid w:val="0096588C"/>
    <w:rsid w:val="00965A0B"/>
    <w:rsid w:val="00965EDE"/>
    <w:rsid w:val="00966135"/>
    <w:rsid w:val="00966AE7"/>
    <w:rsid w:val="00966B7E"/>
    <w:rsid w:val="00966DA8"/>
    <w:rsid w:val="00966DDD"/>
    <w:rsid w:val="009670D8"/>
    <w:rsid w:val="00967143"/>
    <w:rsid w:val="00967279"/>
    <w:rsid w:val="00967282"/>
    <w:rsid w:val="009674DD"/>
    <w:rsid w:val="00967539"/>
    <w:rsid w:val="00967640"/>
    <w:rsid w:val="009679A5"/>
    <w:rsid w:val="00967A41"/>
    <w:rsid w:val="00967A75"/>
    <w:rsid w:val="00967CBA"/>
    <w:rsid w:val="00967F2F"/>
    <w:rsid w:val="00970159"/>
    <w:rsid w:val="00970167"/>
    <w:rsid w:val="009701D1"/>
    <w:rsid w:val="00970523"/>
    <w:rsid w:val="00970658"/>
    <w:rsid w:val="00970741"/>
    <w:rsid w:val="00970764"/>
    <w:rsid w:val="00970875"/>
    <w:rsid w:val="00970A3E"/>
    <w:rsid w:val="00970C34"/>
    <w:rsid w:val="00970DA0"/>
    <w:rsid w:val="00970E5B"/>
    <w:rsid w:val="0097107A"/>
    <w:rsid w:val="009710AD"/>
    <w:rsid w:val="00971193"/>
    <w:rsid w:val="0097123E"/>
    <w:rsid w:val="009715AC"/>
    <w:rsid w:val="009715D1"/>
    <w:rsid w:val="00971A79"/>
    <w:rsid w:val="00971B25"/>
    <w:rsid w:val="00971BA6"/>
    <w:rsid w:val="00971BB1"/>
    <w:rsid w:val="00971D41"/>
    <w:rsid w:val="00972087"/>
    <w:rsid w:val="00972335"/>
    <w:rsid w:val="00972351"/>
    <w:rsid w:val="009723B4"/>
    <w:rsid w:val="0097241A"/>
    <w:rsid w:val="009725A3"/>
    <w:rsid w:val="009725C6"/>
    <w:rsid w:val="009725FB"/>
    <w:rsid w:val="00972786"/>
    <w:rsid w:val="0097299B"/>
    <w:rsid w:val="00972C27"/>
    <w:rsid w:val="0097304F"/>
    <w:rsid w:val="00973158"/>
    <w:rsid w:val="00973426"/>
    <w:rsid w:val="00973469"/>
    <w:rsid w:val="009738B0"/>
    <w:rsid w:val="0097392F"/>
    <w:rsid w:val="00973B04"/>
    <w:rsid w:val="00973BEC"/>
    <w:rsid w:val="00973E4E"/>
    <w:rsid w:val="00974013"/>
    <w:rsid w:val="009740CB"/>
    <w:rsid w:val="0097411D"/>
    <w:rsid w:val="0097489E"/>
    <w:rsid w:val="009748AB"/>
    <w:rsid w:val="00974967"/>
    <w:rsid w:val="00974BF8"/>
    <w:rsid w:val="00974D1B"/>
    <w:rsid w:val="00974DB9"/>
    <w:rsid w:val="00974DF6"/>
    <w:rsid w:val="00974EB2"/>
    <w:rsid w:val="00975153"/>
    <w:rsid w:val="00975426"/>
    <w:rsid w:val="00975594"/>
    <w:rsid w:val="00975854"/>
    <w:rsid w:val="00975977"/>
    <w:rsid w:val="00975A3A"/>
    <w:rsid w:val="00975B1E"/>
    <w:rsid w:val="00975C85"/>
    <w:rsid w:val="00975C9B"/>
    <w:rsid w:val="00975D17"/>
    <w:rsid w:val="00975DD2"/>
    <w:rsid w:val="00975E16"/>
    <w:rsid w:val="0097635B"/>
    <w:rsid w:val="00976638"/>
    <w:rsid w:val="009766D1"/>
    <w:rsid w:val="00976C60"/>
    <w:rsid w:val="009771DF"/>
    <w:rsid w:val="00977238"/>
    <w:rsid w:val="0097755D"/>
    <w:rsid w:val="00977793"/>
    <w:rsid w:val="009778CD"/>
    <w:rsid w:val="00977C00"/>
    <w:rsid w:val="00977CB3"/>
    <w:rsid w:val="00977CE6"/>
    <w:rsid w:val="009801CD"/>
    <w:rsid w:val="00980313"/>
    <w:rsid w:val="009806E3"/>
    <w:rsid w:val="00980708"/>
    <w:rsid w:val="009807FD"/>
    <w:rsid w:val="00980814"/>
    <w:rsid w:val="009808F8"/>
    <w:rsid w:val="00980B13"/>
    <w:rsid w:val="00980D62"/>
    <w:rsid w:val="00980FB0"/>
    <w:rsid w:val="00981011"/>
    <w:rsid w:val="00981110"/>
    <w:rsid w:val="009811C3"/>
    <w:rsid w:val="00981485"/>
    <w:rsid w:val="0098154F"/>
    <w:rsid w:val="0098164A"/>
    <w:rsid w:val="009819E6"/>
    <w:rsid w:val="00981A1F"/>
    <w:rsid w:val="00981A77"/>
    <w:rsid w:val="00981AA3"/>
    <w:rsid w:val="00981AB1"/>
    <w:rsid w:val="00981B44"/>
    <w:rsid w:val="00981BE3"/>
    <w:rsid w:val="00981FCB"/>
    <w:rsid w:val="00982157"/>
    <w:rsid w:val="009825B9"/>
    <w:rsid w:val="00982636"/>
    <w:rsid w:val="009827AD"/>
    <w:rsid w:val="009829E5"/>
    <w:rsid w:val="00982B85"/>
    <w:rsid w:val="00982E67"/>
    <w:rsid w:val="00982F34"/>
    <w:rsid w:val="009830D8"/>
    <w:rsid w:val="009830DC"/>
    <w:rsid w:val="00983269"/>
    <w:rsid w:val="0098328D"/>
    <w:rsid w:val="0098351A"/>
    <w:rsid w:val="0098396D"/>
    <w:rsid w:val="009839DB"/>
    <w:rsid w:val="00983A08"/>
    <w:rsid w:val="00983BB8"/>
    <w:rsid w:val="00983CE4"/>
    <w:rsid w:val="00983E27"/>
    <w:rsid w:val="00983E91"/>
    <w:rsid w:val="00983FD3"/>
    <w:rsid w:val="00984143"/>
    <w:rsid w:val="0098414E"/>
    <w:rsid w:val="00984244"/>
    <w:rsid w:val="009843C9"/>
    <w:rsid w:val="0098442C"/>
    <w:rsid w:val="0098479D"/>
    <w:rsid w:val="00984B66"/>
    <w:rsid w:val="00984CE1"/>
    <w:rsid w:val="00985126"/>
    <w:rsid w:val="009857BE"/>
    <w:rsid w:val="0098589E"/>
    <w:rsid w:val="0098606D"/>
    <w:rsid w:val="009863D8"/>
    <w:rsid w:val="00986429"/>
    <w:rsid w:val="0098684F"/>
    <w:rsid w:val="00986863"/>
    <w:rsid w:val="00986924"/>
    <w:rsid w:val="00986A12"/>
    <w:rsid w:val="00987306"/>
    <w:rsid w:val="00987A21"/>
    <w:rsid w:val="00987A57"/>
    <w:rsid w:val="00987A8A"/>
    <w:rsid w:val="00987ABD"/>
    <w:rsid w:val="00987DE5"/>
    <w:rsid w:val="009900B1"/>
    <w:rsid w:val="009900FA"/>
    <w:rsid w:val="00990139"/>
    <w:rsid w:val="0099017B"/>
    <w:rsid w:val="009901BE"/>
    <w:rsid w:val="0099056B"/>
    <w:rsid w:val="009909C3"/>
    <w:rsid w:val="00990A31"/>
    <w:rsid w:val="00990B5B"/>
    <w:rsid w:val="0099107B"/>
    <w:rsid w:val="00991285"/>
    <w:rsid w:val="009913FE"/>
    <w:rsid w:val="00991521"/>
    <w:rsid w:val="00991534"/>
    <w:rsid w:val="0099153F"/>
    <w:rsid w:val="009915A2"/>
    <w:rsid w:val="00991697"/>
    <w:rsid w:val="00991722"/>
    <w:rsid w:val="0099195F"/>
    <w:rsid w:val="00991977"/>
    <w:rsid w:val="00991AAE"/>
    <w:rsid w:val="00991E8B"/>
    <w:rsid w:val="00991FE0"/>
    <w:rsid w:val="0099234D"/>
    <w:rsid w:val="00992416"/>
    <w:rsid w:val="009925DF"/>
    <w:rsid w:val="00992799"/>
    <w:rsid w:val="00992804"/>
    <w:rsid w:val="009929A2"/>
    <w:rsid w:val="00992F63"/>
    <w:rsid w:val="00993405"/>
    <w:rsid w:val="00993436"/>
    <w:rsid w:val="0099347F"/>
    <w:rsid w:val="00993689"/>
    <w:rsid w:val="00993CEE"/>
    <w:rsid w:val="00993E0E"/>
    <w:rsid w:val="0099413E"/>
    <w:rsid w:val="009942CF"/>
    <w:rsid w:val="0099445E"/>
    <w:rsid w:val="00994478"/>
    <w:rsid w:val="00994528"/>
    <w:rsid w:val="00994576"/>
    <w:rsid w:val="00994945"/>
    <w:rsid w:val="00994DDF"/>
    <w:rsid w:val="00994E58"/>
    <w:rsid w:val="009951C9"/>
    <w:rsid w:val="00995809"/>
    <w:rsid w:val="009959C5"/>
    <w:rsid w:val="00995E4F"/>
    <w:rsid w:val="00995F89"/>
    <w:rsid w:val="009964A9"/>
    <w:rsid w:val="0099669E"/>
    <w:rsid w:val="009967E3"/>
    <w:rsid w:val="009969B1"/>
    <w:rsid w:val="00996CB3"/>
    <w:rsid w:val="00996D8B"/>
    <w:rsid w:val="00996DFF"/>
    <w:rsid w:val="009970DB"/>
    <w:rsid w:val="0099718C"/>
    <w:rsid w:val="00997510"/>
    <w:rsid w:val="009977B1"/>
    <w:rsid w:val="00997809"/>
    <w:rsid w:val="0099799F"/>
    <w:rsid w:val="009979EA"/>
    <w:rsid w:val="00997BA3"/>
    <w:rsid w:val="00997D91"/>
    <w:rsid w:val="00997E9C"/>
    <w:rsid w:val="00997EB8"/>
    <w:rsid w:val="00997FE5"/>
    <w:rsid w:val="009A0B5C"/>
    <w:rsid w:val="009A0E84"/>
    <w:rsid w:val="009A1222"/>
    <w:rsid w:val="009A1267"/>
    <w:rsid w:val="009A137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351"/>
    <w:rsid w:val="009A3723"/>
    <w:rsid w:val="009A3993"/>
    <w:rsid w:val="009A3B38"/>
    <w:rsid w:val="009A3C9A"/>
    <w:rsid w:val="009A3E0D"/>
    <w:rsid w:val="009A3E3F"/>
    <w:rsid w:val="009A4048"/>
    <w:rsid w:val="009A43B6"/>
    <w:rsid w:val="009A4637"/>
    <w:rsid w:val="009A4703"/>
    <w:rsid w:val="009A48C0"/>
    <w:rsid w:val="009A4939"/>
    <w:rsid w:val="009A4953"/>
    <w:rsid w:val="009A4A9B"/>
    <w:rsid w:val="009A4CBB"/>
    <w:rsid w:val="009A4D2D"/>
    <w:rsid w:val="009A4ED7"/>
    <w:rsid w:val="009A5126"/>
    <w:rsid w:val="009A524D"/>
    <w:rsid w:val="009A5368"/>
    <w:rsid w:val="009A5752"/>
    <w:rsid w:val="009A5ABE"/>
    <w:rsid w:val="009A6025"/>
    <w:rsid w:val="009A60C5"/>
    <w:rsid w:val="009A675A"/>
    <w:rsid w:val="009A68C0"/>
    <w:rsid w:val="009A692D"/>
    <w:rsid w:val="009A69FD"/>
    <w:rsid w:val="009A6A02"/>
    <w:rsid w:val="009A6EA2"/>
    <w:rsid w:val="009A7069"/>
    <w:rsid w:val="009A71D5"/>
    <w:rsid w:val="009A7236"/>
    <w:rsid w:val="009A7278"/>
    <w:rsid w:val="009A74AA"/>
    <w:rsid w:val="009A7560"/>
    <w:rsid w:val="009A76A4"/>
    <w:rsid w:val="009A789D"/>
    <w:rsid w:val="009A7978"/>
    <w:rsid w:val="009A7CF4"/>
    <w:rsid w:val="009A7E4D"/>
    <w:rsid w:val="009B00BE"/>
    <w:rsid w:val="009B038F"/>
    <w:rsid w:val="009B059B"/>
    <w:rsid w:val="009B0F4E"/>
    <w:rsid w:val="009B0FBC"/>
    <w:rsid w:val="009B1119"/>
    <w:rsid w:val="009B14E3"/>
    <w:rsid w:val="009B15A0"/>
    <w:rsid w:val="009B15DD"/>
    <w:rsid w:val="009B1AB8"/>
    <w:rsid w:val="009B1C93"/>
    <w:rsid w:val="009B1E99"/>
    <w:rsid w:val="009B244E"/>
    <w:rsid w:val="009B2A65"/>
    <w:rsid w:val="009B2DAB"/>
    <w:rsid w:val="009B3187"/>
    <w:rsid w:val="009B34AD"/>
    <w:rsid w:val="009B350A"/>
    <w:rsid w:val="009B3537"/>
    <w:rsid w:val="009B3559"/>
    <w:rsid w:val="009B3AE8"/>
    <w:rsid w:val="009B3B40"/>
    <w:rsid w:val="009B3CC5"/>
    <w:rsid w:val="009B3DF5"/>
    <w:rsid w:val="009B409A"/>
    <w:rsid w:val="009B427F"/>
    <w:rsid w:val="009B4289"/>
    <w:rsid w:val="009B4369"/>
    <w:rsid w:val="009B43D6"/>
    <w:rsid w:val="009B4548"/>
    <w:rsid w:val="009B48D0"/>
    <w:rsid w:val="009B4BFA"/>
    <w:rsid w:val="009B4C58"/>
    <w:rsid w:val="009B50B4"/>
    <w:rsid w:val="009B51BF"/>
    <w:rsid w:val="009B56B4"/>
    <w:rsid w:val="009B5789"/>
    <w:rsid w:val="009B5B2A"/>
    <w:rsid w:val="009B63DF"/>
    <w:rsid w:val="009B64A5"/>
    <w:rsid w:val="009B64ED"/>
    <w:rsid w:val="009B650F"/>
    <w:rsid w:val="009B69E8"/>
    <w:rsid w:val="009B6D39"/>
    <w:rsid w:val="009B745C"/>
    <w:rsid w:val="009B7520"/>
    <w:rsid w:val="009B76A2"/>
    <w:rsid w:val="009B7797"/>
    <w:rsid w:val="009B781E"/>
    <w:rsid w:val="009B7BC5"/>
    <w:rsid w:val="009B7C5C"/>
    <w:rsid w:val="009B7C6C"/>
    <w:rsid w:val="009B7CCF"/>
    <w:rsid w:val="009C0014"/>
    <w:rsid w:val="009C0016"/>
    <w:rsid w:val="009C042B"/>
    <w:rsid w:val="009C0581"/>
    <w:rsid w:val="009C05BC"/>
    <w:rsid w:val="009C05DD"/>
    <w:rsid w:val="009C0C02"/>
    <w:rsid w:val="009C0CBB"/>
    <w:rsid w:val="009C0D7A"/>
    <w:rsid w:val="009C0E32"/>
    <w:rsid w:val="009C0E69"/>
    <w:rsid w:val="009C0E81"/>
    <w:rsid w:val="009C0FDE"/>
    <w:rsid w:val="009C1085"/>
    <w:rsid w:val="009C124D"/>
    <w:rsid w:val="009C1621"/>
    <w:rsid w:val="009C197F"/>
    <w:rsid w:val="009C1A65"/>
    <w:rsid w:val="009C1AA9"/>
    <w:rsid w:val="009C1B60"/>
    <w:rsid w:val="009C214D"/>
    <w:rsid w:val="009C223D"/>
    <w:rsid w:val="009C22F0"/>
    <w:rsid w:val="009C2326"/>
    <w:rsid w:val="009C2588"/>
    <w:rsid w:val="009C2813"/>
    <w:rsid w:val="009C2A46"/>
    <w:rsid w:val="009C2B33"/>
    <w:rsid w:val="009C2B3F"/>
    <w:rsid w:val="009C2C1D"/>
    <w:rsid w:val="009C2C32"/>
    <w:rsid w:val="009C2DC6"/>
    <w:rsid w:val="009C3113"/>
    <w:rsid w:val="009C3241"/>
    <w:rsid w:val="009C3282"/>
    <w:rsid w:val="009C337E"/>
    <w:rsid w:val="009C347C"/>
    <w:rsid w:val="009C3A83"/>
    <w:rsid w:val="009C3D4C"/>
    <w:rsid w:val="009C4137"/>
    <w:rsid w:val="009C42C5"/>
    <w:rsid w:val="009C4451"/>
    <w:rsid w:val="009C450E"/>
    <w:rsid w:val="009C4554"/>
    <w:rsid w:val="009C48BD"/>
    <w:rsid w:val="009C4B45"/>
    <w:rsid w:val="009C4D93"/>
    <w:rsid w:val="009C4E2E"/>
    <w:rsid w:val="009C4E81"/>
    <w:rsid w:val="009C4FE0"/>
    <w:rsid w:val="009C533B"/>
    <w:rsid w:val="009C554B"/>
    <w:rsid w:val="009C56B7"/>
    <w:rsid w:val="009C588F"/>
    <w:rsid w:val="009C5A8F"/>
    <w:rsid w:val="009C5B09"/>
    <w:rsid w:val="009C5B8B"/>
    <w:rsid w:val="009C6460"/>
    <w:rsid w:val="009C64F4"/>
    <w:rsid w:val="009C65A7"/>
    <w:rsid w:val="009C662E"/>
    <w:rsid w:val="009C6819"/>
    <w:rsid w:val="009C6C6B"/>
    <w:rsid w:val="009C7349"/>
    <w:rsid w:val="009C75E0"/>
    <w:rsid w:val="009C75E2"/>
    <w:rsid w:val="009C798D"/>
    <w:rsid w:val="009C7E46"/>
    <w:rsid w:val="009C7F36"/>
    <w:rsid w:val="009D03E9"/>
    <w:rsid w:val="009D081E"/>
    <w:rsid w:val="009D0977"/>
    <w:rsid w:val="009D0A11"/>
    <w:rsid w:val="009D0B78"/>
    <w:rsid w:val="009D0E7D"/>
    <w:rsid w:val="009D0FBF"/>
    <w:rsid w:val="009D1041"/>
    <w:rsid w:val="009D10AC"/>
    <w:rsid w:val="009D111B"/>
    <w:rsid w:val="009D1299"/>
    <w:rsid w:val="009D1713"/>
    <w:rsid w:val="009D1871"/>
    <w:rsid w:val="009D19D5"/>
    <w:rsid w:val="009D1A10"/>
    <w:rsid w:val="009D21D2"/>
    <w:rsid w:val="009D2351"/>
    <w:rsid w:val="009D2652"/>
    <w:rsid w:val="009D2792"/>
    <w:rsid w:val="009D28D9"/>
    <w:rsid w:val="009D2C33"/>
    <w:rsid w:val="009D2EA3"/>
    <w:rsid w:val="009D35AD"/>
    <w:rsid w:val="009D3EBE"/>
    <w:rsid w:val="009D4174"/>
    <w:rsid w:val="009D4A42"/>
    <w:rsid w:val="009D4B5E"/>
    <w:rsid w:val="009D4DC0"/>
    <w:rsid w:val="009D505C"/>
    <w:rsid w:val="009D5103"/>
    <w:rsid w:val="009D511D"/>
    <w:rsid w:val="009D518A"/>
    <w:rsid w:val="009D53FD"/>
    <w:rsid w:val="009D55DD"/>
    <w:rsid w:val="009D5A67"/>
    <w:rsid w:val="009D5BC8"/>
    <w:rsid w:val="009D5E60"/>
    <w:rsid w:val="009D5F22"/>
    <w:rsid w:val="009D6324"/>
    <w:rsid w:val="009D6965"/>
    <w:rsid w:val="009D6A55"/>
    <w:rsid w:val="009D7268"/>
    <w:rsid w:val="009D7387"/>
    <w:rsid w:val="009D76B8"/>
    <w:rsid w:val="009D7B85"/>
    <w:rsid w:val="009D7BAD"/>
    <w:rsid w:val="009D7D19"/>
    <w:rsid w:val="009D7F3E"/>
    <w:rsid w:val="009E00B7"/>
    <w:rsid w:val="009E04D5"/>
    <w:rsid w:val="009E04E9"/>
    <w:rsid w:val="009E06DE"/>
    <w:rsid w:val="009E0983"/>
    <w:rsid w:val="009E11AC"/>
    <w:rsid w:val="009E1EE8"/>
    <w:rsid w:val="009E1FB0"/>
    <w:rsid w:val="009E208F"/>
    <w:rsid w:val="009E212D"/>
    <w:rsid w:val="009E2236"/>
    <w:rsid w:val="009E23AB"/>
    <w:rsid w:val="009E29CE"/>
    <w:rsid w:val="009E2A05"/>
    <w:rsid w:val="009E2ED7"/>
    <w:rsid w:val="009E38C4"/>
    <w:rsid w:val="009E3CBD"/>
    <w:rsid w:val="009E3D0E"/>
    <w:rsid w:val="009E3EF1"/>
    <w:rsid w:val="009E3EFC"/>
    <w:rsid w:val="009E3F15"/>
    <w:rsid w:val="009E4A48"/>
    <w:rsid w:val="009E4B0D"/>
    <w:rsid w:val="009E4CEE"/>
    <w:rsid w:val="009E4D6B"/>
    <w:rsid w:val="009E4E32"/>
    <w:rsid w:val="009E5119"/>
    <w:rsid w:val="009E52B1"/>
    <w:rsid w:val="009E52E7"/>
    <w:rsid w:val="009E5305"/>
    <w:rsid w:val="009E5531"/>
    <w:rsid w:val="009E55C1"/>
    <w:rsid w:val="009E56EA"/>
    <w:rsid w:val="009E58A8"/>
    <w:rsid w:val="009E5A92"/>
    <w:rsid w:val="009E5AF1"/>
    <w:rsid w:val="009E5E73"/>
    <w:rsid w:val="009E6065"/>
    <w:rsid w:val="009E6109"/>
    <w:rsid w:val="009E6191"/>
    <w:rsid w:val="009E6478"/>
    <w:rsid w:val="009E65C9"/>
    <w:rsid w:val="009E666A"/>
    <w:rsid w:val="009E671D"/>
    <w:rsid w:val="009E694D"/>
    <w:rsid w:val="009E6A8B"/>
    <w:rsid w:val="009E6AC1"/>
    <w:rsid w:val="009E6C49"/>
    <w:rsid w:val="009E72D4"/>
    <w:rsid w:val="009E749B"/>
    <w:rsid w:val="009E75B7"/>
    <w:rsid w:val="009E78DC"/>
    <w:rsid w:val="009E7929"/>
    <w:rsid w:val="009F000A"/>
    <w:rsid w:val="009F0054"/>
    <w:rsid w:val="009F0284"/>
    <w:rsid w:val="009F03CE"/>
    <w:rsid w:val="009F0522"/>
    <w:rsid w:val="009F0582"/>
    <w:rsid w:val="009F0613"/>
    <w:rsid w:val="009F0695"/>
    <w:rsid w:val="009F088B"/>
    <w:rsid w:val="009F0A62"/>
    <w:rsid w:val="009F0A7C"/>
    <w:rsid w:val="009F0C2D"/>
    <w:rsid w:val="009F0D30"/>
    <w:rsid w:val="009F0DA7"/>
    <w:rsid w:val="009F0FD5"/>
    <w:rsid w:val="009F104D"/>
    <w:rsid w:val="009F10B1"/>
    <w:rsid w:val="009F1244"/>
    <w:rsid w:val="009F15B7"/>
    <w:rsid w:val="009F1B58"/>
    <w:rsid w:val="009F206E"/>
    <w:rsid w:val="009F209D"/>
    <w:rsid w:val="009F2307"/>
    <w:rsid w:val="009F29FF"/>
    <w:rsid w:val="009F2B8E"/>
    <w:rsid w:val="009F2CF4"/>
    <w:rsid w:val="009F2D9C"/>
    <w:rsid w:val="009F2F96"/>
    <w:rsid w:val="009F3096"/>
    <w:rsid w:val="009F30EE"/>
    <w:rsid w:val="009F3133"/>
    <w:rsid w:val="009F36FC"/>
    <w:rsid w:val="009F3740"/>
    <w:rsid w:val="009F3905"/>
    <w:rsid w:val="009F3920"/>
    <w:rsid w:val="009F39CF"/>
    <w:rsid w:val="009F3C11"/>
    <w:rsid w:val="009F3CA5"/>
    <w:rsid w:val="009F3DA5"/>
    <w:rsid w:val="009F3E14"/>
    <w:rsid w:val="009F3EED"/>
    <w:rsid w:val="009F4022"/>
    <w:rsid w:val="009F427E"/>
    <w:rsid w:val="009F42D5"/>
    <w:rsid w:val="009F4328"/>
    <w:rsid w:val="009F4534"/>
    <w:rsid w:val="009F4E86"/>
    <w:rsid w:val="009F4EDC"/>
    <w:rsid w:val="009F553C"/>
    <w:rsid w:val="009F561E"/>
    <w:rsid w:val="009F564B"/>
    <w:rsid w:val="009F5668"/>
    <w:rsid w:val="009F5763"/>
    <w:rsid w:val="009F57CB"/>
    <w:rsid w:val="009F5823"/>
    <w:rsid w:val="009F5DD0"/>
    <w:rsid w:val="009F6134"/>
    <w:rsid w:val="009F613C"/>
    <w:rsid w:val="009F625A"/>
    <w:rsid w:val="009F6525"/>
    <w:rsid w:val="009F6743"/>
    <w:rsid w:val="009F6DBF"/>
    <w:rsid w:val="009F6FA5"/>
    <w:rsid w:val="009F706A"/>
    <w:rsid w:val="009F71AF"/>
    <w:rsid w:val="009F7582"/>
    <w:rsid w:val="009F79D2"/>
    <w:rsid w:val="009F7ACA"/>
    <w:rsid w:val="009F7AFB"/>
    <w:rsid w:val="009F7D44"/>
    <w:rsid w:val="009F7DAF"/>
    <w:rsid w:val="00A00061"/>
    <w:rsid w:val="00A00226"/>
    <w:rsid w:val="00A003B6"/>
    <w:rsid w:val="00A00470"/>
    <w:rsid w:val="00A006CC"/>
    <w:rsid w:val="00A006DA"/>
    <w:rsid w:val="00A00B72"/>
    <w:rsid w:val="00A00CFC"/>
    <w:rsid w:val="00A00D7E"/>
    <w:rsid w:val="00A00DFE"/>
    <w:rsid w:val="00A00E6D"/>
    <w:rsid w:val="00A00F65"/>
    <w:rsid w:val="00A0107D"/>
    <w:rsid w:val="00A010AF"/>
    <w:rsid w:val="00A01167"/>
    <w:rsid w:val="00A0132D"/>
    <w:rsid w:val="00A01545"/>
    <w:rsid w:val="00A0160B"/>
    <w:rsid w:val="00A017E2"/>
    <w:rsid w:val="00A01972"/>
    <w:rsid w:val="00A01989"/>
    <w:rsid w:val="00A01B3D"/>
    <w:rsid w:val="00A01EEF"/>
    <w:rsid w:val="00A01F64"/>
    <w:rsid w:val="00A02013"/>
    <w:rsid w:val="00A0223B"/>
    <w:rsid w:val="00A02403"/>
    <w:rsid w:val="00A02909"/>
    <w:rsid w:val="00A029D1"/>
    <w:rsid w:val="00A02C82"/>
    <w:rsid w:val="00A02CA2"/>
    <w:rsid w:val="00A02CBC"/>
    <w:rsid w:val="00A02E6A"/>
    <w:rsid w:val="00A02F99"/>
    <w:rsid w:val="00A03125"/>
    <w:rsid w:val="00A03285"/>
    <w:rsid w:val="00A03479"/>
    <w:rsid w:val="00A03A2C"/>
    <w:rsid w:val="00A03A9E"/>
    <w:rsid w:val="00A0403A"/>
    <w:rsid w:val="00A0407F"/>
    <w:rsid w:val="00A04261"/>
    <w:rsid w:val="00A04378"/>
    <w:rsid w:val="00A04425"/>
    <w:rsid w:val="00A046FB"/>
    <w:rsid w:val="00A04879"/>
    <w:rsid w:val="00A048B6"/>
    <w:rsid w:val="00A0496B"/>
    <w:rsid w:val="00A04C7C"/>
    <w:rsid w:val="00A04DC2"/>
    <w:rsid w:val="00A04FFE"/>
    <w:rsid w:val="00A052C8"/>
    <w:rsid w:val="00A05680"/>
    <w:rsid w:val="00A057D0"/>
    <w:rsid w:val="00A05960"/>
    <w:rsid w:val="00A059DD"/>
    <w:rsid w:val="00A05D26"/>
    <w:rsid w:val="00A05D4C"/>
    <w:rsid w:val="00A05F91"/>
    <w:rsid w:val="00A06428"/>
    <w:rsid w:val="00A06768"/>
    <w:rsid w:val="00A06868"/>
    <w:rsid w:val="00A06AE7"/>
    <w:rsid w:val="00A06C17"/>
    <w:rsid w:val="00A06C2C"/>
    <w:rsid w:val="00A06D61"/>
    <w:rsid w:val="00A070F3"/>
    <w:rsid w:val="00A07132"/>
    <w:rsid w:val="00A071D5"/>
    <w:rsid w:val="00A0721C"/>
    <w:rsid w:val="00A0743A"/>
    <w:rsid w:val="00A0752F"/>
    <w:rsid w:val="00A07642"/>
    <w:rsid w:val="00A0773B"/>
    <w:rsid w:val="00A07953"/>
    <w:rsid w:val="00A07CF9"/>
    <w:rsid w:val="00A07D36"/>
    <w:rsid w:val="00A07D5F"/>
    <w:rsid w:val="00A07DC8"/>
    <w:rsid w:val="00A10083"/>
    <w:rsid w:val="00A10127"/>
    <w:rsid w:val="00A10553"/>
    <w:rsid w:val="00A10627"/>
    <w:rsid w:val="00A106C5"/>
    <w:rsid w:val="00A10D42"/>
    <w:rsid w:val="00A10DD2"/>
    <w:rsid w:val="00A11067"/>
    <w:rsid w:val="00A11140"/>
    <w:rsid w:val="00A1114A"/>
    <w:rsid w:val="00A1118E"/>
    <w:rsid w:val="00A111DF"/>
    <w:rsid w:val="00A11250"/>
    <w:rsid w:val="00A11676"/>
    <w:rsid w:val="00A11BAD"/>
    <w:rsid w:val="00A11CCB"/>
    <w:rsid w:val="00A123FA"/>
    <w:rsid w:val="00A12DF8"/>
    <w:rsid w:val="00A12F1E"/>
    <w:rsid w:val="00A130C4"/>
    <w:rsid w:val="00A134D4"/>
    <w:rsid w:val="00A1377A"/>
    <w:rsid w:val="00A1387A"/>
    <w:rsid w:val="00A13984"/>
    <w:rsid w:val="00A13AF2"/>
    <w:rsid w:val="00A13CBD"/>
    <w:rsid w:val="00A13D19"/>
    <w:rsid w:val="00A13D9E"/>
    <w:rsid w:val="00A13EFD"/>
    <w:rsid w:val="00A13F4C"/>
    <w:rsid w:val="00A14203"/>
    <w:rsid w:val="00A1432E"/>
    <w:rsid w:val="00A1445D"/>
    <w:rsid w:val="00A14582"/>
    <w:rsid w:val="00A14890"/>
    <w:rsid w:val="00A14AA8"/>
    <w:rsid w:val="00A14D2E"/>
    <w:rsid w:val="00A14DA1"/>
    <w:rsid w:val="00A14FB6"/>
    <w:rsid w:val="00A151F5"/>
    <w:rsid w:val="00A15529"/>
    <w:rsid w:val="00A155B6"/>
    <w:rsid w:val="00A156BE"/>
    <w:rsid w:val="00A157B3"/>
    <w:rsid w:val="00A157F9"/>
    <w:rsid w:val="00A15860"/>
    <w:rsid w:val="00A15FA9"/>
    <w:rsid w:val="00A15FBF"/>
    <w:rsid w:val="00A16106"/>
    <w:rsid w:val="00A161B9"/>
    <w:rsid w:val="00A16213"/>
    <w:rsid w:val="00A16220"/>
    <w:rsid w:val="00A162F8"/>
    <w:rsid w:val="00A165C3"/>
    <w:rsid w:val="00A167DF"/>
    <w:rsid w:val="00A16A51"/>
    <w:rsid w:val="00A17164"/>
    <w:rsid w:val="00A1724B"/>
    <w:rsid w:val="00A1725B"/>
    <w:rsid w:val="00A172ED"/>
    <w:rsid w:val="00A176C6"/>
    <w:rsid w:val="00A17772"/>
    <w:rsid w:val="00A17874"/>
    <w:rsid w:val="00A179AE"/>
    <w:rsid w:val="00A17AD1"/>
    <w:rsid w:val="00A17CA2"/>
    <w:rsid w:val="00A20212"/>
    <w:rsid w:val="00A202A7"/>
    <w:rsid w:val="00A20321"/>
    <w:rsid w:val="00A20346"/>
    <w:rsid w:val="00A204DC"/>
    <w:rsid w:val="00A20750"/>
    <w:rsid w:val="00A2089A"/>
    <w:rsid w:val="00A20A64"/>
    <w:rsid w:val="00A20CBA"/>
    <w:rsid w:val="00A20D35"/>
    <w:rsid w:val="00A20F92"/>
    <w:rsid w:val="00A2159F"/>
    <w:rsid w:val="00A21725"/>
    <w:rsid w:val="00A218B8"/>
    <w:rsid w:val="00A219E9"/>
    <w:rsid w:val="00A21A11"/>
    <w:rsid w:val="00A21BB7"/>
    <w:rsid w:val="00A21BBC"/>
    <w:rsid w:val="00A2202D"/>
    <w:rsid w:val="00A22074"/>
    <w:rsid w:val="00A224FD"/>
    <w:rsid w:val="00A22596"/>
    <w:rsid w:val="00A226DD"/>
    <w:rsid w:val="00A2282E"/>
    <w:rsid w:val="00A22955"/>
    <w:rsid w:val="00A22B18"/>
    <w:rsid w:val="00A22F44"/>
    <w:rsid w:val="00A23314"/>
    <w:rsid w:val="00A233ED"/>
    <w:rsid w:val="00A234E9"/>
    <w:rsid w:val="00A23786"/>
    <w:rsid w:val="00A239CE"/>
    <w:rsid w:val="00A23BCE"/>
    <w:rsid w:val="00A24147"/>
    <w:rsid w:val="00A246B1"/>
    <w:rsid w:val="00A2478F"/>
    <w:rsid w:val="00A247CF"/>
    <w:rsid w:val="00A248B2"/>
    <w:rsid w:val="00A24936"/>
    <w:rsid w:val="00A249BC"/>
    <w:rsid w:val="00A24A6C"/>
    <w:rsid w:val="00A24A88"/>
    <w:rsid w:val="00A24F9A"/>
    <w:rsid w:val="00A25037"/>
    <w:rsid w:val="00A2504B"/>
    <w:rsid w:val="00A2554E"/>
    <w:rsid w:val="00A255EA"/>
    <w:rsid w:val="00A25899"/>
    <w:rsid w:val="00A2597D"/>
    <w:rsid w:val="00A25CA1"/>
    <w:rsid w:val="00A25DA8"/>
    <w:rsid w:val="00A25F09"/>
    <w:rsid w:val="00A26004"/>
    <w:rsid w:val="00A26081"/>
    <w:rsid w:val="00A261F8"/>
    <w:rsid w:val="00A2668B"/>
    <w:rsid w:val="00A267BC"/>
    <w:rsid w:val="00A26821"/>
    <w:rsid w:val="00A2689D"/>
    <w:rsid w:val="00A269EE"/>
    <w:rsid w:val="00A26F7D"/>
    <w:rsid w:val="00A271A7"/>
    <w:rsid w:val="00A271D1"/>
    <w:rsid w:val="00A27227"/>
    <w:rsid w:val="00A27248"/>
    <w:rsid w:val="00A272BE"/>
    <w:rsid w:val="00A272F9"/>
    <w:rsid w:val="00A27341"/>
    <w:rsid w:val="00A27489"/>
    <w:rsid w:val="00A2756F"/>
    <w:rsid w:val="00A275A9"/>
    <w:rsid w:val="00A2778C"/>
    <w:rsid w:val="00A277E8"/>
    <w:rsid w:val="00A27AB3"/>
    <w:rsid w:val="00A27B85"/>
    <w:rsid w:val="00A27B8E"/>
    <w:rsid w:val="00A27E62"/>
    <w:rsid w:val="00A27F2B"/>
    <w:rsid w:val="00A27F54"/>
    <w:rsid w:val="00A30148"/>
    <w:rsid w:val="00A30153"/>
    <w:rsid w:val="00A304B4"/>
    <w:rsid w:val="00A308E1"/>
    <w:rsid w:val="00A30E52"/>
    <w:rsid w:val="00A30E5E"/>
    <w:rsid w:val="00A31147"/>
    <w:rsid w:val="00A311FF"/>
    <w:rsid w:val="00A31434"/>
    <w:rsid w:val="00A317C9"/>
    <w:rsid w:val="00A31807"/>
    <w:rsid w:val="00A31A38"/>
    <w:rsid w:val="00A31FA5"/>
    <w:rsid w:val="00A320C0"/>
    <w:rsid w:val="00A320E5"/>
    <w:rsid w:val="00A32181"/>
    <w:rsid w:val="00A325EC"/>
    <w:rsid w:val="00A327D7"/>
    <w:rsid w:val="00A3280C"/>
    <w:rsid w:val="00A32B86"/>
    <w:rsid w:val="00A32DF2"/>
    <w:rsid w:val="00A32F2B"/>
    <w:rsid w:val="00A32F86"/>
    <w:rsid w:val="00A33603"/>
    <w:rsid w:val="00A336F2"/>
    <w:rsid w:val="00A33FFC"/>
    <w:rsid w:val="00A34FDE"/>
    <w:rsid w:val="00A35282"/>
    <w:rsid w:val="00A353B1"/>
    <w:rsid w:val="00A354AB"/>
    <w:rsid w:val="00A356B1"/>
    <w:rsid w:val="00A357AF"/>
    <w:rsid w:val="00A35827"/>
    <w:rsid w:val="00A3590C"/>
    <w:rsid w:val="00A35969"/>
    <w:rsid w:val="00A359DB"/>
    <w:rsid w:val="00A36010"/>
    <w:rsid w:val="00A360D5"/>
    <w:rsid w:val="00A361A7"/>
    <w:rsid w:val="00A361C5"/>
    <w:rsid w:val="00A362C1"/>
    <w:rsid w:val="00A3697D"/>
    <w:rsid w:val="00A36980"/>
    <w:rsid w:val="00A36B5C"/>
    <w:rsid w:val="00A36B8D"/>
    <w:rsid w:val="00A36CCC"/>
    <w:rsid w:val="00A36CED"/>
    <w:rsid w:val="00A36D2F"/>
    <w:rsid w:val="00A36E55"/>
    <w:rsid w:val="00A370A8"/>
    <w:rsid w:val="00A37156"/>
    <w:rsid w:val="00A37256"/>
    <w:rsid w:val="00A373B3"/>
    <w:rsid w:val="00A3759A"/>
    <w:rsid w:val="00A37AA1"/>
    <w:rsid w:val="00A37D85"/>
    <w:rsid w:val="00A400A0"/>
    <w:rsid w:val="00A40363"/>
    <w:rsid w:val="00A408AF"/>
    <w:rsid w:val="00A408E8"/>
    <w:rsid w:val="00A40B7E"/>
    <w:rsid w:val="00A40EE5"/>
    <w:rsid w:val="00A40F2A"/>
    <w:rsid w:val="00A41056"/>
    <w:rsid w:val="00A41063"/>
    <w:rsid w:val="00A4137E"/>
    <w:rsid w:val="00A41678"/>
    <w:rsid w:val="00A416B6"/>
    <w:rsid w:val="00A41945"/>
    <w:rsid w:val="00A41BF2"/>
    <w:rsid w:val="00A41F4B"/>
    <w:rsid w:val="00A42035"/>
    <w:rsid w:val="00A421A5"/>
    <w:rsid w:val="00A421B1"/>
    <w:rsid w:val="00A422F3"/>
    <w:rsid w:val="00A4266D"/>
    <w:rsid w:val="00A428CF"/>
    <w:rsid w:val="00A429C1"/>
    <w:rsid w:val="00A42A63"/>
    <w:rsid w:val="00A42CC7"/>
    <w:rsid w:val="00A42EE1"/>
    <w:rsid w:val="00A4331D"/>
    <w:rsid w:val="00A43443"/>
    <w:rsid w:val="00A43445"/>
    <w:rsid w:val="00A4370A"/>
    <w:rsid w:val="00A43887"/>
    <w:rsid w:val="00A4412C"/>
    <w:rsid w:val="00A441FC"/>
    <w:rsid w:val="00A444A6"/>
    <w:rsid w:val="00A44678"/>
    <w:rsid w:val="00A4476D"/>
    <w:rsid w:val="00A44824"/>
    <w:rsid w:val="00A448D9"/>
    <w:rsid w:val="00A44A89"/>
    <w:rsid w:val="00A44AED"/>
    <w:rsid w:val="00A44BBD"/>
    <w:rsid w:val="00A44D23"/>
    <w:rsid w:val="00A45027"/>
    <w:rsid w:val="00A45220"/>
    <w:rsid w:val="00A454A4"/>
    <w:rsid w:val="00A45722"/>
    <w:rsid w:val="00A457FF"/>
    <w:rsid w:val="00A45AA0"/>
    <w:rsid w:val="00A45EDE"/>
    <w:rsid w:val="00A46149"/>
    <w:rsid w:val="00A46570"/>
    <w:rsid w:val="00A46840"/>
    <w:rsid w:val="00A468FF"/>
    <w:rsid w:val="00A46CB8"/>
    <w:rsid w:val="00A46CBC"/>
    <w:rsid w:val="00A46F75"/>
    <w:rsid w:val="00A46FD1"/>
    <w:rsid w:val="00A47110"/>
    <w:rsid w:val="00A4744C"/>
    <w:rsid w:val="00A47607"/>
    <w:rsid w:val="00A47A91"/>
    <w:rsid w:val="00A47BF2"/>
    <w:rsid w:val="00A47E57"/>
    <w:rsid w:val="00A47F6A"/>
    <w:rsid w:val="00A47F76"/>
    <w:rsid w:val="00A5019F"/>
    <w:rsid w:val="00A502DF"/>
    <w:rsid w:val="00A503A8"/>
    <w:rsid w:val="00A5063F"/>
    <w:rsid w:val="00A50779"/>
    <w:rsid w:val="00A50856"/>
    <w:rsid w:val="00A508AA"/>
    <w:rsid w:val="00A50994"/>
    <w:rsid w:val="00A50B61"/>
    <w:rsid w:val="00A50C17"/>
    <w:rsid w:val="00A50C6E"/>
    <w:rsid w:val="00A50C90"/>
    <w:rsid w:val="00A50F5C"/>
    <w:rsid w:val="00A5189F"/>
    <w:rsid w:val="00A51E4A"/>
    <w:rsid w:val="00A524EB"/>
    <w:rsid w:val="00A527EA"/>
    <w:rsid w:val="00A52C95"/>
    <w:rsid w:val="00A52D42"/>
    <w:rsid w:val="00A52E72"/>
    <w:rsid w:val="00A52E7F"/>
    <w:rsid w:val="00A53133"/>
    <w:rsid w:val="00A533E9"/>
    <w:rsid w:val="00A53577"/>
    <w:rsid w:val="00A53636"/>
    <w:rsid w:val="00A538A3"/>
    <w:rsid w:val="00A53A76"/>
    <w:rsid w:val="00A5400A"/>
    <w:rsid w:val="00A54038"/>
    <w:rsid w:val="00A5406E"/>
    <w:rsid w:val="00A542A0"/>
    <w:rsid w:val="00A5454B"/>
    <w:rsid w:val="00A54573"/>
    <w:rsid w:val="00A546B2"/>
    <w:rsid w:val="00A54A46"/>
    <w:rsid w:val="00A54BC4"/>
    <w:rsid w:val="00A54C5D"/>
    <w:rsid w:val="00A551BD"/>
    <w:rsid w:val="00A553CB"/>
    <w:rsid w:val="00A554E3"/>
    <w:rsid w:val="00A5593B"/>
    <w:rsid w:val="00A55A0F"/>
    <w:rsid w:val="00A55ABB"/>
    <w:rsid w:val="00A55B11"/>
    <w:rsid w:val="00A55C5C"/>
    <w:rsid w:val="00A55E78"/>
    <w:rsid w:val="00A55FD2"/>
    <w:rsid w:val="00A56093"/>
    <w:rsid w:val="00A56182"/>
    <w:rsid w:val="00A56236"/>
    <w:rsid w:val="00A5676B"/>
    <w:rsid w:val="00A567D4"/>
    <w:rsid w:val="00A56927"/>
    <w:rsid w:val="00A56AAF"/>
    <w:rsid w:val="00A57077"/>
    <w:rsid w:val="00A57212"/>
    <w:rsid w:val="00A572AD"/>
    <w:rsid w:val="00A5739B"/>
    <w:rsid w:val="00A57481"/>
    <w:rsid w:val="00A5767F"/>
    <w:rsid w:val="00A5778D"/>
    <w:rsid w:val="00A577D9"/>
    <w:rsid w:val="00A577EA"/>
    <w:rsid w:val="00A57A82"/>
    <w:rsid w:val="00A57D07"/>
    <w:rsid w:val="00A60762"/>
    <w:rsid w:val="00A60822"/>
    <w:rsid w:val="00A60984"/>
    <w:rsid w:val="00A60B38"/>
    <w:rsid w:val="00A60C85"/>
    <w:rsid w:val="00A60CB2"/>
    <w:rsid w:val="00A610D0"/>
    <w:rsid w:val="00A612FA"/>
    <w:rsid w:val="00A61B98"/>
    <w:rsid w:val="00A61C47"/>
    <w:rsid w:val="00A61D44"/>
    <w:rsid w:val="00A62000"/>
    <w:rsid w:val="00A6277B"/>
    <w:rsid w:val="00A6285D"/>
    <w:rsid w:val="00A629C1"/>
    <w:rsid w:val="00A629F4"/>
    <w:rsid w:val="00A62A9E"/>
    <w:rsid w:val="00A62E73"/>
    <w:rsid w:val="00A62EA0"/>
    <w:rsid w:val="00A62F6B"/>
    <w:rsid w:val="00A632ED"/>
    <w:rsid w:val="00A63B29"/>
    <w:rsid w:val="00A63CD5"/>
    <w:rsid w:val="00A63DFF"/>
    <w:rsid w:val="00A640CA"/>
    <w:rsid w:val="00A64223"/>
    <w:rsid w:val="00A645B6"/>
    <w:rsid w:val="00A64733"/>
    <w:rsid w:val="00A648F6"/>
    <w:rsid w:val="00A64D8F"/>
    <w:rsid w:val="00A64E47"/>
    <w:rsid w:val="00A64FD4"/>
    <w:rsid w:val="00A6503B"/>
    <w:rsid w:val="00A65446"/>
    <w:rsid w:val="00A65719"/>
    <w:rsid w:val="00A65CC1"/>
    <w:rsid w:val="00A65CF9"/>
    <w:rsid w:val="00A65DEB"/>
    <w:rsid w:val="00A66339"/>
    <w:rsid w:val="00A663D6"/>
    <w:rsid w:val="00A668A4"/>
    <w:rsid w:val="00A668E1"/>
    <w:rsid w:val="00A669EA"/>
    <w:rsid w:val="00A66A67"/>
    <w:rsid w:val="00A66C5B"/>
    <w:rsid w:val="00A66E3C"/>
    <w:rsid w:val="00A671A1"/>
    <w:rsid w:val="00A672E1"/>
    <w:rsid w:val="00A673FB"/>
    <w:rsid w:val="00A67793"/>
    <w:rsid w:val="00A678D1"/>
    <w:rsid w:val="00A67AED"/>
    <w:rsid w:val="00A67E72"/>
    <w:rsid w:val="00A7000B"/>
    <w:rsid w:val="00A701EF"/>
    <w:rsid w:val="00A705E7"/>
    <w:rsid w:val="00A70A92"/>
    <w:rsid w:val="00A70B09"/>
    <w:rsid w:val="00A70BF0"/>
    <w:rsid w:val="00A70DA4"/>
    <w:rsid w:val="00A70FE5"/>
    <w:rsid w:val="00A711EE"/>
    <w:rsid w:val="00A71362"/>
    <w:rsid w:val="00A7146D"/>
    <w:rsid w:val="00A7153C"/>
    <w:rsid w:val="00A71560"/>
    <w:rsid w:val="00A71574"/>
    <w:rsid w:val="00A715AB"/>
    <w:rsid w:val="00A71643"/>
    <w:rsid w:val="00A7170A"/>
    <w:rsid w:val="00A7171D"/>
    <w:rsid w:val="00A71A9A"/>
    <w:rsid w:val="00A71AE0"/>
    <w:rsid w:val="00A71E6E"/>
    <w:rsid w:val="00A72014"/>
    <w:rsid w:val="00A7226E"/>
    <w:rsid w:val="00A72E1C"/>
    <w:rsid w:val="00A730D2"/>
    <w:rsid w:val="00A731EA"/>
    <w:rsid w:val="00A738BC"/>
    <w:rsid w:val="00A738D0"/>
    <w:rsid w:val="00A73A45"/>
    <w:rsid w:val="00A73AA0"/>
    <w:rsid w:val="00A73AF1"/>
    <w:rsid w:val="00A73E67"/>
    <w:rsid w:val="00A73E8A"/>
    <w:rsid w:val="00A73F6E"/>
    <w:rsid w:val="00A74023"/>
    <w:rsid w:val="00A74302"/>
    <w:rsid w:val="00A743AC"/>
    <w:rsid w:val="00A74629"/>
    <w:rsid w:val="00A7476B"/>
    <w:rsid w:val="00A74906"/>
    <w:rsid w:val="00A74A5C"/>
    <w:rsid w:val="00A75024"/>
    <w:rsid w:val="00A75098"/>
    <w:rsid w:val="00A754AF"/>
    <w:rsid w:val="00A756D5"/>
    <w:rsid w:val="00A75981"/>
    <w:rsid w:val="00A75A85"/>
    <w:rsid w:val="00A75EC9"/>
    <w:rsid w:val="00A76182"/>
    <w:rsid w:val="00A76324"/>
    <w:rsid w:val="00A765C4"/>
    <w:rsid w:val="00A76E63"/>
    <w:rsid w:val="00A7705F"/>
    <w:rsid w:val="00A772C4"/>
    <w:rsid w:val="00A775C5"/>
    <w:rsid w:val="00A77902"/>
    <w:rsid w:val="00A80004"/>
    <w:rsid w:val="00A803F1"/>
    <w:rsid w:val="00A805D4"/>
    <w:rsid w:val="00A80684"/>
    <w:rsid w:val="00A8090B"/>
    <w:rsid w:val="00A80D9D"/>
    <w:rsid w:val="00A80E7D"/>
    <w:rsid w:val="00A80F39"/>
    <w:rsid w:val="00A80FDF"/>
    <w:rsid w:val="00A811CC"/>
    <w:rsid w:val="00A814FC"/>
    <w:rsid w:val="00A81596"/>
    <w:rsid w:val="00A8172B"/>
    <w:rsid w:val="00A81783"/>
    <w:rsid w:val="00A8188D"/>
    <w:rsid w:val="00A818EF"/>
    <w:rsid w:val="00A819BA"/>
    <w:rsid w:val="00A81B03"/>
    <w:rsid w:val="00A81B38"/>
    <w:rsid w:val="00A81CCA"/>
    <w:rsid w:val="00A81EC0"/>
    <w:rsid w:val="00A820D2"/>
    <w:rsid w:val="00A8274D"/>
    <w:rsid w:val="00A82B61"/>
    <w:rsid w:val="00A82CB6"/>
    <w:rsid w:val="00A82EC5"/>
    <w:rsid w:val="00A83033"/>
    <w:rsid w:val="00A8316F"/>
    <w:rsid w:val="00A8325E"/>
    <w:rsid w:val="00A833EE"/>
    <w:rsid w:val="00A83BFB"/>
    <w:rsid w:val="00A83F1D"/>
    <w:rsid w:val="00A83FC8"/>
    <w:rsid w:val="00A83FE3"/>
    <w:rsid w:val="00A841F6"/>
    <w:rsid w:val="00A844D2"/>
    <w:rsid w:val="00A847EB"/>
    <w:rsid w:val="00A84C55"/>
    <w:rsid w:val="00A84C73"/>
    <w:rsid w:val="00A84F6E"/>
    <w:rsid w:val="00A85166"/>
    <w:rsid w:val="00A85559"/>
    <w:rsid w:val="00A8594E"/>
    <w:rsid w:val="00A85A5E"/>
    <w:rsid w:val="00A85C6C"/>
    <w:rsid w:val="00A85DCE"/>
    <w:rsid w:val="00A861C4"/>
    <w:rsid w:val="00A861E5"/>
    <w:rsid w:val="00A8634E"/>
    <w:rsid w:val="00A863DC"/>
    <w:rsid w:val="00A86733"/>
    <w:rsid w:val="00A868AF"/>
    <w:rsid w:val="00A86B04"/>
    <w:rsid w:val="00A86B4E"/>
    <w:rsid w:val="00A86C4E"/>
    <w:rsid w:val="00A8791D"/>
    <w:rsid w:val="00A87A04"/>
    <w:rsid w:val="00A87B56"/>
    <w:rsid w:val="00A87BA9"/>
    <w:rsid w:val="00A87DCD"/>
    <w:rsid w:val="00A90049"/>
    <w:rsid w:val="00A90112"/>
    <w:rsid w:val="00A9031E"/>
    <w:rsid w:val="00A90366"/>
    <w:rsid w:val="00A903DD"/>
    <w:rsid w:val="00A90B93"/>
    <w:rsid w:val="00A90FB0"/>
    <w:rsid w:val="00A90FE4"/>
    <w:rsid w:val="00A911ED"/>
    <w:rsid w:val="00A912DA"/>
    <w:rsid w:val="00A91300"/>
    <w:rsid w:val="00A91342"/>
    <w:rsid w:val="00A91436"/>
    <w:rsid w:val="00A9151D"/>
    <w:rsid w:val="00A91774"/>
    <w:rsid w:val="00A91785"/>
    <w:rsid w:val="00A9181F"/>
    <w:rsid w:val="00A9186E"/>
    <w:rsid w:val="00A918D7"/>
    <w:rsid w:val="00A91A90"/>
    <w:rsid w:val="00A91AA7"/>
    <w:rsid w:val="00A921F7"/>
    <w:rsid w:val="00A92706"/>
    <w:rsid w:val="00A928E8"/>
    <w:rsid w:val="00A9295E"/>
    <w:rsid w:val="00A9299C"/>
    <w:rsid w:val="00A929E4"/>
    <w:rsid w:val="00A92A30"/>
    <w:rsid w:val="00A92C0B"/>
    <w:rsid w:val="00A92CC9"/>
    <w:rsid w:val="00A92CFB"/>
    <w:rsid w:val="00A92D8D"/>
    <w:rsid w:val="00A92E2E"/>
    <w:rsid w:val="00A92E96"/>
    <w:rsid w:val="00A931A7"/>
    <w:rsid w:val="00A93535"/>
    <w:rsid w:val="00A93556"/>
    <w:rsid w:val="00A9372C"/>
    <w:rsid w:val="00A9391A"/>
    <w:rsid w:val="00A93A58"/>
    <w:rsid w:val="00A93F27"/>
    <w:rsid w:val="00A94839"/>
    <w:rsid w:val="00A94B05"/>
    <w:rsid w:val="00A94B90"/>
    <w:rsid w:val="00A94C59"/>
    <w:rsid w:val="00A94E9B"/>
    <w:rsid w:val="00A953DC"/>
    <w:rsid w:val="00A9578A"/>
    <w:rsid w:val="00A957F3"/>
    <w:rsid w:val="00A95810"/>
    <w:rsid w:val="00A959FB"/>
    <w:rsid w:val="00A95EEA"/>
    <w:rsid w:val="00A960AB"/>
    <w:rsid w:val="00A9626D"/>
    <w:rsid w:val="00A964C4"/>
    <w:rsid w:val="00A96644"/>
    <w:rsid w:val="00A96924"/>
    <w:rsid w:val="00A97085"/>
    <w:rsid w:val="00A970D2"/>
    <w:rsid w:val="00A973C4"/>
    <w:rsid w:val="00A976C5"/>
    <w:rsid w:val="00A97854"/>
    <w:rsid w:val="00A978C4"/>
    <w:rsid w:val="00A978CF"/>
    <w:rsid w:val="00A9792A"/>
    <w:rsid w:val="00A97B81"/>
    <w:rsid w:val="00A97B9B"/>
    <w:rsid w:val="00A97F52"/>
    <w:rsid w:val="00AA041E"/>
    <w:rsid w:val="00AA04F9"/>
    <w:rsid w:val="00AA0772"/>
    <w:rsid w:val="00AA07F6"/>
    <w:rsid w:val="00AA08FD"/>
    <w:rsid w:val="00AA0966"/>
    <w:rsid w:val="00AA09AE"/>
    <w:rsid w:val="00AA0A3A"/>
    <w:rsid w:val="00AA0B78"/>
    <w:rsid w:val="00AA0C23"/>
    <w:rsid w:val="00AA0C31"/>
    <w:rsid w:val="00AA0C68"/>
    <w:rsid w:val="00AA0D0B"/>
    <w:rsid w:val="00AA0D85"/>
    <w:rsid w:val="00AA0EBE"/>
    <w:rsid w:val="00AA0ED3"/>
    <w:rsid w:val="00AA1192"/>
    <w:rsid w:val="00AA1231"/>
    <w:rsid w:val="00AA17C2"/>
    <w:rsid w:val="00AA1807"/>
    <w:rsid w:val="00AA19F3"/>
    <w:rsid w:val="00AA1D9D"/>
    <w:rsid w:val="00AA1F0F"/>
    <w:rsid w:val="00AA21E1"/>
    <w:rsid w:val="00AA2222"/>
    <w:rsid w:val="00AA232F"/>
    <w:rsid w:val="00AA271E"/>
    <w:rsid w:val="00AA273E"/>
    <w:rsid w:val="00AA2B83"/>
    <w:rsid w:val="00AA2C3F"/>
    <w:rsid w:val="00AA2D48"/>
    <w:rsid w:val="00AA3140"/>
    <w:rsid w:val="00AA347E"/>
    <w:rsid w:val="00AA3527"/>
    <w:rsid w:val="00AA35FD"/>
    <w:rsid w:val="00AA3859"/>
    <w:rsid w:val="00AA3C20"/>
    <w:rsid w:val="00AA3C63"/>
    <w:rsid w:val="00AA3D0F"/>
    <w:rsid w:val="00AA3F60"/>
    <w:rsid w:val="00AA3FF0"/>
    <w:rsid w:val="00AA4194"/>
    <w:rsid w:val="00AA4667"/>
    <w:rsid w:val="00AA4741"/>
    <w:rsid w:val="00AA4915"/>
    <w:rsid w:val="00AA4955"/>
    <w:rsid w:val="00AA49A4"/>
    <w:rsid w:val="00AA4CF5"/>
    <w:rsid w:val="00AA4D44"/>
    <w:rsid w:val="00AA4E81"/>
    <w:rsid w:val="00AA51A2"/>
    <w:rsid w:val="00AA51FF"/>
    <w:rsid w:val="00AA5214"/>
    <w:rsid w:val="00AA521E"/>
    <w:rsid w:val="00AA54E8"/>
    <w:rsid w:val="00AA55A3"/>
    <w:rsid w:val="00AA58AE"/>
    <w:rsid w:val="00AA595F"/>
    <w:rsid w:val="00AA59FB"/>
    <w:rsid w:val="00AA5A74"/>
    <w:rsid w:val="00AA5BF3"/>
    <w:rsid w:val="00AA5C14"/>
    <w:rsid w:val="00AA5C46"/>
    <w:rsid w:val="00AA5C78"/>
    <w:rsid w:val="00AA5CCE"/>
    <w:rsid w:val="00AA5FD2"/>
    <w:rsid w:val="00AA60B7"/>
    <w:rsid w:val="00AA60EE"/>
    <w:rsid w:val="00AA618A"/>
    <w:rsid w:val="00AA63C2"/>
    <w:rsid w:val="00AA6649"/>
    <w:rsid w:val="00AA66D5"/>
    <w:rsid w:val="00AA6724"/>
    <w:rsid w:val="00AA67EA"/>
    <w:rsid w:val="00AA6A43"/>
    <w:rsid w:val="00AA6C70"/>
    <w:rsid w:val="00AA6D3F"/>
    <w:rsid w:val="00AA71D1"/>
    <w:rsid w:val="00AA7A10"/>
    <w:rsid w:val="00AA7A87"/>
    <w:rsid w:val="00AA7AD8"/>
    <w:rsid w:val="00AA7EC0"/>
    <w:rsid w:val="00AB0080"/>
    <w:rsid w:val="00AB0110"/>
    <w:rsid w:val="00AB03DF"/>
    <w:rsid w:val="00AB03EB"/>
    <w:rsid w:val="00AB0525"/>
    <w:rsid w:val="00AB05F0"/>
    <w:rsid w:val="00AB0698"/>
    <w:rsid w:val="00AB096C"/>
    <w:rsid w:val="00AB0AD8"/>
    <w:rsid w:val="00AB0CA0"/>
    <w:rsid w:val="00AB0F19"/>
    <w:rsid w:val="00AB107C"/>
    <w:rsid w:val="00AB136C"/>
    <w:rsid w:val="00AB144F"/>
    <w:rsid w:val="00AB15AF"/>
    <w:rsid w:val="00AB163F"/>
    <w:rsid w:val="00AB196F"/>
    <w:rsid w:val="00AB199F"/>
    <w:rsid w:val="00AB1BD2"/>
    <w:rsid w:val="00AB1F73"/>
    <w:rsid w:val="00AB208A"/>
    <w:rsid w:val="00AB23CB"/>
    <w:rsid w:val="00AB2A01"/>
    <w:rsid w:val="00AB2D55"/>
    <w:rsid w:val="00AB2DA8"/>
    <w:rsid w:val="00AB2F10"/>
    <w:rsid w:val="00AB30ED"/>
    <w:rsid w:val="00AB3110"/>
    <w:rsid w:val="00AB31B2"/>
    <w:rsid w:val="00AB31F8"/>
    <w:rsid w:val="00AB325B"/>
    <w:rsid w:val="00AB3720"/>
    <w:rsid w:val="00AB3947"/>
    <w:rsid w:val="00AB395A"/>
    <w:rsid w:val="00AB39A2"/>
    <w:rsid w:val="00AB3AF1"/>
    <w:rsid w:val="00AB3CFA"/>
    <w:rsid w:val="00AB3D92"/>
    <w:rsid w:val="00AB402F"/>
    <w:rsid w:val="00AB42C0"/>
    <w:rsid w:val="00AB456C"/>
    <w:rsid w:val="00AB4693"/>
    <w:rsid w:val="00AB472B"/>
    <w:rsid w:val="00AB4788"/>
    <w:rsid w:val="00AB47B8"/>
    <w:rsid w:val="00AB4A97"/>
    <w:rsid w:val="00AB4BFF"/>
    <w:rsid w:val="00AB507E"/>
    <w:rsid w:val="00AB53DE"/>
    <w:rsid w:val="00AB5541"/>
    <w:rsid w:val="00AB556B"/>
    <w:rsid w:val="00AB5691"/>
    <w:rsid w:val="00AB5705"/>
    <w:rsid w:val="00AB5804"/>
    <w:rsid w:val="00AB59AD"/>
    <w:rsid w:val="00AB5B9B"/>
    <w:rsid w:val="00AB5BB0"/>
    <w:rsid w:val="00AB5DBD"/>
    <w:rsid w:val="00AB5F24"/>
    <w:rsid w:val="00AB5F82"/>
    <w:rsid w:val="00AB5FAF"/>
    <w:rsid w:val="00AB612F"/>
    <w:rsid w:val="00AB6B39"/>
    <w:rsid w:val="00AB6CF4"/>
    <w:rsid w:val="00AB7009"/>
    <w:rsid w:val="00AB7377"/>
    <w:rsid w:val="00AB7485"/>
    <w:rsid w:val="00AB7A12"/>
    <w:rsid w:val="00AB7A18"/>
    <w:rsid w:val="00AB7CB6"/>
    <w:rsid w:val="00AB7D2E"/>
    <w:rsid w:val="00AB7F4A"/>
    <w:rsid w:val="00AC0123"/>
    <w:rsid w:val="00AC01C4"/>
    <w:rsid w:val="00AC031F"/>
    <w:rsid w:val="00AC04BA"/>
    <w:rsid w:val="00AC07AE"/>
    <w:rsid w:val="00AC0AA0"/>
    <w:rsid w:val="00AC0AB1"/>
    <w:rsid w:val="00AC0B09"/>
    <w:rsid w:val="00AC0C05"/>
    <w:rsid w:val="00AC0DC3"/>
    <w:rsid w:val="00AC1422"/>
    <w:rsid w:val="00AC168C"/>
    <w:rsid w:val="00AC18F6"/>
    <w:rsid w:val="00AC1AEC"/>
    <w:rsid w:val="00AC1F40"/>
    <w:rsid w:val="00AC1F44"/>
    <w:rsid w:val="00AC21E1"/>
    <w:rsid w:val="00AC2907"/>
    <w:rsid w:val="00AC2BAC"/>
    <w:rsid w:val="00AC30AE"/>
    <w:rsid w:val="00AC348E"/>
    <w:rsid w:val="00AC35E3"/>
    <w:rsid w:val="00AC39EA"/>
    <w:rsid w:val="00AC3CEB"/>
    <w:rsid w:val="00AC3DDC"/>
    <w:rsid w:val="00AC40A8"/>
    <w:rsid w:val="00AC40F7"/>
    <w:rsid w:val="00AC433A"/>
    <w:rsid w:val="00AC45AC"/>
    <w:rsid w:val="00AC48BE"/>
    <w:rsid w:val="00AC4B10"/>
    <w:rsid w:val="00AC4B30"/>
    <w:rsid w:val="00AC4B91"/>
    <w:rsid w:val="00AC4F46"/>
    <w:rsid w:val="00AC5283"/>
    <w:rsid w:val="00AC544D"/>
    <w:rsid w:val="00AC56A4"/>
    <w:rsid w:val="00AC5725"/>
    <w:rsid w:val="00AC5AE1"/>
    <w:rsid w:val="00AC6635"/>
    <w:rsid w:val="00AC6793"/>
    <w:rsid w:val="00AC6E02"/>
    <w:rsid w:val="00AC7412"/>
    <w:rsid w:val="00AC7495"/>
    <w:rsid w:val="00AC75B1"/>
    <w:rsid w:val="00AC77B2"/>
    <w:rsid w:val="00AC7A1D"/>
    <w:rsid w:val="00AC7E88"/>
    <w:rsid w:val="00AC7EED"/>
    <w:rsid w:val="00AD01AC"/>
    <w:rsid w:val="00AD0280"/>
    <w:rsid w:val="00AD03A8"/>
    <w:rsid w:val="00AD049A"/>
    <w:rsid w:val="00AD0571"/>
    <w:rsid w:val="00AD05E3"/>
    <w:rsid w:val="00AD061D"/>
    <w:rsid w:val="00AD069C"/>
    <w:rsid w:val="00AD13AE"/>
    <w:rsid w:val="00AD162F"/>
    <w:rsid w:val="00AD1947"/>
    <w:rsid w:val="00AD1BB3"/>
    <w:rsid w:val="00AD1BCC"/>
    <w:rsid w:val="00AD1EB5"/>
    <w:rsid w:val="00AD1EC2"/>
    <w:rsid w:val="00AD20F1"/>
    <w:rsid w:val="00AD28DC"/>
    <w:rsid w:val="00AD2AB0"/>
    <w:rsid w:val="00AD2F72"/>
    <w:rsid w:val="00AD3215"/>
    <w:rsid w:val="00AD34EC"/>
    <w:rsid w:val="00AD35DA"/>
    <w:rsid w:val="00AD37DE"/>
    <w:rsid w:val="00AD3AF5"/>
    <w:rsid w:val="00AD3D82"/>
    <w:rsid w:val="00AD3DC8"/>
    <w:rsid w:val="00AD3F47"/>
    <w:rsid w:val="00AD3F6F"/>
    <w:rsid w:val="00AD3F82"/>
    <w:rsid w:val="00AD4043"/>
    <w:rsid w:val="00AD4490"/>
    <w:rsid w:val="00AD45C6"/>
    <w:rsid w:val="00AD46F8"/>
    <w:rsid w:val="00AD4ACB"/>
    <w:rsid w:val="00AD4D56"/>
    <w:rsid w:val="00AD4EF9"/>
    <w:rsid w:val="00AD52CA"/>
    <w:rsid w:val="00AD5376"/>
    <w:rsid w:val="00AD58B9"/>
    <w:rsid w:val="00AD5F6D"/>
    <w:rsid w:val="00AD5F77"/>
    <w:rsid w:val="00AD6017"/>
    <w:rsid w:val="00AD61E9"/>
    <w:rsid w:val="00AD631A"/>
    <w:rsid w:val="00AD638E"/>
    <w:rsid w:val="00AD6849"/>
    <w:rsid w:val="00AD6C15"/>
    <w:rsid w:val="00AD6F35"/>
    <w:rsid w:val="00AD70DC"/>
    <w:rsid w:val="00AD73A3"/>
    <w:rsid w:val="00AD794A"/>
    <w:rsid w:val="00AD7E68"/>
    <w:rsid w:val="00AD7F39"/>
    <w:rsid w:val="00AE0049"/>
    <w:rsid w:val="00AE01B9"/>
    <w:rsid w:val="00AE03AD"/>
    <w:rsid w:val="00AE0A0E"/>
    <w:rsid w:val="00AE0E0A"/>
    <w:rsid w:val="00AE0F34"/>
    <w:rsid w:val="00AE0F6D"/>
    <w:rsid w:val="00AE106B"/>
    <w:rsid w:val="00AE1205"/>
    <w:rsid w:val="00AE13CC"/>
    <w:rsid w:val="00AE13EE"/>
    <w:rsid w:val="00AE15B1"/>
    <w:rsid w:val="00AE1775"/>
    <w:rsid w:val="00AE17C7"/>
    <w:rsid w:val="00AE1990"/>
    <w:rsid w:val="00AE1BCD"/>
    <w:rsid w:val="00AE1D8D"/>
    <w:rsid w:val="00AE2022"/>
    <w:rsid w:val="00AE2089"/>
    <w:rsid w:val="00AE23AC"/>
    <w:rsid w:val="00AE25ED"/>
    <w:rsid w:val="00AE291C"/>
    <w:rsid w:val="00AE29D1"/>
    <w:rsid w:val="00AE2B81"/>
    <w:rsid w:val="00AE2C5D"/>
    <w:rsid w:val="00AE2E7C"/>
    <w:rsid w:val="00AE3049"/>
    <w:rsid w:val="00AE3B84"/>
    <w:rsid w:val="00AE3C11"/>
    <w:rsid w:val="00AE3DB0"/>
    <w:rsid w:val="00AE4057"/>
    <w:rsid w:val="00AE4548"/>
    <w:rsid w:val="00AE46BE"/>
    <w:rsid w:val="00AE4748"/>
    <w:rsid w:val="00AE4753"/>
    <w:rsid w:val="00AE4F0C"/>
    <w:rsid w:val="00AE4FC7"/>
    <w:rsid w:val="00AE527F"/>
    <w:rsid w:val="00AE528B"/>
    <w:rsid w:val="00AE529A"/>
    <w:rsid w:val="00AE538A"/>
    <w:rsid w:val="00AE5675"/>
    <w:rsid w:val="00AE5A08"/>
    <w:rsid w:val="00AE5A1A"/>
    <w:rsid w:val="00AE5B41"/>
    <w:rsid w:val="00AE5D38"/>
    <w:rsid w:val="00AE5DF9"/>
    <w:rsid w:val="00AE5F81"/>
    <w:rsid w:val="00AE614F"/>
    <w:rsid w:val="00AE680E"/>
    <w:rsid w:val="00AE6B58"/>
    <w:rsid w:val="00AE6BCE"/>
    <w:rsid w:val="00AE6E3D"/>
    <w:rsid w:val="00AE6F49"/>
    <w:rsid w:val="00AE70F3"/>
    <w:rsid w:val="00AE7430"/>
    <w:rsid w:val="00AE76B9"/>
    <w:rsid w:val="00AE77D5"/>
    <w:rsid w:val="00AE783C"/>
    <w:rsid w:val="00AE7C82"/>
    <w:rsid w:val="00AE7D3D"/>
    <w:rsid w:val="00AE7F65"/>
    <w:rsid w:val="00AF088C"/>
    <w:rsid w:val="00AF0ECD"/>
    <w:rsid w:val="00AF111B"/>
    <w:rsid w:val="00AF15BF"/>
    <w:rsid w:val="00AF1668"/>
    <w:rsid w:val="00AF1878"/>
    <w:rsid w:val="00AF1EB6"/>
    <w:rsid w:val="00AF225E"/>
    <w:rsid w:val="00AF2410"/>
    <w:rsid w:val="00AF2433"/>
    <w:rsid w:val="00AF26AF"/>
    <w:rsid w:val="00AF26E6"/>
    <w:rsid w:val="00AF26E8"/>
    <w:rsid w:val="00AF2733"/>
    <w:rsid w:val="00AF27D9"/>
    <w:rsid w:val="00AF2A62"/>
    <w:rsid w:val="00AF2AA5"/>
    <w:rsid w:val="00AF2B4A"/>
    <w:rsid w:val="00AF2F82"/>
    <w:rsid w:val="00AF30CD"/>
    <w:rsid w:val="00AF31E0"/>
    <w:rsid w:val="00AF32A2"/>
    <w:rsid w:val="00AF3352"/>
    <w:rsid w:val="00AF3510"/>
    <w:rsid w:val="00AF3E7D"/>
    <w:rsid w:val="00AF3F7A"/>
    <w:rsid w:val="00AF4163"/>
    <w:rsid w:val="00AF41C8"/>
    <w:rsid w:val="00AF475C"/>
    <w:rsid w:val="00AF4897"/>
    <w:rsid w:val="00AF4C15"/>
    <w:rsid w:val="00AF4EC0"/>
    <w:rsid w:val="00AF4F19"/>
    <w:rsid w:val="00AF50F8"/>
    <w:rsid w:val="00AF53DD"/>
    <w:rsid w:val="00AF5BAD"/>
    <w:rsid w:val="00AF5E76"/>
    <w:rsid w:val="00AF5EC9"/>
    <w:rsid w:val="00AF5F0C"/>
    <w:rsid w:val="00AF626B"/>
    <w:rsid w:val="00AF64DD"/>
    <w:rsid w:val="00AF653B"/>
    <w:rsid w:val="00AF6734"/>
    <w:rsid w:val="00AF6745"/>
    <w:rsid w:val="00AF6A7D"/>
    <w:rsid w:val="00AF6BDD"/>
    <w:rsid w:val="00AF6CDE"/>
    <w:rsid w:val="00AF6FCB"/>
    <w:rsid w:val="00AF741C"/>
    <w:rsid w:val="00AF74D6"/>
    <w:rsid w:val="00AF761F"/>
    <w:rsid w:val="00AF7C2D"/>
    <w:rsid w:val="00AF7C39"/>
    <w:rsid w:val="00AF7ED3"/>
    <w:rsid w:val="00B0009A"/>
    <w:rsid w:val="00B00275"/>
    <w:rsid w:val="00B0031F"/>
    <w:rsid w:val="00B006D6"/>
    <w:rsid w:val="00B008F3"/>
    <w:rsid w:val="00B00BDB"/>
    <w:rsid w:val="00B00D06"/>
    <w:rsid w:val="00B00DDB"/>
    <w:rsid w:val="00B013C9"/>
    <w:rsid w:val="00B0147A"/>
    <w:rsid w:val="00B014AF"/>
    <w:rsid w:val="00B014CC"/>
    <w:rsid w:val="00B01526"/>
    <w:rsid w:val="00B01761"/>
    <w:rsid w:val="00B01B93"/>
    <w:rsid w:val="00B01E4A"/>
    <w:rsid w:val="00B01F95"/>
    <w:rsid w:val="00B02147"/>
    <w:rsid w:val="00B02197"/>
    <w:rsid w:val="00B022B1"/>
    <w:rsid w:val="00B029AF"/>
    <w:rsid w:val="00B02ABD"/>
    <w:rsid w:val="00B02BAA"/>
    <w:rsid w:val="00B02D20"/>
    <w:rsid w:val="00B02FB9"/>
    <w:rsid w:val="00B03138"/>
    <w:rsid w:val="00B032C1"/>
    <w:rsid w:val="00B03351"/>
    <w:rsid w:val="00B03711"/>
    <w:rsid w:val="00B037FC"/>
    <w:rsid w:val="00B03834"/>
    <w:rsid w:val="00B03C3B"/>
    <w:rsid w:val="00B04228"/>
    <w:rsid w:val="00B04342"/>
    <w:rsid w:val="00B0434C"/>
    <w:rsid w:val="00B04442"/>
    <w:rsid w:val="00B04463"/>
    <w:rsid w:val="00B044B8"/>
    <w:rsid w:val="00B044F0"/>
    <w:rsid w:val="00B0456A"/>
    <w:rsid w:val="00B0463C"/>
    <w:rsid w:val="00B049D5"/>
    <w:rsid w:val="00B04D6D"/>
    <w:rsid w:val="00B0540B"/>
    <w:rsid w:val="00B0553D"/>
    <w:rsid w:val="00B0555C"/>
    <w:rsid w:val="00B05643"/>
    <w:rsid w:val="00B05939"/>
    <w:rsid w:val="00B05AF9"/>
    <w:rsid w:val="00B05EC1"/>
    <w:rsid w:val="00B06037"/>
    <w:rsid w:val="00B06219"/>
    <w:rsid w:val="00B063AC"/>
    <w:rsid w:val="00B0647C"/>
    <w:rsid w:val="00B0648E"/>
    <w:rsid w:val="00B064AC"/>
    <w:rsid w:val="00B06A97"/>
    <w:rsid w:val="00B06AE3"/>
    <w:rsid w:val="00B06B9E"/>
    <w:rsid w:val="00B06BF7"/>
    <w:rsid w:val="00B06DBB"/>
    <w:rsid w:val="00B06DDE"/>
    <w:rsid w:val="00B07038"/>
    <w:rsid w:val="00B073B3"/>
    <w:rsid w:val="00B073DB"/>
    <w:rsid w:val="00B0746C"/>
    <w:rsid w:val="00B07521"/>
    <w:rsid w:val="00B0769E"/>
    <w:rsid w:val="00B078CF"/>
    <w:rsid w:val="00B079A1"/>
    <w:rsid w:val="00B1008E"/>
    <w:rsid w:val="00B1013A"/>
    <w:rsid w:val="00B103DB"/>
    <w:rsid w:val="00B10697"/>
    <w:rsid w:val="00B1079E"/>
    <w:rsid w:val="00B107C0"/>
    <w:rsid w:val="00B10A1E"/>
    <w:rsid w:val="00B10AC2"/>
    <w:rsid w:val="00B10B59"/>
    <w:rsid w:val="00B10CC2"/>
    <w:rsid w:val="00B10F10"/>
    <w:rsid w:val="00B11258"/>
    <w:rsid w:val="00B11343"/>
    <w:rsid w:val="00B115E5"/>
    <w:rsid w:val="00B11D2C"/>
    <w:rsid w:val="00B1233A"/>
    <w:rsid w:val="00B12494"/>
    <w:rsid w:val="00B12567"/>
    <w:rsid w:val="00B1256B"/>
    <w:rsid w:val="00B125C2"/>
    <w:rsid w:val="00B129B0"/>
    <w:rsid w:val="00B12A62"/>
    <w:rsid w:val="00B12B03"/>
    <w:rsid w:val="00B12FBF"/>
    <w:rsid w:val="00B12FCD"/>
    <w:rsid w:val="00B130B4"/>
    <w:rsid w:val="00B13369"/>
    <w:rsid w:val="00B133F5"/>
    <w:rsid w:val="00B13404"/>
    <w:rsid w:val="00B13A7A"/>
    <w:rsid w:val="00B13B37"/>
    <w:rsid w:val="00B14140"/>
    <w:rsid w:val="00B14710"/>
    <w:rsid w:val="00B14872"/>
    <w:rsid w:val="00B14D1D"/>
    <w:rsid w:val="00B14DAA"/>
    <w:rsid w:val="00B15202"/>
    <w:rsid w:val="00B15440"/>
    <w:rsid w:val="00B1559E"/>
    <w:rsid w:val="00B15603"/>
    <w:rsid w:val="00B1584A"/>
    <w:rsid w:val="00B159F6"/>
    <w:rsid w:val="00B15ADD"/>
    <w:rsid w:val="00B15C80"/>
    <w:rsid w:val="00B1601E"/>
    <w:rsid w:val="00B16360"/>
    <w:rsid w:val="00B163F3"/>
    <w:rsid w:val="00B16792"/>
    <w:rsid w:val="00B168E3"/>
    <w:rsid w:val="00B16BE7"/>
    <w:rsid w:val="00B16CE4"/>
    <w:rsid w:val="00B17041"/>
    <w:rsid w:val="00B17656"/>
    <w:rsid w:val="00B176BF"/>
    <w:rsid w:val="00B177FA"/>
    <w:rsid w:val="00B17BFC"/>
    <w:rsid w:val="00B17CC8"/>
    <w:rsid w:val="00B17DDC"/>
    <w:rsid w:val="00B20399"/>
    <w:rsid w:val="00B203BD"/>
    <w:rsid w:val="00B20497"/>
    <w:rsid w:val="00B205C9"/>
    <w:rsid w:val="00B2066E"/>
    <w:rsid w:val="00B209A4"/>
    <w:rsid w:val="00B20C48"/>
    <w:rsid w:val="00B20C51"/>
    <w:rsid w:val="00B20D63"/>
    <w:rsid w:val="00B20DDE"/>
    <w:rsid w:val="00B20E93"/>
    <w:rsid w:val="00B20F87"/>
    <w:rsid w:val="00B2113B"/>
    <w:rsid w:val="00B211D2"/>
    <w:rsid w:val="00B212B0"/>
    <w:rsid w:val="00B21436"/>
    <w:rsid w:val="00B2148F"/>
    <w:rsid w:val="00B2155E"/>
    <w:rsid w:val="00B2161C"/>
    <w:rsid w:val="00B21800"/>
    <w:rsid w:val="00B219E9"/>
    <w:rsid w:val="00B21AB6"/>
    <w:rsid w:val="00B21AD9"/>
    <w:rsid w:val="00B21B9E"/>
    <w:rsid w:val="00B21D78"/>
    <w:rsid w:val="00B21DF9"/>
    <w:rsid w:val="00B21F23"/>
    <w:rsid w:val="00B22127"/>
    <w:rsid w:val="00B2232A"/>
    <w:rsid w:val="00B223FB"/>
    <w:rsid w:val="00B224B1"/>
    <w:rsid w:val="00B22607"/>
    <w:rsid w:val="00B22EB9"/>
    <w:rsid w:val="00B23035"/>
    <w:rsid w:val="00B234DB"/>
    <w:rsid w:val="00B23681"/>
    <w:rsid w:val="00B2372A"/>
    <w:rsid w:val="00B2393A"/>
    <w:rsid w:val="00B23C70"/>
    <w:rsid w:val="00B23CAD"/>
    <w:rsid w:val="00B23CF3"/>
    <w:rsid w:val="00B23D36"/>
    <w:rsid w:val="00B23F6F"/>
    <w:rsid w:val="00B23FF2"/>
    <w:rsid w:val="00B240BD"/>
    <w:rsid w:val="00B241E9"/>
    <w:rsid w:val="00B2434E"/>
    <w:rsid w:val="00B246DF"/>
    <w:rsid w:val="00B2484B"/>
    <w:rsid w:val="00B24BA6"/>
    <w:rsid w:val="00B24EC3"/>
    <w:rsid w:val="00B25159"/>
    <w:rsid w:val="00B258F0"/>
    <w:rsid w:val="00B259EF"/>
    <w:rsid w:val="00B25A99"/>
    <w:rsid w:val="00B25AAF"/>
    <w:rsid w:val="00B25AD7"/>
    <w:rsid w:val="00B26519"/>
    <w:rsid w:val="00B26778"/>
    <w:rsid w:val="00B2697A"/>
    <w:rsid w:val="00B269CF"/>
    <w:rsid w:val="00B26A5C"/>
    <w:rsid w:val="00B26AAF"/>
    <w:rsid w:val="00B26BE8"/>
    <w:rsid w:val="00B26FC9"/>
    <w:rsid w:val="00B27043"/>
    <w:rsid w:val="00B27053"/>
    <w:rsid w:val="00B27163"/>
    <w:rsid w:val="00B2720C"/>
    <w:rsid w:val="00B27A21"/>
    <w:rsid w:val="00B27C14"/>
    <w:rsid w:val="00B27FC6"/>
    <w:rsid w:val="00B30488"/>
    <w:rsid w:val="00B304E3"/>
    <w:rsid w:val="00B305AA"/>
    <w:rsid w:val="00B30965"/>
    <w:rsid w:val="00B30AFC"/>
    <w:rsid w:val="00B30BF0"/>
    <w:rsid w:val="00B30C16"/>
    <w:rsid w:val="00B30E6D"/>
    <w:rsid w:val="00B311EB"/>
    <w:rsid w:val="00B313B2"/>
    <w:rsid w:val="00B3179B"/>
    <w:rsid w:val="00B31B4F"/>
    <w:rsid w:val="00B31D06"/>
    <w:rsid w:val="00B31D34"/>
    <w:rsid w:val="00B31D62"/>
    <w:rsid w:val="00B31DDF"/>
    <w:rsid w:val="00B31E9E"/>
    <w:rsid w:val="00B31EE7"/>
    <w:rsid w:val="00B32245"/>
    <w:rsid w:val="00B324B5"/>
    <w:rsid w:val="00B32977"/>
    <w:rsid w:val="00B3299F"/>
    <w:rsid w:val="00B32A7E"/>
    <w:rsid w:val="00B32A98"/>
    <w:rsid w:val="00B32B57"/>
    <w:rsid w:val="00B32C91"/>
    <w:rsid w:val="00B33026"/>
    <w:rsid w:val="00B333C7"/>
    <w:rsid w:val="00B337E2"/>
    <w:rsid w:val="00B33AF7"/>
    <w:rsid w:val="00B33B62"/>
    <w:rsid w:val="00B33C86"/>
    <w:rsid w:val="00B340C9"/>
    <w:rsid w:val="00B34129"/>
    <w:rsid w:val="00B343BE"/>
    <w:rsid w:val="00B346B3"/>
    <w:rsid w:val="00B34AAA"/>
    <w:rsid w:val="00B34E04"/>
    <w:rsid w:val="00B34E6E"/>
    <w:rsid w:val="00B350F9"/>
    <w:rsid w:val="00B356EA"/>
    <w:rsid w:val="00B357E4"/>
    <w:rsid w:val="00B3593F"/>
    <w:rsid w:val="00B35AA9"/>
    <w:rsid w:val="00B35B7F"/>
    <w:rsid w:val="00B35C30"/>
    <w:rsid w:val="00B35C94"/>
    <w:rsid w:val="00B361B8"/>
    <w:rsid w:val="00B364E3"/>
    <w:rsid w:val="00B3654B"/>
    <w:rsid w:val="00B365E9"/>
    <w:rsid w:val="00B368E2"/>
    <w:rsid w:val="00B370A9"/>
    <w:rsid w:val="00B3735A"/>
    <w:rsid w:val="00B3776B"/>
    <w:rsid w:val="00B378AB"/>
    <w:rsid w:val="00B379A4"/>
    <w:rsid w:val="00B37B41"/>
    <w:rsid w:val="00B37CFA"/>
    <w:rsid w:val="00B37E41"/>
    <w:rsid w:val="00B37F35"/>
    <w:rsid w:val="00B40140"/>
    <w:rsid w:val="00B40158"/>
    <w:rsid w:val="00B40189"/>
    <w:rsid w:val="00B40314"/>
    <w:rsid w:val="00B40633"/>
    <w:rsid w:val="00B408CB"/>
    <w:rsid w:val="00B40B7A"/>
    <w:rsid w:val="00B40DA8"/>
    <w:rsid w:val="00B40F02"/>
    <w:rsid w:val="00B41010"/>
    <w:rsid w:val="00B411FC"/>
    <w:rsid w:val="00B415D2"/>
    <w:rsid w:val="00B417E6"/>
    <w:rsid w:val="00B41A02"/>
    <w:rsid w:val="00B41B85"/>
    <w:rsid w:val="00B41FB3"/>
    <w:rsid w:val="00B42052"/>
    <w:rsid w:val="00B421AE"/>
    <w:rsid w:val="00B426EB"/>
    <w:rsid w:val="00B42D21"/>
    <w:rsid w:val="00B42E7A"/>
    <w:rsid w:val="00B42F06"/>
    <w:rsid w:val="00B431DE"/>
    <w:rsid w:val="00B43327"/>
    <w:rsid w:val="00B434F9"/>
    <w:rsid w:val="00B43521"/>
    <w:rsid w:val="00B4361F"/>
    <w:rsid w:val="00B4385A"/>
    <w:rsid w:val="00B43869"/>
    <w:rsid w:val="00B43924"/>
    <w:rsid w:val="00B439C1"/>
    <w:rsid w:val="00B43B7C"/>
    <w:rsid w:val="00B43BB1"/>
    <w:rsid w:val="00B43C7F"/>
    <w:rsid w:val="00B43FC1"/>
    <w:rsid w:val="00B441E3"/>
    <w:rsid w:val="00B442C9"/>
    <w:rsid w:val="00B443FB"/>
    <w:rsid w:val="00B44404"/>
    <w:rsid w:val="00B44833"/>
    <w:rsid w:val="00B44AE8"/>
    <w:rsid w:val="00B44E11"/>
    <w:rsid w:val="00B44FC7"/>
    <w:rsid w:val="00B45041"/>
    <w:rsid w:val="00B45346"/>
    <w:rsid w:val="00B453B0"/>
    <w:rsid w:val="00B45431"/>
    <w:rsid w:val="00B45759"/>
    <w:rsid w:val="00B457BE"/>
    <w:rsid w:val="00B45A36"/>
    <w:rsid w:val="00B45AE0"/>
    <w:rsid w:val="00B45C8A"/>
    <w:rsid w:val="00B45DF7"/>
    <w:rsid w:val="00B45F02"/>
    <w:rsid w:val="00B45F3F"/>
    <w:rsid w:val="00B46242"/>
    <w:rsid w:val="00B4651A"/>
    <w:rsid w:val="00B46561"/>
    <w:rsid w:val="00B4686D"/>
    <w:rsid w:val="00B46985"/>
    <w:rsid w:val="00B46B05"/>
    <w:rsid w:val="00B46C30"/>
    <w:rsid w:val="00B470D6"/>
    <w:rsid w:val="00B47412"/>
    <w:rsid w:val="00B47A58"/>
    <w:rsid w:val="00B47AA0"/>
    <w:rsid w:val="00B47AEF"/>
    <w:rsid w:val="00B47B75"/>
    <w:rsid w:val="00B47E04"/>
    <w:rsid w:val="00B47E4B"/>
    <w:rsid w:val="00B500AB"/>
    <w:rsid w:val="00B50237"/>
    <w:rsid w:val="00B5032F"/>
    <w:rsid w:val="00B50362"/>
    <w:rsid w:val="00B50505"/>
    <w:rsid w:val="00B50582"/>
    <w:rsid w:val="00B50584"/>
    <w:rsid w:val="00B5069E"/>
    <w:rsid w:val="00B5091A"/>
    <w:rsid w:val="00B509AC"/>
    <w:rsid w:val="00B51062"/>
    <w:rsid w:val="00B510FA"/>
    <w:rsid w:val="00B51388"/>
    <w:rsid w:val="00B5153B"/>
    <w:rsid w:val="00B51924"/>
    <w:rsid w:val="00B51B6B"/>
    <w:rsid w:val="00B51C00"/>
    <w:rsid w:val="00B51E6E"/>
    <w:rsid w:val="00B51FBA"/>
    <w:rsid w:val="00B5211E"/>
    <w:rsid w:val="00B52521"/>
    <w:rsid w:val="00B5253D"/>
    <w:rsid w:val="00B526F8"/>
    <w:rsid w:val="00B528B4"/>
    <w:rsid w:val="00B529ED"/>
    <w:rsid w:val="00B52AE5"/>
    <w:rsid w:val="00B52EEB"/>
    <w:rsid w:val="00B5309C"/>
    <w:rsid w:val="00B53234"/>
    <w:rsid w:val="00B53DEA"/>
    <w:rsid w:val="00B5405C"/>
    <w:rsid w:val="00B54571"/>
    <w:rsid w:val="00B5460B"/>
    <w:rsid w:val="00B546D5"/>
    <w:rsid w:val="00B547C1"/>
    <w:rsid w:val="00B547C4"/>
    <w:rsid w:val="00B54928"/>
    <w:rsid w:val="00B54AB6"/>
    <w:rsid w:val="00B54B8E"/>
    <w:rsid w:val="00B54BEE"/>
    <w:rsid w:val="00B54E34"/>
    <w:rsid w:val="00B54EA3"/>
    <w:rsid w:val="00B54F0D"/>
    <w:rsid w:val="00B55036"/>
    <w:rsid w:val="00B55139"/>
    <w:rsid w:val="00B551D9"/>
    <w:rsid w:val="00B55297"/>
    <w:rsid w:val="00B5529C"/>
    <w:rsid w:val="00B552A2"/>
    <w:rsid w:val="00B554C8"/>
    <w:rsid w:val="00B5564C"/>
    <w:rsid w:val="00B5589F"/>
    <w:rsid w:val="00B559A0"/>
    <w:rsid w:val="00B55A1A"/>
    <w:rsid w:val="00B55C41"/>
    <w:rsid w:val="00B55CE3"/>
    <w:rsid w:val="00B55EE6"/>
    <w:rsid w:val="00B55F94"/>
    <w:rsid w:val="00B5621B"/>
    <w:rsid w:val="00B562B9"/>
    <w:rsid w:val="00B562DC"/>
    <w:rsid w:val="00B56776"/>
    <w:rsid w:val="00B56A95"/>
    <w:rsid w:val="00B56D91"/>
    <w:rsid w:val="00B56E71"/>
    <w:rsid w:val="00B5706B"/>
    <w:rsid w:val="00B575CA"/>
    <w:rsid w:val="00B577DC"/>
    <w:rsid w:val="00B57A15"/>
    <w:rsid w:val="00B57A79"/>
    <w:rsid w:val="00B57B24"/>
    <w:rsid w:val="00B600F5"/>
    <w:rsid w:val="00B60258"/>
    <w:rsid w:val="00B603B9"/>
    <w:rsid w:val="00B60447"/>
    <w:rsid w:val="00B60B3D"/>
    <w:rsid w:val="00B60C14"/>
    <w:rsid w:val="00B60CC5"/>
    <w:rsid w:val="00B60DFA"/>
    <w:rsid w:val="00B6104A"/>
    <w:rsid w:val="00B61292"/>
    <w:rsid w:val="00B61369"/>
    <w:rsid w:val="00B61477"/>
    <w:rsid w:val="00B614CC"/>
    <w:rsid w:val="00B61569"/>
    <w:rsid w:val="00B6165E"/>
    <w:rsid w:val="00B617B3"/>
    <w:rsid w:val="00B61937"/>
    <w:rsid w:val="00B61C52"/>
    <w:rsid w:val="00B61DB2"/>
    <w:rsid w:val="00B61E3B"/>
    <w:rsid w:val="00B6208B"/>
    <w:rsid w:val="00B625A3"/>
    <w:rsid w:val="00B626AA"/>
    <w:rsid w:val="00B62703"/>
    <w:rsid w:val="00B6285E"/>
    <w:rsid w:val="00B628B8"/>
    <w:rsid w:val="00B62ABF"/>
    <w:rsid w:val="00B62D50"/>
    <w:rsid w:val="00B62EE8"/>
    <w:rsid w:val="00B632F3"/>
    <w:rsid w:val="00B63480"/>
    <w:rsid w:val="00B63664"/>
    <w:rsid w:val="00B63747"/>
    <w:rsid w:val="00B63930"/>
    <w:rsid w:val="00B640AA"/>
    <w:rsid w:val="00B64196"/>
    <w:rsid w:val="00B64265"/>
    <w:rsid w:val="00B6463D"/>
    <w:rsid w:val="00B6464A"/>
    <w:rsid w:val="00B646E8"/>
    <w:rsid w:val="00B646F7"/>
    <w:rsid w:val="00B6480F"/>
    <w:rsid w:val="00B648D8"/>
    <w:rsid w:val="00B64C82"/>
    <w:rsid w:val="00B652E6"/>
    <w:rsid w:val="00B6534F"/>
    <w:rsid w:val="00B65553"/>
    <w:rsid w:val="00B6556E"/>
    <w:rsid w:val="00B65602"/>
    <w:rsid w:val="00B6566C"/>
    <w:rsid w:val="00B65AB2"/>
    <w:rsid w:val="00B65BB0"/>
    <w:rsid w:val="00B65BEC"/>
    <w:rsid w:val="00B65C32"/>
    <w:rsid w:val="00B65C74"/>
    <w:rsid w:val="00B65D58"/>
    <w:rsid w:val="00B66368"/>
    <w:rsid w:val="00B6636D"/>
    <w:rsid w:val="00B663F6"/>
    <w:rsid w:val="00B666B5"/>
    <w:rsid w:val="00B66D91"/>
    <w:rsid w:val="00B67017"/>
    <w:rsid w:val="00B67293"/>
    <w:rsid w:val="00B67C03"/>
    <w:rsid w:val="00B67C04"/>
    <w:rsid w:val="00B67C1C"/>
    <w:rsid w:val="00B67C4F"/>
    <w:rsid w:val="00B67EB6"/>
    <w:rsid w:val="00B67FF6"/>
    <w:rsid w:val="00B70057"/>
    <w:rsid w:val="00B7028B"/>
    <w:rsid w:val="00B70407"/>
    <w:rsid w:val="00B70690"/>
    <w:rsid w:val="00B70959"/>
    <w:rsid w:val="00B70A3B"/>
    <w:rsid w:val="00B70B92"/>
    <w:rsid w:val="00B70E7B"/>
    <w:rsid w:val="00B70ECE"/>
    <w:rsid w:val="00B70F97"/>
    <w:rsid w:val="00B7112B"/>
    <w:rsid w:val="00B7117B"/>
    <w:rsid w:val="00B711DB"/>
    <w:rsid w:val="00B7131E"/>
    <w:rsid w:val="00B71A07"/>
    <w:rsid w:val="00B71AAF"/>
    <w:rsid w:val="00B71B41"/>
    <w:rsid w:val="00B71BC3"/>
    <w:rsid w:val="00B71DA5"/>
    <w:rsid w:val="00B7214E"/>
    <w:rsid w:val="00B722B1"/>
    <w:rsid w:val="00B72324"/>
    <w:rsid w:val="00B72444"/>
    <w:rsid w:val="00B725A3"/>
    <w:rsid w:val="00B72A52"/>
    <w:rsid w:val="00B72D96"/>
    <w:rsid w:val="00B72EB2"/>
    <w:rsid w:val="00B730E3"/>
    <w:rsid w:val="00B73105"/>
    <w:rsid w:val="00B7350B"/>
    <w:rsid w:val="00B736B9"/>
    <w:rsid w:val="00B736DD"/>
    <w:rsid w:val="00B7397F"/>
    <w:rsid w:val="00B73C53"/>
    <w:rsid w:val="00B74106"/>
    <w:rsid w:val="00B7424E"/>
    <w:rsid w:val="00B742D7"/>
    <w:rsid w:val="00B743DD"/>
    <w:rsid w:val="00B7451E"/>
    <w:rsid w:val="00B745D4"/>
    <w:rsid w:val="00B7478F"/>
    <w:rsid w:val="00B74860"/>
    <w:rsid w:val="00B74A21"/>
    <w:rsid w:val="00B74A89"/>
    <w:rsid w:val="00B74F50"/>
    <w:rsid w:val="00B74FC9"/>
    <w:rsid w:val="00B75202"/>
    <w:rsid w:val="00B75376"/>
    <w:rsid w:val="00B7591A"/>
    <w:rsid w:val="00B75CD3"/>
    <w:rsid w:val="00B75F20"/>
    <w:rsid w:val="00B75F98"/>
    <w:rsid w:val="00B76098"/>
    <w:rsid w:val="00B7627A"/>
    <w:rsid w:val="00B76855"/>
    <w:rsid w:val="00B769E3"/>
    <w:rsid w:val="00B76A8C"/>
    <w:rsid w:val="00B76F93"/>
    <w:rsid w:val="00B772AF"/>
    <w:rsid w:val="00B775BF"/>
    <w:rsid w:val="00B77618"/>
    <w:rsid w:val="00B77996"/>
    <w:rsid w:val="00B77AA8"/>
    <w:rsid w:val="00B803DE"/>
    <w:rsid w:val="00B80435"/>
    <w:rsid w:val="00B80A29"/>
    <w:rsid w:val="00B80A55"/>
    <w:rsid w:val="00B80DF2"/>
    <w:rsid w:val="00B80E51"/>
    <w:rsid w:val="00B8102D"/>
    <w:rsid w:val="00B81233"/>
    <w:rsid w:val="00B815C8"/>
    <w:rsid w:val="00B8169D"/>
    <w:rsid w:val="00B81750"/>
    <w:rsid w:val="00B818F5"/>
    <w:rsid w:val="00B81960"/>
    <w:rsid w:val="00B819CF"/>
    <w:rsid w:val="00B81A9D"/>
    <w:rsid w:val="00B81D48"/>
    <w:rsid w:val="00B81E67"/>
    <w:rsid w:val="00B81F10"/>
    <w:rsid w:val="00B823C6"/>
    <w:rsid w:val="00B823D2"/>
    <w:rsid w:val="00B823F5"/>
    <w:rsid w:val="00B824E6"/>
    <w:rsid w:val="00B82941"/>
    <w:rsid w:val="00B829A1"/>
    <w:rsid w:val="00B82D8D"/>
    <w:rsid w:val="00B82F2D"/>
    <w:rsid w:val="00B82F38"/>
    <w:rsid w:val="00B83072"/>
    <w:rsid w:val="00B8307A"/>
    <w:rsid w:val="00B833B7"/>
    <w:rsid w:val="00B834A7"/>
    <w:rsid w:val="00B835CE"/>
    <w:rsid w:val="00B83685"/>
    <w:rsid w:val="00B836C6"/>
    <w:rsid w:val="00B8372B"/>
    <w:rsid w:val="00B837BC"/>
    <w:rsid w:val="00B83861"/>
    <w:rsid w:val="00B83F9C"/>
    <w:rsid w:val="00B83FFF"/>
    <w:rsid w:val="00B84134"/>
    <w:rsid w:val="00B842B4"/>
    <w:rsid w:val="00B847D3"/>
    <w:rsid w:val="00B849B3"/>
    <w:rsid w:val="00B849DA"/>
    <w:rsid w:val="00B84D25"/>
    <w:rsid w:val="00B84DA1"/>
    <w:rsid w:val="00B84E11"/>
    <w:rsid w:val="00B84EA2"/>
    <w:rsid w:val="00B84EB6"/>
    <w:rsid w:val="00B84F80"/>
    <w:rsid w:val="00B850AC"/>
    <w:rsid w:val="00B852CB"/>
    <w:rsid w:val="00B853C9"/>
    <w:rsid w:val="00B854DC"/>
    <w:rsid w:val="00B8553E"/>
    <w:rsid w:val="00B85712"/>
    <w:rsid w:val="00B8583D"/>
    <w:rsid w:val="00B85899"/>
    <w:rsid w:val="00B85C5D"/>
    <w:rsid w:val="00B85D71"/>
    <w:rsid w:val="00B8613E"/>
    <w:rsid w:val="00B864D0"/>
    <w:rsid w:val="00B86615"/>
    <w:rsid w:val="00B86ABC"/>
    <w:rsid w:val="00B86C95"/>
    <w:rsid w:val="00B86E65"/>
    <w:rsid w:val="00B86E79"/>
    <w:rsid w:val="00B87009"/>
    <w:rsid w:val="00B87023"/>
    <w:rsid w:val="00B870B8"/>
    <w:rsid w:val="00B871A4"/>
    <w:rsid w:val="00B871DC"/>
    <w:rsid w:val="00B87368"/>
    <w:rsid w:val="00B87385"/>
    <w:rsid w:val="00B873F0"/>
    <w:rsid w:val="00B87870"/>
    <w:rsid w:val="00B879C8"/>
    <w:rsid w:val="00B87C37"/>
    <w:rsid w:val="00B87CC1"/>
    <w:rsid w:val="00B9048E"/>
    <w:rsid w:val="00B904A3"/>
    <w:rsid w:val="00B90867"/>
    <w:rsid w:val="00B90B09"/>
    <w:rsid w:val="00B90B4A"/>
    <w:rsid w:val="00B90C15"/>
    <w:rsid w:val="00B90D03"/>
    <w:rsid w:val="00B90D6C"/>
    <w:rsid w:val="00B90DA5"/>
    <w:rsid w:val="00B90E70"/>
    <w:rsid w:val="00B913C1"/>
    <w:rsid w:val="00B91AE6"/>
    <w:rsid w:val="00B91B1F"/>
    <w:rsid w:val="00B92272"/>
    <w:rsid w:val="00B92329"/>
    <w:rsid w:val="00B92523"/>
    <w:rsid w:val="00B9268A"/>
    <w:rsid w:val="00B926FD"/>
    <w:rsid w:val="00B92757"/>
    <w:rsid w:val="00B92873"/>
    <w:rsid w:val="00B92A52"/>
    <w:rsid w:val="00B92E0D"/>
    <w:rsid w:val="00B93162"/>
    <w:rsid w:val="00B9341C"/>
    <w:rsid w:val="00B938F3"/>
    <w:rsid w:val="00B93CC2"/>
    <w:rsid w:val="00B93CEE"/>
    <w:rsid w:val="00B93DB4"/>
    <w:rsid w:val="00B93E36"/>
    <w:rsid w:val="00B94346"/>
    <w:rsid w:val="00B94617"/>
    <w:rsid w:val="00B94950"/>
    <w:rsid w:val="00B949A6"/>
    <w:rsid w:val="00B94A4F"/>
    <w:rsid w:val="00B94A7C"/>
    <w:rsid w:val="00B94C50"/>
    <w:rsid w:val="00B94CF4"/>
    <w:rsid w:val="00B94E3A"/>
    <w:rsid w:val="00B95188"/>
    <w:rsid w:val="00B951CC"/>
    <w:rsid w:val="00B951ED"/>
    <w:rsid w:val="00B9524D"/>
    <w:rsid w:val="00B95435"/>
    <w:rsid w:val="00B95483"/>
    <w:rsid w:val="00B95E28"/>
    <w:rsid w:val="00B9608D"/>
    <w:rsid w:val="00B962D3"/>
    <w:rsid w:val="00B96313"/>
    <w:rsid w:val="00B9632F"/>
    <w:rsid w:val="00B964CB"/>
    <w:rsid w:val="00B96915"/>
    <w:rsid w:val="00B969BD"/>
    <w:rsid w:val="00B96C22"/>
    <w:rsid w:val="00B96CFA"/>
    <w:rsid w:val="00B96F74"/>
    <w:rsid w:val="00B970B7"/>
    <w:rsid w:val="00B972B3"/>
    <w:rsid w:val="00B974CF"/>
    <w:rsid w:val="00B9759A"/>
    <w:rsid w:val="00B9781F"/>
    <w:rsid w:val="00B979C7"/>
    <w:rsid w:val="00B97B85"/>
    <w:rsid w:val="00B97E53"/>
    <w:rsid w:val="00B97F89"/>
    <w:rsid w:val="00BA00C0"/>
    <w:rsid w:val="00BA020E"/>
    <w:rsid w:val="00BA0317"/>
    <w:rsid w:val="00BA0883"/>
    <w:rsid w:val="00BA095F"/>
    <w:rsid w:val="00BA0A25"/>
    <w:rsid w:val="00BA0C20"/>
    <w:rsid w:val="00BA0E80"/>
    <w:rsid w:val="00BA0F97"/>
    <w:rsid w:val="00BA10EF"/>
    <w:rsid w:val="00BA1117"/>
    <w:rsid w:val="00BA11E0"/>
    <w:rsid w:val="00BA1513"/>
    <w:rsid w:val="00BA1813"/>
    <w:rsid w:val="00BA19F9"/>
    <w:rsid w:val="00BA1BD5"/>
    <w:rsid w:val="00BA1C24"/>
    <w:rsid w:val="00BA1F42"/>
    <w:rsid w:val="00BA22E2"/>
    <w:rsid w:val="00BA25EA"/>
    <w:rsid w:val="00BA2679"/>
    <w:rsid w:val="00BA290D"/>
    <w:rsid w:val="00BA29EB"/>
    <w:rsid w:val="00BA29F5"/>
    <w:rsid w:val="00BA2DDF"/>
    <w:rsid w:val="00BA2F2D"/>
    <w:rsid w:val="00BA307C"/>
    <w:rsid w:val="00BA30CE"/>
    <w:rsid w:val="00BA3520"/>
    <w:rsid w:val="00BA35FF"/>
    <w:rsid w:val="00BA3BA8"/>
    <w:rsid w:val="00BA3FCF"/>
    <w:rsid w:val="00BA413C"/>
    <w:rsid w:val="00BA423E"/>
    <w:rsid w:val="00BA4711"/>
    <w:rsid w:val="00BA47BD"/>
    <w:rsid w:val="00BA48E3"/>
    <w:rsid w:val="00BA4A7F"/>
    <w:rsid w:val="00BA4B58"/>
    <w:rsid w:val="00BA4EC0"/>
    <w:rsid w:val="00BA5103"/>
    <w:rsid w:val="00BA511F"/>
    <w:rsid w:val="00BA58F6"/>
    <w:rsid w:val="00BA5976"/>
    <w:rsid w:val="00BA5A93"/>
    <w:rsid w:val="00BA6070"/>
    <w:rsid w:val="00BA60F6"/>
    <w:rsid w:val="00BA62A9"/>
    <w:rsid w:val="00BA66D1"/>
    <w:rsid w:val="00BA69C6"/>
    <w:rsid w:val="00BA6A2D"/>
    <w:rsid w:val="00BA6A70"/>
    <w:rsid w:val="00BA6AAE"/>
    <w:rsid w:val="00BA6B71"/>
    <w:rsid w:val="00BA6D6B"/>
    <w:rsid w:val="00BA73CF"/>
    <w:rsid w:val="00BA756D"/>
    <w:rsid w:val="00BA764A"/>
    <w:rsid w:val="00BA7875"/>
    <w:rsid w:val="00BA7B42"/>
    <w:rsid w:val="00BA7E1E"/>
    <w:rsid w:val="00BB019C"/>
    <w:rsid w:val="00BB02D2"/>
    <w:rsid w:val="00BB032C"/>
    <w:rsid w:val="00BB0496"/>
    <w:rsid w:val="00BB04B1"/>
    <w:rsid w:val="00BB04EC"/>
    <w:rsid w:val="00BB04FB"/>
    <w:rsid w:val="00BB0723"/>
    <w:rsid w:val="00BB0A8A"/>
    <w:rsid w:val="00BB0AF9"/>
    <w:rsid w:val="00BB0C31"/>
    <w:rsid w:val="00BB0CB2"/>
    <w:rsid w:val="00BB0F3B"/>
    <w:rsid w:val="00BB136A"/>
    <w:rsid w:val="00BB181D"/>
    <w:rsid w:val="00BB21C4"/>
    <w:rsid w:val="00BB2358"/>
    <w:rsid w:val="00BB2378"/>
    <w:rsid w:val="00BB252F"/>
    <w:rsid w:val="00BB2567"/>
    <w:rsid w:val="00BB29E3"/>
    <w:rsid w:val="00BB2AA5"/>
    <w:rsid w:val="00BB2D83"/>
    <w:rsid w:val="00BB2EAA"/>
    <w:rsid w:val="00BB31F5"/>
    <w:rsid w:val="00BB32D9"/>
    <w:rsid w:val="00BB35BB"/>
    <w:rsid w:val="00BB3652"/>
    <w:rsid w:val="00BB3668"/>
    <w:rsid w:val="00BB369E"/>
    <w:rsid w:val="00BB36A2"/>
    <w:rsid w:val="00BB375C"/>
    <w:rsid w:val="00BB3A98"/>
    <w:rsid w:val="00BB3AF8"/>
    <w:rsid w:val="00BB3B1B"/>
    <w:rsid w:val="00BB3CA8"/>
    <w:rsid w:val="00BB436C"/>
    <w:rsid w:val="00BB438B"/>
    <w:rsid w:val="00BB47B9"/>
    <w:rsid w:val="00BB487E"/>
    <w:rsid w:val="00BB4931"/>
    <w:rsid w:val="00BB49EB"/>
    <w:rsid w:val="00BB4B0E"/>
    <w:rsid w:val="00BB4F4A"/>
    <w:rsid w:val="00BB4F8B"/>
    <w:rsid w:val="00BB5042"/>
    <w:rsid w:val="00BB50EF"/>
    <w:rsid w:val="00BB5913"/>
    <w:rsid w:val="00BB5A4B"/>
    <w:rsid w:val="00BB5B94"/>
    <w:rsid w:val="00BB6108"/>
    <w:rsid w:val="00BB6301"/>
    <w:rsid w:val="00BB655E"/>
    <w:rsid w:val="00BB669D"/>
    <w:rsid w:val="00BB66B5"/>
    <w:rsid w:val="00BB6CCC"/>
    <w:rsid w:val="00BB6F3B"/>
    <w:rsid w:val="00BB7215"/>
    <w:rsid w:val="00BB7263"/>
    <w:rsid w:val="00BB72E3"/>
    <w:rsid w:val="00BB766A"/>
    <w:rsid w:val="00BB7751"/>
    <w:rsid w:val="00BB7A75"/>
    <w:rsid w:val="00BB7ADB"/>
    <w:rsid w:val="00BB7C27"/>
    <w:rsid w:val="00BB7CCE"/>
    <w:rsid w:val="00BB7D8C"/>
    <w:rsid w:val="00BC00E5"/>
    <w:rsid w:val="00BC0332"/>
    <w:rsid w:val="00BC039C"/>
    <w:rsid w:val="00BC0818"/>
    <w:rsid w:val="00BC0B2A"/>
    <w:rsid w:val="00BC0C92"/>
    <w:rsid w:val="00BC0E95"/>
    <w:rsid w:val="00BC0FD3"/>
    <w:rsid w:val="00BC1114"/>
    <w:rsid w:val="00BC1218"/>
    <w:rsid w:val="00BC1319"/>
    <w:rsid w:val="00BC184F"/>
    <w:rsid w:val="00BC1895"/>
    <w:rsid w:val="00BC1A48"/>
    <w:rsid w:val="00BC1C2D"/>
    <w:rsid w:val="00BC1FE9"/>
    <w:rsid w:val="00BC20BC"/>
    <w:rsid w:val="00BC21BF"/>
    <w:rsid w:val="00BC2611"/>
    <w:rsid w:val="00BC2615"/>
    <w:rsid w:val="00BC29C6"/>
    <w:rsid w:val="00BC2B90"/>
    <w:rsid w:val="00BC2E57"/>
    <w:rsid w:val="00BC2FCC"/>
    <w:rsid w:val="00BC3057"/>
    <w:rsid w:val="00BC3214"/>
    <w:rsid w:val="00BC3245"/>
    <w:rsid w:val="00BC347A"/>
    <w:rsid w:val="00BC38F0"/>
    <w:rsid w:val="00BC3B3C"/>
    <w:rsid w:val="00BC3C10"/>
    <w:rsid w:val="00BC3F02"/>
    <w:rsid w:val="00BC4044"/>
    <w:rsid w:val="00BC404D"/>
    <w:rsid w:val="00BC41B6"/>
    <w:rsid w:val="00BC4214"/>
    <w:rsid w:val="00BC460F"/>
    <w:rsid w:val="00BC493A"/>
    <w:rsid w:val="00BC49AB"/>
    <w:rsid w:val="00BC4B87"/>
    <w:rsid w:val="00BC4D03"/>
    <w:rsid w:val="00BC4E07"/>
    <w:rsid w:val="00BC503C"/>
    <w:rsid w:val="00BC518F"/>
    <w:rsid w:val="00BC5279"/>
    <w:rsid w:val="00BC5C36"/>
    <w:rsid w:val="00BC5FC5"/>
    <w:rsid w:val="00BC6319"/>
    <w:rsid w:val="00BC63AB"/>
    <w:rsid w:val="00BC64FD"/>
    <w:rsid w:val="00BC679A"/>
    <w:rsid w:val="00BC6BAE"/>
    <w:rsid w:val="00BC6DA1"/>
    <w:rsid w:val="00BC7300"/>
    <w:rsid w:val="00BC73BB"/>
    <w:rsid w:val="00BC7671"/>
    <w:rsid w:val="00BC7BBB"/>
    <w:rsid w:val="00BC7C6A"/>
    <w:rsid w:val="00BC7CB1"/>
    <w:rsid w:val="00BC7F4D"/>
    <w:rsid w:val="00BC7FA2"/>
    <w:rsid w:val="00BD00BB"/>
    <w:rsid w:val="00BD0184"/>
    <w:rsid w:val="00BD043B"/>
    <w:rsid w:val="00BD07DF"/>
    <w:rsid w:val="00BD07E3"/>
    <w:rsid w:val="00BD0A7E"/>
    <w:rsid w:val="00BD0BD4"/>
    <w:rsid w:val="00BD0E7D"/>
    <w:rsid w:val="00BD0ECD"/>
    <w:rsid w:val="00BD1001"/>
    <w:rsid w:val="00BD15D9"/>
    <w:rsid w:val="00BD1C9A"/>
    <w:rsid w:val="00BD1CDE"/>
    <w:rsid w:val="00BD209A"/>
    <w:rsid w:val="00BD2269"/>
    <w:rsid w:val="00BD2494"/>
    <w:rsid w:val="00BD2496"/>
    <w:rsid w:val="00BD2B80"/>
    <w:rsid w:val="00BD2E0F"/>
    <w:rsid w:val="00BD2E6C"/>
    <w:rsid w:val="00BD2E92"/>
    <w:rsid w:val="00BD3012"/>
    <w:rsid w:val="00BD3046"/>
    <w:rsid w:val="00BD335C"/>
    <w:rsid w:val="00BD391B"/>
    <w:rsid w:val="00BD3B36"/>
    <w:rsid w:val="00BD3B39"/>
    <w:rsid w:val="00BD3D8A"/>
    <w:rsid w:val="00BD4341"/>
    <w:rsid w:val="00BD443D"/>
    <w:rsid w:val="00BD4972"/>
    <w:rsid w:val="00BD49DD"/>
    <w:rsid w:val="00BD4B84"/>
    <w:rsid w:val="00BD4CB5"/>
    <w:rsid w:val="00BD4E32"/>
    <w:rsid w:val="00BD4F07"/>
    <w:rsid w:val="00BD527D"/>
    <w:rsid w:val="00BD528F"/>
    <w:rsid w:val="00BD52B3"/>
    <w:rsid w:val="00BD52BB"/>
    <w:rsid w:val="00BD572B"/>
    <w:rsid w:val="00BD5910"/>
    <w:rsid w:val="00BD5BFE"/>
    <w:rsid w:val="00BD609F"/>
    <w:rsid w:val="00BD61A1"/>
    <w:rsid w:val="00BD649A"/>
    <w:rsid w:val="00BD66DB"/>
    <w:rsid w:val="00BD6B0F"/>
    <w:rsid w:val="00BD6CB1"/>
    <w:rsid w:val="00BD70AC"/>
    <w:rsid w:val="00BD70F9"/>
    <w:rsid w:val="00BD713D"/>
    <w:rsid w:val="00BD73E9"/>
    <w:rsid w:val="00BD7485"/>
    <w:rsid w:val="00BD7856"/>
    <w:rsid w:val="00BD7AD1"/>
    <w:rsid w:val="00BD7BCE"/>
    <w:rsid w:val="00BD7E59"/>
    <w:rsid w:val="00BD7F20"/>
    <w:rsid w:val="00BE007B"/>
    <w:rsid w:val="00BE00A6"/>
    <w:rsid w:val="00BE01B0"/>
    <w:rsid w:val="00BE027D"/>
    <w:rsid w:val="00BE0333"/>
    <w:rsid w:val="00BE05E8"/>
    <w:rsid w:val="00BE07CE"/>
    <w:rsid w:val="00BE0873"/>
    <w:rsid w:val="00BE0BCB"/>
    <w:rsid w:val="00BE0CF9"/>
    <w:rsid w:val="00BE0E97"/>
    <w:rsid w:val="00BE0F98"/>
    <w:rsid w:val="00BE10B4"/>
    <w:rsid w:val="00BE11C6"/>
    <w:rsid w:val="00BE138E"/>
    <w:rsid w:val="00BE1689"/>
    <w:rsid w:val="00BE176E"/>
    <w:rsid w:val="00BE1A4F"/>
    <w:rsid w:val="00BE1AFB"/>
    <w:rsid w:val="00BE1B8D"/>
    <w:rsid w:val="00BE1C16"/>
    <w:rsid w:val="00BE20A4"/>
    <w:rsid w:val="00BE2339"/>
    <w:rsid w:val="00BE23CB"/>
    <w:rsid w:val="00BE25FD"/>
    <w:rsid w:val="00BE2957"/>
    <w:rsid w:val="00BE29B3"/>
    <w:rsid w:val="00BE2B63"/>
    <w:rsid w:val="00BE2D17"/>
    <w:rsid w:val="00BE2E68"/>
    <w:rsid w:val="00BE2F0C"/>
    <w:rsid w:val="00BE3032"/>
    <w:rsid w:val="00BE313C"/>
    <w:rsid w:val="00BE33C1"/>
    <w:rsid w:val="00BE38A5"/>
    <w:rsid w:val="00BE390B"/>
    <w:rsid w:val="00BE3A27"/>
    <w:rsid w:val="00BE3B86"/>
    <w:rsid w:val="00BE3CE2"/>
    <w:rsid w:val="00BE3E5D"/>
    <w:rsid w:val="00BE3EC6"/>
    <w:rsid w:val="00BE3EDE"/>
    <w:rsid w:val="00BE3F39"/>
    <w:rsid w:val="00BE40DA"/>
    <w:rsid w:val="00BE459B"/>
    <w:rsid w:val="00BE47DA"/>
    <w:rsid w:val="00BE4929"/>
    <w:rsid w:val="00BE4A50"/>
    <w:rsid w:val="00BE4FB9"/>
    <w:rsid w:val="00BE500E"/>
    <w:rsid w:val="00BE5061"/>
    <w:rsid w:val="00BE52BB"/>
    <w:rsid w:val="00BE5515"/>
    <w:rsid w:val="00BE5587"/>
    <w:rsid w:val="00BE5724"/>
    <w:rsid w:val="00BE58B9"/>
    <w:rsid w:val="00BE59BF"/>
    <w:rsid w:val="00BE5CB0"/>
    <w:rsid w:val="00BE5D64"/>
    <w:rsid w:val="00BE5D7D"/>
    <w:rsid w:val="00BE5DE7"/>
    <w:rsid w:val="00BE5FE1"/>
    <w:rsid w:val="00BE61AA"/>
    <w:rsid w:val="00BE670C"/>
    <w:rsid w:val="00BE6ABB"/>
    <w:rsid w:val="00BE6AEB"/>
    <w:rsid w:val="00BE6C19"/>
    <w:rsid w:val="00BE6F74"/>
    <w:rsid w:val="00BE6FA2"/>
    <w:rsid w:val="00BE70C9"/>
    <w:rsid w:val="00BE7120"/>
    <w:rsid w:val="00BE724C"/>
    <w:rsid w:val="00BE7758"/>
    <w:rsid w:val="00BE7CCE"/>
    <w:rsid w:val="00BF0429"/>
    <w:rsid w:val="00BF062E"/>
    <w:rsid w:val="00BF07F4"/>
    <w:rsid w:val="00BF0842"/>
    <w:rsid w:val="00BF08F2"/>
    <w:rsid w:val="00BF0A9F"/>
    <w:rsid w:val="00BF0B90"/>
    <w:rsid w:val="00BF0CB9"/>
    <w:rsid w:val="00BF0DB5"/>
    <w:rsid w:val="00BF10BC"/>
    <w:rsid w:val="00BF1208"/>
    <w:rsid w:val="00BF123B"/>
    <w:rsid w:val="00BF13B8"/>
    <w:rsid w:val="00BF1AB3"/>
    <w:rsid w:val="00BF1D6E"/>
    <w:rsid w:val="00BF1E71"/>
    <w:rsid w:val="00BF1F0F"/>
    <w:rsid w:val="00BF2302"/>
    <w:rsid w:val="00BF23A3"/>
    <w:rsid w:val="00BF2432"/>
    <w:rsid w:val="00BF2653"/>
    <w:rsid w:val="00BF26BA"/>
    <w:rsid w:val="00BF2932"/>
    <w:rsid w:val="00BF29B2"/>
    <w:rsid w:val="00BF2A60"/>
    <w:rsid w:val="00BF2A91"/>
    <w:rsid w:val="00BF2CE7"/>
    <w:rsid w:val="00BF32DF"/>
    <w:rsid w:val="00BF351A"/>
    <w:rsid w:val="00BF3605"/>
    <w:rsid w:val="00BF371C"/>
    <w:rsid w:val="00BF378F"/>
    <w:rsid w:val="00BF3A88"/>
    <w:rsid w:val="00BF3B09"/>
    <w:rsid w:val="00BF3B8E"/>
    <w:rsid w:val="00BF3BEB"/>
    <w:rsid w:val="00BF3BEE"/>
    <w:rsid w:val="00BF3C6A"/>
    <w:rsid w:val="00BF41FC"/>
    <w:rsid w:val="00BF4308"/>
    <w:rsid w:val="00BF44A5"/>
    <w:rsid w:val="00BF44FE"/>
    <w:rsid w:val="00BF48B2"/>
    <w:rsid w:val="00BF491E"/>
    <w:rsid w:val="00BF4993"/>
    <w:rsid w:val="00BF4B27"/>
    <w:rsid w:val="00BF4D85"/>
    <w:rsid w:val="00BF4ED1"/>
    <w:rsid w:val="00BF540E"/>
    <w:rsid w:val="00BF54C3"/>
    <w:rsid w:val="00BF56AC"/>
    <w:rsid w:val="00BF5A6D"/>
    <w:rsid w:val="00BF5D0B"/>
    <w:rsid w:val="00BF5F37"/>
    <w:rsid w:val="00BF614B"/>
    <w:rsid w:val="00BF62AA"/>
    <w:rsid w:val="00BF63C4"/>
    <w:rsid w:val="00BF658E"/>
    <w:rsid w:val="00BF6721"/>
    <w:rsid w:val="00BF68C8"/>
    <w:rsid w:val="00BF6914"/>
    <w:rsid w:val="00BF6918"/>
    <w:rsid w:val="00BF69FC"/>
    <w:rsid w:val="00BF6AE0"/>
    <w:rsid w:val="00BF6BB0"/>
    <w:rsid w:val="00BF6C62"/>
    <w:rsid w:val="00BF6CB6"/>
    <w:rsid w:val="00BF6DC3"/>
    <w:rsid w:val="00BF71C9"/>
    <w:rsid w:val="00BF7345"/>
    <w:rsid w:val="00BF749A"/>
    <w:rsid w:val="00BF75A6"/>
    <w:rsid w:val="00BF76B1"/>
    <w:rsid w:val="00BF7BCE"/>
    <w:rsid w:val="00C00026"/>
    <w:rsid w:val="00C0055F"/>
    <w:rsid w:val="00C009C4"/>
    <w:rsid w:val="00C00BF0"/>
    <w:rsid w:val="00C00D0B"/>
    <w:rsid w:val="00C01644"/>
    <w:rsid w:val="00C016B6"/>
    <w:rsid w:val="00C019E6"/>
    <w:rsid w:val="00C01A4C"/>
    <w:rsid w:val="00C01C30"/>
    <w:rsid w:val="00C01D39"/>
    <w:rsid w:val="00C0216E"/>
    <w:rsid w:val="00C025C6"/>
    <w:rsid w:val="00C026E3"/>
    <w:rsid w:val="00C02A81"/>
    <w:rsid w:val="00C02CC5"/>
    <w:rsid w:val="00C03547"/>
    <w:rsid w:val="00C036F6"/>
    <w:rsid w:val="00C037A0"/>
    <w:rsid w:val="00C03E7A"/>
    <w:rsid w:val="00C03EAA"/>
    <w:rsid w:val="00C041BD"/>
    <w:rsid w:val="00C042A2"/>
    <w:rsid w:val="00C04D52"/>
    <w:rsid w:val="00C04EB4"/>
    <w:rsid w:val="00C05150"/>
    <w:rsid w:val="00C057CE"/>
    <w:rsid w:val="00C0599A"/>
    <w:rsid w:val="00C05DD1"/>
    <w:rsid w:val="00C05EF1"/>
    <w:rsid w:val="00C05FCD"/>
    <w:rsid w:val="00C0601B"/>
    <w:rsid w:val="00C06089"/>
    <w:rsid w:val="00C060DE"/>
    <w:rsid w:val="00C06346"/>
    <w:rsid w:val="00C06430"/>
    <w:rsid w:val="00C06572"/>
    <w:rsid w:val="00C06602"/>
    <w:rsid w:val="00C0681E"/>
    <w:rsid w:val="00C06C93"/>
    <w:rsid w:val="00C06DA0"/>
    <w:rsid w:val="00C06FE5"/>
    <w:rsid w:val="00C07351"/>
    <w:rsid w:val="00C07370"/>
    <w:rsid w:val="00C075B5"/>
    <w:rsid w:val="00C07B73"/>
    <w:rsid w:val="00C07DF3"/>
    <w:rsid w:val="00C07DF4"/>
    <w:rsid w:val="00C07E1A"/>
    <w:rsid w:val="00C1057E"/>
    <w:rsid w:val="00C1087B"/>
    <w:rsid w:val="00C109D9"/>
    <w:rsid w:val="00C10AE7"/>
    <w:rsid w:val="00C10BE3"/>
    <w:rsid w:val="00C10D7F"/>
    <w:rsid w:val="00C10D98"/>
    <w:rsid w:val="00C1114B"/>
    <w:rsid w:val="00C11157"/>
    <w:rsid w:val="00C112F1"/>
    <w:rsid w:val="00C113E6"/>
    <w:rsid w:val="00C11597"/>
    <w:rsid w:val="00C115AE"/>
    <w:rsid w:val="00C116B6"/>
    <w:rsid w:val="00C116C0"/>
    <w:rsid w:val="00C1188B"/>
    <w:rsid w:val="00C11A50"/>
    <w:rsid w:val="00C11B6C"/>
    <w:rsid w:val="00C11C79"/>
    <w:rsid w:val="00C11CD8"/>
    <w:rsid w:val="00C11CE8"/>
    <w:rsid w:val="00C121F6"/>
    <w:rsid w:val="00C123F5"/>
    <w:rsid w:val="00C129F2"/>
    <w:rsid w:val="00C12C6E"/>
    <w:rsid w:val="00C12CA2"/>
    <w:rsid w:val="00C131E5"/>
    <w:rsid w:val="00C13279"/>
    <w:rsid w:val="00C135A2"/>
    <w:rsid w:val="00C138A8"/>
    <w:rsid w:val="00C1442B"/>
    <w:rsid w:val="00C1454C"/>
    <w:rsid w:val="00C14567"/>
    <w:rsid w:val="00C146E7"/>
    <w:rsid w:val="00C1477E"/>
    <w:rsid w:val="00C1479B"/>
    <w:rsid w:val="00C147D3"/>
    <w:rsid w:val="00C14844"/>
    <w:rsid w:val="00C14D5A"/>
    <w:rsid w:val="00C14EDE"/>
    <w:rsid w:val="00C153B1"/>
    <w:rsid w:val="00C15548"/>
    <w:rsid w:val="00C15C68"/>
    <w:rsid w:val="00C15DCD"/>
    <w:rsid w:val="00C15F24"/>
    <w:rsid w:val="00C15F27"/>
    <w:rsid w:val="00C15FEE"/>
    <w:rsid w:val="00C162EC"/>
    <w:rsid w:val="00C165A0"/>
    <w:rsid w:val="00C165FD"/>
    <w:rsid w:val="00C16C77"/>
    <w:rsid w:val="00C16CC8"/>
    <w:rsid w:val="00C16E84"/>
    <w:rsid w:val="00C17195"/>
    <w:rsid w:val="00C1736E"/>
    <w:rsid w:val="00C1758A"/>
    <w:rsid w:val="00C1792C"/>
    <w:rsid w:val="00C179D8"/>
    <w:rsid w:val="00C17A71"/>
    <w:rsid w:val="00C17BBB"/>
    <w:rsid w:val="00C17BC3"/>
    <w:rsid w:val="00C20242"/>
    <w:rsid w:val="00C204F6"/>
    <w:rsid w:val="00C20803"/>
    <w:rsid w:val="00C2088E"/>
    <w:rsid w:val="00C20B46"/>
    <w:rsid w:val="00C20D6E"/>
    <w:rsid w:val="00C20ECB"/>
    <w:rsid w:val="00C211CE"/>
    <w:rsid w:val="00C21215"/>
    <w:rsid w:val="00C21565"/>
    <w:rsid w:val="00C216AD"/>
    <w:rsid w:val="00C21747"/>
    <w:rsid w:val="00C217E8"/>
    <w:rsid w:val="00C218C7"/>
    <w:rsid w:val="00C21D45"/>
    <w:rsid w:val="00C22059"/>
    <w:rsid w:val="00C223F4"/>
    <w:rsid w:val="00C22703"/>
    <w:rsid w:val="00C22978"/>
    <w:rsid w:val="00C2297E"/>
    <w:rsid w:val="00C22AEF"/>
    <w:rsid w:val="00C22AF9"/>
    <w:rsid w:val="00C22BE5"/>
    <w:rsid w:val="00C23337"/>
    <w:rsid w:val="00C235C2"/>
    <w:rsid w:val="00C235DB"/>
    <w:rsid w:val="00C23B4C"/>
    <w:rsid w:val="00C23FDB"/>
    <w:rsid w:val="00C240E5"/>
    <w:rsid w:val="00C24593"/>
    <w:rsid w:val="00C245D2"/>
    <w:rsid w:val="00C246BB"/>
    <w:rsid w:val="00C24C7B"/>
    <w:rsid w:val="00C25057"/>
    <w:rsid w:val="00C252BE"/>
    <w:rsid w:val="00C252CE"/>
    <w:rsid w:val="00C2543F"/>
    <w:rsid w:val="00C255EC"/>
    <w:rsid w:val="00C257F6"/>
    <w:rsid w:val="00C25A33"/>
    <w:rsid w:val="00C25DFA"/>
    <w:rsid w:val="00C25F96"/>
    <w:rsid w:val="00C25FC0"/>
    <w:rsid w:val="00C260F9"/>
    <w:rsid w:val="00C2610F"/>
    <w:rsid w:val="00C26561"/>
    <w:rsid w:val="00C2662A"/>
    <w:rsid w:val="00C2694D"/>
    <w:rsid w:val="00C2698F"/>
    <w:rsid w:val="00C26A59"/>
    <w:rsid w:val="00C26B3C"/>
    <w:rsid w:val="00C26F37"/>
    <w:rsid w:val="00C27001"/>
    <w:rsid w:val="00C275F5"/>
    <w:rsid w:val="00C2778B"/>
    <w:rsid w:val="00C2781D"/>
    <w:rsid w:val="00C27950"/>
    <w:rsid w:val="00C279E2"/>
    <w:rsid w:val="00C27C23"/>
    <w:rsid w:val="00C27D34"/>
    <w:rsid w:val="00C27E30"/>
    <w:rsid w:val="00C27E3C"/>
    <w:rsid w:val="00C3012E"/>
    <w:rsid w:val="00C30244"/>
    <w:rsid w:val="00C30296"/>
    <w:rsid w:val="00C3035A"/>
    <w:rsid w:val="00C30485"/>
    <w:rsid w:val="00C305C8"/>
    <w:rsid w:val="00C3064F"/>
    <w:rsid w:val="00C308CF"/>
    <w:rsid w:val="00C30AC8"/>
    <w:rsid w:val="00C30ACA"/>
    <w:rsid w:val="00C30AFD"/>
    <w:rsid w:val="00C30B29"/>
    <w:rsid w:val="00C30B6C"/>
    <w:rsid w:val="00C30BD9"/>
    <w:rsid w:val="00C30DD9"/>
    <w:rsid w:val="00C31106"/>
    <w:rsid w:val="00C3140B"/>
    <w:rsid w:val="00C316E6"/>
    <w:rsid w:val="00C31739"/>
    <w:rsid w:val="00C317EF"/>
    <w:rsid w:val="00C31C1E"/>
    <w:rsid w:val="00C31D8F"/>
    <w:rsid w:val="00C31E0E"/>
    <w:rsid w:val="00C31F52"/>
    <w:rsid w:val="00C32014"/>
    <w:rsid w:val="00C32040"/>
    <w:rsid w:val="00C3254D"/>
    <w:rsid w:val="00C325A4"/>
    <w:rsid w:val="00C32788"/>
    <w:rsid w:val="00C3284E"/>
    <w:rsid w:val="00C32A56"/>
    <w:rsid w:val="00C32A9C"/>
    <w:rsid w:val="00C32E63"/>
    <w:rsid w:val="00C32E85"/>
    <w:rsid w:val="00C32ED2"/>
    <w:rsid w:val="00C33A67"/>
    <w:rsid w:val="00C33C2E"/>
    <w:rsid w:val="00C33F2F"/>
    <w:rsid w:val="00C34573"/>
    <w:rsid w:val="00C34616"/>
    <w:rsid w:val="00C347FA"/>
    <w:rsid w:val="00C348F4"/>
    <w:rsid w:val="00C34C5F"/>
    <w:rsid w:val="00C34F6B"/>
    <w:rsid w:val="00C34F8B"/>
    <w:rsid w:val="00C355AF"/>
    <w:rsid w:val="00C35695"/>
    <w:rsid w:val="00C3589A"/>
    <w:rsid w:val="00C35946"/>
    <w:rsid w:val="00C35A1C"/>
    <w:rsid w:val="00C35E2C"/>
    <w:rsid w:val="00C35E6D"/>
    <w:rsid w:val="00C36371"/>
    <w:rsid w:val="00C3644E"/>
    <w:rsid w:val="00C3657F"/>
    <w:rsid w:val="00C3677A"/>
    <w:rsid w:val="00C3693D"/>
    <w:rsid w:val="00C36B74"/>
    <w:rsid w:val="00C36D6D"/>
    <w:rsid w:val="00C36DCE"/>
    <w:rsid w:val="00C36DD6"/>
    <w:rsid w:val="00C37019"/>
    <w:rsid w:val="00C371BC"/>
    <w:rsid w:val="00C3728D"/>
    <w:rsid w:val="00C37752"/>
    <w:rsid w:val="00C378A3"/>
    <w:rsid w:val="00C37A1A"/>
    <w:rsid w:val="00C37B7C"/>
    <w:rsid w:val="00C400F1"/>
    <w:rsid w:val="00C401CF"/>
    <w:rsid w:val="00C402C0"/>
    <w:rsid w:val="00C405FD"/>
    <w:rsid w:val="00C408C8"/>
    <w:rsid w:val="00C408E5"/>
    <w:rsid w:val="00C40AF4"/>
    <w:rsid w:val="00C40C7E"/>
    <w:rsid w:val="00C40EC3"/>
    <w:rsid w:val="00C40F71"/>
    <w:rsid w:val="00C41245"/>
    <w:rsid w:val="00C413D0"/>
    <w:rsid w:val="00C4173B"/>
    <w:rsid w:val="00C41846"/>
    <w:rsid w:val="00C41A94"/>
    <w:rsid w:val="00C41C2A"/>
    <w:rsid w:val="00C42A5A"/>
    <w:rsid w:val="00C42B6C"/>
    <w:rsid w:val="00C42DF3"/>
    <w:rsid w:val="00C43271"/>
    <w:rsid w:val="00C432D9"/>
    <w:rsid w:val="00C435DB"/>
    <w:rsid w:val="00C435ED"/>
    <w:rsid w:val="00C43601"/>
    <w:rsid w:val="00C43B98"/>
    <w:rsid w:val="00C43F34"/>
    <w:rsid w:val="00C440A3"/>
    <w:rsid w:val="00C4421C"/>
    <w:rsid w:val="00C44322"/>
    <w:rsid w:val="00C4489C"/>
    <w:rsid w:val="00C44DE8"/>
    <w:rsid w:val="00C44E04"/>
    <w:rsid w:val="00C456F8"/>
    <w:rsid w:val="00C458BC"/>
    <w:rsid w:val="00C4624F"/>
    <w:rsid w:val="00C463C5"/>
    <w:rsid w:val="00C464B4"/>
    <w:rsid w:val="00C46714"/>
    <w:rsid w:val="00C468CA"/>
    <w:rsid w:val="00C46DB8"/>
    <w:rsid w:val="00C471FE"/>
    <w:rsid w:val="00C47475"/>
    <w:rsid w:val="00C478AE"/>
    <w:rsid w:val="00C479CA"/>
    <w:rsid w:val="00C47A3F"/>
    <w:rsid w:val="00C47AE4"/>
    <w:rsid w:val="00C47B4D"/>
    <w:rsid w:val="00C47C99"/>
    <w:rsid w:val="00C47E18"/>
    <w:rsid w:val="00C47E49"/>
    <w:rsid w:val="00C5042F"/>
    <w:rsid w:val="00C50528"/>
    <w:rsid w:val="00C507D6"/>
    <w:rsid w:val="00C509B2"/>
    <w:rsid w:val="00C50B00"/>
    <w:rsid w:val="00C51020"/>
    <w:rsid w:val="00C51082"/>
    <w:rsid w:val="00C510B1"/>
    <w:rsid w:val="00C51159"/>
    <w:rsid w:val="00C512F4"/>
    <w:rsid w:val="00C5137E"/>
    <w:rsid w:val="00C513B5"/>
    <w:rsid w:val="00C51470"/>
    <w:rsid w:val="00C515EC"/>
    <w:rsid w:val="00C5174D"/>
    <w:rsid w:val="00C51803"/>
    <w:rsid w:val="00C51AE9"/>
    <w:rsid w:val="00C51D4D"/>
    <w:rsid w:val="00C520C1"/>
    <w:rsid w:val="00C521BA"/>
    <w:rsid w:val="00C5220D"/>
    <w:rsid w:val="00C526D5"/>
    <w:rsid w:val="00C527AB"/>
    <w:rsid w:val="00C5289B"/>
    <w:rsid w:val="00C52E5E"/>
    <w:rsid w:val="00C52E80"/>
    <w:rsid w:val="00C53354"/>
    <w:rsid w:val="00C533D9"/>
    <w:rsid w:val="00C534BA"/>
    <w:rsid w:val="00C53527"/>
    <w:rsid w:val="00C536C8"/>
    <w:rsid w:val="00C537D0"/>
    <w:rsid w:val="00C53C20"/>
    <w:rsid w:val="00C53E91"/>
    <w:rsid w:val="00C5433C"/>
    <w:rsid w:val="00C5482C"/>
    <w:rsid w:val="00C54886"/>
    <w:rsid w:val="00C54934"/>
    <w:rsid w:val="00C550D5"/>
    <w:rsid w:val="00C553D4"/>
    <w:rsid w:val="00C55A66"/>
    <w:rsid w:val="00C55B3C"/>
    <w:rsid w:val="00C55DDD"/>
    <w:rsid w:val="00C5659F"/>
    <w:rsid w:val="00C565F4"/>
    <w:rsid w:val="00C5663E"/>
    <w:rsid w:val="00C567DE"/>
    <w:rsid w:val="00C5688E"/>
    <w:rsid w:val="00C57236"/>
    <w:rsid w:val="00C57484"/>
    <w:rsid w:val="00C57501"/>
    <w:rsid w:val="00C57592"/>
    <w:rsid w:val="00C579AF"/>
    <w:rsid w:val="00C57E88"/>
    <w:rsid w:val="00C60144"/>
    <w:rsid w:val="00C601C5"/>
    <w:rsid w:val="00C6021D"/>
    <w:rsid w:val="00C60308"/>
    <w:rsid w:val="00C6042A"/>
    <w:rsid w:val="00C60486"/>
    <w:rsid w:val="00C608EE"/>
    <w:rsid w:val="00C60E6F"/>
    <w:rsid w:val="00C61050"/>
    <w:rsid w:val="00C6110B"/>
    <w:rsid w:val="00C61515"/>
    <w:rsid w:val="00C61551"/>
    <w:rsid w:val="00C616AB"/>
    <w:rsid w:val="00C617F2"/>
    <w:rsid w:val="00C61F24"/>
    <w:rsid w:val="00C620CE"/>
    <w:rsid w:val="00C629D4"/>
    <w:rsid w:val="00C62E10"/>
    <w:rsid w:val="00C631C4"/>
    <w:rsid w:val="00C6342A"/>
    <w:rsid w:val="00C6354D"/>
    <w:rsid w:val="00C63654"/>
    <w:rsid w:val="00C63860"/>
    <w:rsid w:val="00C63F26"/>
    <w:rsid w:val="00C63F7B"/>
    <w:rsid w:val="00C64289"/>
    <w:rsid w:val="00C642C4"/>
    <w:rsid w:val="00C6454C"/>
    <w:rsid w:val="00C64587"/>
    <w:rsid w:val="00C648A3"/>
    <w:rsid w:val="00C64CC1"/>
    <w:rsid w:val="00C64D43"/>
    <w:rsid w:val="00C64DE4"/>
    <w:rsid w:val="00C64EDF"/>
    <w:rsid w:val="00C652B2"/>
    <w:rsid w:val="00C653A4"/>
    <w:rsid w:val="00C653B9"/>
    <w:rsid w:val="00C656B1"/>
    <w:rsid w:val="00C65843"/>
    <w:rsid w:val="00C65B1D"/>
    <w:rsid w:val="00C65CFA"/>
    <w:rsid w:val="00C65EF6"/>
    <w:rsid w:val="00C65F11"/>
    <w:rsid w:val="00C66033"/>
    <w:rsid w:val="00C6619D"/>
    <w:rsid w:val="00C6649E"/>
    <w:rsid w:val="00C665D9"/>
    <w:rsid w:val="00C6677B"/>
    <w:rsid w:val="00C668D4"/>
    <w:rsid w:val="00C669A4"/>
    <w:rsid w:val="00C669FC"/>
    <w:rsid w:val="00C66A1E"/>
    <w:rsid w:val="00C66D8A"/>
    <w:rsid w:val="00C66DA0"/>
    <w:rsid w:val="00C67034"/>
    <w:rsid w:val="00C670F7"/>
    <w:rsid w:val="00C673EA"/>
    <w:rsid w:val="00C674DD"/>
    <w:rsid w:val="00C67600"/>
    <w:rsid w:val="00C677E6"/>
    <w:rsid w:val="00C67933"/>
    <w:rsid w:val="00C67A57"/>
    <w:rsid w:val="00C67A74"/>
    <w:rsid w:val="00C67E96"/>
    <w:rsid w:val="00C70119"/>
    <w:rsid w:val="00C7012F"/>
    <w:rsid w:val="00C70215"/>
    <w:rsid w:val="00C70592"/>
    <w:rsid w:val="00C706A6"/>
    <w:rsid w:val="00C707E3"/>
    <w:rsid w:val="00C70BDD"/>
    <w:rsid w:val="00C70FBE"/>
    <w:rsid w:val="00C71068"/>
    <w:rsid w:val="00C7106B"/>
    <w:rsid w:val="00C711E9"/>
    <w:rsid w:val="00C71407"/>
    <w:rsid w:val="00C716E6"/>
    <w:rsid w:val="00C7177E"/>
    <w:rsid w:val="00C71786"/>
    <w:rsid w:val="00C71919"/>
    <w:rsid w:val="00C71AE0"/>
    <w:rsid w:val="00C71E13"/>
    <w:rsid w:val="00C71E5E"/>
    <w:rsid w:val="00C71F0F"/>
    <w:rsid w:val="00C72120"/>
    <w:rsid w:val="00C721AF"/>
    <w:rsid w:val="00C726FC"/>
    <w:rsid w:val="00C72701"/>
    <w:rsid w:val="00C7270C"/>
    <w:rsid w:val="00C72AB9"/>
    <w:rsid w:val="00C72D80"/>
    <w:rsid w:val="00C72FFD"/>
    <w:rsid w:val="00C73041"/>
    <w:rsid w:val="00C730DF"/>
    <w:rsid w:val="00C73641"/>
    <w:rsid w:val="00C73779"/>
    <w:rsid w:val="00C738AE"/>
    <w:rsid w:val="00C73AC1"/>
    <w:rsid w:val="00C73B40"/>
    <w:rsid w:val="00C74024"/>
    <w:rsid w:val="00C741E3"/>
    <w:rsid w:val="00C742B1"/>
    <w:rsid w:val="00C74490"/>
    <w:rsid w:val="00C74561"/>
    <w:rsid w:val="00C74EF2"/>
    <w:rsid w:val="00C75162"/>
    <w:rsid w:val="00C7519E"/>
    <w:rsid w:val="00C75385"/>
    <w:rsid w:val="00C75410"/>
    <w:rsid w:val="00C7568F"/>
    <w:rsid w:val="00C7580D"/>
    <w:rsid w:val="00C75871"/>
    <w:rsid w:val="00C7595E"/>
    <w:rsid w:val="00C75BE8"/>
    <w:rsid w:val="00C7615B"/>
    <w:rsid w:val="00C765BD"/>
    <w:rsid w:val="00C76879"/>
    <w:rsid w:val="00C7698A"/>
    <w:rsid w:val="00C76B6E"/>
    <w:rsid w:val="00C76D60"/>
    <w:rsid w:val="00C76D6C"/>
    <w:rsid w:val="00C77380"/>
    <w:rsid w:val="00C778DA"/>
    <w:rsid w:val="00C77A51"/>
    <w:rsid w:val="00C77C16"/>
    <w:rsid w:val="00C77D5C"/>
    <w:rsid w:val="00C77DD3"/>
    <w:rsid w:val="00C77DDE"/>
    <w:rsid w:val="00C77E8C"/>
    <w:rsid w:val="00C800E6"/>
    <w:rsid w:val="00C8012E"/>
    <w:rsid w:val="00C801F5"/>
    <w:rsid w:val="00C803AF"/>
    <w:rsid w:val="00C80534"/>
    <w:rsid w:val="00C8053F"/>
    <w:rsid w:val="00C8057B"/>
    <w:rsid w:val="00C80CBE"/>
    <w:rsid w:val="00C80D92"/>
    <w:rsid w:val="00C80E9E"/>
    <w:rsid w:val="00C80EA6"/>
    <w:rsid w:val="00C8111F"/>
    <w:rsid w:val="00C811BE"/>
    <w:rsid w:val="00C814E6"/>
    <w:rsid w:val="00C81739"/>
    <w:rsid w:val="00C817B1"/>
    <w:rsid w:val="00C81878"/>
    <w:rsid w:val="00C818B9"/>
    <w:rsid w:val="00C81C15"/>
    <w:rsid w:val="00C81F82"/>
    <w:rsid w:val="00C820D7"/>
    <w:rsid w:val="00C82571"/>
    <w:rsid w:val="00C827CD"/>
    <w:rsid w:val="00C82887"/>
    <w:rsid w:val="00C829E9"/>
    <w:rsid w:val="00C82A08"/>
    <w:rsid w:val="00C82C2E"/>
    <w:rsid w:val="00C82D56"/>
    <w:rsid w:val="00C82DE9"/>
    <w:rsid w:val="00C83263"/>
    <w:rsid w:val="00C83605"/>
    <w:rsid w:val="00C8363F"/>
    <w:rsid w:val="00C836A3"/>
    <w:rsid w:val="00C8384F"/>
    <w:rsid w:val="00C83A75"/>
    <w:rsid w:val="00C83BCD"/>
    <w:rsid w:val="00C83DDE"/>
    <w:rsid w:val="00C83FFC"/>
    <w:rsid w:val="00C8509A"/>
    <w:rsid w:val="00C850E5"/>
    <w:rsid w:val="00C8512B"/>
    <w:rsid w:val="00C853A8"/>
    <w:rsid w:val="00C855DA"/>
    <w:rsid w:val="00C85A24"/>
    <w:rsid w:val="00C85AB7"/>
    <w:rsid w:val="00C85BA5"/>
    <w:rsid w:val="00C85BA7"/>
    <w:rsid w:val="00C85D19"/>
    <w:rsid w:val="00C85E12"/>
    <w:rsid w:val="00C85E21"/>
    <w:rsid w:val="00C85FB8"/>
    <w:rsid w:val="00C85FF3"/>
    <w:rsid w:val="00C8643B"/>
    <w:rsid w:val="00C8643D"/>
    <w:rsid w:val="00C86620"/>
    <w:rsid w:val="00C867E6"/>
    <w:rsid w:val="00C86883"/>
    <w:rsid w:val="00C869F0"/>
    <w:rsid w:val="00C86CA4"/>
    <w:rsid w:val="00C86CA5"/>
    <w:rsid w:val="00C86CA6"/>
    <w:rsid w:val="00C86D95"/>
    <w:rsid w:val="00C87151"/>
    <w:rsid w:val="00C87203"/>
    <w:rsid w:val="00C87226"/>
    <w:rsid w:val="00C873F3"/>
    <w:rsid w:val="00C875B4"/>
    <w:rsid w:val="00C87AF0"/>
    <w:rsid w:val="00C87DC1"/>
    <w:rsid w:val="00C87EFC"/>
    <w:rsid w:val="00C900E7"/>
    <w:rsid w:val="00C90415"/>
    <w:rsid w:val="00C9067B"/>
    <w:rsid w:val="00C90A1E"/>
    <w:rsid w:val="00C90A3A"/>
    <w:rsid w:val="00C90D56"/>
    <w:rsid w:val="00C90FF9"/>
    <w:rsid w:val="00C91716"/>
    <w:rsid w:val="00C917EC"/>
    <w:rsid w:val="00C918FA"/>
    <w:rsid w:val="00C919B8"/>
    <w:rsid w:val="00C91A16"/>
    <w:rsid w:val="00C91AAA"/>
    <w:rsid w:val="00C91F5A"/>
    <w:rsid w:val="00C924D8"/>
    <w:rsid w:val="00C92F21"/>
    <w:rsid w:val="00C930A1"/>
    <w:rsid w:val="00C93119"/>
    <w:rsid w:val="00C935B9"/>
    <w:rsid w:val="00C93A06"/>
    <w:rsid w:val="00C93A90"/>
    <w:rsid w:val="00C93E01"/>
    <w:rsid w:val="00C93E7B"/>
    <w:rsid w:val="00C93F4E"/>
    <w:rsid w:val="00C93FE0"/>
    <w:rsid w:val="00C94041"/>
    <w:rsid w:val="00C94225"/>
    <w:rsid w:val="00C94481"/>
    <w:rsid w:val="00C94502"/>
    <w:rsid w:val="00C945B5"/>
    <w:rsid w:val="00C947DE"/>
    <w:rsid w:val="00C949AC"/>
    <w:rsid w:val="00C94BF0"/>
    <w:rsid w:val="00C9511A"/>
    <w:rsid w:val="00C9513F"/>
    <w:rsid w:val="00C95290"/>
    <w:rsid w:val="00C9532C"/>
    <w:rsid w:val="00C9562C"/>
    <w:rsid w:val="00C957F8"/>
    <w:rsid w:val="00C9583F"/>
    <w:rsid w:val="00C95AAC"/>
    <w:rsid w:val="00C95BEF"/>
    <w:rsid w:val="00C95FD8"/>
    <w:rsid w:val="00C964D8"/>
    <w:rsid w:val="00C965C1"/>
    <w:rsid w:val="00C967E6"/>
    <w:rsid w:val="00C96884"/>
    <w:rsid w:val="00C969FE"/>
    <w:rsid w:val="00C96B65"/>
    <w:rsid w:val="00C96D78"/>
    <w:rsid w:val="00C96D9F"/>
    <w:rsid w:val="00C974EE"/>
    <w:rsid w:val="00C974F5"/>
    <w:rsid w:val="00C9758B"/>
    <w:rsid w:val="00C975C7"/>
    <w:rsid w:val="00C977FD"/>
    <w:rsid w:val="00C97878"/>
    <w:rsid w:val="00C979C0"/>
    <w:rsid w:val="00C97E92"/>
    <w:rsid w:val="00CA0339"/>
    <w:rsid w:val="00CA0518"/>
    <w:rsid w:val="00CA06D7"/>
    <w:rsid w:val="00CA0752"/>
    <w:rsid w:val="00CA0A09"/>
    <w:rsid w:val="00CA0D7C"/>
    <w:rsid w:val="00CA0E12"/>
    <w:rsid w:val="00CA10D5"/>
    <w:rsid w:val="00CA111F"/>
    <w:rsid w:val="00CA15AF"/>
    <w:rsid w:val="00CA1685"/>
    <w:rsid w:val="00CA1839"/>
    <w:rsid w:val="00CA1AFC"/>
    <w:rsid w:val="00CA1B9D"/>
    <w:rsid w:val="00CA1E5E"/>
    <w:rsid w:val="00CA2012"/>
    <w:rsid w:val="00CA2166"/>
    <w:rsid w:val="00CA24F9"/>
    <w:rsid w:val="00CA26CE"/>
    <w:rsid w:val="00CA2895"/>
    <w:rsid w:val="00CA296D"/>
    <w:rsid w:val="00CA2986"/>
    <w:rsid w:val="00CA2A9C"/>
    <w:rsid w:val="00CA2B59"/>
    <w:rsid w:val="00CA3380"/>
    <w:rsid w:val="00CA3872"/>
    <w:rsid w:val="00CA38AF"/>
    <w:rsid w:val="00CA38EA"/>
    <w:rsid w:val="00CA392C"/>
    <w:rsid w:val="00CA3A9A"/>
    <w:rsid w:val="00CA3D40"/>
    <w:rsid w:val="00CA3DEF"/>
    <w:rsid w:val="00CA3F44"/>
    <w:rsid w:val="00CA3FE3"/>
    <w:rsid w:val="00CA4585"/>
    <w:rsid w:val="00CA48AF"/>
    <w:rsid w:val="00CA495A"/>
    <w:rsid w:val="00CA5081"/>
    <w:rsid w:val="00CA50E6"/>
    <w:rsid w:val="00CA5875"/>
    <w:rsid w:val="00CA5941"/>
    <w:rsid w:val="00CA5ACB"/>
    <w:rsid w:val="00CA5F52"/>
    <w:rsid w:val="00CA5F65"/>
    <w:rsid w:val="00CA6361"/>
    <w:rsid w:val="00CA648A"/>
    <w:rsid w:val="00CA65F0"/>
    <w:rsid w:val="00CA687F"/>
    <w:rsid w:val="00CA68F8"/>
    <w:rsid w:val="00CA6937"/>
    <w:rsid w:val="00CA6D07"/>
    <w:rsid w:val="00CA6D9F"/>
    <w:rsid w:val="00CA6E89"/>
    <w:rsid w:val="00CA6F72"/>
    <w:rsid w:val="00CA7575"/>
    <w:rsid w:val="00CB00A7"/>
    <w:rsid w:val="00CB0155"/>
    <w:rsid w:val="00CB022A"/>
    <w:rsid w:val="00CB0348"/>
    <w:rsid w:val="00CB07B7"/>
    <w:rsid w:val="00CB089F"/>
    <w:rsid w:val="00CB0938"/>
    <w:rsid w:val="00CB0957"/>
    <w:rsid w:val="00CB0C01"/>
    <w:rsid w:val="00CB0C4E"/>
    <w:rsid w:val="00CB0E9F"/>
    <w:rsid w:val="00CB0F43"/>
    <w:rsid w:val="00CB0F58"/>
    <w:rsid w:val="00CB1403"/>
    <w:rsid w:val="00CB1409"/>
    <w:rsid w:val="00CB1564"/>
    <w:rsid w:val="00CB1739"/>
    <w:rsid w:val="00CB186D"/>
    <w:rsid w:val="00CB1949"/>
    <w:rsid w:val="00CB1A22"/>
    <w:rsid w:val="00CB1C78"/>
    <w:rsid w:val="00CB1C8B"/>
    <w:rsid w:val="00CB1D6B"/>
    <w:rsid w:val="00CB1DE2"/>
    <w:rsid w:val="00CB1E46"/>
    <w:rsid w:val="00CB1E96"/>
    <w:rsid w:val="00CB1FAA"/>
    <w:rsid w:val="00CB1FBF"/>
    <w:rsid w:val="00CB2000"/>
    <w:rsid w:val="00CB20F6"/>
    <w:rsid w:val="00CB218F"/>
    <w:rsid w:val="00CB21E2"/>
    <w:rsid w:val="00CB224A"/>
    <w:rsid w:val="00CB2323"/>
    <w:rsid w:val="00CB23B9"/>
    <w:rsid w:val="00CB2417"/>
    <w:rsid w:val="00CB2520"/>
    <w:rsid w:val="00CB25F3"/>
    <w:rsid w:val="00CB267F"/>
    <w:rsid w:val="00CB284A"/>
    <w:rsid w:val="00CB2886"/>
    <w:rsid w:val="00CB28DA"/>
    <w:rsid w:val="00CB2D72"/>
    <w:rsid w:val="00CB3198"/>
    <w:rsid w:val="00CB325E"/>
    <w:rsid w:val="00CB3525"/>
    <w:rsid w:val="00CB3604"/>
    <w:rsid w:val="00CB36A5"/>
    <w:rsid w:val="00CB3924"/>
    <w:rsid w:val="00CB3A55"/>
    <w:rsid w:val="00CB3B56"/>
    <w:rsid w:val="00CB3DC2"/>
    <w:rsid w:val="00CB3F6B"/>
    <w:rsid w:val="00CB4452"/>
    <w:rsid w:val="00CB468E"/>
    <w:rsid w:val="00CB473C"/>
    <w:rsid w:val="00CB4918"/>
    <w:rsid w:val="00CB4ADB"/>
    <w:rsid w:val="00CB50BD"/>
    <w:rsid w:val="00CB5228"/>
    <w:rsid w:val="00CB52A3"/>
    <w:rsid w:val="00CB5600"/>
    <w:rsid w:val="00CB56AA"/>
    <w:rsid w:val="00CB5F2C"/>
    <w:rsid w:val="00CB5F6B"/>
    <w:rsid w:val="00CB60D4"/>
    <w:rsid w:val="00CB64C7"/>
    <w:rsid w:val="00CB65BA"/>
    <w:rsid w:val="00CB6867"/>
    <w:rsid w:val="00CB68CE"/>
    <w:rsid w:val="00CB6903"/>
    <w:rsid w:val="00CB6B0B"/>
    <w:rsid w:val="00CB6E89"/>
    <w:rsid w:val="00CB719A"/>
    <w:rsid w:val="00CB721F"/>
    <w:rsid w:val="00CB7458"/>
    <w:rsid w:val="00CB751E"/>
    <w:rsid w:val="00CB7533"/>
    <w:rsid w:val="00CB76A8"/>
    <w:rsid w:val="00CB7B30"/>
    <w:rsid w:val="00CB7D5A"/>
    <w:rsid w:val="00CB7E8E"/>
    <w:rsid w:val="00CB7F73"/>
    <w:rsid w:val="00CB7FA1"/>
    <w:rsid w:val="00CC0013"/>
    <w:rsid w:val="00CC03D3"/>
    <w:rsid w:val="00CC0A68"/>
    <w:rsid w:val="00CC0B4B"/>
    <w:rsid w:val="00CC0E3A"/>
    <w:rsid w:val="00CC1179"/>
    <w:rsid w:val="00CC132A"/>
    <w:rsid w:val="00CC1335"/>
    <w:rsid w:val="00CC15B4"/>
    <w:rsid w:val="00CC1719"/>
    <w:rsid w:val="00CC1DB9"/>
    <w:rsid w:val="00CC2067"/>
    <w:rsid w:val="00CC25CC"/>
    <w:rsid w:val="00CC2708"/>
    <w:rsid w:val="00CC2841"/>
    <w:rsid w:val="00CC2948"/>
    <w:rsid w:val="00CC2C5E"/>
    <w:rsid w:val="00CC2DE9"/>
    <w:rsid w:val="00CC300F"/>
    <w:rsid w:val="00CC3190"/>
    <w:rsid w:val="00CC33BF"/>
    <w:rsid w:val="00CC3456"/>
    <w:rsid w:val="00CC3740"/>
    <w:rsid w:val="00CC3778"/>
    <w:rsid w:val="00CC4114"/>
    <w:rsid w:val="00CC4371"/>
    <w:rsid w:val="00CC4A0C"/>
    <w:rsid w:val="00CC4B51"/>
    <w:rsid w:val="00CC51E5"/>
    <w:rsid w:val="00CC53E6"/>
    <w:rsid w:val="00CC5709"/>
    <w:rsid w:val="00CC59A7"/>
    <w:rsid w:val="00CC59B1"/>
    <w:rsid w:val="00CC5DFB"/>
    <w:rsid w:val="00CC642A"/>
    <w:rsid w:val="00CC64AF"/>
    <w:rsid w:val="00CC65D9"/>
    <w:rsid w:val="00CC65F4"/>
    <w:rsid w:val="00CC6731"/>
    <w:rsid w:val="00CC67A0"/>
    <w:rsid w:val="00CC6833"/>
    <w:rsid w:val="00CC6BC3"/>
    <w:rsid w:val="00CC6BF8"/>
    <w:rsid w:val="00CC6C6F"/>
    <w:rsid w:val="00CC72DB"/>
    <w:rsid w:val="00CC78E7"/>
    <w:rsid w:val="00CC7DA7"/>
    <w:rsid w:val="00CC7F8F"/>
    <w:rsid w:val="00CD016A"/>
    <w:rsid w:val="00CD018C"/>
    <w:rsid w:val="00CD04AD"/>
    <w:rsid w:val="00CD0619"/>
    <w:rsid w:val="00CD07C2"/>
    <w:rsid w:val="00CD0A2D"/>
    <w:rsid w:val="00CD0ADE"/>
    <w:rsid w:val="00CD0B90"/>
    <w:rsid w:val="00CD0D77"/>
    <w:rsid w:val="00CD0FD4"/>
    <w:rsid w:val="00CD1035"/>
    <w:rsid w:val="00CD1040"/>
    <w:rsid w:val="00CD112B"/>
    <w:rsid w:val="00CD1286"/>
    <w:rsid w:val="00CD14F9"/>
    <w:rsid w:val="00CD154C"/>
    <w:rsid w:val="00CD15BC"/>
    <w:rsid w:val="00CD16FB"/>
    <w:rsid w:val="00CD189F"/>
    <w:rsid w:val="00CD1AB4"/>
    <w:rsid w:val="00CD1C6E"/>
    <w:rsid w:val="00CD2172"/>
    <w:rsid w:val="00CD23A9"/>
    <w:rsid w:val="00CD23AA"/>
    <w:rsid w:val="00CD2523"/>
    <w:rsid w:val="00CD25FD"/>
    <w:rsid w:val="00CD262D"/>
    <w:rsid w:val="00CD27D2"/>
    <w:rsid w:val="00CD2844"/>
    <w:rsid w:val="00CD2A57"/>
    <w:rsid w:val="00CD2BE6"/>
    <w:rsid w:val="00CD32DA"/>
    <w:rsid w:val="00CD374F"/>
    <w:rsid w:val="00CD3C72"/>
    <w:rsid w:val="00CD3CCD"/>
    <w:rsid w:val="00CD3F6A"/>
    <w:rsid w:val="00CD432C"/>
    <w:rsid w:val="00CD4914"/>
    <w:rsid w:val="00CD4B04"/>
    <w:rsid w:val="00CD4B4D"/>
    <w:rsid w:val="00CD4C8E"/>
    <w:rsid w:val="00CD4E03"/>
    <w:rsid w:val="00CD4F8F"/>
    <w:rsid w:val="00CD5608"/>
    <w:rsid w:val="00CD5B61"/>
    <w:rsid w:val="00CD5C7A"/>
    <w:rsid w:val="00CD5E39"/>
    <w:rsid w:val="00CD61E2"/>
    <w:rsid w:val="00CD62FB"/>
    <w:rsid w:val="00CD65F3"/>
    <w:rsid w:val="00CD6603"/>
    <w:rsid w:val="00CD683D"/>
    <w:rsid w:val="00CD6CC5"/>
    <w:rsid w:val="00CD6D4E"/>
    <w:rsid w:val="00CD6E92"/>
    <w:rsid w:val="00CD6EC0"/>
    <w:rsid w:val="00CD6FC5"/>
    <w:rsid w:val="00CD7135"/>
    <w:rsid w:val="00CD7799"/>
    <w:rsid w:val="00CD7B3F"/>
    <w:rsid w:val="00CD7CB1"/>
    <w:rsid w:val="00CD7CB7"/>
    <w:rsid w:val="00CD7FDA"/>
    <w:rsid w:val="00CE04C4"/>
    <w:rsid w:val="00CE08C9"/>
    <w:rsid w:val="00CE09F9"/>
    <w:rsid w:val="00CE0A4D"/>
    <w:rsid w:val="00CE0C6C"/>
    <w:rsid w:val="00CE0C9F"/>
    <w:rsid w:val="00CE0ED9"/>
    <w:rsid w:val="00CE0F06"/>
    <w:rsid w:val="00CE12C7"/>
    <w:rsid w:val="00CE12CD"/>
    <w:rsid w:val="00CE1460"/>
    <w:rsid w:val="00CE14C7"/>
    <w:rsid w:val="00CE1BAA"/>
    <w:rsid w:val="00CE1BD9"/>
    <w:rsid w:val="00CE1E46"/>
    <w:rsid w:val="00CE1F47"/>
    <w:rsid w:val="00CE24F1"/>
    <w:rsid w:val="00CE27D7"/>
    <w:rsid w:val="00CE28FD"/>
    <w:rsid w:val="00CE295E"/>
    <w:rsid w:val="00CE2D6B"/>
    <w:rsid w:val="00CE3130"/>
    <w:rsid w:val="00CE314E"/>
    <w:rsid w:val="00CE320C"/>
    <w:rsid w:val="00CE36BF"/>
    <w:rsid w:val="00CE380A"/>
    <w:rsid w:val="00CE3AA6"/>
    <w:rsid w:val="00CE3F7F"/>
    <w:rsid w:val="00CE4FB6"/>
    <w:rsid w:val="00CE50F4"/>
    <w:rsid w:val="00CE5741"/>
    <w:rsid w:val="00CE58B4"/>
    <w:rsid w:val="00CE5B2C"/>
    <w:rsid w:val="00CE5C9F"/>
    <w:rsid w:val="00CE5CEF"/>
    <w:rsid w:val="00CE5D14"/>
    <w:rsid w:val="00CE5F6C"/>
    <w:rsid w:val="00CE61D2"/>
    <w:rsid w:val="00CE6424"/>
    <w:rsid w:val="00CE6721"/>
    <w:rsid w:val="00CE67BB"/>
    <w:rsid w:val="00CE6821"/>
    <w:rsid w:val="00CE69AD"/>
    <w:rsid w:val="00CE6C66"/>
    <w:rsid w:val="00CE6D9A"/>
    <w:rsid w:val="00CE6F2E"/>
    <w:rsid w:val="00CE7189"/>
    <w:rsid w:val="00CE74B6"/>
    <w:rsid w:val="00CE77DD"/>
    <w:rsid w:val="00CE7820"/>
    <w:rsid w:val="00CE78A6"/>
    <w:rsid w:val="00CE7958"/>
    <w:rsid w:val="00CE7A89"/>
    <w:rsid w:val="00CE7AD6"/>
    <w:rsid w:val="00CE7BE9"/>
    <w:rsid w:val="00CE7C14"/>
    <w:rsid w:val="00CF00A3"/>
    <w:rsid w:val="00CF00F6"/>
    <w:rsid w:val="00CF0438"/>
    <w:rsid w:val="00CF04CF"/>
    <w:rsid w:val="00CF06FE"/>
    <w:rsid w:val="00CF09CE"/>
    <w:rsid w:val="00CF0AD9"/>
    <w:rsid w:val="00CF0BFD"/>
    <w:rsid w:val="00CF0CEA"/>
    <w:rsid w:val="00CF0FEA"/>
    <w:rsid w:val="00CF10E9"/>
    <w:rsid w:val="00CF1212"/>
    <w:rsid w:val="00CF14B9"/>
    <w:rsid w:val="00CF17AA"/>
    <w:rsid w:val="00CF18B3"/>
    <w:rsid w:val="00CF195B"/>
    <w:rsid w:val="00CF210B"/>
    <w:rsid w:val="00CF2272"/>
    <w:rsid w:val="00CF246B"/>
    <w:rsid w:val="00CF276D"/>
    <w:rsid w:val="00CF28D8"/>
    <w:rsid w:val="00CF2948"/>
    <w:rsid w:val="00CF2DCD"/>
    <w:rsid w:val="00CF2ED7"/>
    <w:rsid w:val="00CF31BC"/>
    <w:rsid w:val="00CF3810"/>
    <w:rsid w:val="00CF39A6"/>
    <w:rsid w:val="00CF39D2"/>
    <w:rsid w:val="00CF41C4"/>
    <w:rsid w:val="00CF442B"/>
    <w:rsid w:val="00CF472C"/>
    <w:rsid w:val="00CF4C8A"/>
    <w:rsid w:val="00CF4C97"/>
    <w:rsid w:val="00CF4D62"/>
    <w:rsid w:val="00CF4EB7"/>
    <w:rsid w:val="00CF4FD1"/>
    <w:rsid w:val="00CF5233"/>
    <w:rsid w:val="00CF531F"/>
    <w:rsid w:val="00CF5488"/>
    <w:rsid w:val="00CF576E"/>
    <w:rsid w:val="00CF57C0"/>
    <w:rsid w:val="00CF6006"/>
    <w:rsid w:val="00CF6036"/>
    <w:rsid w:val="00CF605E"/>
    <w:rsid w:val="00CF6195"/>
    <w:rsid w:val="00CF628C"/>
    <w:rsid w:val="00CF6596"/>
    <w:rsid w:val="00CF6643"/>
    <w:rsid w:val="00CF6A3A"/>
    <w:rsid w:val="00CF6B41"/>
    <w:rsid w:val="00CF6C3B"/>
    <w:rsid w:val="00CF6DBB"/>
    <w:rsid w:val="00CF6DDD"/>
    <w:rsid w:val="00CF6DF2"/>
    <w:rsid w:val="00CF6EC9"/>
    <w:rsid w:val="00CF71DC"/>
    <w:rsid w:val="00CF7235"/>
    <w:rsid w:val="00CF74BB"/>
    <w:rsid w:val="00CF75D7"/>
    <w:rsid w:val="00CF77E3"/>
    <w:rsid w:val="00CF786E"/>
    <w:rsid w:val="00CF788D"/>
    <w:rsid w:val="00CF7AD2"/>
    <w:rsid w:val="00CF7B11"/>
    <w:rsid w:val="00CF7B2B"/>
    <w:rsid w:val="00D00276"/>
    <w:rsid w:val="00D003E5"/>
    <w:rsid w:val="00D006F4"/>
    <w:rsid w:val="00D0091F"/>
    <w:rsid w:val="00D00B9E"/>
    <w:rsid w:val="00D00BEA"/>
    <w:rsid w:val="00D00E26"/>
    <w:rsid w:val="00D00F18"/>
    <w:rsid w:val="00D01392"/>
    <w:rsid w:val="00D016BE"/>
    <w:rsid w:val="00D01859"/>
    <w:rsid w:val="00D019A1"/>
    <w:rsid w:val="00D01A4A"/>
    <w:rsid w:val="00D01A63"/>
    <w:rsid w:val="00D01B04"/>
    <w:rsid w:val="00D01B51"/>
    <w:rsid w:val="00D01B55"/>
    <w:rsid w:val="00D01C12"/>
    <w:rsid w:val="00D01C48"/>
    <w:rsid w:val="00D01DF3"/>
    <w:rsid w:val="00D01E49"/>
    <w:rsid w:val="00D01F3C"/>
    <w:rsid w:val="00D02070"/>
    <w:rsid w:val="00D02219"/>
    <w:rsid w:val="00D02294"/>
    <w:rsid w:val="00D02412"/>
    <w:rsid w:val="00D0242E"/>
    <w:rsid w:val="00D029F2"/>
    <w:rsid w:val="00D02A78"/>
    <w:rsid w:val="00D02BD0"/>
    <w:rsid w:val="00D02D68"/>
    <w:rsid w:val="00D02F1A"/>
    <w:rsid w:val="00D03581"/>
    <w:rsid w:val="00D036C9"/>
    <w:rsid w:val="00D036D7"/>
    <w:rsid w:val="00D0378B"/>
    <w:rsid w:val="00D03884"/>
    <w:rsid w:val="00D0397F"/>
    <w:rsid w:val="00D03A7C"/>
    <w:rsid w:val="00D03E85"/>
    <w:rsid w:val="00D0414C"/>
    <w:rsid w:val="00D04314"/>
    <w:rsid w:val="00D043F2"/>
    <w:rsid w:val="00D044D5"/>
    <w:rsid w:val="00D04684"/>
    <w:rsid w:val="00D046DC"/>
    <w:rsid w:val="00D04853"/>
    <w:rsid w:val="00D048E3"/>
    <w:rsid w:val="00D049CB"/>
    <w:rsid w:val="00D04F3C"/>
    <w:rsid w:val="00D04F46"/>
    <w:rsid w:val="00D0573E"/>
    <w:rsid w:val="00D058E0"/>
    <w:rsid w:val="00D05BB2"/>
    <w:rsid w:val="00D05E58"/>
    <w:rsid w:val="00D062A8"/>
    <w:rsid w:val="00D06567"/>
    <w:rsid w:val="00D065E9"/>
    <w:rsid w:val="00D067C0"/>
    <w:rsid w:val="00D067E0"/>
    <w:rsid w:val="00D06D91"/>
    <w:rsid w:val="00D06EEA"/>
    <w:rsid w:val="00D06F1A"/>
    <w:rsid w:val="00D07122"/>
    <w:rsid w:val="00D0721D"/>
    <w:rsid w:val="00D07222"/>
    <w:rsid w:val="00D07472"/>
    <w:rsid w:val="00D07656"/>
    <w:rsid w:val="00D07891"/>
    <w:rsid w:val="00D078E5"/>
    <w:rsid w:val="00D0793F"/>
    <w:rsid w:val="00D079E8"/>
    <w:rsid w:val="00D07ADC"/>
    <w:rsid w:val="00D07AE1"/>
    <w:rsid w:val="00D100C9"/>
    <w:rsid w:val="00D101A8"/>
    <w:rsid w:val="00D10484"/>
    <w:rsid w:val="00D1089A"/>
    <w:rsid w:val="00D10B9A"/>
    <w:rsid w:val="00D1108F"/>
    <w:rsid w:val="00D111B5"/>
    <w:rsid w:val="00D11408"/>
    <w:rsid w:val="00D11423"/>
    <w:rsid w:val="00D11769"/>
    <w:rsid w:val="00D117A1"/>
    <w:rsid w:val="00D11A76"/>
    <w:rsid w:val="00D11D6B"/>
    <w:rsid w:val="00D11E68"/>
    <w:rsid w:val="00D11E7A"/>
    <w:rsid w:val="00D11EB5"/>
    <w:rsid w:val="00D1271A"/>
    <w:rsid w:val="00D1289C"/>
    <w:rsid w:val="00D12E12"/>
    <w:rsid w:val="00D12EE9"/>
    <w:rsid w:val="00D1309E"/>
    <w:rsid w:val="00D13186"/>
    <w:rsid w:val="00D133E4"/>
    <w:rsid w:val="00D13413"/>
    <w:rsid w:val="00D1342A"/>
    <w:rsid w:val="00D1348F"/>
    <w:rsid w:val="00D135C1"/>
    <w:rsid w:val="00D137B0"/>
    <w:rsid w:val="00D13E7D"/>
    <w:rsid w:val="00D13F33"/>
    <w:rsid w:val="00D142E6"/>
    <w:rsid w:val="00D142EE"/>
    <w:rsid w:val="00D1449A"/>
    <w:rsid w:val="00D14504"/>
    <w:rsid w:val="00D1494C"/>
    <w:rsid w:val="00D14AA3"/>
    <w:rsid w:val="00D14AB9"/>
    <w:rsid w:val="00D14D96"/>
    <w:rsid w:val="00D14E46"/>
    <w:rsid w:val="00D150A9"/>
    <w:rsid w:val="00D1523B"/>
    <w:rsid w:val="00D1526B"/>
    <w:rsid w:val="00D152C8"/>
    <w:rsid w:val="00D152F5"/>
    <w:rsid w:val="00D1532B"/>
    <w:rsid w:val="00D153E8"/>
    <w:rsid w:val="00D1543A"/>
    <w:rsid w:val="00D154B1"/>
    <w:rsid w:val="00D154FD"/>
    <w:rsid w:val="00D15567"/>
    <w:rsid w:val="00D1589E"/>
    <w:rsid w:val="00D160AC"/>
    <w:rsid w:val="00D161DA"/>
    <w:rsid w:val="00D16241"/>
    <w:rsid w:val="00D16274"/>
    <w:rsid w:val="00D163D9"/>
    <w:rsid w:val="00D164B5"/>
    <w:rsid w:val="00D164D5"/>
    <w:rsid w:val="00D16571"/>
    <w:rsid w:val="00D165A1"/>
    <w:rsid w:val="00D16640"/>
    <w:rsid w:val="00D16649"/>
    <w:rsid w:val="00D16854"/>
    <w:rsid w:val="00D169D6"/>
    <w:rsid w:val="00D169DF"/>
    <w:rsid w:val="00D16CE5"/>
    <w:rsid w:val="00D16ECA"/>
    <w:rsid w:val="00D176C3"/>
    <w:rsid w:val="00D177CB"/>
    <w:rsid w:val="00D17966"/>
    <w:rsid w:val="00D17A05"/>
    <w:rsid w:val="00D17A3D"/>
    <w:rsid w:val="00D17A6A"/>
    <w:rsid w:val="00D17DCE"/>
    <w:rsid w:val="00D17F15"/>
    <w:rsid w:val="00D20048"/>
    <w:rsid w:val="00D20302"/>
    <w:rsid w:val="00D20314"/>
    <w:rsid w:val="00D2068B"/>
    <w:rsid w:val="00D20BBD"/>
    <w:rsid w:val="00D20F4A"/>
    <w:rsid w:val="00D21017"/>
    <w:rsid w:val="00D21331"/>
    <w:rsid w:val="00D2155D"/>
    <w:rsid w:val="00D21882"/>
    <w:rsid w:val="00D21BCA"/>
    <w:rsid w:val="00D21BEB"/>
    <w:rsid w:val="00D21F33"/>
    <w:rsid w:val="00D21FCF"/>
    <w:rsid w:val="00D2228E"/>
    <w:rsid w:val="00D22634"/>
    <w:rsid w:val="00D22A61"/>
    <w:rsid w:val="00D22A96"/>
    <w:rsid w:val="00D23167"/>
    <w:rsid w:val="00D23292"/>
    <w:rsid w:val="00D232D3"/>
    <w:rsid w:val="00D2341B"/>
    <w:rsid w:val="00D234A2"/>
    <w:rsid w:val="00D236AA"/>
    <w:rsid w:val="00D23762"/>
    <w:rsid w:val="00D2397A"/>
    <w:rsid w:val="00D240C0"/>
    <w:rsid w:val="00D24164"/>
    <w:rsid w:val="00D241A9"/>
    <w:rsid w:val="00D24278"/>
    <w:rsid w:val="00D244FE"/>
    <w:rsid w:val="00D24545"/>
    <w:rsid w:val="00D246C2"/>
    <w:rsid w:val="00D2477C"/>
    <w:rsid w:val="00D248E5"/>
    <w:rsid w:val="00D24987"/>
    <w:rsid w:val="00D24B5A"/>
    <w:rsid w:val="00D24C12"/>
    <w:rsid w:val="00D24CFC"/>
    <w:rsid w:val="00D24DC0"/>
    <w:rsid w:val="00D25053"/>
    <w:rsid w:val="00D251E1"/>
    <w:rsid w:val="00D2549E"/>
    <w:rsid w:val="00D25562"/>
    <w:rsid w:val="00D255E6"/>
    <w:rsid w:val="00D258D9"/>
    <w:rsid w:val="00D25CF3"/>
    <w:rsid w:val="00D25E9D"/>
    <w:rsid w:val="00D25FB4"/>
    <w:rsid w:val="00D26125"/>
    <w:rsid w:val="00D26126"/>
    <w:rsid w:val="00D26249"/>
    <w:rsid w:val="00D26378"/>
    <w:rsid w:val="00D26473"/>
    <w:rsid w:val="00D265BB"/>
    <w:rsid w:val="00D265F9"/>
    <w:rsid w:val="00D26627"/>
    <w:rsid w:val="00D266E5"/>
    <w:rsid w:val="00D268CF"/>
    <w:rsid w:val="00D26B01"/>
    <w:rsid w:val="00D26B1A"/>
    <w:rsid w:val="00D26E01"/>
    <w:rsid w:val="00D26EC7"/>
    <w:rsid w:val="00D27061"/>
    <w:rsid w:val="00D2746B"/>
    <w:rsid w:val="00D278BF"/>
    <w:rsid w:val="00D27954"/>
    <w:rsid w:val="00D27AA8"/>
    <w:rsid w:val="00D27AD3"/>
    <w:rsid w:val="00D27C67"/>
    <w:rsid w:val="00D27D38"/>
    <w:rsid w:val="00D27F5E"/>
    <w:rsid w:val="00D3017F"/>
    <w:rsid w:val="00D3036D"/>
    <w:rsid w:val="00D3052F"/>
    <w:rsid w:val="00D3058E"/>
    <w:rsid w:val="00D3080F"/>
    <w:rsid w:val="00D30A10"/>
    <w:rsid w:val="00D30BAC"/>
    <w:rsid w:val="00D30BCF"/>
    <w:rsid w:val="00D30C0F"/>
    <w:rsid w:val="00D30D2E"/>
    <w:rsid w:val="00D30D6C"/>
    <w:rsid w:val="00D30E69"/>
    <w:rsid w:val="00D31632"/>
    <w:rsid w:val="00D31785"/>
    <w:rsid w:val="00D3240D"/>
    <w:rsid w:val="00D324E9"/>
    <w:rsid w:val="00D324EF"/>
    <w:rsid w:val="00D327A6"/>
    <w:rsid w:val="00D32C87"/>
    <w:rsid w:val="00D32EC7"/>
    <w:rsid w:val="00D330D4"/>
    <w:rsid w:val="00D33128"/>
    <w:rsid w:val="00D333D7"/>
    <w:rsid w:val="00D33428"/>
    <w:rsid w:val="00D334A5"/>
    <w:rsid w:val="00D33C86"/>
    <w:rsid w:val="00D33DCE"/>
    <w:rsid w:val="00D33FE6"/>
    <w:rsid w:val="00D342F2"/>
    <w:rsid w:val="00D34926"/>
    <w:rsid w:val="00D349B2"/>
    <w:rsid w:val="00D34CCB"/>
    <w:rsid w:val="00D34F20"/>
    <w:rsid w:val="00D35442"/>
    <w:rsid w:val="00D354E2"/>
    <w:rsid w:val="00D35533"/>
    <w:rsid w:val="00D3560C"/>
    <w:rsid w:val="00D35A3D"/>
    <w:rsid w:val="00D35FC2"/>
    <w:rsid w:val="00D3602B"/>
    <w:rsid w:val="00D36094"/>
    <w:rsid w:val="00D3619B"/>
    <w:rsid w:val="00D361F4"/>
    <w:rsid w:val="00D365BE"/>
    <w:rsid w:val="00D365E4"/>
    <w:rsid w:val="00D365EE"/>
    <w:rsid w:val="00D36820"/>
    <w:rsid w:val="00D36B67"/>
    <w:rsid w:val="00D36C73"/>
    <w:rsid w:val="00D36F80"/>
    <w:rsid w:val="00D37453"/>
    <w:rsid w:val="00D37845"/>
    <w:rsid w:val="00D378FB"/>
    <w:rsid w:val="00D3790E"/>
    <w:rsid w:val="00D37A8D"/>
    <w:rsid w:val="00D37AF7"/>
    <w:rsid w:val="00D37C71"/>
    <w:rsid w:val="00D37E1C"/>
    <w:rsid w:val="00D37F9C"/>
    <w:rsid w:val="00D400EE"/>
    <w:rsid w:val="00D40222"/>
    <w:rsid w:val="00D40324"/>
    <w:rsid w:val="00D4066B"/>
    <w:rsid w:val="00D40B84"/>
    <w:rsid w:val="00D40BBB"/>
    <w:rsid w:val="00D40BE7"/>
    <w:rsid w:val="00D40D94"/>
    <w:rsid w:val="00D40F3C"/>
    <w:rsid w:val="00D411D1"/>
    <w:rsid w:val="00D414D4"/>
    <w:rsid w:val="00D417B2"/>
    <w:rsid w:val="00D417D2"/>
    <w:rsid w:val="00D41BD2"/>
    <w:rsid w:val="00D41CBB"/>
    <w:rsid w:val="00D41DD2"/>
    <w:rsid w:val="00D41E67"/>
    <w:rsid w:val="00D42058"/>
    <w:rsid w:val="00D42177"/>
    <w:rsid w:val="00D42219"/>
    <w:rsid w:val="00D422B0"/>
    <w:rsid w:val="00D4264F"/>
    <w:rsid w:val="00D4289F"/>
    <w:rsid w:val="00D42B61"/>
    <w:rsid w:val="00D42D1C"/>
    <w:rsid w:val="00D42E66"/>
    <w:rsid w:val="00D42FF6"/>
    <w:rsid w:val="00D43061"/>
    <w:rsid w:val="00D43086"/>
    <w:rsid w:val="00D432B5"/>
    <w:rsid w:val="00D4342C"/>
    <w:rsid w:val="00D43481"/>
    <w:rsid w:val="00D43531"/>
    <w:rsid w:val="00D43594"/>
    <w:rsid w:val="00D435F4"/>
    <w:rsid w:val="00D43AFB"/>
    <w:rsid w:val="00D43B82"/>
    <w:rsid w:val="00D43C94"/>
    <w:rsid w:val="00D43CB9"/>
    <w:rsid w:val="00D43D46"/>
    <w:rsid w:val="00D43F87"/>
    <w:rsid w:val="00D4466F"/>
    <w:rsid w:val="00D44918"/>
    <w:rsid w:val="00D44935"/>
    <w:rsid w:val="00D44B87"/>
    <w:rsid w:val="00D44BB0"/>
    <w:rsid w:val="00D44CD2"/>
    <w:rsid w:val="00D44E86"/>
    <w:rsid w:val="00D44F50"/>
    <w:rsid w:val="00D44FC8"/>
    <w:rsid w:val="00D45032"/>
    <w:rsid w:val="00D45145"/>
    <w:rsid w:val="00D45352"/>
    <w:rsid w:val="00D4547A"/>
    <w:rsid w:val="00D45534"/>
    <w:rsid w:val="00D458E9"/>
    <w:rsid w:val="00D458EC"/>
    <w:rsid w:val="00D45976"/>
    <w:rsid w:val="00D45A1C"/>
    <w:rsid w:val="00D45C7D"/>
    <w:rsid w:val="00D45E37"/>
    <w:rsid w:val="00D45EA8"/>
    <w:rsid w:val="00D45F8B"/>
    <w:rsid w:val="00D45FE3"/>
    <w:rsid w:val="00D462A9"/>
    <w:rsid w:val="00D4642A"/>
    <w:rsid w:val="00D4688A"/>
    <w:rsid w:val="00D4694A"/>
    <w:rsid w:val="00D46A21"/>
    <w:rsid w:val="00D46B47"/>
    <w:rsid w:val="00D46C28"/>
    <w:rsid w:val="00D46C61"/>
    <w:rsid w:val="00D46EB1"/>
    <w:rsid w:val="00D471E4"/>
    <w:rsid w:val="00D47559"/>
    <w:rsid w:val="00D47696"/>
    <w:rsid w:val="00D47FBD"/>
    <w:rsid w:val="00D502C9"/>
    <w:rsid w:val="00D50367"/>
    <w:rsid w:val="00D50475"/>
    <w:rsid w:val="00D505D4"/>
    <w:rsid w:val="00D50618"/>
    <w:rsid w:val="00D506A1"/>
    <w:rsid w:val="00D506A9"/>
    <w:rsid w:val="00D50907"/>
    <w:rsid w:val="00D50EB5"/>
    <w:rsid w:val="00D510AF"/>
    <w:rsid w:val="00D511D5"/>
    <w:rsid w:val="00D513AF"/>
    <w:rsid w:val="00D5198D"/>
    <w:rsid w:val="00D51B39"/>
    <w:rsid w:val="00D51D85"/>
    <w:rsid w:val="00D51F0B"/>
    <w:rsid w:val="00D52079"/>
    <w:rsid w:val="00D52100"/>
    <w:rsid w:val="00D521D9"/>
    <w:rsid w:val="00D52500"/>
    <w:rsid w:val="00D52602"/>
    <w:rsid w:val="00D5280A"/>
    <w:rsid w:val="00D53119"/>
    <w:rsid w:val="00D5324A"/>
    <w:rsid w:val="00D532E8"/>
    <w:rsid w:val="00D53542"/>
    <w:rsid w:val="00D53A44"/>
    <w:rsid w:val="00D53B8E"/>
    <w:rsid w:val="00D53ED6"/>
    <w:rsid w:val="00D540D9"/>
    <w:rsid w:val="00D5417E"/>
    <w:rsid w:val="00D5430B"/>
    <w:rsid w:val="00D54854"/>
    <w:rsid w:val="00D54B23"/>
    <w:rsid w:val="00D54DE1"/>
    <w:rsid w:val="00D54E02"/>
    <w:rsid w:val="00D55591"/>
    <w:rsid w:val="00D55C3F"/>
    <w:rsid w:val="00D5617E"/>
    <w:rsid w:val="00D56197"/>
    <w:rsid w:val="00D56284"/>
    <w:rsid w:val="00D56370"/>
    <w:rsid w:val="00D563E6"/>
    <w:rsid w:val="00D56449"/>
    <w:rsid w:val="00D565EF"/>
    <w:rsid w:val="00D56625"/>
    <w:rsid w:val="00D56914"/>
    <w:rsid w:val="00D5692C"/>
    <w:rsid w:val="00D56C79"/>
    <w:rsid w:val="00D56DB2"/>
    <w:rsid w:val="00D56F94"/>
    <w:rsid w:val="00D56FA7"/>
    <w:rsid w:val="00D57046"/>
    <w:rsid w:val="00D5706E"/>
    <w:rsid w:val="00D570DE"/>
    <w:rsid w:val="00D570E5"/>
    <w:rsid w:val="00D5716F"/>
    <w:rsid w:val="00D57461"/>
    <w:rsid w:val="00D57676"/>
    <w:rsid w:val="00D57902"/>
    <w:rsid w:val="00D605E3"/>
    <w:rsid w:val="00D606FD"/>
    <w:rsid w:val="00D60AB4"/>
    <w:rsid w:val="00D60C3B"/>
    <w:rsid w:val="00D60CD0"/>
    <w:rsid w:val="00D60F59"/>
    <w:rsid w:val="00D6102A"/>
    <w:rsid w:val="00D61216"/>
    <w:rsid w:val="00D615D7"/>
    <w:rsid w:val="00D6171D"/>
    <w:rsid w:val="00D617F7"/>
    <w:rsid w:val="00D61889"/>
    <w:rsid w:val="00D621C3"/>
    <w:rsid w:val="00D623E2"/>
    <w:rsid w:val="00D62692"/>
    <w:rsid w:val="00D62B6D"/>
    <w:rsid w:val="00D62BC3"/>
    <w:rsid w:val="00D62BE6"/>
    <w:rsid w:val="00D62F3B"/>
    <w:rsid w:val="00D630EF"/>
    <w:rsid w:val="00D6337D"/>
    <w:rsid w:val="00D63504"/>
    <w:rsid w:val="00D63725"/>
    <w:rsid w:val="00D63C6D"/>
    <w:rsid w:val="00D63DBC"/>
    <w:rsid w:val="00D64027"/>
    <w:rsid w:val="00D6403F"/>
    <w:rsid w:val="00D642D9"/>
    <w:rsid w:val="00D64928"/>
    <w:rsid w:val="00D64A67"/>
    <w:rsid w:val="00D64FC1"/>
    <w:rsid w:val="00D6509A"/>
    <w:rsid w:val="00D65189"/>
    <w:rsid w:val="00D65244"/>
    <w:rsid w:val="00D654A1"/>
    <w:rsid w:val="00D656DB"/>
    <w:rsid w:val="00D658CD"/>
    <w:rsid w:val="00D65E54"/>
    <w:rsid w:val="00D66333"/>
    <w:rsid w:val="00D668E0"/>
    <w:rsid w:val="00D66962"/>
    <w:rsid w:val="00D66BF9"/>
    <w:rsid w:val="00D66F6D"/>
    <w:rsid w:val="00D67556"/>
    <w:rsid w:val="00D6757A"/>
    <w:rsid w:val="00D6780D"/>
    <w:rsid w:val="00D67ECD"/>
    <w:rsid w:val="00D67F0A"/>
    <w:rsid w:val="00D70223"/>
    <w:rsid w:val="00D7082B"/>
    <w:rsid w:val="00D7091D"/>
    <w:rsid w:val="00D70CE3"/>
    <w:rsid w:val="00D70D95"/>
    <w:rsid w:val="00D71040"/>
    <w:rsid w:val="00D71313"/>
    <w:rsid w:val="00D7149B"/>
    <w:rsid w:val="00D715AC"/>
    <w:rsid w:val="00D71C89"/>
    <w:rsid w:val="00D71F22"/>
    <w:rsid w:val="00D72059"/>
    <w:rsid w:val="00D720A2"/>
    <w:rsid w:val="00D724D1"/>
    <w:rsid w:val="00D7252A"/>
    <w:rsid w:val="00D7275F"/>
    <w:rsid w:val="00D72A5A"/>
    <w:rsid w:val="00D72DF9"/>
    <w:rsid w:val="00D72FE9"/>
    <w:rsid w:val="00D7388C"/>
    <w:rsid w:val="00D73924"/>
    <w:rsid w:val="00D73B3C"/>
    <w:rsid w:val="00D73F12"/>
    <w:rsid w:val="00D73FE2"/>
    <w:rsid w:val="00D74025"/>
    <w:rsid w:val="00D74058"/>
    <w:rsid w:val="00D7410D"/>
    <w:rsid w:val="00D7411C"/>
    <w:rsid w:val="00D7446B"/>
    <w:rsid w:val="00D7465A"/>
    <w:rsid w:val="00D74674"/>
    <w:rsid w:val="00D747AF"/>
    <w:rsid w:val="00D7499A"/>
    <w:rsid w:val="00D749E9"/>
    <w:rsid w:val="00D74AA3"/>
    <w:rsid w:val="00D74AC9"/>
    <w:rsid w:val="00D74CD9"/>
    <w:rsid w:val="00D74F2D"/>
    <w:rsid w:val="00D750D0"/>
    <w:rsid w:val="00D75441"/>
    <w:rsid w:val="00D754FC"/>
    <w:rsid w:val="00D755AA"/>
    <w:rsid w:val="00D75892"/>
    <w:rsid w:val="00D759BF"/>
    <w:rsid w:val="00D75C2E"/>
    <w:rsid w:val="00D75F22"/>
    <w:rsid w:val="00D75F5A"/>
    <w:rsid w:val="00D75F92"/>
    <w:rsid w:val="00D76003"/>
    <w:rsid w:val="00D760EB"/>
    <w:rsid w:val="00D762CA"/>
    <w:rsid w:val="00D7668B"/>
    <w:rsid w:val="00D766F3"/>
    <w:rsid w:val="00D76790"/>
    <w:rsid w:val="00D76BA5"/>
    <w:rsid w:val="00D76C11"/>
    <w:rsid w:val="00D76FE8"/>
    <w:rsid w:val="00D76FF2"/>
    <w:rsid w:val="00D77589"/>
    <w:rsid w:val="00D7765E"/>
    <w:rsid w:val="00D777C3"/>
    <w:rsid w:val="00D779EB"/>
    <w:rsid w:val="00D77BAF"/>
    <w:rsid w:val="00D77C61"/>
    <w:rsid w:val="00D77C7A"/>
    <w:rsid w:val="00D77D3A"/>
    <w:rsid w:val="00D77EDD"/>
    <w:rsid w:val="00D77FC9"/>
    <w:rsid w:val="00D8026E"/>
    <w:rsid w:val="00D803D0"/>
    <w:rsid w:val="00D805DA"/>
    <w:rsid w:val="00D805E3"/>
    <w:rsid w:val="00D806E2"/>
    <w:rsid w:val="00D808C3"/>
    <w:rsid w:val="00D80DAC"/>
    <w:rsid w:val="00D8136C"/>
    <w:rsid w:val="00D8139E"/>
    <w:rsid w:val="00D81581"/>
    <w:rsid w:val="00D815F3"/>
    <w:rsid w:val="00D81B37"/>
    <w:rsid w:val="00D81C7D"/>
    <w:rsid w:val="00D81D05"/>
    <w:rsid w:val="00D81DB1"/>
    <w:rsid w:val="00D820C5"/>
    <w:rsid w:val="00D8214F"/>
    <w:rsid w:val="00D826A2"/>
    <w:rsid w:val="00D827B3"/>
    <w:rsid w:val="00D82889"/>
    <w:rsid w:val="00D82AF1"/>
    <w:rsid w:val="00D82B91"/>
    <w:rsid w:val="00D82E60"/>
    <w:rsid w:val="00D82EB6"/>
    <w:rsid w:val="00D82F01"/>
    <w:rsid w:val="00D83207"/>
    <w:rsid w:val="00D834E5"/>
    <w:rsid w:val="00D835E4"/>
    <w:rsid w:val="00D837BA"/>
    <w:rsid w:val="00D838A9"/>
    <w:rsid w:val="00D83D22"/>
    <w:rsid w:val="00D83EDC"/>
    <w:rsid w:val="00D83F22"/>
    <w:rsid w:val="00D84125"/>
    <w:rsid w:val="00D84411"/>
    <w:rsid w:val="00D84582"/>
    <w:rsid w:val="00D84CC2"/>
    <w:rsid w:val="00D84E39"/>
    <w:rsid w:val="00D84F87"/>
    <w:rsid w:val="00D851FC"/>
    <w:rsid w:val="00D85311"/>
    <w:rsid w:val="00D853E9"/>
    <w:rsid w:val="00D85610"/>
    <w:rsid w:val="00D858B9"/>
    <w:rsid w:val="00D85F1A"/>
    <w:rsid w:val="00D86160"/>
    <w:rsid w:val="00D86532"/>
    <w:rsid w:val="00D8680D"/>
    <w:rsid w:val="00D86864"/>
    <w:rsid w:val="00D86907"/>
    <w:rsid w:val="00D86972"/>
    <w:rsid w:val="00D86981"/>
    <w:rsid w:val="00D872B4"/>
    <w:rsid w:val="00D8732D"/>
    <w:rsid w:val="00D87568"/>
    <w:rsid w:val="00D876BD"/>
    <w:rsid w:val="00D87871"/>
    <w:rsid w:val="00D8793B"/>
    <w:rsid w:val="00D879E1"/>
    <w:rsid w:val="00D87C3E"/>
    <w:rsid w:val="00D87C73"/>
    <w:rsid w:val="00D87D80"/>
    <w:rsid w:val="00D87E7C"/>
    <w:rsid w:val="00D90341"/>
    <w:rsid w:val="00D90499"/>
    <w:rsid w:val="00D907D8"/>
    <w:rsid w:val="00D90843"/>
    <w:rsid w:val="00D90872"/>
    <w:rsid w:val="00D9089D"/>
    <w:rsid w:val="00D908D5"/>
    <w:rsid w:val="00D909DC"/>
    <w:rsid w:val="00D90C85"/>
    <w:rsid w:val="00D91833"/>
    <w:rsid w:val="00D919DE"/>
    <w:rsid w:val="00D91A39"/>
    <w:rsid w:val="00D91AB2"/>
    <w:rsid w:val="00D91B38"/>
    <w:rsid w:val="00D91E86"/>
    <w:rsid w:val="00D91ECD"/>
    <w:rsid w:val="00D91ED7"/>
    <w:rsid w:val="00D921D4"/>
    <w:rsid w:val="00D922FE"/>
    <w:rsid w:val="00D9243C"/>
    <w:rsid w:val="00D9251C"/>
    <w:rsid w:val="00D926A4"/>
    <w:rsid w:val="00D92725"/>
    <w:rsid w:val="00D927AE"/>
    <w:rsid w:val="00D929D4"/>
    <w:rsid w:val="00D92AA2"/>
    <w:rsid w:val="00D92AC7"/>
    <w:rsid w:val="00D92CBD"/>
    <w:rsid w:val="00D92E0C"/>
    <w:rsid w:val="00D93033"/>
    <w:rsid w:val="00D930DE"/>
    <w:rsid w:val="00D932C8"/>
    <w:rsid w:val="00D9343B"/>
    <w:rsid w:val="00D935DA"/>
    <w:rsid w:val="00D9362C"/>
    <w:rsid w:val="00D93647"/>
    <w:rsid w:val="00D93A39"/>
    <w:rsid w:val="00D93AA8"/>
    <w:rsid w:val="00D93B49"/>
    <w:rsid w:val="00D93D21"/>
    <w:rsid w:val="00D93F74"/>
    <w:rsid w:val="00D9409F"/>
    <w:rsid w:val="00D94117"/>
    <w:rsid w:val="00D941C5"/>
    <w:rsid w:val="00D9483D"/>
    <w:rsid w:val="00D94B26"/>
    <w:rsid w:val="00D94DC4"/>
    <w:rsid w:val="00D94FA7"/>
    <w:rsid w:val="00D950B6"/>
    <w:rsid w:val="00D951CA"/>
    <w:rsid w:val="00D95200"/>
    <w:rsid w:val="00D95366"/>
    <w:rsid w:val="00D9536A"/>
    <w:rsid w:val="00D9547F"/>
    <w:rsid w:val="00D958A8"/>
    <w:rsid w:val="00D959B3"/>
    <w:rsid w:val="00D95A65"/>
    <w:rsid w:val="00D95B92"/>
    <w:rsid w:val="00D95FEB"/>
    <w:rsid w:val="00D960E7"/>
    <w:rsid w:val="00D9613F"/>
    <w:rsid w:val="00D964F6"/>
    <w:rsid w:val="00D96663"/>
    <w:rsid w:val="00D966B0"/>
    <w:rsid w:val="00D966F3"/>
    <w:rsid w:val="00D96711"/>
    <w:rsid w:val="00D96A81"/>
    <w:rsid w:val="00D96CC1"/>
    <w:rsid w:val="00D96EF0"/>
    <w:rsid w:val="00D97027"/>
    <w:rsid w:val="00D9703E"/>
    <w:rsid w:val="00D971F4"/>
    <w:rsid w:val="00D973B5"/>
    <w:rsid w:val="00D974C9"/>
    <w:rsid w:val="00D974DC"/>
    <w:rsid w:val="00D9759C"/>
    <w:rsid w:val="00D97649"/>
    <w:rsid w:val="00D977E0"/>
    <w:rsid w:val="00D979A8"/>
    <w:rsid w:val="00DA02A9"/>
    <w:rsid w:val="00DA041D"/>
    <w:rsid w:val="00DA0517"/>
    <w:rsid w:val="00DA07DB"/>
    <w:rsid w:val="00DA0ACD"/>
    <w:rsid w:val="00DA0B68"/>
    <w:rsid w:val="00DA0D03"/>
    <w:rsid w:val="00DA0EDB"/>
    <w:rsid w:val="00DA10CC"/>
    <w:rsid w:val="00DA11E1"/>
    <w:rsid w:val="00DA14FB"/>
    <w:rsid w:val="00DA1554"/>
    <w:rsid w:val="00DA1712"/>
    <w:rsid w:val="00DA177C"/>
    <w:rsid w:val="00DA1ADE"/>
    <w:rsid w:val="00DA1B05"/>
    <w:rsid w:val="00DA1BA4"/>
    <w:rsid w:val="00DA20E8"/>
    <w:rsid w:val="00DA2306"/>
    <w:rsid w:val="00DA2C17"/>
    <w:rsid w:val="00DA2F99"/>
    <w:rsid w:val="00DA3159"/>
    <w:rsid w:val="00DA32B6"/>
    <w:rsid w:val="00DA3928"/>
    <w:rsid w:val="00DA39C6"/>
    <w:rsid w:val="00DA3D0B"/>
    <w:rsid w:val="00DA3E4C"/>
    <w:rsid w:val="00DA44F5"/>
    <w:rsid w:val="00DA456C"/>
    <w:rsid w:val="00DA4771"/>
    <w:rsid w:val="00DA49FA"/>
    <w:rsid w:val="00DA4B39"/>
    <w:rsid w:val="00DA4BB8"/>
    <w:rsid w:val="00DA538F"/>
    <w:rsid w:val="00DA53B9"/>
    <w:rsid w:val="00DA5445"/>
    <w:rsid w:val="00DA5968"/>
    <w:rsid w:val="00DA59CD"/>
    <w:rsid w:val="00DA5AB8"/>
    <w:rsid w:val="00DA5B3A"/>
    <w:rsid w:val="00DA60E9"/>
    <w:rsid w:val="00DA634F"/>
    <w:rsid w:val="00DA63FF"/>
    <w:rsid w:val="00DA651D"/>
    <w:rsid w:val="00DA67CF"/>
    <w:rsid w:val="00DA6B31"/>
    <w:rsid w:val="00DA6BF4"/>
    <w:rsid w:val="00DA6C42"/>
    <w:rsid w:val="00DA6EB2"/>
    <w:rsid w:val="00DA6F66"/>
    <w:rsid w:val="00DA6FEF"/>
    <w:rsid w:val="00DA7110"/>
    <w:rsid w:val="00DA731F"/>
    <w:rsid w:val="00DA757A"/>
    <w:rsid w:val="00DA7589"/>
    <w:rsid w:val="00DA769C"/>
    <w:rsid w:val="00DB0190"/>
    <w:rsid w:val="00DB01E5"/>
    <w:rsid w:val="00DB01F1"/>
    <w:rsid w:val="00DB03DA"/>
    <w:rsid w:val="00DB07B5"/>
    <w:rsid w:val="00DB07FE"/>
    <w:rsid w:val="00DB0808"/>
    <w:rsid w:val="00DB0DBA"/>
    <w:rsid w:val="00DB0E83"/>
    <w:rsid w:val="00DB1268"/>
    <w:rsid w:val="00DB12C4"/>
    <w:rsid w:val="00DB1404"/>
    <w:rsid w:val="00DB14BC"/>
    <w:rsid w:val="00DB1A20"/>
    <w:rsid w:val="00DB1BF2"/>
    <w:rsid w:val="00DB1C74"/>
    <w:rsid w:val="00DB1D71"/>
    <w:rsid w:val="00DB1DE4"/>
    <w:rsid w:val="00DB1E4D"/>
    <w:rsid w:val="00DB1FC5"/>
    <w:rsid w:val="00DB1FF1"/>
    <w:rsid w:val="00DB21E8"/>
    <w:rsid w:val="00DB264E"/>
    <w:rsid w:val="00DB293A"/>
    <w:rsid w:val="00DB2A8C"/>
    <w:rsid w:val="00DB2EDF"/>
    <w:rsid w:val="00DB3033"/>
    <w:rsid w:val="00DB30BA"/>
    <w:rsid w:val="00DB31B0"/>
    <w:rsid w:val="00DB31FB"/>
    <w:rsid w:val="00DB39DF"/>
    <w:rsid w:val="00DB39E5"/>
    <w:rsid w:val="00DB3ACC"/>
    <w:rsid w:val="00DB3E16"/>
    <w:rsid w:val="00DB3ED5"/>
    <w:rsid w:val="00DB413D"/>
    <w:rsid w:val="00DB416B"/>
    <w:rsid w:val="00DB44E7"/>
    <w:rsid w:val="00DB4726"/>
    <w:rsid w:val="00DB4A7B"/>
    <w:rsid w:val="00DB4BA4"/>
    <w:rsid w:val="00DB4C25"/>
    <w:rsid w:val="00DB4D35"/>
    <w:rsid w:val="00DB4E4E"/>
    <w:rsid w:val="00DB5084"/>
    <w:rsid w:val="00DB525B"/>
    <w:rsid w:val="00DB5952"/>
    <w:rsid w:val="00DB5A8B"/>
    <w:rsid w:val="00DB602B"/>
    <w:rsid w:val="00DB6571"/>
    <w:rsid w:val="00DB6583"/>
    <w:rsid w:val="00DB6A53"/>
    <w:rsid w:val="00DB6BB8"/>
    <w:rsid w:val="00DB6BFE"/>
    <w:rsid w:val="00DB6D67"/>
    <w:rsid w:val="00DB6F7D"/>
    <w:rsid w:val="00DB6FAE"/>
    <w:rsid w:val="00DB7109"/>
    <w:rsid w:val="00DB7307"/>
    <w:rsid w:val="00DB749A"/>
    <w:rsid w:val="00DB74FB"/>
    <w:rsid w:val="00DB7632"/>
    <w:rsid w:val="00DB78E1"/>
    <w:rsid w:val="00DB794D"/>
    <w:rsid w:val="00DB79C9"/>
    <w:rsid w:val="00DB7A67"/>
    <w:rsid w:val="00DB7B37"/>
    <w:rsid w:val="00DB7EE9"/>
    <w:rsid w:val="00DC0039"/>
    <w:rsid w:val="00DC012E"/>
    <w:rsid w:val="00DC01D4"/>
    <w:rsid w:val="00DC02B3"/>
    <w:rsid w:val="00DC02ED"/>
    <w:rsid w:val="00DC0340"/>
    <w:rsid w:val="00DC06F0"/>
    <w:rsid w:val="00DC0808"/>
    <w:rsid w:val="00DC0AFE"/>
    <w:rsid w:val="00DC0B0D"/>
    <w:rsid w:val="00DC0BBF"/>
    <w:rsid w:val="00DC0E55"/>
    <w:rsid w:val="00DC110D"/>
    <w:rsid w:val="00DC13C6"/>
    <w:rsid w:val="00DC16F2"/>
    <w:rsid w:val="00DC17CE"/>
    <w:rsid w:val="00DC194B"/>
    <w:rsid w:val="00DC1A32"/>
    <w:rsid w:val="00DC1AA2"/>
    <w:rsid w:val="00DC1B1F"/>
    <w:rsid w:val="00DC1EDD"/>
    <w:rsid w:val="00DC2083"/>
    <w:rsid w:val="00DC208F"/>
    <w:rsid w:val="00DC2174"/>
    <w:rsid w:val="00DC21E8"/>
    <w:rsid w:val="00DC220D"/>
    <w:rsid w:val="00DC228A"/>
    <w:rsid w:val="00DC22C2"/>
    <w:rsid w:val="00DC22C4"/>
    <w:rsid w:val="00DC2413"/>
    <w:rsid w:val="00DC25E1"/>
    <w:rsid w:val="00DC264A"/>
    <w:rsid w:val="00DC2968"/>
    <w:rsid w:val="00DC2970"/>
    <w:rsid w:val="00DC2A23"/>
    <w:rsid w:val="00DC2AEA"/>
    <w:rsid w:val="00DC2DEC"/>
    <w:rsid w:val="00DC3009"/>
    <w:rsid w:val="00DC308E"/>
    <w:rsid w:val="00DC33EC"/>
    <w:rsid w:val="00DC3486"/>
    <w:rsid w:val="00DC3C09"/>
    <w:rsid w:val="00DC3E1A"/>
    <w:rsid w:val="00DC410D"/>
    <w:rsid w:val="00DC41BC"/>
    <w:rsid w:val="00DC41FE"/>
    <w:rsid w:val="00DC4557"/>
    <w:rsid w:val="00DC46BB"/>
    <w:rsid w:val="00DC4BA3"/>
    <w:rsid w:val="00DC4F4F"/>
    <w:rsid w:val="00DC50AB"/>
    <w:rsid w:val="00DC51C5"/>
    <w:rsid w:val="00DC5504"/>
    <w:rsid w:val="00DC564F"/>
    <w:rsid w:val="00DC594D"/>
    <w:rsid w:val="00DC59F9"/>
    <w:rsid w:val="00DC5A35"/>
    <w:rsid w:val="00DC5C6F"/>
    <w:rsid w:val="00DC5C9A"/>
    <w:rsid w:val="00DC5CDA"/>
    <w:rsid w:val="00DC5DAD"/>
    <w:rsid w:val="00DC5E1D"/>
    <w:rsid w:val="00DC6081"/>
    <w:rsid w:val="00DC60A3"/>
    <w:rsid w:val="00DC6DC5"/>
    <w:rsid w:val="00DC6F31"/>
    <w:rsid w:val="00DC73A8"/>
    <w:rsid w:val="00DC7414"/>
    <w:rsid w:val="00DC786D"/>
    <w:rsid w:val="00DC7D73"/>
    <w:rsid w:val="00DD001D"/>
    <w:rsid w:val="00DD012D"/>
    <w:rsid w:val="00DD01D5"/>
    <w:rsid w:val="00DD029E"/>
    <w:rsid w:val="00DD0455"/>
    <w:rsid w:val="00DD0768"/>
    <w:rsid w:val="00DD09C0"/>
    <w:rsid w:val="00DD0AE1"/>
    <w:rsid w:val="00DD0B8B"/>
    <w:rsid w:val="00DD0E70"/>
    <w:rsid w:val="00DD0E92"/>
    <w:rsid w:val="00DD0ED5"/>
    <w:rsid w:val="00DD10E2"/>
    <w:rsid w:val="00DD117B"/>
    <w:rsid w:val="00DD13D4"/>
    <w:rsid w:val="00DD1595"/>
    <w:rsid w:val="00DD175A"/>
    <w:rsid w:val="00DD1785"/>
    <w:rsid w:val="00DD1D58"/>
    <w:rsid w:val="00DD1F61"/>
    <w:rsid w:val="00DD22CC"/>
    <w:rsid w:val="00DD23B4"/>
    <w:rsid w:val="00DD2457"/>
    <w:rsid w:val="00DD2759"/>
    <w:rsid w:val="00DD28D2"/>
    <w:rsid w:val="00DD28FE"/>
    <w:rsid w:val="00DD2BA4"/>
    <w:rsid w:val="00DD2F64"/>
    <w:rsid w:val="00DD3251"/>
    <w:rsid w:val="00DD376F"/>
    <w:rsid w:val="00DD3825"/>
    <w:rsid w:val="00DD3879"/>
    <w:rsid w:val="00DD390E"/>
    <w:rsid w:val="00DD395E"/>
    <w:rsid w:val="00DD3C7B"/>
    <w:rsid w:val="00DD3CEB"/>
    <w:rsid w:val="00DD3DDA"/>
    <w:rsid w:val="00DD3F88"/>
    <w:rsid w:val="00DD40FC"/>
    <w:rsid w:val="00DD43D9"/>
    <w:rsid w:val="00DD4430"/>
    <w:rsid w:val="00DD44A3"/>
    <w:rsid w:val="00DD474C"/>
    <w:rsid w:val="00DD4972"/>
    <w:rsid w:val="00DD4BEC"/>
    <w:rsid w:val="00DD4D4C"/>
    <w:rsid w:val="00DD4E7A"/>
    <w:rsid w:val="00DD507B"/>
    <w:rsid w:val="00DD532C"/>
    <w:rsid w:val="00DD5334"/>
    <w:rsid w:val="00DD54F1"/>
    <w:rsid w:val="00DD5D55"/>
    <w:rsid w:val="00DD668F"/>
    <w:rsid w:val="00DD6814"/>
    <w:rsid w:val="00DD6CCE"/>
    <w:rsid w:val="00DD6DC3"/>
    <w:rsid w:val="00DD6EDE"/>
    <w:rsid w:val="00DD6EF7"/>
    <w:rsid w:val="00DD6F48"/>
    <w:rsid w:val="00DD7202"/>
    <w:rsid w:val="00DD7594"/>
    <w:rsid w:val="00DD7595"/>
    <w:rsid w:val="00DD7665"/>
    <w:rsid w:val="00DD770E"/>
    <w:rsid w:val="00DD797D"/>
    <w:rsid w:val="00DD7AAE"/>
    <w:rsid w:val="00DD7F5E"/>
    <w:rsid w:val="00DE002B"/>
    <w:rsid w:val="00DE003B"/>
    <w:rsid w:val="00DE007C"/>
    <w:rsid w:val="00DE016E"/>
    <w:rsid w:val="00DE01D3"/>
    <w:rsid w:val="00DE0205"/>
    <w:rsid w:val="00DE0206"/>
    <w:rsid w:val="00DE021C"/>
    <w:rsid w:val="00DE0225"/>
    <w:rsid w:val="00DE0405"/>
    <w:rsid w:val="00DE0469"/>
    <w:rsid w:val="00DE0629"/>
    <w:rsid w:val="00DE076D"/>
    <w:rsid w:val="00DE0844"/>
    <w:rsid w:val="00DE0A95"/>
    <w:rsid w:val="00DE0A9F"/>
    <w:rsid w:val="00DE0CEB"/>
    <w:rsid w:val="00DE0D58"/>
    <w:rsid w:val="00DE0DD8"/>
    <w:rsid w:val="00DE0E21"/>
    <w:rsid w:val="00DE0F27"/>
    <w:rsid w:val="00DE0F4D"/>
    <w:rsid w:val="00DE1150"/>
    <w:rsid w:val="00DE1189"/>
    <w:rsid w:val="00DE1366"/>
    <w:rsid w:val="00DE1567"/>
    <w:rsid w:val="00DE1655"/>
    <w:rsid w:val="00DE1792"/>
    <w:rsid w:val="00DE1824"/>
    <w:rsid w:val="00DE18F3"/>
    <w:rsid w:val="00DE1A5D"/>
    <w:rsid w:val="00DE1C69"/>
    <w:rsid w:val="00DE1CB0"/>
    <w:rsid w:val="00DE1E69"/>
    <w:rsid w:val="00DE20B5"/>
    <w:rsid w:val="00DE229B"/>
    <w:rsid w:val="00DE241C"/>
    <w:rsid w:val="00DE247B"/>
    <w:rsid w:val="00DE27C1"/>
    <w:rsid w:val="00DE2828"/>
    <w:rsid w:val="00DE29D7"/>
    <w:rsid w:val="00DE33F7"/>
    <w:rsid w:val="00DE37B3"/>
    <w:rsid w:val="00DE3C4A"/>
    <w:rsid w:val="00DE3D1F"/>
    <w:rsid w:val="00DE4669"/>
    <w:rsid w:val="00DE477B"/>
    <w:rsid w:val="00DE4B12"/>
    <w:rsid w:val="00DE4F69"/>
    <w:rsid w:val="00DE528B"/>
    <w:rsid w:val="00DE5328"/>
    <w:rsid w:val="00DE541F"/>
    <w:rsid w:val="00DE5481"/>
    <w:rsid w:val="00DE59D8"/>
    <w:rsid w:val="00DE5B97"/>
    <w:rsid w:val="00DE60F0"/>
    <w:rsid w:val="00DE6143"/>
    <w:rsid w:val="00DE61F0"/>
    <w:rsid w:val="00DE6612"/>
    <w:rsid w:val="00DE6643"/>
    <w:rsid w:val="00DE68C3"/>
    <w:rsid w:val="00DE73C2"/>
    <w:rsid w:val="00DE73C4"/>
    <w:rsid w:val="00DE75B7"/>
    <w:rsid w:val="00DE772F"/>
    <w:rsid w:val="00DE77D8"/>
    <w:rsid w:val="00DE7C45"/>
    <w:rsid w:val="00DE7E8C"/>
    <w:rsid w:val="00DF012C"/>
    <w:rsid w:val="00DF064E"/>
    <w:rsid w:val="00DF072D"/>
    <w:rsid w:val="00DF0780"/>
    <w:rsid w:val="00DF086E"/>
    <w:rsid w:val="00DF09E2"/>
    <w:rsid w:val="00DF0E5A"/>
    <w:rsid w:val="00DF1009"/>
    <w:rsid w:val="00DF10F1"/>
    <w:rsid w:val="00DF1257"/>
    <w:rsid w:val="00DF13A8"/>
    <w:rsid w:val="00DF140A"/>
    <w:rsid w:val="00DF1741"/>
    <w:rsid w:val="00DF179F"/>
    <w:rsid w:val="00DF1965"/>
    <w:rsid w:val="00DF19EA"/>
    <w:rsid w:val="00DF1A1B"/>
    <w:rsid w:val="00DF1F7D"/>
    <w:rsid w:val="00DF1FDF"/>
    <w:rsid w:val="00DF21E6"/>
    <w:rsid w:val="00DF231B"/>
    <w:rsid w:val="00DF23CA"/>
    <w:rsid w:val="00DF23F7"/>
    <w:rsid w:val="00DF25C1"/>
    <w:rsid w:val="00DF2887"/>
    <w:rsid w:val="00DF2BEA"/>
    <w:rsid w:val="00DF2CFB"/>
    <w:rsid w:val="00DF2D8B"/>
    <w:rsid w:val="00DF2F71"/>
    <w:rsid w:val="00DF3217"/>
    <w:rsid w:val="00DF35F7"/>
    <w:rsid w:val="00DF3684"/>
    <w:rsid w:val="00DF37DE"/>
    <w:rsid w:val="00DF3A2E"/>
    <w:rsid w:val="00DF3AC0"/>
    <w:rsid w:val="00DF3D25"/>
    <w:rsid w:val="00DF3DA6"/>
    <w:rsid w:val="00DF44A4"/>
    <w:rsid w:val="00DF44C9"/>
    <w:rsid w:val="00DF4970"/>
    <w:rsid w:val="00DF4DC7"/>
    <w:rsid w:val="00DF4F2E"/>
    <w:rsid w:val="00DF5225"/>
    <w:rsid w:val="00DF5395"/>
    <w:rsid w:val="00DF53B6"/>
    <w:rsid w:val="00DF57E8"/>
    <w:rsid w:val="00DF5AB8"/>
    <w:rsid w:val="00DF5E44"/>
    <w:rsid w:val="00DF6046"/>
    <w:rsid w:val="00DF62E1"/>
    <w:rsid w:val="00DF67CD"/>
    <w:rsid w:val="00DF67DD"/>
    <w:rsid w:val="00DF68FE"/>
    <w:rsid w:val="00DF6CCE"/>
    <w:rsid w:val="00DF6DCB"/>
    <w:rsid w:val="00DF6E09"/>
    <w:rsid w:val="00DF6E6A"/>
    <w:rsid w:val="00DF703E"/>
    <w:rsid w:val="00DF708D"/>
    <w:rsid w:val="00DF726C"/>
    <w:rsid w:val="00DF76B1"/>
    <w:rsid w:val="00DF7702"/>
    <w:rsid w:val="00DF79DC"/>
    <w:rsid w:val="00DF7A94"/>
    <w:rsid w:val="00DF7BD3"/>
    <w:rsid w:val="00DF7E7F"/>
    <w:rsid w:val="00E00049"/>
    <w:rsid w:val="00E002FA"/>
    <w:rsid w:val="00E002FD"/>
    <w:rsid w:val="00E00337"/>
    <w:rsid w:val="00E004A0"/>
    <w:rsid w:val="00E00596"/>
    <w:rsid w:val="00E009BA"/>
    <w:rsid w:val="00E009BE"/>
    <w:rsid w:val="00E009F1"/>
    <w:rsid w:val="00E00A3C"/>
    <w:rsid w:val="00E00D62"/>
    <w:rsid w:val="00E00D75"/>
    <w:rsid w:val="00E00DFD"/>
    <w:rsid w:val="00E014D1"/>
    <w:rsid w:val="00E01552"/>
    <w:rsid w:val="00E01753"/>
    <w:rsid w:val="00E019EB"/>
    <w:rsid w:val="00E01ADE"/>
    <w:rsid w:val="00E01E6B"/>
    <w:rsid w:val="00E01E9E"/>
    <w:rsid w:val="00E01EE3"/>
    <w:rsid w:val="00E020D5"/>
    <w:rsid w:val="00E0230F"/>
    <w:rsid w:val="00E024CC"/>
    <w:rsid w:val="00E0253E"/>
    <w:rsid w:val="00E02562"/>
    <w:rsid w:val="00E02623"/>
    <w:rsid w:val="00E029A1"/>
    <w:rsid w:val="00E02C32"/>
    <w:rsid w:val="00E02E7B"/>
    <w:rsid w:val="00E03211"/>
    <w:rsid w:val="00E0321E"/>
    <w:rsid w:val="00E03607"/>
    <w:rsid w:val="00E038F1"/>
    <w:rsid w:val="00E03A3B"/>
    <w:rsid w:val="00E03A5B"/>
    <w:rsid w:val="00E03B23"/>
    <w:rsid w:val="00E03C3E"/>
    <w:rsid w:val="00E03C6C"/>
    <w:rsid w:val="00E03E03"/>
    <w:rsid w:val="00E041E5"/>
    <w:rsid w:val="00E045EC"/>
    <w:rsid w:val="00E04790"/>
    <w:rsid w:val="00E04943"/>
    <w:rsid w:val="00E04BDA"/>
    <w:rsid w:val="00E04F3D"/>
    <w:rsid w:val="00E04FEA"/>
    <w:rsid w:val="00E050F1"/>
    <w:rsid w:val="00E0520F"/>
    <w:rsid w:val="00E053F7"/>
    <w:rsid w:val="00E0556C"/>
    <w:rsid w:val="00E055D9"/>
    <w:rsid w:val="00E057B9"/>
    <w:rsid w:val="00E0589B"/>
    <w:rsid w:val="00E05A91"/>
    <w:rsid w:val="00E05C2A"/>
    <w:rsid w:val="00E06067"/>
    <w:rsid w:val="00E06200"/>
    <w:rsid w:val="00E062DF"/>
    <w:rsid w:val="00E06449"/>
    <w:rsid w:val="00E068DC"/>
    <w:rsid w:val="00E06B91"/>
    <w:rsid w:val="00E06C02"/>
    <w:rsid w:val="00E06C10"/>
    <w:rsid w:val="00E06D22"/>
    <w:rsid w:val="00E06DF2"/>
    <w:rsid w:val="00E07142"/>
    <w:rsid w:val="00E071FC"/>
    <w:rsid w:val="00E0725F"/>
    <w:rsid w:val="00E0734E"/>
    <w:rsid w:val="00E07651"/>
    <w:rsid w:val="00E07814"/>
    <w:rsid w:val="00E07B7D"/>
    <w:rsid w:val="00E07C50"/>
    <w:rsid w:val="00E07E7D"/>
    <w:rsid w:val="00E100B9"/>
    <w:rsid w:val="00E100C7"/>
    <w:rsid w:val="00E10111"/>
    <w:rsid w:val="00E10367"/>
    <w:rsid w:val="00E10464"/>
    <w:rsid w:val="00E107DA"/>
    <w:rsid w:val="00E108D2"/>
    <w:rsid w:val="00E10A08"/>
    <w:rsid w:val="00E10ACE"/>
    <w:rsid w:val="00E10DE6"/>
    <w:rsid w:val="00E10FC1"/>
    <w:rsid w:val="00E111A3"/>
    <w:rsid w:val="00E11235"/>
    <w:rsid w:val="00E115A5"/>
    <w:rsid w:val="00E117ED"/>
    <w:rsid w:val="00E11AE5"/>
    <w:rsid w:val="00E11DC2"/>
    <w:rsid w:val="00E11E11"/>
    <w:rsid w:val="00E11F8D"/>
    <w:rsid w:val="00E11F99"/>
    <w:rsid w:val="00E12132"/>
    <w:rsid w:val="00E1223E"/>
    <w:rsid w:val="00E122F1"/>
    <w:rsid w:val="00E12376"/>
    <w:rsid w:val="00E124EE"/>
    <w:rsid w:val="00E12708"/>
    <w:rsid w:val="00E1281E"/>
    <w:rsid w:val="00E12831"/>
    <w:rsid w:val="00E12E5E"/>
    <w:rsid w:val="00E1309A"/>
    <w:rsid w:val="00E130DD"/>
    <w:rsid w:val="00E13333"/>
    <w:rsid w:val="00E134F2"/>
    <w:rsid w:val="00E13504"/>
    <w:rsid w:val="00E138C3"/>
    <w:rsid w:val="00E138FE"/>
    <w:rsid w:val="00E13A0F"/>
    <w:rsid w:val="00E13AEB"/>
    <w:rsid w:val="00E13EDD"/>
    <w:rsid w:val="00E13F71"/>
    <w:rsid w:val="00E141B7"/>
    <w:rsid w:val="00E141B9"/>
    <w:rsid w:val="00E141E9"/>
    <w:rsid w:val="00E1447C"/>
    <w:rsid w:val="00E1483B"/>
    <w:rsid w:val="00E14D66"/>
    <w:rsid w:val="00E15012"/>
    <w:rsid w:val="00E15105"/>
    <w:rsid w:val="00E15503"/>
    <w:rsid w:val="00E15567"/>
    <w:rsid w:val="00E15B68"/>
    <w:rsid w:val="00E15BD1"/>
    <w:rsid w:val="00E16303"/>
    <w:rsid w:val="00E1682D"/>
    <w:rsid w:val="00E1695F"/>
    <w:rsid w:val="00E16DD0"/>
    <w:rsid w:val="00E16DD3"/>
    <w:rsid w:val="00E16E62"/>
    <w:rsid w:val="00E16F93"/>
    <w:rsid w:val="00E1710C"/>
    <w:rsid w:val="00E17443"/>
    <w:rsid w:val="00E1747D"/>
    <w:rsid w:val="00E175EA"/>
    <w:rsid w:val="00E1768F"/>
    <w:rsid w:val="00E17B92"/>
    <w:rsid w:val="00E17BB9"/>
    <w:rsid w:val="00E17C74"/>
    <w:rsid w:val="00E2020D"/>
    <w:rsid w:val="00E2023B"/>
    <w:rsid w:val="00E20897"/>
    <w:rsid w:val="00E20A36"/>
    <w:rsid w:val="00E20E8D"/>
    <w:rsid w:val="00E20F03"/>
    <w:rsid w:val="00E20FBE"/>
    <w:rsid w:val="00E2116B"/>
    <w:rsid w:val="00E2116F"/>
    <w:rsid w:val="00E21336"/>
    <w:rsid w:val="00E21790"/>
    <w:rsid w:val="00E217CB"/>
    <w:rsid w:val="00E2181C"/>
    <w:rsid w:val="00E2183D"/>
    <w:rsid w:val="00E21AF8"/>
    <w:rsid w:val="00E21E3D"/>
    <w:rsid w:val="00E21ED4"/>
    <w:rsid w:val="00E220BD"/>
    <w:rsid w:val="00E2222D"/>
    <w:rsid w:val="00E22304"/>
    <w:rsid w:val="00E22310"/>
    <w:rsid w:val="00E223AF"/>
    <w:rsid w:val="00E2251A"/>
    <w:rsid w:val="00E225B3"/>
    <w:rsid w:val="00E225E7"/>
    <w:rsid w:val="00E22776"/>
    <w:rsid w:val="00E228C6"/>
    <w:rsid w:val="00E22D51"/>
    <w:rsid w:val="00E22E78"/>
    <w:rsid w:val="00E22EC9"/>
    <w:rsid w:val="00E22F50"/>
    <w:rsid w:val="00E231BC"/>
    <w:rsid w:val="00E23254"/>
    <w:rsid w:val="00E23428"/>
    <w:rsid w:val="00E2343E"/>
    <w:rsid w:val="00E23462"/>
    <w:rsid w:val="00E234F0"/>
    <w:rsid w:val="00E23554"/>
    <w:rsid w:val="00E235C6"/>
    <w:rsid w:val="00E235DC"/>
    <w:rsid w:val="00E237D3"/>
    <w:rsid w:val="00E23C1A"/>
    <w:rsid w:val="00E23CFF"/>
    <w:rsid w:val="00E24008"/>
    <w:rsid w:val="00E24035"/>
    <w:rsid w:val="00E24533"/>
    <w:rsid w:val="00E247B1"/>
    <w:rsid w:val="00E24866"/>
    <w:rsid w:val="00E248B9"/>
    <w:rsid w:val="00E24AB2"/>
    <w:rsid w:val="00E24B8E"/>
    <w:rsid w:val="00E250FC"/>
    <w:rsid w:val="00E2521A"/>
    <w:rsid w:val="00E253E0"/>
    <w:rsid w:val="00E253FD"/>
    <w:rsid w:val="00E25BBA"/>
    <w:rsid w:val="00E25DA8"/>
    <w:rsid w:val="00E26344"/>
    <w:rsid w:val="00E26467"/>
    <w:rsid w:val="00E264EA"/>
    <w:rsid w:val="00E2659B"/>
    <w:rsid w:val="00E26AB8"/>
    <w:rsid w:val="00E26BAC"/>
    <w:rsid w:val="00E26D31"/>
    <w:rsid w:val="00E26DD6"/>
    <w:rsid w:val="00E27005"/>
    <w:rsid w:val="00E27540"/>
    <w:rsid w:val="00E27605"/>
    <w:rsid w:val="00E276A4"/>
    <w:rsid w:val="00E276CA"/>
    <w:rsid w:val="00E27AAC"/>
    <w:rsid w:val="00E27DCF"/>
    <w:rsid w:val="00E27FA7"/>
    <w:rsid w:val="00E308F1"/>
    <w:rsid w:val="00E30ABD"/>
    <w:rsid w:val="00E30F26"/>
    <w:rsid w:val="00E30F6C"/>
    <w:rsid w:val="00E312BB"/>
    <w:rsid w:val="00E313EB"/>
    <w:rsid w:val="00E3146E"/>
    <w:rsid w:val="00E3161B"/>
    <w:rsid w:val="00E31686"/>
    <w:rsid w:val="00E31861"/>
    <w:rsid w:val="00E318BE"/>
    <w:rsid w:val="00E31925"/>
    <w:rsid w:val="00E31B03"/>
    <w:rsid w:val="00E31BA9"/>
    <w:rsid w:val="00E320D7"/>
    <w:rsid w:val="00E32427"/>
    <w:rsid w:val="00E32908"/>
    <w:rsid w:val="00E32BD2"/>
    <w:rsid w:val="00E32DA8"/>
    <w:rsid w:val="00E332E9"/>
    <w:rsid w:val="00E3330F"/>
    <w:rsid w:val="00E33340"/>
    <w:rsid w:val="00E334D8"/>
    <w:rsid w:val="00E3355F"/>
    <w:rsid w:val="00E33633"/>
    <w:rsid w:val="00E33899"/>
    <w:rsid w:val="00E33B7E"/>
    <w:rsid w:val="00E33B85"/>
    <w:rsid w:val="00E33BF9"/>
    <w:rsid w:val="00E33C23"/>
    <w:rsid w:val="00E33D0C"/>
    <w:rsid w:val="00E3464B"/>
    <w:rsid w:val="00E346B2"/>
    <w:rsid w:val="00E3487D"/>
    <w:rsid w:val="00E3498E"/>
    <w:rsid w:val="00E34A73"/>
    <w:rsid w:val="00E34E54"/>
    <w:rsid w:val="00E34E9B"/>
    <w:rsid w:val="00E34F2F"/>
    <w:rsid w:val="00E350C5"/>
    <w:rsid w:val="00E35214"/>
    <w:rsid w:val="00E353E0"/>
    <w:rsid w:val="00E35408"/>
    <w:rsid w:val="00E354A6"/>
    <w:rsid w:val="00E35585"/>
    <w:rsid w:val="00E357C2"/>
    <w:rsid w:val="00E3581B"/>
    <w:rsid w:val="00E3597D"/>
    <w:rsid w:val="00E359FD"/>
    <w:rsid w:val="00E35A04"/>
    <w:rsid w:val="00E35A78"/>
    <w:rsid w:val="00E35AD8"/>
    <w:rsid w:val="00E35C61"/>
    <w:rsid w:val="00E35D15"/>
    <w:rsid w:val="00E35E25"/>
    <w:rsid w:val="00E36110"/>
    <w:rsid w:val="00E36202"/>
    <w:rsid w:val="00E36223"/>
    <w:rsid w:val="00E362A3"/>
    <w:rsid w:val="00E363A6"/>
    <w:rsid w:val="00E36547"/>
    <w:rsid w:val="00E365F6"/>
    <w:rsid w:val="00E3665D"/>
    <w:rsid w:val="00E36719"/>
    <w:rsid w:val="00E36745"/>
    <w:rsid w:val="00E36779"/>
    <w:rsid w:val="00E3680E"/>
    <w:rsid w:val="00E3696B"/>
    <w:rsid w:val="00E36C70"/>
    <w:rsid w:val="00E36C8F"/>
    <w:rsid w:val="00E36C9A"/>
    <w:rsid w:val="00E36F8E"/>
    <w:rsid w:val="00E36FBE"/>
    <w:rsid w:val="00E37022"/>
    <w:rsid w:val="00E373D5"/>
    <w:rsid w:val="00E37423"/>
    <w:rsid w:val="00E3753E"/>
    <w:rsid w:val="00E37608"/>
    <w:rsid w:val="00E37665"/>
    <w:rsid w:val="00E37942"/>
    <w:rsid w:val="00E37B2A"/>
    <w:rsid w:val="00E40250"/>
    <w:rsid w:val="00E4031E"/>
    <w:rsid w:val="00E405DE"/>
    <w:rsid w:val="00E406E8"/>
    <w:rsid w:val="00E4088E"/>
    <w:rsid w:val="00E40C76"/>
    <w:rsid w:val="00E40FD8"/>
    <w:rsid w:val="00E410F1"/>
    <w:rsid w:val="00E41174"/>
    <w:rsid w:val="00E41235"/>
    <w:rsid w:val="00E4143B"/>
    <w:rsid w:val="00E41449"/>
    <w:rsid w:val="00E414F9"/>
    <w:rsid w:val="00E41883"/>
    <w:rsid w:val="00E419AE"/>
    <w:rsid w:val="00E4250C"/>
    <w:rsid w:val="00E426BD"/>
    <w:rsid w:val="00E42953"/>
    <w:rsid w:val="00E42C4D"/>
    <w:rsid w:val="00E42C66"/>
    <w:rsid w:val="00E42D93"/>
    <w:rsid w:val="00E42DFA"/>
    <w:rsid w:val="00E42E19"/>
    <w:rsid w:val="00E43241"/>
    <w:rsid w:val="00E43244"/>
    <w:rsid w:val="00E4336D"/>
    <w:rsid w:val="00E433E0"/>
    <w:rsid w:val="00E43408"/>
    <w:rsid w:val="00E4391C"/>
    <w:rsid w:val="00E43A30"/>
    <w:rsid w:val="00E43B7F"/>
    <w:rsid w:val="00E43BF2"/>
    <w:rsid w:val="00E43C13"/>
    <w:rsid w:val="00E43D84"/>
    <w:rsid w:val="00E441CC"/>
    <w:rsid w:val="00E441FA"/>
    <w:rsid w:val="00E4443B"/>
    <w:rsid w:val="00E44532"/>
    <w:rsid w:val="00E4459A"/>
    <w:rsid w:val="00E44738"/>
    <w:rsid w:val="00E447B6"/>
    <w:rsid w:val="00E4485E"/>
    <w:rsid w:val="00E44CFA"/>
    <w:rsid w:val="00E44D39"/>
    <w:rsid w:val="00E450A6"/>
    <w:rsid w:val="00E45257"/>
    <w:rsid w:val="00E4530C"/>
    <w:rsid w:val="00E45889"/>
    <w:rsid w:val="00E45B71"/>
    <w:rsid w:val="00E45F5C"/>
    <w:rsid w:val="00E460B0"/>
    <w:rsid w:val="00E461E4"/>
    <w:rsid w:val="00E462C5"/>
    <w:rsid w:val="00E462F0"/>
    <w:rsid w:val="00E462FD"/>
    <w:rsid w:val="00E4658A"/>
    <w:rsid w:val="00E465DD"/>
    <w:rsid w:val="00E46605"/>
    <w:rsid w:val="00E46AF9"/>
    <w:rsid w:val="00E46CD2"/>
    <w:rsid w:val="00E46D89"/>
    <w:rsid w:val="00E46FDA"/>
    <w:rsid w:val="00E47025"/>
    <w:rsid w:val="00E47B6D"/>
    <w:rsid w:val="00E47DA6"/>
    <w:rsid w:val="00E50019"/>
    <w:rsid w:val="00E500AE"/>
    <w:rsid w:val="00E502E9"/>
    <w:rsid w:val="00E5037D"/>
    <w:rsid w:val="00E50836"/>
    <w:rsid w:val="00E509CD"/>
    <w:rsid w:val="00E50A9D"/>
    <w:rsid w:val="00E50B77"/>
    <w:rsid w:val="00E50B9E"/>
    <w:rsid w:val="00E50D46"/>
    <w:rsid w:val="00E50DF9"/>
    <w:rsid w:val="00E5100C"/>
    <w:rsid w:val="00E512B1"/>
    <w:rsid w:val="00E51830"/>
    <w:rsid w:val="00E51B0E"/>
    <w:rsid w:val="00E51E8C"/>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41F"/>
    <w:rsid w:val="00E544D2"/>
    <w:rsid w:val="00E544E3"/>
    <w:rsid w:val="00E545A2"/>
    <w:rsid w:val="00E54A33"/>
    <w:rsid w:val="00E54C49"/>
    <w:rsid w:val="00E55260"/>
    <w:rsid w:val="00E555E2"/>
    <w:rsid w:val="00E55663"/>
    <w:rsid w:val="00E55796"/>
    <w:rsid w:val="00E55A06"/>
    <w:rsid w:val="00E55A46"/>
    <w:rsid w:val="00E56261"/>
    <w:rsid w:val="00E566C7"/>
    <w:rsid w:val="00E56744"/>
    <w:rsid w:val="00E56941"/>
    <w:rsid w:val="00E569B6"/>
    <w:rsid w:val="00E56A06"/>
    <w:rsid w:val="00E56D2B"/>
    <w:rsid w:val="00E57228"/>
    <w:rsid w:val="00E579B2"/>
    <w:rsid w:val="00E57E3C"/>
    <w:rsid w:val="00E601C8"/>
    <w:rsid w:val="00E60594"/>
    <w:rsid w:val="00E60598"/>
    <w:rsid w:val="00E6086D"/>
    <w:rsid w:val="00E60C94"/>
    <w:rsid w:val="00E60C97"/>
    <w:rsid w:val="00E60EC5"/>
    <w:rsid w:val="00E610DA"/>
    <w:rsid w:val="00E61594"/>
    <w:rsid w:val="00E6183F"/>
    <w:rsid w:val="00E6192C"/>
    <w:rsid w:val="00E61D55"/>
    <w:rsid w:val="00E62249"/>
    <w:rsid w:val="00E622BA"/>
    <w:rsid w:val="00E623B6"/>
    <w:rsid w:val="00E62454"/>
    <w:rsid w:val="00E626B6"/>
    <w:rsid w:val="00E62729"/>
    <w:rsid w:val="00E62A60"/>
    <w:rsid w:val="00E62E80"/>
    <w:rsid w:val="00E62E81"/>
    <w:rsid w:val="00E62EA4"/>
    <w:rsid w:val="00E62F43"/>
    <w:rsid w:val="00E62F8D"/>
    <w:rsid w:val="00E630D8"/>
    <w:rsid w:val="00E63111"/>
    <w:rsid w:val="00E631F5"/>
    <w:rsid w:val="00E634F1"/>
    <w:rsid w:val="00E6387C"/>
    <w:rsid w:val="00E639F0"/>
    <w:rsid w:val="00E63D2E"/>
    <w:rsid w:val="00E63DB3"/>
    <w:rsid w:val="00E64022"/>
    <w:rsid w:val="00E64041"/>
    <w:rsid w:val="00E6442A"/>
    <w:rsid w:val="00E64490"/>
    <w:rsid w:val="00E644AE"/>
    <w:rsid w:val="00E64645"/>
    <w:rsid w:val="00E64978"/>
    <w:rsid w:val="00E649A3"/>
    <w:rsid w:val="00E64A9E"/>
    <w:rsid w:val="00E64B12"/>
    <w:rsid w:val="00E64DA3"/>
    <w:rsid w:val="00E64E09"/>
    <w:rsid w:val="00E64E4A"/>
    <w:rsid w:val="00E64F2E"/>
    <w:rsid w:val="00E64F89"/>
    <w:rsid w:val="00E650BB"/>
    <w:rsid w:val="00E65199"/>
    <w:rsid w:val="00E65430"/>
    <w:rsid w:val="00E6556B"/>
    <w:rsid w:val="00E656A6"/>
    <w:rsid w:val="00E65CB8"/>
    <w:rsid w:val="00E65F3A"/>
    <w:rsid w:val="00E663F0"/>
    <w:rsid w:val="00E6663C"/>
    <w:rsid w:val="00E66711"/>
    <w:rsid w:val="00E66714"/>
    <w:rsid w:val="00E6695A"/>
    <w:rsid w:val="00E66C24"/>
    <w:rsid w:val="00E66C6E"/>
    <w:rsid w:val="00E66D04"/>
    <w:rsid w:val="00E66D0A"/>
    <w:rsid w:val="00E66E32"/>
    <w:rsid w:val="00E66ED4"/>
    <w:rsid w:val="00E66F4A"/>
    <w:rsid w:val="00E676E6"/>
    <w:rsid w:val="00E67B11"/>
    <w:rsid w:val="00E67C2F"/>
    <w:rsid w:val="00E67FE9"/>
    <w:rsid w:val="00E70058"/>
    <w:rsid w:val="00E7010F"/>
    <w:rsid w:val="00E70289"/>
    <w:rsid w:val="00E702AC"/>
    <w:rsid w:val="00E703EE"/>
    <w:rsid w:val="00E70420"/>
    <w:rsid w:val="00E705AB"/>
    <w:rsid w:val="00E705B0"/>
    <w:rsid w:val="00E709A3"/>
    <w:rsid w:val="00E709C5"/>
    <w:rsid w:val="00E70A72"/>
    <w:rsid w:val="00E70C95"/>
    <w:rsid w:val="00E70DDE"/>
    <w:rsid w:val="00E7107A"/>
    <w:rsid w:val="00E71186"/>
    <w:rsid w:val="00E713F5"/>
    <w:rsid w:val="00E71645"/>
    <w:rsid w:val="00E717B9"/>
    <w:rsid w:val="00E71AAE"/>
    <w:rsid w:val="00E71AF3"/>
    <w:rsid w:val="00E71B26"/>
    <w:rsid w:val="00E71BBE"/>
    <w:rsid w:val="00E71D4B"/>
    <w:rsid w:val="00E71E03"/>
    <w:rsid w:val="00E71FFC"/>
    <w:rsid w:val="00E721DF"/>
    <w:rsid w:val="00E7227A"/>
    <w:rsid w:val="00E724EC"/>
    <w:rsid w:val="00E72701"/>
    <w:rsid w:val="00E72764"/>
    <w:rsid w:val="00E72DE6"/>
    <w:rsid w:val="00E72E35"/>
    <w:rsid w:val="00E72EA0"/>
    <w:rsid w:val="00E72F94"/>
    <w:rsid w:val="00E7311A"/>
    <w:rsid w:val="00E73136"/>
    <w:rsid w:val="00E73152"/>
    <w:rsid w:val="00E7338C"/>
    <w:rsid w:val="00E73472"/>
    <w:rsid w:val="00E7388C"/>
    <w:rsid w:val="00E738CF"/>
    <w:rsid w:val="00E73A67"/>
    <w:rsid w:val="00E73A85"/>
    <w:rsid w:val="00E73C99"/>
    <w:rsid w:val="00E73CBC"/>
    <w:rsid w:val="00E73D2C"/>
    <w:rsid w:val="00E73FD2"/>
    <w:rsid w:val="00E7402B"/>
    <w:rsid w:val="00E7415C"/>
    <w:rsid w:val="00E74376"/>
    <w:rsid w:val="00E745A6"/>
    <w:rsid w:val="00E74876"/>
    <w:rsid w:val="00E74A88"/>
    <w:rsid w:val="00E74E24"/>
    <w:rsid w:val="00E74E83"/>
    <w:rsid w:val="00E752DA"/>
    <w:rsid w:val="00E752E7"/>
    <w:rsid w:val="00E7530F"/>
    <w:rsid w:val="00E75361"/>
    <w:rsid w:val="00E75A1A"/>
    <w:rsid w:val="00E75A24"/>
    <w:rsid w:val="00E75BB8"/>
    <w:rsid w:val="00E75EC7"/>
    <w:rsid w:val="00E75F4A"/>
    <w:rsid w:val="00E75F54"/>
    <w:rsid w:val="00E76C3B"/>
    <w:rsid w:val="00E76C92"/>
    <w:rsid w:val="00E76E07"/>
    <w:rsid w:val="00E76EB5"/>
    <w:rsid w:val="00E76EDB"/>
    <w:rsid w:val="00E773FD"/>
    <w:rsid w:val="00E7757D"/>
    <w:rsid w:val="00E77632"/>
    <w:rsid w:val="00E77832"/>
    <w:rsid w:val="00E779E5"/>
    <w:rsid w:val="00E77A20"/>
    <w:rsid w:val="00E77D76"/>
    <w:rsid w:val="00E77E02"/>
    <w:rsid w:val="00E77FDB"/>
    <w:rsid w:val="00E80124"/>
    <w:rsid w:val="00E8018E"/>
    <w:rsid w:val="00E8049A"/>
    <w:rsid w:val="00E804E8"/>
    <w:rsid w:val="00E80572"/>
    <w:rsid w:val="00E805BE"/>
    <w:rsid w:val="00E80C10"/>
    <w:rsid w:val="00E80FFE"/>
    <w:rsid w:val="00E81047"/>
    <w:rsid w:val="00E8128A"/>
    <w:rsid w:val="00E8128E"/>
    <w:rsid w:val="00E812DA"/>
    <w:rsid w:val="00E8184D"/>
    <w:rsid w:val="00E81A6B"/>
    <w:rsid w:val="00E81E3B"/>
    <w:rsid w:val="00E82177"/>
    <w:rsid w:val="00E821E2"/>
    <w:rsid w:val="00E82252"/>
    <w:rsid w:val="00E823A8"/>
    <w:rsid w:val="00E8253B"/>
    <w:rsid w:val="00E8296B"/>
    <w:rsid w:val="00E829CC"/>
    <w:rsid w:val="00E833DD"/>
    <w:rsid w:val="00E83739"/>
    <w:rsid w:val="00E83D56"/>
    <w:rsid w:val="00E83F46"/>
    <w:rsid w:val="00E84148"/>
    <w:rsid w:val="00E84197"/>
    <w:rsid w:val="00E842F0"/>
    <w:rsid w:val="00E84467"/>
    <w:rsid w:val="00E84487"/>
    <w:rsid w:val="00E844D3"/>
    <w:rsid w:val="00E84673"/>
    <w:rsid w:val="00E846CA"/>
    <w:rsid w:val="00E846E1"/>
    <w:rsid w:val="00E84841"/>
    <w:rsid w:val="00E85140"/>
    <w:rsid w:val="00E8518C"/>
    <w:rsid w:val="00E85217"/>
    <w:rsid w:val="00E8539B"/>
    <w:rsid w:val="00E8539C"/>
    <w:rsid w:val="00E85497"/>
    <w:rsid w:val="00E85682"/>
    <w:rsid w:val="00E85A0B"/>
    <w:rsid w:val="00E85AD0"/>
    <w:rsid w:val="00E85B0D"/>
    <w:rsid w:val="00E85BF6"/>
    <w:rsid w:val="00E85CE6"/>
    <w:rsid w:val="00E85D50"/>
    <w:rsid w:val="00E85E0C"/>
    <w:rsid w:val="00E85E89"/>
    <w:rsid w:val="00E86173"/>
    <w:rsid w:val="00E8617E"/>
    <w:rsid w:val="00E8620F"/>
    <w:rsid w:val="00E86416"/>
    <w:rsid w:val="00E86565"/>
    <w:rsid w:val="00E8657D"/>
    <w:rsid w:val="00E86826"/>
    <w:rsid w:val="00E8699D"/>
    <w:rsid w:val="00E86A59"/>
    <w:rsid w:val="00E86B45"/>
    <w:rsid w:val="00E86D52"/>
    <w:rsid w:val="00E86FAA"/>
    <w:rsid w:val="00E8703E"/>
    <w:rsid w:val="00E871BD"/>
    <w:rsid w:val="00E871D0"/>
    <w:rsid w:val="00E87314"/>
    <w:rsid w:val="00E8732E"/>
    <w:rsid w:val="00E873D0"/>
    <w:rsid w:val="00E874C5"/>
    <w:rsid w:val="00E87689"/>
    <w:rsid w:val="00E878A0"/>
    <w:rsid w:val="00E87CDC"/>
    <w:rsid w:val="00E87D1C"/>
    <w:rsid w:val="00E900B5"/>
    <w:rsid w:val="00E902CB"/>
    <w:rsid w:val="00E904D1"/>
    <w:rsid w:val="00E90533"/>
    <w:rsid w:val="00E90702"/>
    <w:rsid w:val="00E90E78"/>
    <w:rsid w:val="00E90EEA"/>
    <w:rsid w:val="00E912BF"/>
    <w:rsid w:val="00E91303"/>
    <w:rsid w:val="00E913CE"/>
    <w:rsid w:val="00E9165D"/>
    <w:rsid w:val="00E9167A"/>
    <w:rsid w:val="00E91685"/>
    <w:rsid w:val="00E91819"/>
    <w:rsid w:val="00E91AD4"/>
    <w:rsid w:val="00E91D2C"/>
    <w:rsid w:val="00E92051"/>
    <w:rsid w:val="00E9225E"/>
    <w:rsid w:val="00E922E6"/>
    <w:rsid w:val="00E9278E"/>
    <w:rsid w:val="00E92908"/>
    <w:rsid w:val="00E9291A"/>
    <w:rsid w:val="00E92A3C"/>
    <w:rsid w:val="00E92B65"/>
    <w:rsid w:val="00E9334B"/>
    <w:rsid w:val="00E933EF"/>
    <w:rsid w:val="00E934EE"/>
    <w:rsid w:val="00E93A1C"/>
    <w:rsid w:val="00E93A86"/>
    <w:rsid w:val="00E93C72"/>
    <w:rsid w:val="00E93D6C"/>
    <w:rsid w:val="00E94319"/>
    <w:rsid w:val="00E944FC"/>
    <w:rsid w:val="00E94B84"/>
    <w:rsid w:val="00E94E91"/>
    <w:rsid w:val="00E952B7"/>
    <w:rsid w:val="00E95401"/>
    <w:rsid w:val="00E954A0"/>
    <w:rsid w:val="00E95632"/>
    <w:rsid w:val="00E95895"/>
    <w:rsid w:val="00E95898"/>
    <w:rsid w:val="00E958D0"/>
    <w:rsid w:val="00E959CF"/>
    <w:rsid w:val="00E95AAB"/>
    <w:rsid w:val="00E95D6B"/>
    <w:rsid w:val="00E95D6E"/>
    <w:rsid w:val="00E9605A"/>
    <w:rsid w:val="00E962BF"/>
    <w:rsid w:val="00E9662B"/>
    <w:rsid w:val="00E96676"/>
    <w:rsid w:val="00E96ADE"/>
    <w:rsid w:val="00E96B09"/>
    <w:rsid w:val="00E96D00"/>
    <w:rsid w:val="00E96DFC"/>
    <w:rsid w:val="00E9701E"/>
    <w:rsid w:val="00E9704E"/>
    <w:rsid w:val="00E9750B"/>
    <w:rsid w:val="00E97975"/>
    <w:rsid w:val="00E979E6"/>
    <w:rsid w:val="00E97A0A"/>
    <w:rsid w:val="00E97BBC"/>
    <w:rsid w:val="00E97BED"/>
    <w:rsid w:val="00EA024A"/>
    <w:rsid w:val="00EA0259"/>
    <w:rsid w:val="00EA028A"/>
    <w:rsid w:val="00EA02A9"/>
    <w:rsid w:val="00EA052D"/>
    <w:rsid w:val="00EA06D4"/>
    <w:rsid w:val="00EA074A"/>
    <w:rsid w:val="00EA0B98"/>
    <w:rsid w:val="00EA0CE1"/>
    <w:rsid w:val="00EA0D34"/>
    <w:rsid w:val="00EA11E8"/>
    <w:rsid w:val="00EA121D"/>
    <w:rsid w:val="00EA1617"/>
    <w:rsid w:val="00EA178A"/>
    <w:rsid w:val="00EA188D"/>
    <w:rsid w:val="00EA1BD2"/>
    <w:rsid w:val="00EA1E79"/>
    <w:rsid w:val="00EA202F"/>
    <w:rsid w:val="00EA22C5"/>
    <w:rsid w:val="00EA22E0"/>
    <w:rsid w:val="00EA2335"/>
    <w:rsid w:val="00EA2400"/>
    <w:rsid w:val="00EA266E"/>
    <w:rsid w:val="00EA293C"/>
    <w:rsid w:val="00EA2AE9"/>
    <w:rsid w:val="00EA2B0C"/>
    <w:rsid w:val="00EA2BFB"/>
    <w:rsid w:val="00EA2D04"/>
    <w:rsid w:val="00EA2DC4"/>
    <w:rsid w:val="00EA2DEA"/>
    <w:rsid w:val="00EA3324"/>
    <w:rsid w:val="00EA33C2"/>
    <w:rsid w:val="00EA3407"/>
    <w:rsid w:val="00EA399A"/>
    <w:rsid w:val="00EA3E14"/>
    <w:rsid w:val="00EA4057"/>
    <w:rsid w:val="00EA4496"/>
    <w:rsid w:val="00EA4636"/>
    <w:rsid w:val="00EA467A"/>
    <w:rsid w:val="00EA4914"/>
    <w:rsid w:val="00EA4D4E"/>
    <w:rsid w:val="00EA4EC6"/>
    <w:rsid w:val="00EA5222"/>
    <w:rsid w:val="00EA534C"/>
    <w:rsid w:val="00EA5682"/>
    <w:rsid w:val="00EA5846"/>
    <w:rsid w:val="00EA5A8E"/>
    <w:rsid w:val="00EA5C53"/>
    <w:rsid w:val="00EA5D6E"/>
    <w:rsid w:val="00EA5E23"/>
    <w:rsid w:val="00EA5EF6"/>
    <w:rsid w:val="00EA621C"/>
    <w:rsid w:val="00EA647A"/>
    <w:rsid w:val="00EA68B4"/>
    <w:rsid w:val="00EA694D"/>
    <w:rsid w:val="00EA69CC"/>
    <w:rsid w:val="00EA69D5"/>
    <w:rsid w:val="00EA6D9B"/>
    <w:rsid w:val="00EA6DEE"/>
    <w:rsid w:val="00EA6FE5"/>
    <w:rsid w:val="00EA7153"/>
    <w:rsid w:val="00EA72BC"/>
    <w:rsid w:val="00EA7607"/>
    <w:rsid w:val="00EA7811"/>
    <w:rsid w:val="00EA7874"/>
    <w:rsid w:val="00EA791C"/>
    <w:rsid w:val="00EA7D0D"/>
    <w:rsid w:val="00EA7F2F"/>
    <w:rsid w:val="00EA7F72"/>
    <w:rsid w:val="00EB006A"/>
    <w:rsid w:val="00EB0203"/>
    <w:rsid w:val="00EB02A1"/>
    <w:rsid w:val="00EB05A7"/>
    <w:rsid w:val="00EB06A8"/>
    <w:rsid w:val="00EB1225"/>
    <w:rsid w:val="00EB134F"/>
    <w:rsid w:val="00EB145B"/>
    <w:rsid w:val="00EB14A9"/>
    <w:rsid w:val="00EB14F5"/>
    <w:rsid w:val="00EB161D"/>
    <w:rsid w:val="00EB17F4"/>
    <w:rsid w:val="00EB1906"/>
    <w:rsid w:val="00EB1A54"/>
    <w:rsid w:val="00EB1B27"/>
    <w:rsid w:val="00EB1B50"/>
    <w:rsid w:val="00EB1C76"/>
    <w:rsid w:val="00EB1E2B"/>
    <w:rsid w:val="00EB1EB5"/>
    <w:rsid w:val="00EB1F53"/>
    <w:rsid w:val="00EB1FCD"/>
    <w:rsid w:val="00EB22F5"/>
    <w:rsid w:val="00EB2470"/>
    <w:rsid w:val="00EB2803"/>
    <w:rsid w:val="00EB2D41"/>
    <w:rsid w:val="00EB2E54"/>
    <w:rsid w:val="00EB320D"/>
    <w:rsid w:val="00EB34D6"/>
    <w:rsid w:val="00EB3545"/>
    <w:rsid w:val="00EB3663"/>
    <w:rsid w:val="00EB3829"/>
    <w:rsid w:val="00EB3C2A"/>
    <w:rsid w:val="00EB3F69"/>
    <w:rsid w:val="00EB402E"/>
    <w:rsid w:val="00EB408D"/>
    <w:rsid w:val="00EB4411"/>
    <w:rsid w:val="00EB4537"/>
    <w:rsid w:val="00EB455F"/>
    <w:rsid w:val="00EB45DC"/>
    <w:rsid w:val="00EB45FA"/>
    <w:rsid w:val="00EB4763"/>
    <w:rsid w:val="00EB483F"/>
    <w:rsid w:val="00EB4AFB"/>
    <w:rsid w:val="00EB50D8"/>
    <w:rsid w:val="00EB56B7"/>
    <w:rsid w:val="00EB5868"/>
    <w:rsid w:val="00EB59F3"/>
    <w:rsid w:val="00EB5C30"/>
    <w:rsid w:val="00EB5EAE"/>
    <w:rsid w:val="00EB61E6"/>
    <w:rsid w:val="00EB639F"/>
    <w:rsid w:val="00EB6501"/>
    <w:rsid w:val="00EB6B54"/>
    <w:rsid w:val="00EB6DD1"/>
    <w:rsid w:val="00EB6E51"/>
    <w:rsid w:val="00EB6ED0"/>
    <w:rsid w:val="00EB6EE3"/>
    <w:rsid w:val="00EB7173"/>
    <w:rsid w:val="00EB7335"/>
    <w:rsid w:val="00EB77AE"/>
    <w:rsid w:val="00EB785A"/>
    <w:rsid w:val="00EB7A0C"/>
    <w:rsid w:val="00EB7BE9"/>
    <w:rsid w:val="00EB7CE3"/>
    <w:rsid w:val="00EC00B7"/>
    <w:rsid w:val="00EC00CC"/>
    <w:rsid w:val="00EC0438"/>
    <w:rsid w:val="00EC0478"/>
    <w:rsid w:val="00EC053C"/>
    <w:rsid w:val="00EC0804"/>
    <w:rsid w:val="00EC0818"/>
    <w:rsid w:val="00EC0C9B"/>
    <w:rsid w:val="00EC0CE8"/>
    <w:rsid w:val="00EC0E9D"/>
    <w:rsid w:val="00EC0FFF"/>
    <w:rsid w:val="00EC10AA"/>
    <w:rsid w:val="00EC13AD"/>
    <w:rsid w:val="00EC149F"/>
    <w:rsid w:val="00EC17E8"/>
    <w:rsid w:val="00EC18AE"/>
    <w:rsid w:val="00EC1999"/>
    <w:rsid w:val="00EC1AFB"/>
    <w:rsid w:val="00EC1F26"/>
    <w:rsid w:val="00EC20C1"/>
    <w:rsid w:val="00EC24A1"/>
    <w:rsid w:val="00EC2882"/>
    <w:rsid w:val="00EC2994"/>
    <w:rsid w:val="00EC2D8C"/>
    <w:rsid w:val="00EC2D9A"/>
    <w:rsid w:val="00EC2E77"/>
    <w:rsid w:val="00EC31B1"/>
    <w:rsid w:val="00EC3AD6"/>
    <w:rsid w:val="00EC3BCE"/>
    <w:rsid w:val="00EC3C5D"/>
    <w:rsid w:val="00EC3DA9"/>
    <w:rsid w:val="00EC3DCF"/>
    <w:rsid w:val="00EC3E6B"/>
    <w:rsid w:val="00EC3FFC"/>
    <w:rsid w:val="00EC4064"/>
    <w:rsid w:val="00EC414E"/>
    <w:rsid w:val="00EC4453"/>
    <w:rsid w:val="00EC477D"/>
    <w:rsid w:val="00EC4E7E"/>
    <w:rsid w:val="00EC4FE6"/>
    <w:rsid w:val="00EC5223"/>
    <w:rsid w:val="00EC541B"/>
    <w:rsid w:val="00EC5B5C"/>
    <w:rsid w:val="00EC610A"/>
    <w:rsid w:val="00EC62F5"/>
    <w:rsid w:val="00EC6326"/>
    <w:rsid w:val="00EC6428"/>
    <w:rsid w:val="00EC6450"/>
    <w:rsid w:val="00EC6D01"/>
    <w:rsid w:val="00EC6E9E"/>
    <w:rsid w:val="00EC6F4F"/>
    <w:rsid w:val="00EC6F99"/>
    <w:rsid w:val="00EC7059"/>
    <w:rsid w:val="00EC7403"/>
    <w:rsid w:val="00EC76C3"/>
    <w:rsid w:val="00EC77D9"/>
    <w:rsid w:val="00EC785C"/>
    <w:rsid w:val="00EC7BAF"/>
    <w:rsid w:val="00EC7CAC"/>
    <w:rsid w:val="00ED0077"/>
    <w:rsid w:val="00ED02E5"/>
    <w:rsid w:val="00ED0466"/>
    <w:rsid w:val="00ED068D"/>
    <w:rsid w:val="00ED06C2"/>
    <w:rsid w:val="00ED0864"/>
    <w:rsid w:val="00ED091A"/>
    <w:rsid w:val="00ED0A32"/>
    <w:rsid w:val="00ED0B2E"/>
    <w:rsid w:val="00ED16AC"/>
    <w:rsid w:val="00ED19EE"/>
    <w:rsid w:val="00ED1A8C"/>
    <w:rsid w:val="00ED1C28"/>
    <w:rsid w:val="00ED1CC2"/>
    <w:rsid w:val="00ED1D36"/>
    <w:rsid w:val="00ED1F9A"/>
    <w:rsid w:val="00ED2204"/>
    <w:rsid w:val="00ED23F1"/>
    <w:rsid w:val="00ED2669"/>
    <w:rsid w:val="00ED283A"/>
    <w:rsid w:val="00ED2B22"/>
    <w:rsid w:val="00ED34C3"/>
    <w:rsid w:val="00ED364C"/>
    <w:rsid w:val="00ED381A"/>
    <w:rsid w:val="00ED39FB"/>
    <w:rsid w:val="00ED3A39"/>
    <w:rsid w:val="00ED3BB9"/>
    <w:rsid w:val="00ED41A7"/>
    <w:rsid w:val="00ED48F6"/>
    <w:rsid w:val="00ED4A24"/>
    <w:rsid w:val="00ED4A59"/>
    <w:rsid w:val="00ED4E8A"/>
    <w:rsid w:val="00ED517C"/>
    <w:rsid w:val="00ED5205"/>
    <w:rsid w:val="00ED5542"/>
    <w:rsid w:val="00ED5543"/>
    <w:rsid w:val="00ED55D5"/>
    <w:rsid w:val="00ED5648"/>
    <w:rsid w:val="00ED59BE"/>
    <w:rsid w:val="00ED5B3A"/>
    <w:rsid w:val="00ED5D46"/>
    <w:rsid w:val="00ED5FD4"/>
    <w:rsid w:val="00ED63A6"/>
    <w:rsid w:val="00ED6469"/>
    <w:rsid w:val="00ED64B1"/>
    <w:rsid w:val="00ED6582"/>
    <w:rsid w:val="00ED664B"/>
    <w:rsid w:val="00ED69CD"/>
    <w:rsid w:val="00ED6A74"/>
    <w:rsid w:val="00ED6C40"/>
    <w:rsid w:val="00ED6D09"/>
    <w:rsid w:val="00ED6EF5"/>
    <w:rsid w:val="00ED710F"/>
    <w:rsid w:val="00ED7153"/>
    <w:rsid w:val="00ED7458"/>
    <w:rsid w:val="00ED746C"/>
    <w:rsid w:val="00ED764F"/>
    <w:rsid w:val="00ED7713"/>
    <w:rsid w:val="00ED77FD"/>
    <w:rsid w:val="00ED783A"/>
    <w:rsid w:val="00ED79A4"/>
    <w:rsid w:val="00ED7B28"/>
    <w:rsid w:val="00ED7E38"/>
    <w:rsid w:val="00EE00A5"/>
    <w:rsid w:val="00EE0107"/>
    <w:rsid w:val="00EE024C"/>
    <w:rsid w:val="00EE0510"/>
    <w:rsid w:val="00EE0A8F"/>
    <w:rsid w:val="00EE119F"/>
    <w:rsid w:val="00EE11C6"/>
    <w:rsid w:val="00EE1422"/>
    <w:rsid w:val="00EE15BB"/>
    <w:rsid w:val="00EE1932"/>
    <w:rsid w:val="00EE1A27"/>
    <w:rsid w:val="00EE1BC0"/>
    <w:rsid w:val="00EE20AC"/>
    <w:rsid w:val="00EE20CC"/>
    <w:rsid w:val="00EE239F"/>
    <w:rsid w:val="00EE2B6B"/>
    <w:rsid w:val="00EE2B84"/>
    <w:rsid w:val="00EE2F50"/>
    <w:rsid w:val="00EE3386"/>
    <w:rsid w:val="00EE34EC"/>
    <w:rsid w:val="00EE355B"/>
    <w:rsid w:val="00EE3649"/>
    <w:rsid w:val="00EE36CB"/>
    <w:rsid w:val="00EE3B2B"/>
    <w:rsid w:val="00EE3F42"/>
    <w:rsid w:val="00EE421F"/>
    <w:rsid w:val="00EE433D"/>
    <w:rsid w:val="00EE4567"/>
    <w:rsid w:val="00EE46C6"/>
    <w:rsid w:val="00EE491A"/>
    <w:rsid w:val="00EE497B"/>
    <w:rsid w:val="00EE4B24"/>
    <w:rsid w:val="00EE4BFF"/>
    <w:rsid w:val="00EE5212"/>
    <w:rsid w:val="00EE55A3"/>
    <w:rsid w:val="00EE586C"/>
    <w:rsid w:val="00EE5C00"/>
    <w:rsid w:val="00EE5D11"/>
    <w:rsid w:val="00EE5F1E"/>
    <w:rsid w:val="00EE6275"/>
    <w:rsid w:val="00EE64B9"/>
    <w:rsid w:val="00EE6583"/>
    <w:rsid w:val="00EE66D0"/>
    <w:rsid w:val="00EE6732"/>
    <w:rsid w:val="00EE6B3A"/>
    <w:rsid w:val="00EE6E0D"/>
    <w:rsid w:val="00EE6E3A"/>
    <w:rsid w:val="00EE70CF"/>
    <w:rsid w:val="00EE71C9"/>
    <w:rsid w:val="00EE74F5"/>
    <w:rsid w:val="00EE76CA"/>
    <w:rsid w:val="00EE777D"/>
    <w:rsid w:val="00EE77BF"/>
    <w:rsid w:val="00EE78B9"/>
    <w:rsid w:val="00EE7A52"/>
    <w:rsid w:val="00EE7B9D"/>
    <w:rsid w:val="00EE7D94"/>
    <w:rsid w:val="00EF0030"/>
    <w:rsid w:val="00EF01BC"/>
    <w:rsid w:val="00EF0871"/>
    <w:rsid w:val="00EF0E8C"/>
    <w:rsid w:val="00EF1440"/>
    <w:rsid w:val="00EF149A"/>
    <w:rsid w:val="00EF17A6"/>
    <w:rsid w:val="00EF20BC"/>
    <w:rsid w:val="00EF226D"/>
    <w:rsid w:val="00EF2867"/>
    <w:rsid w:val="00EF2C45"/>
    <w:rsid w:val="00EF2EE9"/>
    <w:rsid w:val="00EF3007"/>
    <w:rsid w:val="00EF3513"/>
    <w:rsid w:val="00EF35C4"/>
    <w:rsid w:val="00EF3630"/>
    <w:rsid w:val="00EF3AAD"/>
    <w:rsid w:val="00EF3D09"/>
    <w:rsid w:val="00EF3F2A"/>
    <w:rsid w:val="00EF4056"/>
    <w:rsid w:val="00EF413A"/>
    <w:rsid w:val="00EF4226"/>
    <w:rsid w:val="00EF4260"/>
    <w:rsid w:val="00EF4384"/>
    <w:rsid w:val="00EF45C7"/>
    <w:rsid w:val="00EF480B"/>
    <w:rsid w:val="00EF49AB"/>
    <w:rsid w:val="00EF4DAF"/>
    <w:rsid w:val="00EF4E6F"/>
    <w:rsid w:val="00EF50FC"/>
    <w:rsid w:val="00EF517E"/>
    <w:rsid w:val="00EF51D9"/>
    <w:rsid w:val="00EF53C5"/>
    <w:rsid w:val="00EF5728"/>
    <w:rsid w:val="00EF5900"/>
    <w:rsid w:val="00EF59FF"/>
    <w:rsid w:val="00EF5DB6"/>
    <w:rsid w:val="00EF6084"/>
    <w:rsid w:val="00EF63C1"/>
    <w:rsid w:val="00EF6518"/>
    <w:rsid w:val="00EF65D3"/>
    <w:rsid w:val="00EF6604"/>
    <w:rsid w:val="00EF662A"/>
    <w:rsid w:val="00EF6758"/>
    <w:rsid w:val="00EF6B45"/>
    <w:rsid w:val="00EF6BFB"/>
    <w:rsid w:val="00EF6E44"/>
    <w:rsid w:val="00EF6F86"/>
    <w:rsid w:val="00EF705F"/>
    <w:rsid w:val="00EF712F"/>
    <w:rsid w:val="00EF72EA"/>
    <w:rsid w:val="00EF73B8"/>
    <w:rsid w:val="00EF74CF"/>
    <w:rsid w:val="00EF7765"/>
    <w:rsid w:val="00EF78DB"/>
    <w:rsid w:val="00EF7D69"/>
    <w:rsid w:val="00F00138"/>
    <w:rsid w:val="00F00574"/>
    <w:rsid w:val="00F00A1C"/>
    <w:rsid w:val="00F00BBA"/>
    <w:rsid w:val="00F00EDA"/>
    <w:rsid w:val="00F00FC2"/>
    <w:rsid w:val="00F0104E"/>
    <w:rsid w:val="00F01098"/>
    <w:rsid w:val="00F013D3"/>
    <w:rsid w:val="00F014D8"/>
    <w:rsid w:val="00F01537"/>
    <w:rsid w:val="00F0154B"/>
    <w:rsid w:val="00F01AE7"/>
    <w:rsid w:val="00F01BB3"/>
    <w:rsid w:val="00F01DC0"/>
    <w:rsid w:val="00F01F1E"/>
    <w:rsid w:val="00F01FB3"/>
    <w:rsid w:val="00F02360"/>
    <w:rsid w:val="00F026B0"/>
    <w:rsid w:val="00F02AB6"/>
    <w:rsid w:val="00F02B89"/>
    <w:rsid w:val="00F02B8E"/>
    <w:rsid w:val="00F030EA"/>
    <w:rsid w:val="00F032D3"/>
    <w:rsid w:val="00F03613"/>
    <w:rsid w:val="00F0387A"/>
    <w:rsid w:val="00F03B37"/>
    <w:rsid w:val="00F03CB6"/>
    <w:rsid w:val="00F04343"/>
    <w:rsid w:val="00F04372"/>
    <w:rsid w:val="00F049A8"/>
    <w:rsid w:val="00F049AE"/>
    <w:rsid w:val="00F04C00"/>
    <w:rsid w:val="00F04C50"/>
    <w:rsid w:val="00F04C59"/>
    <w:rsid w:val="00F04F27"/>
    <w:rsid w:val="00F050AD"/>
    <w:rsid w:val="00F056C8"/>
    <w:rsid w:val="00F05871"/>
    <w:rsid w:val="00F058B0"/>
    <w:rsid w:val="00F05AF8"/>
    <w:rsid w:val="00F05B26"/>
    <w:rsid w:val="00F05EE5"/>
    <w:rsid w:val="00F05FC1"/>
    <w:rsid w:val="00F0622C"/>
    <w:rsid w:val="00F0642C"/>
    <w:rsid w:val="00F064B2"/>
    <w:rsid w:val="00F0652F"/>
    <w:rsid w:val="00F066BE"/>
    <w:rsid w:val="00F06712"/>
    <w:rsid w:val="00F068AD"/>
    <w:rsid w:val="00F071CD"/>
    <w:rsid w:val="00F073F8"/>
    <w:rsid w:val="00F07462"/>
    <w:rsid w:val="00F074C7"/>
    <w:rsid w:val="00F074FE"/>
    <w:rsid w:val="00F07695"/>
    <w:rsid w:val="00F0778D"/>
    <w:rsid w:val="00F10035"/>
    <w:rsid w:val="00F1028A"/>
    <w:rsid w:val="00F103B2"/>
    <w:rsid w:val="00F1040B"/>
    <w:rsid w:val="00F105AF"/>
    <w:rsid w:val="00F105CA"/>
    <w:rsid w:val="00F10736"/>
    <w:rsid w:val="00F107E2"/>
    <w:rsid w:val="00F10C6A"/>
    <w:rsid w:val="00F10ECD"/>
    <w:rsid w:val="00F10F09"/>
    <w:rsid w:val="00F10F74"/>
    <w:rsid w:val="00F11030"/>
    <w:rsid w:val="00F110C7"/>
    <w:rsid w:val="00F110CD"/>
    <w:rsid w:val="00F117C1"/>
    <w:rsid w:val="00F11C7F"/>
    <w:rsid w:val="00F122EE"/>
    <w:rsid w:val="00F122FA"/>
    <w:rsid w:val="00F12549"/>
    <w:rsid w:val="00F12764"/>
    <w:rsid w:val="00F129B9"/>
    <w:rsid w:val="00F12ACB"/>
    <w:rsid w:val="00F12CCF"/>
    <w:rsid w:val="00F12F3B"/>
    <w:rsid w:val="00F13284"/>
    <w:rsid w:val="00F136BD"/>
    <w:rsid w:val="00F137FC"/>
    <w:rsid w:val="00F13DA0"/>
    <w:rsid w:val="00F13FE5"/>
    <w:rsid w:val="00F14553"/>
    <w:rsid w:val="00F14625"/>
    <w:rsid w:val="00F146DF"/>
    <w:rsid w:val="00F1494D"/>
    <w:rsid w:val="00F14A97"/>
    <w:rsid w:val="00F14AAE"/>
    <w:rsid w:val="00F14BF9"/>
    <w:rsid w:val="00F14D3A"/>
    <w:rsid w:val="00F14EC5"/>
    <w:rsid w:val="00F1513E"/>
    <w:rsid w:val="00F151AE"/>
    <w:rsid w:val="00F15482"/>
    <w:rsid w:val="00F15553"/>
    <w:rsid w:val="00F156A8"/>
    <w:rsid w:val="00F157B9"/>
    <w:rsid w:val="00F158BC"/>
    <w:rsid w:val="00F15AB7"/>
    <w:rsid w:val="00F15BDC"/>
    <w:rsid w:val="00F15E62"/>
    <w:rsid w:val="00F15F39"/>
    <w:rsid w:val="00F160EB"/>
    <w:rsid w:val="00F162F7"/>
    <w:rsid w:val="00F163B1"/>
    <w:rsid w:val="00F165A8"/>
    <w:rsid w:val="00F165BF"/>
    <w:rsid w:val="00F165C7"/>
    <w:rsid w:val="00F166C8"/>
    <w:rsid w:val="00F168A0"/>
    <w:rsid w:val="00F16C2C"/>
    <w:rsid w:val="00F16C2D"/>
    <w:rsid w:val="00F16DE2"/>
    <w:rsid w:val="00F174FF"/>
    <w:rsid w:val="00F1753F"/>
    <w:rsid w:val="00F17810"/>
    <w:rsid w:val="00F17DD3"/>
    <w:rsid w:val="00F20393"/>
    <w:rsid w:val="00F2055E"/>
    <w:rsid w:val="00F2063A"/>
    <w:rsid w:val="00F20761"/>
    <w:rsid w:val="00F2084A"/>
    <w:rsid w:val="00F20C78"/>
    <w:rsid w:val="00F20D3F"/>
    <w:rsid w:val="00F20F48"/>
    <w:rsid w:val="00F2110E"/>
    <w:rsid w:val="00F21133"/>
    <w:rsid w:val="00F211EE"/>
    <w:rsid w:val="00F21305"/>
    <w:rsid w:val="00F21378"/>
    <w:rsid w:val="00F214BD"/>
    <w:rsid w:val="00F21696"/>
    <w:rsid w:val="00F21712"/>
    <w:rsid w:val="00F2180F"/>
    <w:rsid w:val="00F21F0D"/>
    <w:rsid w:val="00F21F34"/>
    <w:rsid w:val="00F21F98"/>
    <w:rsid w:val="00F22197"/>
    <w:rsid w:val="00F22358"/>
    <w:rsid w:val="00F22728"/>
    <w:rsid w:val="00F229D8"/>
    <w:rsid w:val="00F22A7B"/>
    <w:rsid w:val="00F22AD6"/>
    <w:rsid w:val="00F22EEE"/>
    <w:rsid w:val="00F23638"/>
    <w:rsid w:val="00F236F8"/>
    <w:rsid w:val="00F23CF2"/>
    <w:rsid w:val="00F23F72"/>
    <w:rsid w:val="00F243C0"/>
    <w:rsid w:val="00F2482C"/>
    <w:rsid w:val="00F248AD"/>
    <w:rsid w:val="00F24914"/>
    <w:rsid w:val="00F249FD"/>
    <w:rsid w:val="00F24A0D"/>
    <w:rsid w:val="00F24B38"/>
    <w:rsid w:val="00F24F5A"/>
    <w:rsid w:val="00F24FB3"/>
    <w:rsid w:val="00F250B8"/>
    <w:rsid w:val="00F255D1"/>
    <w:rsid w:val="00F25713"/>
    <w:rsid w:val="00F25A26"/>
    <w:rsid w:val="00F25A40"/>
    <w:rsid w:val="00F25B17"/>
    <w:rsid w:val="00F26001"/>
    <w:rsid w:val="00F26355"/>
    <w:rsid w:val="00F266A5"/>
    <w:rsid w:val="00F266E4"/>
    <w:rsid w:val="00F26984"/>
    <w:rsid w:val="00F269E9"/>
    <w:rsid w:val="00F26A9E"/>
    <w:rsid w:val="00F26C13"/>
    <w:rsid w:val="00F26E89"/>
    <w:rsid w:val="00F271A8"/>
    <w:rsid w:val="00F271AA"/>
    <w:rsid w:val="00F2736E"/>
    <w:rsid w:val="00F276E1"/>
    <w:rsid w:val="00F27EA2"/>
    <w:rsid w:val="00F27F03"/>
    <w:rsid w:val="00F27FBA"/>
    <w:rsid w:val="00F30233"/>
    <w:rsid w:val="00F30518"/>
    <w:rsid w:val="00F305A5"/>
    <w:rsid w:val="00F30663"/>
    <w:rsid w:val="00F30674"/>
    <w:rsid w:val="00F3070C"/>
    <w:rsid w:val="00F3072B"/>
    <w:rsid w:val="00F3083D"/>
    <w:rsid w:val="00F30BD2"/>
    <w:rsid w:val="00F30DDD"/>
    <w:rsid w:val="00F30E76"/>
    <w:rsid w:val="00F30E78"/>
    <w:rsid w:val="00F3113B"/>
    <w:rsid w:val="00F3125A"/>
    <w:rsid w:val="00F313EE"/>
    <w:rsid w:val="00F31538"/>
    <w:rsid w:val="00F31716"/>
    <w:rsid w:val="00F317A8"/>
    <w:rsid w:val="00F31929"/>
    <w:rsid w:val="00F31DEC"/>
    <w:rsid w:val="00F31FB5"/>
    <w:rsid w:val="00F3213E"/>
    <w:rsid w:val="00F32161"/>
    <w:rsid w:val="00F327AE"/>
    <w:rsid w:val="00F32918"/>
    <w:rsid w:val="00F32A74"/>
    <w:rsid w:val="00F32CC7"/>
    <w:rsid w:val="00F32D01"/>
    <w:rsid w:val="00F32E05"/>
    <w:rsid w:val="00F33042"/>
    <w:rsid w:val="00F33064"/>
    <w:rsid w:val="00F3310C"/>
    <w:rsid w:val="00F33382"/>
    <w:rsid w:val="00F3352F"/>
    <w:rsid w:val="00F33806"/>
    <w:rsid w:val="00F33A22"/>
    <w:rsid w:val="00F33B53"/>
    <w:rsid w:val="00F33CE4"/>
    <w:rsid w:val="00F33E12"/>
    <w:rsid w:val="00F34000"/>
    <w:rsid w:val="00F34077"/>
    <w:rsid w:val="00F3425C"/>
    <w:rsid w:val="00F343FB"/>
    <w:rsid w:val="00F34671"/>
    <w:rsid w:val="00F34705"/>
    <w:rsid w:val="00F34A62"/>
    <w:rsid w:val="00F34BE5"/>
    <w:rsid w:val="00F34CD9"/>
    <w:rsid w:val="00F34E42"/>
    <w:rsid w:val="00F34EF4"/>
    <w:rsid w:val="00F351D4"/>
    <w:rsid w:val="00F35290"/>
    <w:rsid w:val="00F3535C"/>
    <w:rsid w:val="00F35476"/>
    <w:rsid w:val="00F35523"/>
    <w:rsid w:val="00F356D9"/>
    <w:rsid w:val="00F35C10"/>
    <w:rsid w:val="00F35C91"/>
    <w:rsid w:val="00F35D7A"/>
    <w:rsid w:val="00F362ED"/>
    <w:rsid w:val="00F363CB"/>
    <w:rsid w:val="00F36466"/>
    <w:rsid w:val="00F36B70"/>
    <w:rsid w:val="00F3702B"/>
    <w:rsid w:val="00F37325"/>
    <w:rsid w:val="00F37930"/>
    <w:rsid w:val="00F37AD2"/>
    <w:rsid w:val="00F37DC5"/>
    <w:rsid w:val="00F37DF8"/>
    <w:rsid w:val="00F40045"/>
    <w:rsid w:val="00F40093"/>
    <w:rsid w:val="00F40148"/>
    <w:rsid w:val="00F401B9"/>
    <w:rsid w:val="00F40230"/>
    <w:rsid w:val="00F4029A"/>
    <w:rsid w:val="00F403B1"/>
    <w:rsid w:val="00F403F6"/>
    <w:rsid w:val="00F40890"/>
    <w:rsid w:val="00F408E1"/>
    <w:rsid w:val="00F40B6E"/>
    <w:rsid w:val="00F40E4E"/>
    <w:rsid w:val="00F41079"/>
    <w:rsid w:val="00F418F4"/>
    <w:rsid w:val="00F41C8F"/>
    <w:rsid w:val="00F41F90"/>
    <w:rsid w:val="00F41FCC"/>
    <w:rsid w:val="00F42196"/>
    <w:rsid w:val="00F4244F"/>
    <w:rsid w:val="00F42550"/>
    <w:rsid w:val="00F42649"/>
    <w:rsid w:val="00F4290B"/>
    <w:rsid w:val="00F42CC0"/>
    <w:rsid w:val="00F42FAF"/>
    <w:rsid w:val="00F432DC"/>
    <w:rsid w:val="00F435D4"/>
    <w:rsid w:val="00F437C9"/>
    <w:rsid w:val="00F43944"/>
    <w:rsid w:val="00F43C1B"/>
    <w:rsid w:val="00F43C59"/>
    <w:rsid w:val="00F43DF8"/>
    <w:rsid w:val="00F44225"/>
    <w:rsid w:val="00F4428D"/>
    <w:rsid w:val="00F442C5"/>
    <w:rsid w:val="00F442E7"/>
    <w:rsid w:val="00F44467"/>
    <w:rsid w:val="00F44623"/>
    <w:rsid w:val="00F44765"/>
    <w:rsid w:val="00F44A95"/>
    <w:rsid w:val="00F44ED8"/>
    <w:rsid w:val="00F45610"/>
    <w:rsid w:val="00F456D7"/>
    <w:rsid w:val="00F456DD"/>
    <w:rsid w:val="00F45730"/>
    <w:rsid w:val="00F4593B"/>
    <w:rsid w:val="00F4597A"/>
    <w:rsid w:val="00F45C26"/>
    <w:rsid w:val="00F45F57"/>
    <w:rsid w:val="00F464B5"/>
    <w:rsid w:val="00F4665D"/>
    <w:rsid w:val="00F469B5"/>
    <w:rsid w:val="00F46C4E"/>
    <w:rsid w:val="00F46CF6"/>
    <w:rsid w:val="00F46F66"/>
    <w:rsid w:val="00F47170"/>
    <w:rsid w:val="00F47380"/>
    <w:rsid w:val="00F47649"/>
    <w:rsid w:val="00F476C3"/>
    <w:rsid w:val="00F477BA"/>
    <w:rsid w:val="00F47B53"/>
    <w:rsid w:val="00F47F34"/>
    <w:rsid w:val="00F50276"/>
    <w:rsid w:val="00F502E9"/>
    <w:rsid w:val="00F5038B"/>
    <w:rsid w:val="00F5074D"/>
    <w:rsid w:val="00F50759"/>
    <w:rsid w:val="00F508C4"/>
    <w:rsid w:val="00F508C5"/>
    <w:rsid w:val="00F50EA8"/>
    <w:rsid w:val="00F510E6"/>
    <w:rsid w:val="00F5116B"/>
    <w:rsid w:val="00F511CA"/>
    <w:rsid w:val="00F511DC"/>
    <w:rsid w:val="00F5125F"/>
    <w:rsid w:val="00F516F7"/>
    <w:rsid w:val="00F51780"/>
    <w:rsid w:val="00F5190E"/>
    <w:rsid w:val="00F5196E"/>
    <w:rsid w:val="00F519F6"/>
    <w:rsid w:val="00F52177"/>
    <w:rsid w:val="00F52217"/>
    <w:rsid w:val="00F52226"/>
    <w:rsid w:val="00F52968"/>
    <w:rsid w:val="00F52A69"/>
    <w:rsid w:val="00F52DB3"/>
    <w:rsid w:val="00F52F76"/>
    <w:rsid w:val="00F5320F"/>
    <w:rsid w:val="00F5347D"/>
    <w:rsid w:val="00F53635"/>
    <w:rsid w:val="00F53690"/>
    <w:rsid w:val="00F53698"/>
    <w:rsid w:val="00F53E9F"/>
    <w:rsid w:val="00F5417F"/>
    <w:rsid w:val="00F543C4"/>
    <w:rsid w:val="00F54494"/>
    <w:rsid w:val="00F546DB"/>
    <w:rsid w:val="00F5483D"/>
    <w:rsid w:val="00F54885"/>
    <w:rsid w:val="00F54A30"/>
    <w:rsid w:val="00F54C05"/>
    <w:rsid w:val="00F54C8E"/>
    <w:rsid w:val="00F54D0C"/>
    <w:rsid w:val="00F54ECF"/>
    <w:rsid w:val="00F54FD3"/>
    <w:rsid w:val="00F55929"/>
    <w:rsid w:val="00F55B85"/>
    <w:rsid w:val="00F55D97"/>
    <w:rsid w:val="00F55DB3"/>
    <w:rsid w:val="00F5660B"/>
    <w:rsid w:val="00F5685F"/>
    <w:rsid w:val="00F56A90"/>
    <w:rsid w:val="00F56AF4"/>
    <w:rsid w:val="00F56C98"/>
    <w:rsid w:val="00F56DBA"/>
    <w:rsid w:val="00F56E1E"/>
    <w:rsid w:val="00F5724E"/>
    <w:rsid w:val="00F572A4"/>
    <w:rsid w:val="00F573A7"/>
    <w:rsid w:val="00F57490"/>
    <w:rsid w:val="00F5750F"/>
    <w:rsid w:val="00F57757"/>
    <w:rsid w:val="00F57827"/>
    <w:rsid w:val="00F579EE"/>
    <w:rsid w:val="00F57B6A"/>
    <w:rsid w:val="00F57BEC"/>
    <w:rsid w:val="00F57CA7"/>
    <w:rsid w:val="00F57DA4"/>
    <w:rsid w:val="00F60189"/>
    <w:rsid w:val="00F60506"/>
    <w:rsid w:val="00F6079B"/>
    <w:rsid w:val="00F60A95"/>
    <w:rsid w:val="00F60BDF"/>
    <w:rsid w:val="00F60F26"/>
    <w:rsid w:val="00F61348"/>
    <w:rsid w:val="00F61588"/>
    <w:rsid w:val="00F61718"/>
    <w:rsid w:val="00F61B46"/>
    <w:rsid w:val="00F61CE7"/>
    <w:rsid w:val="00F61CFA"/>
    <w:rsid w:val="00F61D5F"/>
    <w:rsid w:val="00F61F0E"/>
    <w:rsid w:val="00F62307"/>
    <w:rsid w:val="00F6251C"/>
    <w:rsid w:val="00F6254C"/>
    <w:rsid w:val="00F62B5C"/>
    <w:rsid w:val="00F62CB9"/>
    <w:rsid w:val="00F62D14"/>
    <w:rsid w:val="00F62F56"/>
    <w:rsid w:val="00F63484"/>
    <w:rsid w:val="00F634AA"/>
    <w:rsid w:val="00F63604"/>
    <w:rsid w:val="00F6374A"/>
    <w:rsid w:val="00F63758"/>
    <w:rsid w:val="00F63797"/>
    <w:rsid w:val="00F638DF"/>
    <w:rsid w:val="00F63CBD"/>
    <w:rsid w:val="00F63E11"/>
    <w:rsid w:val="00F63EF7"/>
    <w:rsid w:val="00F64180"/>
    <w:rsid w:val="00F64C50"/>
    <w:rsid w:val="00F6514D"/>
    <w:rsid w:val="00F65274"/>
    <w:rsid w:val="00F6547D"/>
    <w:rsid w:val="00F65535"/>
    <w:rsid w:val="00F655F7"/>
    <w:rsid w:val="00F656E3"/>
    <w:rsid w:val="00F65A1B"/>
    <w:rsid w:val="00F65A34"/>
    <w:rsid w:val="00F65E30"/>
    <w:rsid w:val="00F663B9"/>
    <w:rsid w:val="00F664C0"/>
    <w:rsid w:val="00F666E1"/>
    <w:rsid w:val="00F668C1"/>
    <w:rsid w:val="00F668FB"/>
    <w:rsid w:val="00F669B4"/>
    <w:rsid w:val="00F66A7E"/>
    <w:rsid w:val="00F66BBE"/>
    <w:rsid w:val="00F66C9A"/>
    <w:rsid w:val="00F66CE6"/>
    <w:rsid w:val="00F66D9C"/>
    <w:rsid w:val="00F66FBF"/>
    <w:rsid w:val="00F67325"/>
    <w:rsid w:val="00F6753D"/>
    <w:rsid w:val="00F6764E"/>
    <w:rsid w:val="00F67B1B"/>
    <w:rsid w:val="00F67C36"/>
    <w:rsid w:val="00F67C66"/>
    <w:rsid w:val="00F67F35"/>
    <w:rsid w:val="00F70220"/>
    <w:rsid w:val="00F702A2"/>
    <w:rsid w:val="00F709DD"/>
    <w:rsid w:val="00F70A23"/>
    <w:rsid w:val="00F70A5B"/>
    <w:rsid w:val="00F70A80"/>
    <w:rsid w:val="00F70DCB"/>
    <w:rsid w:val="00F70EFB"/>
    <w:rsid w:val="00F7143D"/>
    <w:rsid w:val="00F71471"/>
    <w:rsid w:val="00F7153E"/>
    <w:rsid w:val="00F7174A"/>
    <w:rsid w:val="00F71A55"/>
    <w:rsid w:val="00F71DEB"/>
    <w:rsid w:val="00F71E3D"/>
    <w:rsid w:val="00F71E62"/>
    <w:rsid w:val="00F71FE9"/>
    <w:rsid w:val="00F72125"/>
    <w:rsid w:val="00F7246D"/>
    <w:rsid w:val="00F72550"/>
    <w:rsid w:val="00F727EF"/>
    <w:rsid w:val="00F72903"/>
    <w:rsid w:val="00F72B56"/>
    <w:rsid w:val="00F72E00"/>
    <w:rsid w:val="00F73627"/>
    <w:rsid w:val="00F73654"/>
    <w:rsid w:val="00F737F2"/>
    <w:rsid w:val="00F73B5C"/>
    <w:rsid w:val="00F73B66"/>
    <w:rsid w:val="00F73C23"/>
    <w:rsid w:val="00F73C77"/>
    <w:rsid w:val="00F73ED8"/>
    <w:rsid w:val="00F73FF6"/>
    <w:rsid w:val="00F74022"/>
    <w:rsid w:val="00F74119"/>
    <w:rsid w:val="00F741FE"/>
    <w:rsid w:val="00F7440E"/>
    <w:rsid w:val="00F744FF"/>
    <w:rsid w:val="00F74A37"/>
    <w:rsid w:val="00F75401"/>
    <w:rsid w:val="00F75663"/>
    <w:rsid w:val="00F7581E"/>
    <w:rsid w:val="00F75903"/>
    <w:rsid w:val="00F75DEE"/>
    <w:rsid w:val="00F76205"/>
    <w:rsid w:val="00F76FE8"/>
    <w:rsid w:val="00F771A7"/>
    <w:rsid w:val="00F771B2"/>
    <w:rsid w:val="00F77204"/>
    <w:rsid w:val="00F773CF"/>
    <w:rsid w:val="00F778A7"/>
    <w:rsid w:val="00F77A37"/>
    <w:rsid w:val="00F77A40"/>
    <w:rsid w:val="00F77A63"/>
    <w:rsid w:val="00F77B01"/>
    <w:rsid w:val="00F77B02"/>
    <w:rsid w:val="00F77CDF"/>
    <w:rsid w:val="00F77E61"/>
    <w:rsid w:val="00F77F02"/>
    <w:rsid w:val="00F80151"/>
    <w:rsid w:val="00F80203"/>
    <w:rsid w:val="00F805C3"/>
    <w:rsid w:val="00F80A1C"/>
    <w:rsid w:val="00F812C4"/>
    <w:rsid w:val="00F8179A"/>
    <w:rsid w:val="00F81D96"/>
    <w:rsid w:val="00F81E05"/>
    <w:rsid w:val="00F81F89"/>
    <w:rsid w:val="00F81FAA"/>
    <w:rsid w:val="00F8228B"/>
    <w:rsid w:val="00F82333"/>
    <w:rsid w:val="00F82684"/>
    <w:rsid w:val="00F82BA5"/>
    <w:rsid w:val="00F82C4E"/>
    <w:rsid w:val="00F8368C"/>
    <w:rsid w:val="00F83B38"/>
    <w:rsid w:val="00F84080"/>
    <w:rsid w:val="00F841BB"/>
    <w:rsid w:val="00F84322"/>
    <w:rsid w:val="00F84773"/>
    <w:rsid w:val="00F84C37"/>
    <w:rsid w:val="00F84C4E"/>
    <w:rsid w:val="00F85212"/>
    <w:rsid w:val="00F855E6"/>
    <w:rsid w:val="00F8569C"/>
    <w:rsid w:val="00F8590B"/>
    <w:rsid w:val="00F85C20"/>
    <w:rsid w:val="00F85C7B"/>
    <w:rsid w:val="00F85E84"/>
    <w:rsid w:val="00F860D5"/>
    <w:rsid w:val="00F862AB"/>
    <w:rsid w:val="00F862C4"/>
    <w:rsid w:val="00F86423"/>
    <w:rsid w:val="00F866D0"/>
    <w:rsid w:val="00F8696E"/>
    <w:rsid w:val="00F8716A"/>
    <w:rsid w:val="00F873B1"/>
    <w:rsid w:val="00F873BA"/>
    <w:rsid w:val="00F875BA"/>
    <w:rsid w:val="00F8765A"/>
    <w:rsid w:val="00F87899"/>
    <w:rsid w:val="00F878F7"/>
    <w:rsid w:val="00F87944"/>
    <w:rsid w:val="00F8799A"/>
    <w:rsid w:val="00F879C8"/>
    <w:rsid w:val="00F87CD3"/>
    <w:rsid w:val="00F87E6C"/>
    <w:rsid w:val="00F87FD4"/>
    <w:rsid w:val="00F900ED"/>
    <w:rsid w:val="00F90248"/>
    <w:rsid w:val="00F902B1"/>
    <w:rsid w:val="00F90447"/>
    <w:rsid w:val="00F90611"/>
    <w:rsid w:val="00F90733"/>
    <w:rsid w:val="00F90B10"/>
    <w:rsid w:val="00F90CC8"/>
    <w:rsid w:val="00F90D06"/>
    <w:rsid w:val="00F90E13"/>
    <w:rsid w:val="00F90FA4"/>
    <w:rsid w:val="00F913B1"/>
    <w:rsid w:val="00F914FF"/>
    <w:rsid w:val="00F91646"/>
    <w:rsid w:val="00F91695"/>
    <w:rsid w:val="00F91704"/>
    <w:rsid w:val="00F91CE3"/>
    <w:rsid w:val="00F91DA8"/>
    <w:rsid w:val="00F923B4"/>
    <w:rsid w:val="00F92407"/>
    <w:rsid w:val="00F926B7"/>
    <w:rsid w:val="00F92708"/>
    <w:rsid w:val="00F92727"/>
    <w:rsid w:val="00F92890"/>
    <w:rsid w:val="00F928B7"/>
    <w:rsid w:val="00F92930"/>
    <w:rsid w:val="00F92D98"/>
    <w:rsid w:val="00F92DFC"/>
    <w:rsid w:val="00F92E28"/>
    <w:rsid w:val="00F92E96"/>
    <w:rsid w:val="00F92E99"/>
    <w:rsid w:val="00F930D6"/>
    <w:rsid w:val="00F93496"/>
    <w:rsid w:val="00F93697"/>
    <w:rsid w:val="00F93749"/>
    <w:rsid w:val="00F9374C"/>
    <w:rsid w:val="00F9382C"/>
    <w:rsid w:val="00F93835"/>
    <w:rsid w:val="00F939C9"/>
    <w:rsid w:val="00F93D61"/>
    <w:rsid w:val="00F93DA4"/>
    <w:rsid w:val="00F93DAE"/>
    <w:rsid w:val="00F9401A"/>
    <w:rsid w:val="00F94021"/>
    <w:rsid w:val="00F940A3"/>
    <w:rsid w:val="00F9447B"/>
    <w:rsid w:val="00F946FA"/>
    <w:rsid w:val="00F9492E"/>
    <w:rsid w:val="00F949EF"/>
    <w:rsid w:val="00F94B4B"/>
    <w:rsid w:val="00F94B6C"/>
    <w:rsid w:val="00F94CB9"/>
    <w:rsid w:val="00F94D48"/>
    <w:rsid w:val="00F94E5B"/>
    <w:rsid w:val="00F94EED"/>
    <w:rsid w:val="00F956C9"/>
    <w:rsid w:val="00F95910"/>
    <w:rsid w:val="00F95B4B"/>
    <w:rsid w:val="00F95C08"/>
    <w:rsid w:val="00F95C5E"/>
    <w:rsid w:val="00F95C75"/>
    <w:rsid w:val="00F961C3"/>
    <w:rsid w:val="00F96461"/>
    <w:rsid w:val="00F9683C"/>
    <w:rsid w:val="00F96968"/>
    <w:rsid w:val="00F96CCC"/>
    <w:rsid w:val="00F96E9A"/>
    <w:rsid w:val="00F97126"/>
    <w:rsid w:val="00F97182"/>
    <w:rsid w:val="00F9783F"/>
    <w:rsid w:val="00F9787C"/>
    <w:rsid w:val="00F97919"/>
    <w:rsid w:val="00F979EF"/>
    <w:rsid w:val="00F97A08"/>
    <w:rsid w:val="00F97C0C"/>
    <w:rsid w:val="00F97D99"/>
    <w:rsid w:val="00F97F1D"/>
    <w:rsid w:val="00FA01D9"/>
    <w:rsid w:val="00FA04C0"/>
    <w:rsid w:val="00FA0526"/>
    <w:rsid w:val="00FA0645"/>
    <w:rsid w:val="00FA06B2"/>
    <w:rsid w:val="00FA06E2"/>
    <w:rsid w:val="00FA078E"/>
    <w:rsid w:val="00FA07D3"/>
    <w:rsid w:val="00FA0813"/>
    <w:rsid w:val="00FA0919"/>
    <w:rsid w:val="00FA0C91"/>
    <w:rsid w:val="00FA0DBB"/>
    <w:rsid w:val="00FA0E9D"/>
    <w:rsid w:val="00FA0EF0"/>
    <w:rsid w:val="00FA1078"/>
    <w:rsid w:val="00FA11B6"/>
    <w:rsid w:val="00FA11E8"/>
    <w:rsid w:val="00FA12C2"/>
    <w:rsid w:val="00FA1337"/>
    <w:rsid w:val="00FA13A1"/>
    <w:rsid w:val="00FA15E2"/>
    <w:rsid w:val="00FA1738"/>
    <w:rsid w:val="00FA188C"/>
    <w:rsid w:val="00FA1DB8"/>
    <w:rsid w:val="00FA1FFE"/>
    <w:rsid w:val="00FA2233"/>
    <w:rsid w:val="00FA2334"/>
    <w:rsid w:val="00FA23EA"/>
    <w:rsid w:val="00FA249E"/>
    <w:rsid w:val="00FA250B"/>
    <w:rsid w:val="00FA256B"/>
    <w:rsid w:val="00FA25A5"/>
    <w:rsid w:val="00FA2923"/>
    <w:rsid w:val="00FA293F"/>
    <w:rsid w:val="00FA294E"/>
    <w:rsid w:val="00FA2BA3"/>
    <w:rsid w:val="00FA2CC0"/>
    <w:rsid w:val="00FA2D56"/>
    <w:rsid w:val="00FA2E6F"/>
    <w:rsid w:val="00FA2E7B"/>
    <w:rsid w:val="00FA2EAF"/>
    <w:rsid w:val="00FA328D"/>
    <w:rsid w:val="00FA331C"/>
    <w:rsid w:val="00FA3496"/>
    <w:rsid w:val="00FA34B6"/>
    <w:rsid w:val="00FA3516"/>
    <w:rsid w:val="00FA36CD"/>
    <w:rsid w:val="00FA3717"/>
    <w:rsid w:val="00FA3770"/>
    <w:rsid w:val="00FA3784"/>
    <w:rsid w:val="00FA3BEF"/>
    <w:rsid w:val="00FA3E43"/>
    <w:rsid w:val="00FA4113"/>
    <w:rsid w:val="00FA44B1"/>
    <w:rsid w:val="00FA4545"/>
    <w:rsid w:val="00FA4555"/>
    <w:rsid w:val="00FA47AD"/>
    <w:rsid w:val="00FA4935"/>
    <w:rsid w:val="00FA4CCD"/>
    <w:rsid w:val="00FA4E7A"/>
    <w:rsid w:val="00FA4EA6"/>
    <w:rsid w:val="00FA52CB"/>
    <w:rsid w:val="00FA5522"/>
    <w:rsid w:val="00FA5676"/>
    <w:rsid w:val="00FA56C8"/>
    <w:rsid w:val="00FA598A"/>
    <w:rsid w:val="00FA5DFA"/>
    <w:rsid w:val="00FA60FF"/>
    <w:rsid w:val="00FA6623"/>
    <w:rsid w:val="00FA6775"/>
    <w:rsid w:val="00FA69F7"/>
    <w:rsid w:val="00FA6B2B"/>
    <w:rsid w:val="00FA6BCB"/>
    <w:rsid w:val="00FA6BF6"/>
    <w:rsid w:val="00FA6D9A"/>
    <w:rsid w:val="00FA6E18"/>
    <w:rsid w:val="00FA6E8A"/>
    <w:rsid w:val="00FA6E93"/>
    <w:rsid w:val="00FA6FC0"/>
    <w:rsid w:val="00FA6FE2"/>
    <w:rsid w:val="00FA73B6"/>
    <w:rsid w:val="00FA7798"/>
    <w:rsid w:val="00FA78B7"/>
    <w:rsid w:val="00FA7C7E"/>
    <w:rsid w:val="00FA7CB9"/>
    <w:rsid w:val="00FA7EAB"/>
    <w:rsid w:val="00FA7F3D"/>
    <w:rsid w:val="00FB031E"/>
    <w:rsid w:val="00FB0739"/>
    <w:rsid w:val="00FB0997"/>
    <w:rsid w:val="00FB09BD"/>
    <w:rsid w:val="00FB0CB2"/>
    <w:rsid w:val="00FB0F79"/>
    <w:rsid w:val="00FB10AE"/>
    <w:rsid w:val="00FB1523"/>
    <w:rsid w:val="00FB166D"/>
    <w:rsid w:val="00FB17A3"/>
    <w:rsid w:val="00FB181B"/>
    <w:rsid w:val="00FB187F"/>
    <w:rsid w:val="00FB1A80"/>
    <w:rsid w:val="00FB1C99"/>
    <w:rsid w:val="00FB1DA0"/>
    <w:rsid w:val="00FB22C5"/>
    <w:rsid w:val="00FB2455"/>
    <w:rsid w:val="00FB2618"/>
    <w:rsid w:val="00FB2759"/>
    <w:rsid w:val="00FB277C"/>
    <w:rsid w:val="00FB2A0E"/>
    <w:rsid w:val="00FB2B3A"/>
    <w:rsid w:val="00FB2C37"/>
    <w:rsid w:val="00FB30E4"/>
    <w:rsid w:val="00FB3120"/>
    <w:rsid w:val="00FB34BD"/>
    <w:rsid w:val="00FB352D"/>
    <w:rsid w:val="00FB3665"/>
    <w:rsid w:val="00FB36FC"/>
    <w:rsid w:val="00FB3945"/>
    <w:rsid w:val="00FB3A1C"/>
    <w:rsid w:val="00FB3EA0"/>
    <w:rsid w:val="00FB4149"/>
    <w:rsid w:val="00FB4231"/>
    <w:rsid w:val="00FB43BB"/>
    <w:rsid w:val="00FB4503"/>
    <w:rsid w:val="00FB456A"/>
    <w:rsid w:val="00FB4763"/>
    <w:rsid w:val="00FB4B9D"/>
    <w:rsid w:val="00FB4EC6"/>
    <w:rsid w:val="00FB4FC9"/>
    <w:rsid w:val="00FB51E2"/>
    <w:rsid w:val="00FB5202"/>
    <w:rsid w:val="00FB520D"/>
    <w:rsid w:val="00FB5293"/>
    <w:rsid w:val="00FB532C"/>
    <w:rsid w:val="00FB5411"/>
    <w:rsid w:val="00FB564D"/>
    <w:rsid w:val="00FB56CA"/>
    <w:rsid w:val="00FB58D6"/>
    <w:rsid w:val="00FB59BE"/>
    <w:rsid w:val="00FB5B6A"/>
    <w:rsid w:val="00FB5E26"/>
    <w:rsid w:val="00FB5F47"/>
    <w:rsid w:val="00FB64A0"/>
    <w:rsid w:val="00FB67CA"/>
    <w:rsid w:val="00FB7045"/>
    <w:rsid w:val="00FB70FE"/>
    <w:rsid w:val="00FB7501"/>
    <w:rsid w:val="00FB76FA"/>
    <w:rsid w:val="00FB7B52"/>
    <w:rsid w:val="00FB7B6C"/>
    <w:rsid w:val="00FB7D6C"/>
    <w:rsid w:val="00FB7EA4"/>
    <w:rsid w:val="00FB7FFE"/>
    <w:rsid w:val="00FC0148"/>
    <w:rsid w:val="00FC0278"/>
    <w:rsid w:val="00FC0554"/>
    <w:rsid w:val="00FC0C30"/>
    <w:rsid w:val="00FC0E65"/>
    <w:rsid w:val="00FC108F"/>
    <w:rsid w:val="00FC109F"/>
    <w:rsid w:val="00FC1108"/>
    <w:rsid w:val="00FC13D4"/>
    <w:rsid w:val="00FC1422"/>
    <w:rsid w:val="00FC15AB"/>
    <w:rsid w:val="00FC18EB"/>
    <w:rsid w:val="00FC18F0"/>
    <w:rsid w:val="00FC1938"/>
    <w:rsid w:val="00FC196B"/>
    <w:rsid w:val="00FC1E7C"/>
    <w:rsid w:val="00FC2168"/>
    <w:rsid w:val="00FC25E0"/>
    <w:rsid w:val="00FC25FC"/>
    <w:rsid w:val="00FC2638"/>
    <w:rsid w:val="00FC2A17"/>
    <w:rsid w:val="00FC2A4A"/>
    <w:rsid w:val="00FC2A81"/>
    <w:rsid w:val="00FC2AED"/>
    <w:rsid w:val="00FC2C59"/>
    <w:rsid w:val="00FC2C5F"/>
    <w:rsid w:val="00FC2E1B"/>
    <w:rsid w:val="00FC2F1B"/>
    <w:rsid w:val="00FC3173"/>
    <w:rsid w:val="00FC33EF"/>
    <w:rsid w:val="00FC3596"/>
    <w:rsid w:val="00FC3767"/>
    <w:rsid w:val="00FC37EE"/>
    <w:rsid w:val="00FC3C51"/>
    <w:rsid w:val="00FC3CA1"/>
    <w:rsid w:val="00FC420F"/>
    <w:rsid w:val="00FC465F"/>
    <w:rsid w:val="00FC48A4"/>
    <w:rsid w:val="00FC48C3"/>
    <w:rsid w:val="00FC4906"/>
    <w:rsid w:val="00FC4997"/>
    <w:rsid w:val="00FC4F25"/>
    <w:rsid w:val="00FC5587"/>
    <w:rsid w:val="00FC594E"/>
    <w:rsid w:val="00FC596C"/>
    <w:rsid w:val="00FC5CAB"/>
    <w:rsid w:val="00FC6046"/>
    <w:rsid w:val="00FC6337"/>
    <w:rsid w:val="00FC6646"/>
    <w:rsid w:val="00FC682D"/>
    <w:rsid w:val="00FC6BC0"/>
    <w:rsid w:val="00FC6CEB"/>
    <w:rsid w:val="00FC6E10"/>
    <w:rsid w:val="00FC6E1C"/>
    <w:rsid w:val="00FC6EE3"/>
    <w:rsid w:val="00FC73D3"/>
    <w:rsid w:val="00FC761F"/>
    <w:rsid w:val="00FC794C"/>
    <w:rsid w:val="00FC7A7A"/>
    <w:rsid w:val="00FC7B3E"/>
    <w:rsid w:val="00FC7DAC"/>
    <w:rsid w:val="00FD024A"/>
    <w:rsid w:val="00FD02C7"/>
    <w:rsid w:val="00FD0439"/>
    <w:rsid w:val="00FD05ED"/>
    <w:rsid w:val="00FD0629"/>
    <w:rsid w:val="00FD09B4"/>
    <w:rsid w:val="00FD0D7C"/>
    <w:rsid w:val="00FD0FD2"/>
    <w:rsid w:val="00FD11E6"/>
    <w:rsid w:val="00FD155B"/>
    <w:rsid w:val="00FD178E"/>
    <w:rsid w:val="00FD1A4C"/>
    <w:rsid w:val="00FD1E9A"/>
    <w:rsid w:val="00FD1F8D"/>
    <w:rsid w:val="00FD2036"/>
    <w:rsid w:val="00FD24F6"/>
    <w:rsid w:val="00FD2697"/>
    <w:rsid w:val="00FD27AA"/>
    <w:rsid w:val="00FD287A"/>
    <w:rsid w:val="00FD2CC2"/>
    <w:rsid w:val="00FD2D30"/>
    <w:rsid w:val="00FD2E26"/>
    <w:rsid w:val="00FD2E27"/>
    <w:rsid w:val="00FD315B"/>
    <w:rsid w:val="00FD3326"/>
    <w:rsid w:val="00FD3350"/>
    <w:rsid w:val="00FD345B"/>
    <w:rsid w:val="00FD3710"/>
    <w:rsid w:val="00FD3AB1"/>
    <w:rsid w:val="00FD3C67"/>
    <w:rsid w:val="00FD4226"/>
    <w:rsid w:val="00FD4306"/>
    <w:rsid w:val="00FD4671"/>
    <w:rsid w:val="00FD47B4"/>
    <w:rsid w:val="00FD47E8"/>
    <w:rsid w:val="00FD4809"/>
    <w:rsid w:val="00FD4933"/>
    <w:rsid w:val="00FD49DC"/>
    <w:rsid w:val="00FD4BDD"/>
    <w:rsid w:val="00FD4F88"/>
    <w:rsid w:val="00FD4FD4"/>
    <w:rsid w:val="00FD5308"/>
    <w:rsid w:val="00FD6134"/>
    <w:rsid w:val="00FD6203"/>
    <w:rsid w:val="00FD6320"/>
    <w:rsid w:val="00FD6747"/>
    <w:rsid w:val="00FD67EC"/>
    <w:rsid w:val="00FD6914"/>
    <w:rsid w:val="00FD6AC7"/>
    <w:rsid w:val="00FD6BAB"/>
    <w:rsid w:val="00FD6CE8"/>
    <w:rsid w:val="00FD6D6F"/>
    <w:rsid w:val="00FD7654"/>
    <w:rsid w:val="00FD772E"/>
    <w:rsid w:val="00FD776F"/>
    <w:rsid w:val="00FD78AD"/>
    <w:rsid w:val="00FD7997"/>
    <w:rsid w:val="00FD7A3F"/>
    <w:rsid w:val="00FD7C64"/>
    <w:rsid w:val="00FE001D"/>
    <w:rsid w:val="00FE0402"/>
    <w:rsid w:val="00FE0525"/>
    <w:rsid w:val="00FE0744"/>
    <w:rsid w:val="00FE0800"/>
    <w:rsid w:val="00FE081F"/>
    <w:rsid w:val="00FE09AA"/>
    <w:rsid w:val="00FE0CA9"/>
    <w:rsid w:val="00FE0CE3"/>
    <w:rsid w:val="00FE0DD9"/>
    <w:rsid w:val="00FE136A"/>
    <w:rsid w:val="00FE1493"/>
    <w:rsid w:val="00FE1571"/>
    <w:rsid w:val="00FE1A98"/>
    <w:rsid w:val="00FE1F83"/>
    <w:rsid w:val="00FE20FE"/>
    <w:rsid w:val="00FE2103"/>
    <w:rsid w:val="00FE2149"/>
    <w:rsid w:val="00FE217E"/>
    <w:rsid w:val="00FE218B"/>
    <w:rsid w:val="00FE26F6"/>
    <w:rsid w:val="00FE287D"/>
    <w:rsid w:val="00FE2897"/>
    <w:rsid w:val="00FE2CD4"/>
    <w:rsid w:val="00FE2D53"/>
    <w:rsid w:val="00FE34B6"/>
    <w:rsid w:val="00FE3672"/>
    <w:rsid w:val="00FE4056"/>
    <w:rsid w:val="00FE4140"/>
    <w:rsid w:val="00FE4259"/>
    <w:rsid w:val="00FE43BC"/>
    <w:rsid w:val="00FE4ADB"/>
    <w:rsid w:val="00FE4FA2"/>
    <w:rsid w:val="00FE50F6"/>
    <w:rsid w:val="00FE53BB"/>
    <w:rsid w:val="00FE53C1"/>
    <w:rsid w:val="00FE53FB"/>
    <w:rsid w:val="00FE54A4"/>
    <w:rsid w:val="00FE554E"/>
    <w:rsid w:val="00FE5552"/>
    <w:rsid w:val="00FE5D13"/>
    <w:rsid w:val="00FE5D93"/>
    <w:rsid w:val="00FE61D8"/>
    <w:rsid w:val="00FE6560"/>
    <w:rsid w:val="00FE65B6"/>
    <w:rsid w:val="00FE670B"/>
    <w:rsid w:val="00FE6896"/>
    <w:rsid w:val="00FE69CD"/>
    <w:rsid w:val="00FE7321"/>
    <w:rsid w:val="00FE73BD"/>
    <w:rsid w:val="00FE788C"/>
    <w:rsid w:val="00FE7A65"/>
    <w:rsid w:val="00FE7BB2"/>
    <w:rsid w:val="00FE7BC3"/>
    <w:rsid w:val="00FE7D0F"/>
    <w:rsid w:val="00FF01E7"/>
    <w:rsid w:val="00FF0298"/>
    <w:rsid w:val="00FF034D"/>
    <w:rsid w:val="00FF042D"/>
    <w:rsid w:val="00FF0448"/>
    <w:rsid w:val="00FF0901"/>
    <w:rsid w:val="00FF090C"/>
    <w:rsid w:val="00FF0ACB"/>
    <w:rsid w:val="00FF0BAD"/>
    <w:rsid w:val="00FF0C9E"/>
    <w:rsid w:val="00FF0CEB"/>
    <w:rsid w:val="00FF0D31"/>
    <w:rsid w:val="00FF1131"/>
    <w:rsid w:val="00FF1312"/>
    <w:rsid w:val="00FF1437"/>
    <w:rsid w:val="00FF14EB"/>
    <w:rsid w:val="00FF15CA"/>
    <w:rsid w:val="00FF1873"/>
    <w:rsid w:val="00FF1893"/>
    <w:rsid w:val="00FF1C1B"/>
    <w:rsid w:val="00FF1C72"/>
    <w:rsid w:val="00FF1EA0"/>
    <w:rsid w:val="00FF1EBC"/>
    <w:rsid w:val="00FF1EDE"/>
    <w:rsid w:val="00FF2354"/>
    <w:rsid w:val="00FF252B"/>
    <w:rsid w:val="00FF2728"/>
    <w:rsid w:val="00FF29FA"/>
    <w:rsid w:val="00FF2AE0"/>
    <w:rsid w:val="00FF2E52"/>
    <w:rsid w:val="00FF3001"/>
    <w:rsid w:val="00FF30A6"/>
    <w:rsid w:val="00FF30AF"/>
    <w:rsid w:val="00FF33AA"/>
    <w:rsid w:val="00FF33AD"/>
    <w:rsid w:val="00FF37F2"/>
    <w:rsid w:val="00FF3AEC"/>
    <w:rsid w:val="00FF425E"/>
    <w:rsid w:val="00FF4326"/>
    <w:rsid w:val="00FF48A5"/>
    <w:rsid w:val="00FF4A50"/>
    <w:rsid w:val="00FF4DAE"/>
    <w:rsid w:val="00FF50BC"/>
    <w:rsid w:val="00FF5265"/>
    <w:rsid w:val="00FF56A4"/>
    <w:rsid w:val="00FF57C2"/>
    <w:rsid w:val="00FF5959"/>
    <w:rsid w:val="00FF5C3F"/>
    <w:rsid w:val="00FF5CBE"/>
    <w:rsid w:val="00FF5D14"/>
    <w:rsid w:val="00FF62A2"/>
    <w:rsid w:val="00FF62CE"/>
    <w:rsid w:val="00FF63EB"/>
    <w:rsid w:val="00FF65ED"/>
    <w:rsid w:val="00FF6895"/>
    <w:rsid w:val="00FF6B39"/>
    <w:rsid w:val="00FF6C8A"/>
    <w:rsid w:val="00FF6E33"/>
    <w:rsid w:val="00FF6E3C"/>
    <w:rsid w:val="00FF740F"/>
    <w:rsid w:val="00FF7505"/>
    <w:rsid w:val="00FF7817"/>
    <w:rsid w:val="00FF7B4F"/>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5DCC"/>
  <w15:docId w15:val="{A4AEC516-6BE3-4EE7-B419-A5C42221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B14D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iPriority w:val="99"/>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uiPriority w:val="99"/>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Ttulo">
    <w:name w:val="Title"/>
    <w:basedOn w:val="Normal"/>
    <w:next w:val="Normal"/>
    <w:link w:val="Ttul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de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22">
    <w:name w:val="CM22"/>
    <w:basedOn w:val="Default"/>
    <w:next w:val="Default"/>
    <w:uiPriority w:val="99"/>
    <w:rsid w:val="00312149"/>
    <w:rPr>
      <w:color w:val="auto"/>
    </w:rPr>
  </w:style>
  <w:style w:type="table" w:styleId="Tablanormal5">
    <w:name w:val="Plain Table 5"/>
    <w:basedOn w:val="Tablanormal"/>
    <w:uiPriority w:val="45"/>
    <w:rsid w:val="00B125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4-nfasis1">
    <w:name w:val="Grid Table 4 Accent 1"/>
    <w:basedOn w:val="Tablanormal"/>
    <w:uiPriority w:val="49"/>
    <w:rsid w:val="007C426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sinformato">
    <w:name w:val="Plain Text"/>
    <w:basedOn w:val="Normal"/>
    <w:link w:val="TextosinformatoCar"/>
    <w:uiPriority w:val="99"/>
    <w:semiHidden/>
    <w:unhideWhenUsed/>
    <w:rsid w:val="00386099"/>
    <w:rPr>
      <w:rFonts w:ascii="Calibri" w:eastAsiaTheme="minorHAnsi" w:hAnsi="Calibri" w:cstheme="minorBidi"/>
      <w:sz w:val="22"/>
      <w:szCs w:val="21"/>
      <w:lang w:val="en-US" w:eastAsia="en-US"/>
    </w:rPr>
  </w:style>
  <w:style w:type="character" w:customStyle="1" w:styleId="TextosinformatoCar">
    <w:name w:val="Texto sin formato Car"/>
    <w:basedOn w:val="Fuentedeprrafopredeter"/>
    <w:link w:val="Textosinformato"/>
    <w:uiPriority w:val="99"/>
    <w:semiHidden/>
    <w:rsid w:val="00386099"/>
    <w:rPr>
      <w:rFonts w:ascii="Calibri" w:hAnsi="Calibri"/>
      <w:szCs w:val="21"/>
      <w:lang w:val="en-US"/>
    </w:rPr>
  </w:style>
  <w:style w:type="paragraph" w:customStyle="1" w:styleId="xmsonormal">
    <w:name w:val="x_msonormal"/>
    <w:basedOn w:val="Normal"/>
    <w:rsid w:val="00DE0D58"/>
    <w:pPr>
      <w:spacing w:before="100" w:beforeAutospacing="1" w:after="100" w:afterAutospacing="1"/>
    </w:pPr>
  </w:style>
  <w:style w:type="character" w:customStyle="1" w:styleId="Ttulo2Car">
    <w:name w:val="Título 2 Car"/>
    <w:basedOn w:val="Fuentedeprrafopredeter"/>
    <w:link w:val="Ttulo2"/>
    <w:uiPriority w:val="9"/>
    <w:rsid w:val="00B14DAA"/>
    <w:rPr>
      <w:rFonts w:asciiTheme="majorHAnsi" w:eastAsiaTheme="majorEastAsia" w:hAnsiTheme="majorHAnsi" w:cstheme="majorBidi"/>
      <w:color w:val="365F91" w:themeColor="accent1" w:themeShade="BF"/>
      <w:sz w:val="26"/>
      <w:szCs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6443023">
      <w:bodyDiv w:val="1"/>
      <w:marLeft w:val="0"/>
      <w:marRight w:val="0"/>
      <w:marTop w:val="0"/>
      <w:marBottom w:val="0"/>
      <w:divBdr>
        <w:top w:val="none" w:sz="0" w:space="0" w:color="auto"/>
        <w:left w:val="none" w:sz="0" w:space="0" w:color="auto"/>
        <w:bottom w:val="none" w:sz="0" w:space="0" w:color="auto"/>
        <w:right w:val="none" w:sz="0" w:space="0" w:color="auto"/>
      </w:divBdr>
    </w:div>
    <w:div w:id="8945501">
      <w:bodyDiv w:val="1"/>
      <w:marLeft w:val="0"/>
      <w:marRight w:val="0"/>
      <w:marTop w:val="0"/>
      <w:marBottom w:val="0"/>
      <w:divBdr>
        <w:top w:val="none" w:sz="0" w:space="0" w:color="auto"/>
        <w:left w:val="none" w:sz="0" w:space="0" w:color="auto"/>
        <w:bottom w:val="none" w:sz="0" w:space="0" w:color="auto"/>
        <w:right w:val="none" w:sz="0" w:space="0" w:color="auto"/>
      </w:divBdr>
    </w:div>
    <w:div w:id="12849107">
      <w:bodyDiv w:val="1"/>
      <w:marLeft w:val="0"/>
      <w:marRight w:val="0"/>
      <w:marTop w:val="0"/>
      <w:marBottom w:val="0"/>
      <w:divBdr>
        <w:top w:val="none" w:sz="0" w:space="0" w:color="auto"/>
        <w:left w:val="none" w:sz="0" w:space="0" w:color="auto"/>
        <w:bottom w:val="none" w:sz="0" w:space="0" w:color="auto"/>
        <w:right w:val="none" w:sz="0" w:space="0" w:color="auto"/>
      </w:divBdr>
      <w:divsChild>
        <w:div w:id="1410007233">
          <w:marLeft w:val="0"/>
          <w:marRight w:val="0"/>
          <w:marTop w:val="0"/>
          <w:marBottom w:val="0"/>
          <w:divBdr>
            <w:top w:val="none" w:sz="0" w:space="0" w:color="auto"/>
            <w:left w:val="none" w:sz="0" w:space="0" w:color="auto"/>
            <w:bottom w:val="none" w:sz="0" w:space="0" w:color="auto"/>
            <w:right w:val="none" w:sz="0" w:space="0" w:color="auto"/>
          </w:divBdr>
        </w:div>
      </w:divsChild>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0323854">
      <w:bodyDiv w:val="1"/>
      <w:marLeft w:val="0"/>
      <w:marRight w:val="0"/>
      <w:marTop w:val="0"/>
      <w:marBottom w:val="0"/>
      <w:divBdr>
        <w:top w:val="none" w:sz="0" w:space="0" w:color="auto"/>
        <w:left w:val="none" w:sz="0" w:space="0" w:color="auto"/>
        <w:bottom w:val="none" w:sz="0" w:space="0" w:color="auto"/>
        <w:right w:val="none" w:sz="0" w:space="0" w:color="auto"/>
      </w:divBdr>
    </w:div>
    <w:div w:id="20474012">
      <w:bodyDiv w:val="1"/>
      <w:marLeft w:val="0"/>
      <w:marRight w:val="0"/>
      <w:marTop w:val="0"/>
      <w:marBottom w:val="0"/>
      <w:divBdr>
        <w:top w:val="none" w:sz="0" w:space="0" w:color="auto"/>
        <w:left w:val="none" w:sz="0" w:space="0" w:color="auto"/>
        <w:bottom w:val="none" w:sz="0" w:space="0" w:color="auto"/>
        <w:right w:val="none" w:sz="0" w:space="0" w:color="auto"/>
      </w:divBdr>
    </w:div>
    <w:div w:id="23219767">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500290">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5377411">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0931111">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58598589">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0859698">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85927335">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08470654">
      <w:bodyDiv w:val="1"/>
      <w:marLeft w:val="0"/>
      <w:marRight w:val="0"/>
      <w:marTop w:val="0"/>
      <w:marBottom w:val="0"/>
      <w:divBdr>
        <w:top w:val="none" w:sz="0" w:space="0" w:color="auto"/>
        <w:left w:val="none" w:sz="0" w:space="0" w:color="auto"/>
        <w:bottom w:val="none" w:sz="0" w:space="0" w:color="auto"/>
        <w:right w:val="none" w:sz="0" w:space="0" w:color="auto"/>
      </w:divBdr>
    </w:div>
    <w:div w:id="108866241">
      <w:bodyDiv w:val="1"/>
      <w:marLeft w:val="0"/>
      <w:marRight w:val="0"/>
      <w:marTop w:val="0"/>
      <w:marBottom w:val="0"/>
      <w:divBdr>
        <w:top w:val="none" w:sz="0" w:space="0" w:color="auto"/>
        <w:left w:val="none" w:sz="0" w:space="0" w:color="auto"/>
        <w:bottom w:val="none" w:sz="0" w:space="0" w:color="auto"/>
        <w:right w:val="none" w:sz="0" w:space="0" w:color="auto"/>
      </w:divBdr>
    </w:div>
    <w:div w:id="111217181">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4714617">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24932047">
      <w:bodyDiv w:val="1"/>
      <w:marLeft w:val="0"/>
      <w:marRight w:val="0"/>
      <w:marTop w:val="0"/>
      <w:marBottom w:val="0"/>
      <w:divBdr>
        <w:top w:val="none" w:sz="0" w:space="0" w:color="auto"/>
        <w:left w:val="none" w:sz="0" w:space="0" w:color="auto"/>
        <w:bottom w:val="none" w:sz="0" w:space="0" w:color="auto"/>
        <w:right w:val="none" w:sz="0" w:space="0" w:color="auto"/>
      </w:divBdr>
    </w:div>
    <w:div w:id="129523532">
      <w:bodyDiv w:val="1"/>
      <w:marLeft w:val="0"/>
      <w:marRight w:val="0"/>
      <w:marTop w:val="0"/>
      <w:marBottom w:val="0"/>
      <w:divBdr>
        <w:top w:val="none" w:sz="0" w:space="0" w:color="auto"/>
        <w:left w:val="none" w:sz="0" w:space="0" w:color="auto"/>
        <w:bottom w:val="none" w:sz="0" w:space="0" w:color="auto"/>
        <w:right w:val="none" w:sz="0" w:space="0" w:color="auto"/>
      </w:divBdr>
    </w:div>
    <w:div w:id="129784377">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4688973">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343350">
      <w:bodyDiv w:val="1"/>
      <w:marLeft w:val="0"/>
      <w:marRight w:val="0"/>
      <w:marTop w:val="0"/>
      <w:marBottom w:val="0"/>
      <w:divBdr>
        <w:top w:val="none" w:sz="0" w:space="0" w:color="auto"/>
        <w:left w:val="none" w:sz="0" w:space="0" w:color="auto"/>
        <w:bottom w:val="none" w:sz="0" w:space="0" w:color="auto"/>
        <w:right w:val="none" w:sz="0" w:space="0" w:color="auto"/>
      </w:divBdr>
    </w:div>
    <w:div w:id="154345114">
      <w:bodyDiv w:val="1"/>
      <w:marLeft w:val="0"/>
      <w:marRight w:val="0"/>
      <w:marTop w:val="0"/>
      <w:marBottom w:val="0"/>
      <w:divBdr>
        <w:top w:val="none" w:sz="0" w:space="0" w:color="auto"/>
        <w:left w:val="none" w:sz="0" w:space="0" w:color="auto"/>
        <w:bottom w:val="none" w:sz="0" w:space="0" w:color="auto"/>
        <w:right w:val="none" w:sz="0" w:space="0" w:color="auto"/>
      </w:divBdr>
      <w:divsChild>
        <w:div w:id="1451195644">
          <w:marLeft w:val="0"/>
          <w:marRight w:val="0"/>
          <w:marTop w:val="0"/>
          <w:marBottom w:val="0"/>
          <w:divBdr>
            <w:top w:val="none" w:sz="0" w:space="0" w:color="auto"/>
            <w:left w:val="none" w:sz="0" w:space="0" w:color="auto"/>
            <w:bottom w:val="none" w:sz="0" w:space="0" w:color="auto"/>
            <w:right w:val="none" w:sz="0" w:space="0" w:color="auto"/>
          </w:divBdr>
        </w:div>
      </w:divsChild>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55270429">
      <w:bodyDiv w:val="1"/>
      <w:marLeft w:val="0"/>
      <w:marRight w:val="0"/>
      <w:marTop w:val="0"/>
      <w:marBottom w:val="0"/>
      <w:divBdr>
        <w:top w:val="none" w:sz="0" w:space="0" w:color="auto"/>
        <w:left w:val="none" w:sz="0" w:space="0" w:color="auto"/>
        <w:bottom w:val="none" w:sz="0" w:space="0" w:color="auto"/>
        <w:right w:val="none" w:sz="0" w:space="0" w:color="auto"/>
      </w:divBdr>
    </w:div>
    <w:div w:id="159736369">
      <w:bodyDiv w:val="1"/>
      <w:marLeft w:val="0"/>
      <w:marRight w:val="0"/>
      <w:marTop w:val="0"/>
      <w:marBottom w:val="0"/>
      <w:divBdr>
        <w:top w:val="none" w:sz="0" w:space="0" w:color="auto"/>
        <w:left w:val="none" w:sz="0" w:space="0" w:color="auto"/>
        <w:bottom w:val="none" w:sz="0" w:space="0" w:color="auto"/>
        <w:right w:val="none" w:sz="0" w:space="0" w:color="auto"/>
      </w:divBdr>
    </w:div>
    <w:div w:id="162791953">
      <w:bodyDiv w:val="1"/>
      <w:marLeft w:val="0"/>
      <w:marRight w:val="0"/>
      <w:marTop w:val="0"/>
      <w:marBottom w:val="0"/>
      <w:divBdr>
        <w:top w:val="none" w:sz="0" w:space="0" w:color="auto"/>
        <w:left w:val="none" w:sz="0" w:space="0" w:color="auto"/>
        <w:bottom w:val="none" w:sz="0" w:space="0" w:color="auto"/>
        <w:right w:val="none" w:sz="0" w:space="0" w:color="auto"/>
      </w:divBdr>
    </w:div>
    <w:div w:id="163591555">
      <w:bodyDiv w:val="1"/>
      <w:marLeft w:val="0"/>
      <w:marRight w:val="0"/>
      <w:marTop w:val="0"/>
      <w:marBottom w:val="0"/>
      <w:divBdr>
        <w:top w:val="none" w:sz="0" w:space="0" w:color="auto"/>
        <w:left w:val="none" w:sz="0" w:space="0" w:color="auto"/>
        <w:bottom w:val="none" w:sz="0" w:space="0" w:color="auto"/>
        <w:right w:val="none" w:sz="0" w:space="0" w:color="auto"/>
      </w:divBdr>
    </w:div>
    <w:div w:id="169684900">
      <w:bodyDiv w:val="1"/>
      <w:marLeft w:val="0"/>
      <w:marRight w:val="0"/>
      <w:marTop w:val="0"/>
      <w:marBottom w:val="0"/>
      <w:divBdr>
        <w:top w:val="none" w:sz="0" w:space="0" w:color="auto"/>
        <w:left w:val="none" w:sz="0" w:space="0" w:color="auto"/>
        <w:bottom w:val="none" w:sz="0" w:space="0" w:color="auto"/>
        <w:right w:val="none" w:sz="0" w:space="0" w:color="auto"/>
      </w:divBdr>
    </w:div>
    <w:div w:id="169954455">
      <w:bodyDiv w:val="1"/>
      <w:marLeft w:val="0"/>
      <w:marRight w:val="0"/>
      <w:marTop w:val="0"/>
      <w:marBottom w:val="0"/>
      <w:divBdr>
        <w:top w:val="none" w:sz="0" w:space="0" w:color="auto"/>
        <w:left w:val="none" w:sz="0" w:space="0" w:color="auto"/>
        <w:bottom w:val="none" w:sz="0" w:space="0" w:color="auto"/>
        <w:right w:val="none" w:sz="0" w:space="0" w:color="auto"/>
      </w:divBdr>
    </w:div>
    <w:div w:id="170024549">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76508862">
      <w:bodyDiv w:val="1"/>
      <w:marLeft w:val="0"/>
      <w:marRight w:val="0"/>
      <w:marTop w:val="0"/>
      <w:marBottom w:val="0"/>
      <w:divBdr>
        <w:top w:val="none" w:sz="0" w:space="0" w:color="auto"/>
        <w:left w:val="none" w:sz="0" w:space="0" w:color="auto"/>
        <w:bottom w:val="none" w:sz="0" w:space="0" w:color="auto"/>
        <w:right w:val="none" w:sz="0" w:space="0" w:color="auto"/>
      </w:divBdr>
    </w:div>
    <w:div w:id="198247455">
      <w:bodyDiv w:val="1"/>
      <w:marLeft w:val="0"/>
      <w:marRight w:val="0"/>
      <w:marTop w:val="0"/>
      <w:marBottom w:val="0"/>
      <w:divBdr>
        <w:top w:val="none" w:sz="0" w:space="0" w:color="auto"/>
        <w:left w:val="none" w:sz="0" w:space="0" w:color="auto"/>
        <w:bottom w:val="none" w:sz="0" w:space="0" w:color="auto"/>
        <w:right w:val="none" w:sz="0" w:space="0" w:color="auto"/>
      </w:divBdr>
    </w:div>
    <w:div w:id="198395445">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01018049">
      <w:bodyDiv w:val="1"/>
      <w:marLeft w:val="0"/>
      <w:marRight w:val="0"/>
      <w:marTop w:val="0"/>
      <w:marBottom w:val="0"/>
      <w:divBdr>
        <w:top w:val="none" w:sz="0" w:space="0" w:color="auto"/>
        <w:left w:val="none" w:sz="0" w:space="0" w:color="auto"/>
        <w:bottom w:val="none" w:sz="0" w:space="0" w:color="auto"/>
        <w:right w:val="none" w:sz="0" w:space="0" w:color="auto"/>
      </w:divBdr>
    </w:div>
    <w:div w:id="205526793">
      <w:bodyDiv w:val="1"/>
      <w:marLeft w:val="0"/>
      <w:marRight w:val="0"/>
      <w:marTop w:val="0"/>
      <w:marBottom w:val="0"/>
      <w:divBdr>
        <w:top w:val="none" w:sz="0" w:space="0" w:color="auto"/>
        <w:left w:val="none" w:sz="0" w:space="0" w:color="auto"/>
        <w:bottom w:val="none" w:sz="0" w:space="0" w:color="auto"/>
        <w:right w:val="none" w:sz="0" w:space="0" w:color="auto"/>
      </w:divBdr>
    </w:div>
    <w:div w:id="216549450">
      <w:bodyDiv w:val="1"/>
      <w:marLeft w:val="0"/>
      <w:marRight w:val="0"/>
      <w:marTop w:val="0"/>
      <w:marBottom w:val="0"/>
      <w:divBdr>
        <w:top w:val="none" w:sz="0" w:space="0" w:color="auto"/>
        <w:left w:val="none" w:sz="0" w:space="0" w:color="auto"/>
        <w:bottom w:val="none" w:sz="0" w:space="0" w:color="auto"/>
        <w:right w:val="none" w:sz="0" w:space="0" w:color="auto"/>
      </w:divBdr>
    </w:div>
    <w:div w:id="217202618">
      <w:bodyDiv w:val="1"/>
      <w:marLeft w:val="0"/>
      <w:marRight w:val="0"/>
      <w:marTop w:val="0"/>
      <w:marBottom w:val="0"/>
      <w:divBdr>
        <w:top w:val="none" w:sz="0" w:space="0" w:color="auto"/>
        <w:left w:val="none" w:sz="0" w:space="0" w:color="auto"/>
        <w:bottom w:val="none" w:sz="0" w:space="0" w:color="auto"/>
        <w:right w:val="none" w:sz="0" w:space="0" w:color="auto"/>
      </w:divBdr>
    </w:div>
    <w:div w:id="217596633">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579722">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49510060">
      <w:bodyDiv w:val="1"/>
      <w:marLeft w:val="0"/>
      <w:marRight w:val="0"/>
      <w:marTop w:val="0"/>
      <w:marBottom w:val="0"/>
      <w:divBdr>
        <w:top w:val="none" w:sz="0" w:space="0" w:color="auto"/>
        <w:left w:val="none" w:sz="0" w:space="0" w:color="auto"/>
        <w:bottom w:val="none" w:sz="0" w:space="0" w:color="auto"/>
        <w:right w:val="none" w:sz="0" w:space="0" w:color="auto"/>
      </w:divBdr>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28733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0376608">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72325719">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7054526">
      <w:bodyDiv w:val="1"/>
      <w:marLeft w:val="0"/>
      <w:marRight w:val="0"/>
      <w:marTop w:val="0"/>
      <w:marBottom w:val="0"/>
      <w:divBdr>
        <w:top w:val="none" w:sz="0" w:space="0" w:color="auto"/>
        <w:left w:val="none" w:sz="0" w:space="0" w:color="auto"/>
        <w:bottom w:val="none" w:sz="0" w:space="0" w:color="auto"/>
        <w:right w:val="none" w:sz="0" w:space="0" w:color="auto"/>
      </w:divBdr>
    </w:div>
    <w:div w:id="288171751">
      <w:bodyDiv w:val="1"/>
      <w:marLeft w:val="0"/>
      <w:marRight w:val="0"/>
      <w:marTop w:val="0"/>
      <w:marBottom w:val="0"/>
      <w:divBdr>
        <w:top w:val="none" w:sz="0" w:space="0" w:color="auto"/>
        <w:left w:val="none" w:sz="0" w:space="0" w:color="auto"/>
        <w:bottom w:val="none" w:sz="0" w:space="0" w:color="auto"/>
        <w:right w:val="none" w:sz="0" w:space="0" w:color="auto"/>
      </w:divBdr>
    </w:div>
    <w:div w:id="288558139">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299504862">
      <w:bodyDiv w:val="1"/>
      <w:marLeft w:val="0"/>
      <w:marRight w:val="0"/>
      <w:marTop w:val="0"/>
      <w:marBottom w:val="0"/>
      <w:divBdr>
        <w:top w:val="none" w:sz="0" w:space="0" w:color="auto"/>
        <w:left w:val="none" w:sz="0" w:space="0" w:color="auto"/>
        <w:bottom w:val="none" w:sz="0" w:space="0" w:color="auto"/>
        <w:right w:val="none" w:sz="0" w:space="0" w:color="auto"/>
      </w:divBdr>
    </w:div>
    <w:div w:id="303656300">
      <w:bodyDiv w:val="1"/>
      <w:marLeft w:val="0"/>
      <w:marRight w:val="0"/>
      <w:marTop w:val="0"/>
      <w:marBottom w:val="0"/>
      <w:divBdr>
        <w:top w:val="none" w:sz="0" w:space="0" w:color="auto"/>
        <w:left w:val="none" w:sz="0" w:space="0" w:color="auto"/>
        <w:bottom w:val="none" w:sz="0" w:space="0" w:color="auto"/>
        <w:right w:val="none" w:sz="0" w:space="0" w:color="auto"/>
      </w:divBdr>
      <w:divsChild>
        <w:div w:id="968776487">
          <w:marLeft w:val="0"/>
          <w:marRight w:val="0"/>
          <w:marTop w:val="0"/>
          <w:marBottom w:val="0"/>
          <w:divBdr>
            <w:top w:val="none" w:sz="0" w:space="0" w:color="auto"/>
            <w:left w:val="none" w:sz="0" w:space="0" w:color="auto"/>
            <w:bottom w:val="none" w:sz="0" w:space="0" w:color="auto"/>
            <w:right w:val="none" w:sz="0" w:space="0" w:color="auto"/>
          </w:divBdr>
        </w:div>
      </w:divsChild>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0913777">
      <w:bodyDiv w:val="1"/>
      <w:marLeft w:val="0"/>
      <w:marRight w:val="0"/>
      <w:marTop w:val="0"/>
      <w:marBottom w:val="0"/>
      <w:divBdr>
        <w:top w:val="none" w:sz="0" w:space="0" w:color="auto"/>
        <w:left w:val="none" w:sz="0" w:space="0" w:color="auto"/>
        <w:bottom w:val="none" w:sz="0" w:space="0" w:color="auto"/>
        <w:right w:val="none" w:sz="0" w:space="0" w:color="auto"/>
      </w:divBdr>
    </w:div>
    <w:div w:id="314530327">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29872212">
      <w:bodyDiv w:val="1"/>
      <w:marLeft w:val="0"/>
      <w:marRight w:val="0"/>
      <w:marTop w:val="0"/>
      <w:marBottom w:val="0"/>
      <w:divBdr>
        <w:top w:val="none" w:sz="0" w:space="0" w:color="auto"/>
        <w:left w:val="none" w:sz="0" w:space="0" w:color="auto"/>
        <w:bottom w:val="none" w:sz="0" w:space="0" w:color="auto"/>
        <w:right w:val="none" w:sz="0" w:space="0" w:color="auto"/>
      </w:divBdr>
    </w:div>
    <w:div w:id="332731806">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2374">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48795803">
      <w:bodyDiv w:val="1"/>
      <w:marLeft w:val="0"/>
      <w:marRight w:val="0"/>
      <w:marTop w:val="0"/>
      <w:marBottom w:val="0"/>
      <w:divBdr>
        <w:top w:val="none" w:sz="0" w:space="0" w:color="auto"/>
        <w:left w:val="none" w:sz="0" w:space="0" w:color="auto"/>
        <w:bottom w:val="none" w:sz="0" w:space="0" w:color="auto"/>
        <w:right w:val="none" w:sz="0" w:space="0" w:color="auto"/>
      </w:divBdr>
    </w:div>
    <w:div w:id="354235589">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59401987">
      <w:bodyDiv w:val="1"/>
      <w:marLeft w:val="0"/>
      <w:marRight w:val="0"/>
      <w:marTop w:val="0"/>
      <w:marBottom w:val="0"/>
      <w:divBdr>
        <w:top w:val="none" w:sz="0" w:space="0" w:color="auto"/>
        <w:left w:val="none" w:sz="0" w:space="0" w:color="auto"/>
        <w:bottom w:val="none" w:sz="0" w:space="0" w:color="auto"/>
        <w:right w:val="none" w:sz="0" w:space="0" w:color="auto"/>
      </w:divBdr>
    </w:div>
    <w:div w:id="360935175">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6686395">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75277711">
      <w:bodyDiv w:val="1"/>
      <w:marLeft w:val="0"/>
      <w:marRight w:val="0"/>
      <w:marTop w:val="0"/>
      <w:marBottom w:val="0"/>
      <w:divBdr>
        <w:top w:val="none" w:sz="0" w:space="0" w:color="auto"/>
        <w:left w:val="none" w:sz="0" w:space="0" w:color="auto"/>
        <w:bottom w:val="none" w:sz="0" w:space="0" w:color="auto"/>
        <w:right w:val="none" w:sz="0" w:space="0" w:color="auto"/>
      </w:divBdr>
    </w:div>
    <w:div w:id="380980425">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39729110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02140515">
      <w:bodyDiv w:val="1"/>
      <w:marLeft w:val="0"/>
      <w:marRight w:val="0"/>
      <w:marTop w:val="0"/>
      <w:marBottom w:val="0"/>
      <w:divBdr>
        <w:top w:val="none" w:sz="0" w:space="0" w:color="auto"/>
        <w:left w:val="none" w:sz="0" w:space="0" w:color="auto"/>
        <w:bottom w:val="none" w:sz="0" w:space="0" w:color="auto"/>
        <w:right w:val="none" w:sz="0" w:space="0" w:color="auto"/>
      </w:divBdr>
    </w:div>
    <w:div w:id="406154739">
      <w:bodyDiv w:val="1"/>
      <w:marLeft w:val="0"/>
      <w:marRight w:val="0"/>
      <w:marTop w:val="0"/>
      <w:marBottom w:val="0"/>
      <w:divBdr>
        <w:top w:val="none" w:sz="0" w:space="0" w:color="auto"/>
        <w:left w:val="none" w:sz="0" w:space="0" w:color="auto"/>
        <w:bottom w:val="none" w:sz="0" w:space="0" w:color="auto"/>
        <w:right w:val="none" w:sz="0" w:space="0" w:color="auto"/>
      </w:divBdr>
    </w:div>
    <w:div w:id="410080719">
      <w:bodyDiv w:val="1"/>
      <w:marLeft w:val="0"/>
      <w:marRight w:val="0"/>
      <w:marTop w:val="0"/>
      <w:marBottom w:val="0"/>
      <w:divBdr>
        <w:top w:val="none" w:sz="0" w:space="0" w:color="auto"/>
        <w:left w:val="none" w:sz="0" w:space="0" w:color="auto"/>
        <w:bottom w:val="none" w:sz="0" w:space="0" w:color="auto"/>
        <w:right w:val="none" w:sz="0" w:space="0" w:color="auto"/>
      </w:divBdr>
    </w:div>
    <w:div w:id="416827055">
      <w:bodyDiv w:val="1"/>
      <w:marLeft w:val="0"/>
      <w:marRight w:val="0"/>
      <w:marTop w:val="0"/>
      <w:marBottom w:val="0"/>
      <w:divBdr>
        <w:top w:val="none" w:sz="0" w:space="0" w:color="auto"/>
        <w:left w:val="none" w:sz="0" w:space="0" w:color="auto"/>
        <w:bottom w:val="none" w:sz="0" w:space="0" w:color="auto"/>
        <w:right w:val="none" w:sz="0" w:space="0" w:color="auto"/>
      </w:divBdr>
    </w:div>
    <w:div w:id="417679504">
      <w:bodyDiv w:val="1"/>
      <w:marLeft w:val="0"/>
      <w:marRight w:val="0"/>
      <w:marTop w:val="0"/>
      <w:marBottom w:val="0"/>
      <w:divBdr>
        <w:top w:val="none" w:sz="0" w:space="0" w:color="auto"/>
        <w:left w:val="none" w:sz="0" w:space="0" w:color="auto"/>
        <w:bottom w:val="none" w:sz="0" w:space="0" w:color="auto"/>
        <w:right w:val="none" w:sz="0" w:space="0" w:color="auto"/>
      </w:divBdr>
    </w:div>
    <w:div w:id="419177783">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20610971">
      <w:bodyDiv w:val="1"/>
      <w:marLeft w:val="0"/>
      <w:marRight w:val="0"/>
      <w:marTop w:val="0"/>
      <w:marBottom w:val="0"/>
      <w:divBdr>
        <w:top w:val="none" w:sz="0" w:space="0" w:color="auto"/>
        <w:left w:val="none" w:sz="0" w:space="0" w:color="auto"/>
        <w:bottom w:val="none" w:sz="0" w:space="0" w:color="auto"/>
        <w:right w:val="none" w:sz="0" w:space="0" w:color="auto"/>
      </w:divBdr>
    </w:div>
    <w:div w:id="426538884">
      <w:bodyDiv w:val="1"/>
      <w:marLeft w:val="0"/>
      <w:marRight w:val="0"/>
      <w:marTop w:val="0"/>
      <w:marBottom w:val="0"/>
      <w:divBdr>
        <w:top w:val="none" w:sz="0" w:space="0" w:color="auto"/>
        <w:left w:val="none" w:sz="0" w:space="0" w:color="auto"/>
        <w:bottom w:val="none" w:sz="0" w:space="0" w:color="auto"/>
        <w:right w:val="none" w:sz="0" w:space="0" w:color="auto"/>
      </w:divBdr>
    </w:div>
    <w:div w:id="429859731">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2015285">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37019556">
      <w:bodyDiv w:val="1"/>
      <w:marLeft w:val="0"/>
      <w:marRight w:val="0"/>
      <w:marTop w:val="0"/>
      <w:marBottom w:val="0"/>
      <w:divBdr>
        <w:top w:val="none" w:sz="0" w:space="0" w:color="auto"/>
        <w:left w:val="none" w:sz="0" w:space="0" w:color="auto"/>
        <w:bottom w:val="none" w:sz="0" w:space="0" w:color="auto"/>
        <w:right w:val="none" w:sz="0" w:space="0" w:color="auto"/>
      </w:divBdr>
    </w:div>
    <w:div w:id="439034008">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54568846">
      <w:bodyDiv w:val="1"/>
      <w:marLeft w:val="0"/>
      <w:marRight w:val="0"/>
      <w:marTop w:val="0"/>
      <w:marBottom w:val="0"/>
      <w:divBdr>
        <w:top w:val="none" w:sz="0" w:space="0" w:color="auto"/>
        <w:left w:val="none" w:sz="0" w:space="0" w:color="auto"/>
        <w:bottom w:val="none" w:sz="0" w:space="0" w:color="auto"/>
        <w:right w:val="none" w:sz="0" w:space="0" w:color="auto"/>
      </w:divBdr>
    </w:div>
    <w:div w:id="455300924">
      <w:bodyDiv w:val="1"/>
      <w:marLeft w:val="0"/>
      <w:marRight w:val="0"/>
      <w:marTop w:val="0"/>
      <w:marBottom w:val="0"/>
      <w:divBdr>
        <w:top w:val="none" w:sz="0" w:space="0" w:color="auto"/>
        <w:left w:val="none" w:sz="0" w:space="0" w:color="auto"/>
        <w:bottom w:val="none" w:sz="0" w:space="0" w:color="auto"/>
        <w:right w:val="none" w:sz="0" w:space="0" w:color="auto"/>
      </w:divBdr>
    </w:div>
    <w:div w:id="456218773">
      <w:bodyDiv w:val="1"/>
      <w:marLeft w:val="0"/>
      <w:marRight w:val="0"/>
      <w:marTop w:val="0"/>
      <w:marBottom w:val="0"/>
      <w:divBdr>
        <w:top w:val="none" w:sz="0" w:space="0" w:color="auto"/>
        <w:left w:val="none" w:sz="0" w:space="0" w:color="auto"/>
        <w:bottom w:val="none" w:sz="0" w:space="0" w:color="auto"/>
        <w:right w:val="none" w:sz="0" w:space="0" w:color="auto"/>
      </w:divBdr>
    </w:div>
    <w:div w:id="460614596">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64858307">
      <w:bodyDiv w:val="1"/>
      <w:marLeft w:val="0"/>
      <w:marRight w:val="0"/>
      <w:marTop w:val="0"/>
      <w:marBottom w:val="0"/>
      <w:divBdr>
        <w:top w:val="none" w:sz="0" w:space="0" w:color="auto"/>
        <w:left w:val="none" w:sz="0" w:space="0" w:color="auto"/>
        <w:bottom w:val="none" w:sz="0" w:space="0" w:color="auto"/>
        <w:right w:val="none" w:sz="0" w:space="0" w:color="auto"/>
      </w:divBdr>
    </w:div>
    <w:div w:id="466045938">
      <w:bodyDiv w:val="1"/>
      <w:marLeft w:val="0"/>
      <w:marRight w:val="0"/>
      <w:marTop w:val="0"/>
      <w:marBottom w:val="0"/>
      <w:divBdr>
        <w:top w:val="none" w:sz="0" w:space="0" w:color="auto"/>
        <w:left w:val="none" w:sz="0" w:space="0" w:color="auto"/>
        <w:bottom w:val="none" w:sz="0" w:space="0" w:color="auto"/>
        <w:right w:val="none" w:sz="0" w:space="0" w:color="auto"/>
      </w:divBdr>
    </w:div>
    <w:div w:id="467364130">
      <w:bodyDiv w:val="1"/>
      <w:marLeft w:val="0"/>
      <w:marRight w:val="0"/>
      <w:marTop w:val="0"/>
      <w:marBottom w:val="0"/>
      <w:divBdr>
        <w:top w:val="none" w:sz="0" w:space="0" w:color="auto"/>
        <w:left w:val="none" w:sz="0" w:space="0" w:color="auto"/>
        <w:bottom w:val="none" w:sz="0" w:space="0" w:color="auto"/>
        <w:right w:val="none" w:sz="0" w:space="0" w:color="auto"/>
      </w:divBdr>
    </w:div>
    <w:div w:id="469056028">
      <w:bodyDiv w:val="1"/>
      <w:marLeft w:val="0"/>
      <w:marRight w:val="0"/>
      <w:marTop w:val="0"/>
      <w:marBottom w:val="0"/>
      <w:divBdr>
        <w:top w:val="none" w:sz="0" w:space="0" w:color="auto"/>
        <w:left w:val="none" w:sz="0" w:space="0" w:color="auto"/>
        <w:bottom w:val="none" w:sz="0" w:space="0" w:color="auto"/>
        <w:right w:val="none" w:sz="0" w:space="0" w:color="auto"/>
      </w:divBdr>
    </w:div>
    <w:div w:id="473644573">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844007">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80931752">
      <w:bodyDiv w:val="1"/>
      <w:marLeft w:val="0"/>
      <w:marRight w:val="0"/>
      <w:marTop w:val="0"/>
      <w:marBottom w:val="0"/>
      <w:divBdr>
        <w:top w:val="none" w:sz="0" w:space="0" w:color="auto"/>
        <w:left w:val="none" w:sz="0" w:space="0" w:color="auto"/>
        <w:bottom w:val="none" w:sz="0" w:space="0" w:color="auto"/>
        <w:right w:val="none" w:sz="0" w:space="0" w:color="auto"/>
      </w:divBdr>
    </w:div>
    <w:div w:id="482549655">
      <w:bodyDiv w:val="1"/>
      <w:marLeft w:val="0"/>
      <w:marRight w:val="0"/>
      <w:marTop w:val="0"/>
      <w:marBottom w:val="0"/>
      <w:divBdr>
        <w:top w:val="none" w:sz="0" w:space="0" w:color="auto"/>
        <w:left w:val="none" w:sz="0" w:space="0" w:color="auto"/>
        <w:bottom w:val="none" w:sz="0" w:space="0" w:color="auto"/>
        <w:right w:val="none" w:sz="0" w:space="0" w:color="auto"/>
      </w:divBdr>
    </w:div>
    <w:div w:id="494225417">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497187985">
      <w:bodyDiv w:val="1"/>
      <w:marLeft w:val="0"/>
      <w:marRight w:val="0"/>
      <w:marTop w:val="0"/>
      <w:marBottom w:val="0"/>
      <w:divBdr>
        <w:top w:val="none" w:sz="0" w:space="0" w:color="auto"/>
        <w:left w:val="none" w:sz="0" w:space="0" w:color="auto"/>
        <w:bottom w:val="none" w:sz="0" w:space="0" w:color="auto"/>
        <w:right w:val="none" w:sz="0" w:space="0" w:color="auto"/>
      </w:divBdr>
    </w:div>
    <w:div w:id="500004503">
      <w:bodyDiv w:val="1"/>
      <w:marLeft w:val="0"/>
      <w:marRight w:val="0"/>
      <w:marTop w:val="0"/>
      <w:marBottom w:val="0"/>
      <w:divBdr>
        <w:top w:val="none" w:sz="0" w:space="0" w:color="auto"/>
        <w:left w:val="none" w:sz="0" w:space="0" w:color="auto"/>
        <w:bottom w:val="none" w:sz="0" w:space="0" w:color="auto"/>
        <w:right w:val="none" w:sz="0" w:space="0" w:color="auto"/>
      </w:divBdr>
    </w:div>
    <w:div w:id="504244018">
      <w:bodyDiv w:val="1"/>
      <w:marLeft w:val="0"/>
      <w:marRight w:val="0"/>
      <w:marTop w:val="0"/>
      <w:marBottom w:val="0"/>
      <w:divBdr>
        <w:top w:val="none" w:sz="0" w:space="0" w:color="auto"/>
        <w:left w:val="none" w:sz="0" w:space="0" w:color="auto"/>
        <w:bottom w:val="none" w:sz="0" w:space="0" w:color="auto"/>
        <w:right w:val="none" w:sz="0" w:space="0" w:color="auto"/>
      </w:divBdr>
    </w:div>
    <w:div w:id="506794417">
      <w:bodyDiv w:val="1"/>
      <w:marLeft w:val="0"/>
      <w:marRight w:val="0"/>
      <w:marTop w:val="0"/>
      <w:marBottom w:val="0"/>
      <w:divBdr>
        <w:top w:val="none" w:sz="0" w:space="0" w:color="auto"/>
        <w:left w:val="none" w:sz="0" w:space="0" w:color="auto"/>
        <w:bottom w:val="none" w:sz="0" w:space="0" w:color="auto"/>
        <w:right w:val="none" w:sz="0" w:space="0" w:color="auto"/>
      </w:divBdr>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1922048">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3417321">
      <w:bodyDiv w:val="1"/>
      <w:marLeft w:val="0"/>
      <w:marRight w:val="0"/>
      <w:marTop w:val="0"/>
      <w:marBottom w:val="0"/>
      <w:divBdr>
        <w:top w:val="none" w:sz="0" w:space="0" w:color="auto"/>
        <w:left w:val="none" w:sz="0" w:space="0" w:color="auto"/>
        <w:bottom w:val="none" w:sz="0" w:space="0" w:color="auto"/>
        <w:right w:val="none" w:sz="0" w:space="0" w:color="auto"/>
      </w:divBdr>
    </w:div>
    <w:div w:id="515388716">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28645121">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8857476">
      <w:bodyDiv w:val="1"/>
      <w:marLeft w:val="0"/>
      <w:marRight w:val="0"/>
      <w:marTop w:val="0"/>
      <w:marBottom w:val="0"/>
      <w:divBdr>
        <w:top w:val="none" w:sz="0" w:space="0" w:color="auto"/>
        <w:left w:val="none" w:sz="0" w:space="0" w:color="auto"/>
        <w:bottom w:val="none" w:sz="0" w:space="0" w:color="auto"/>
        <w:right w:val="none" w:sz="0" w:space="0" w:color="auto"/>
      </w:divBdr>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0167772">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684094">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58440223">
      <w:bodyDiv w:val="1"/>
      <w:marLeft w:val="0"/>
      <w:marRight w:val="0"/>
      <w:marTop w:val="0"/>
      <w:marBottom w:val="0"/>
      <w:divBdr>
        <w:top w:val="none" w:sz="0" w:space="0" w:color="auto"/>
        <w:left w:val="none" w:sz="0" w:space="0" w:color="auto"/>
        <w:bottom w:val="none" w:sz="0" w:space="0" w:color="auto"/>
        <w:right w:val="none" w:sz="0" w:space="0" w:color="auto"/>
      </w:divBdr>
    </w:div>
    <w:div w:id="561645589">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79216301">
      <w:bodyDiv w:val="1"/>
      <w:marLeft w:val="0"/>
      <w:marRight w:val="0"/>
      <w:marTop w:val="0"/>
      <w:marBottom w:val="0"/>
      <w:divBdr>
        <w:top w:val="none" w:sz="0" w:space="0" w:color="auto"/>
        <w:left w:val="none" w:sz="0" w:space="0" w:color="auto"/>
        <w:bottom w:val="none" w:sz="0" w:space="0" w:color="auto"/>
        <w:right w:val="none" w:sz="0" w:space="0" w:color="auto"/>
      </w:divBdr>
    </w:div>
    <w:div w:id="579799352">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598220680">
      <w:bodyDiv w:val="1"/>
      <w:marLeft w:val="0"/>
      <w:marRight w:val="0"/>
      <w:marTop w:val="0"/>
      <w:marBottom w:val="0"/>
      <w:divBdr>
        <w:top w:val="none" w:sz="0" w:space="0" w:color="auto"/>
        <w:left w:val="none" w:sz="0" w:space="0" w:color="auto"/>
        <w:bottom w:val="none" w:sz="0" w:space="0" w:color="auto"/>
        <w:right w:val="none" w:sz="0" w:space="0" w:color="auto"/>
      </w:divBdr>
    </w:div>
    <w:div w:id="599413023">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09124157">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19923570">
      <w:bodyDiv w:val="1"/>
      <w:marLeft w:val="0"/>
      <w:marRight w:val="0"/>
      <w:marTop w:val="0"/>
      <w:marBottom w:val="0"/>
      <w:divBdr>
        <w:top w:val="none" w:sz="0" w:space="0" w:color="auto"/>
        <w:left w:val="none" w:sz="0" w:space="0" w:color="auto"/>
        <w:bottom w:val="none" w:sz="0" w:space="0" w:color="auto"/>
        <w:right w:val="none" w:sz="0" w:space="0" w:color="auto"/>
      </w:divBdr>
    </w:div>
    <w:div w:id="622076080">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32373691">
      <w:bodyDiv w:val="1"/>
      <w:marLeft w:val="0"/>
      <w:marRight w:val="0"/>
      <w:marTop w:val="0"/>
      <w:marBottom w:val="0"/>
      <w:divBdr>
        <w:top w:val="none" w:sz="0" w:space="0" w:color="auto"/>
        <w:left w:val="none" w:sz="0" w:space="0" w:color="auto"/>
        <w:bottom w:val="none" w:sz="0" w:space="0" w:color="auto"/>
        <w:right w:val="none" w:sz="0" w:space="0" w:color="auto"/>
      </w:divBdr>
    </w:div>
    <w:div w:id="634339037">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49211880">
      <w:bodyDiv w:val="1"/>
      <w:marLeft w:val="0"/>
      <w:marRight w:val="0"/>
      <w:marTop w:val="0"/>
      <w:marBottom w:val="0"/>
      <w:divBdr>
        <w:top w:val="none" w:sz="0" w:space="0" w:color="auto"/>
        <w:left w:val="none" w:sz="0" w:space="0" w:color="auto"/>
        <w:bottom w:val="none" w:sz="0" w:space="0" w:color="auto"/>
        <w:right w:val="none" w:sz="0" w:space="0" w:color="auto"/>
      </w:divBdr>
    </w:div>
    <w:div w:id="653098517">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54072892">
      <w:bodyDiv w:val="1"/>
      <w:marLeft w:val="0"/>
      <w:marRight w:val="0"/>
      <w:marTop w:val="0"/>
      <w:marBottom w:val="0"/>
      <w:divBdr>
        <w:top w:val="none" w:sz="0" w:space="0" w:color="auto"/>
        <w:left w:val="none" w:sz="0" w:space="0" w:color="auto"/>
        <w:bottom w:val="none" w:sz="0" w:space="0" w:color="auto"/>
        <w:right w:val="none" w:sz="0" w:space="0" w:color="auto"/>
      </w:divBdr>
    </w:div>
    <w:div w:id="657271307">
      <w:bodyDiv w:val="1"/>
      <w:marLeft w:val="0"/>
      <w:marRight w:val="0"/>
      <w:marTop w:val="0"/>
      <w:marBottom w:val="0"/>
      <w:divBdr>
        <w:top w:val="none" w:sz="0" w:space="0" w:color="auto"/>
        <w:left w:val="none" w:sz="0" w:space="0" w:color="auto"/>
        <w:bottom w:val="none" w:sz="0" w:space="0" w:color="auto"/>
        <w:right w:val="none" w:sz="0" w:space="0" w:color="auto"/>
      </w:divBdr>
    </w:div>
    <w:div w:id="657423158">
      <w:bodyDiv w:val="1"/>
      <w:marLeft w:val="0"/>
      <w:marRight w:val="0"/>
      <w:marTop w:val="0"/>
      <w:marBottom w:val="0"/>
      <w:divBdr>
        <w:top w:val="none" w:sz="0" w:space="0" w:color="auto"/>
        <w:left w:val="none" w:sz="0" w:space="0" w:color="auto"/>
        <w:bottom w:val="none" w:sz="0" w:space="0" w:color="auto"/>
        <w:right w:val="none" w:sz="0" w:space="0" w:color="auto"/>
      </w:divBdr>
    </w:div>
    <w:div w:id="670957821">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78966374">
      <w:bodyDiv w:val="1"/>
      <w:marLeft w:val="0"/>
      <w:marRight w:val="0"/>
      <w:marTop w:val="0"/>
      <w:marBottom w:val="0"/>
      <w:divBdr>
        <w:top w:val="none" w:sz="0" w:space="0" w:color="auto"/>
        <w:left w:val="none" w:sz="0" w:space="0" w:color="auto"/>
        <w:bottom w:val="none" w:sz="0" w:space="0" w:color="auto"/>
        <w:right w:val="none" w:sz="0" w:space="0" w:color="auto"/>
      </w:divBdr>
    </w:div>
    <w:div w:id="681661706">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013909">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689644090">
      <w:bodyDiv w:val="1"/>
      <w:marLeft w:val="0"/>
      <w:marRight w:val="0"/>
      <w:marTop w:val="0"/>
      <w:marBottom w:val="0"/>
      <w:divBdr>
        <w:top w:val="none" w:sz="0" w:space="0" w:color="auto"/>
        <w:left w:val="none" w:sz="0" w:space="0" w:color="auto"/>
        <w:bottom w:val="none" w:sz="0" w:space="0" w:color="auto"/>
        <w:right w:val="none" w:sz="0" w:space="0" w:color="auto"/>
      </w:divBdr>
    </w:div>
    <w:div w:id="690297710">
      <w:bodyDiv w:val="1"/>
      <w:marLeft w:val="0"/>
      <w:marRight w:val="0"/>
      <w:marTop w:val="0"/>
      <w:marBottom w:val="0"/>
      <w:divBdr>
        <w:top w:val="none" w:sz="0" w:space="0" w:color="auto"/>
        <w:left w:val="none" w:sz="0" w:space="0" w:color="auto"/>
        <w:bottom w:val="none" w:sz="0" w:space="0" w:color="auto"/>
        <w:right w:val="none" w:sz="0" w:space="0" w:color="auto"/>
      </w:divBdr>
    </w:div>
    <w:div w:id="699666721">
      <w:bodyDiv w:val="1"/>
      <w:marLeft w:val="0"/>
      <w:marRight w:val="0"/>
      <w:marTop w:val="0"/>
      <w:marBottom w:val="0"/>
      <w:divBdr>
        <w:top w:val="none" w:sz="0" w:space="0" w:color="auto"/>
        <w:left w:val="none" w:sz="0" w:space="0" w:color="auto"/>
        <w:bottom w:val="none" w:sz="0" w:space="0" w:color="auto"/>
        <w:right w:val="none" w:sz="0" w:space="0" w:color="auto"/>
      </w:divBdr>
    </w:div>
    <w:div w:id="700864842">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23721004">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37049702">
      <w:bodyDiv w:val="1"/>
      <w:marLeft w:val="0"/>
      <w:marRight w:val="0"/>
      <w:marTop w:val="0"/>
      <w:marBottom w:val="0"/>
      <w:divBdr>
        <w:top w:val="none" w:sz="0" w:space="0" w:color="auto"/>
        <w:left w:val="none" w:sz="0" w:space="0" w:color="auto"/>
        <w:bottom w:val="none" w:sz="0" w:space="0" w:color="auto"/>
        <w:right w:val="none" w:sz="0" w:space="0" w:color="auto"/>
      </w:divBdr>
    </w:div>
    <w:div w:id="740904696">
      <w:bodyDiv w:val="1"/>
      <w:marLeft w:val="0"/>
      <w:marRight w:val="0"/>
      <w:marTop w:val="0"/>
      <w:marBottom w:val="0"/>
      <w:divBdr>
        <w:top w:val="none" w:sz="0" w:space="0" w:color="auto"/>
        <w:left w:val="none" w:sz="0" w:space="0" w:color="auto"/>
        <w:bottom w:val="none" w:sz="0" w:space="0" w:color="auto"/>
        <w:right w:val="none" w:sz="0" w:space="0" w:color="auto"/>
      </w:divBdr>
    </w:div>
    <w:div w:id="754782752">
      <w:bodyDiv w:val="1"/>
      <w:marLeft w:val="0"/>
      <w:marRight w:val="0"/>
      <w:marTop w:val="0"/>
      <w:marBottom w:val="0"/>
      <w:divBdr>
        <w:top w:val="none" w:sz="0" w:space="0" w:color="auto"/>
        <w:left w:val="none" w:sz="0" w:space="0" w:color="auto"/>
        <w:bottom w:val="none" w:sz="0" w:space="0" w:color="auto"/>
        <w:right w:val="none" w:sz="0" w:space="0" w:color="auto"/>
      </w:divBdr>
    </w:div>
    <w:div w:id="765081008">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73745252">
      <w:bodyDiv w:val="1"/>
      <w:marLeft w:val="0"/>
      <w:marRight w:val="0"/>
      <w:marTop w:val="0"/>
      <w:marBottom w:val="0"/>
      <w:divBdr>
        <w:top w:val="none" w:sz="0" w:space="0" w:color="auto"/>
        <w:left w:val="none" w:sz="0" w:space="0" w:color="auto"/>
        <w:bottom w:val="none" w:sz="0" w:space="0" w:color="auto"/>
        <w:right w:val="none" w:sz="0" w:space="0" w:color="auto"/>
      </w:divBdr>
    </w:div>
    <w:div w:id="775713925">
      <w:bodyDiv w:val="1"/>
      <w:marLeft w:val="0"/>
      <w:marRight w:val="0"/>
      <w:marTop w:val="0"/>
      <w:marBottom w:val="0"/>
      <w:divBdr>
        <w:top w:val="none" w:sz="0" w:space="0" w:color="auto"/>
        <w:left w:val="none" w:sz="0" w:space="0" w:color="auto"/>
        <w:bottom w:val="none" w:sz="0" w:space="0" w:color="auto"/>
        <w:right w:val="none" w:sz="0" w:space="0" w:color="auto"/>
      </w:divBdr>
    </w:div>
    <w:div w:id="777792851">
      <w:bodyDiv w:val="1"/>
      <w:marLeft w:val="0"/>
      <w:marRight w:val="0"/>
      <w:marTop w:val="0"/>
      <w:marBottom w:val="0"/>
      <w:divBdr>
        <w:top w:val="none" w:sz="0" w:space="0" w:color="auto"/>
        <w:left w:val="none" w:sz="0" w:space="0" w:color="auto"/>
        <w:bottom w:val="none" w:sz="0" w:space="0" w:color="auto"/>
        <w:right w:val="none" w:sz="0" w:space="0" w:color="auto"/>
      </w:divBdr>
      <w:divsChild>
        <w:div w:id="1920284343">
          <w:marLeft w:val="547"/>
          <w:marRight w:val="0"/>
          <w:marTop w:val="0"/>
          <w:marBottom w:val="120"/>
          <w:divBdr>
            <w:top w:val="none" w:sz="0" w:space="0" w:color="auto"/>
            <w:left w:val="none" w:sz="0" w:space="0" w:color="auto"/>
            <w:bottom w:val="none" w:sz="0" w:space="0" w:color="auto"/>
            <w:right w:val="none" w:sz="0" w:space="0" w:color="auto"/>
          </w:divBdr>
        </w:div>
        <w:div w:id="1823354029">
          <w:marLeft w:val="547"/>
          <w:marRight w:val="0"/>
          <w:marTop w:val="0"/>
          <w:marBottom w:val="120"/>
          <w:divBdr>
            <w:top w:val="none" w:sz="0" w:space="0" w:color="auto"/>
            <w:left w:val="none" w:sz="0" w:space="0" w:color="auto"/>
            <w:bottom w:val="none" w:sz="0" w:space="0" w:color="auto"/>
            <w:right w:val="none" w:sz="0" w:space="0" w:color="auto"/>
          </w:divBdr>
        </w:div>
        <w:div w:id="951783716">
          <w:marLeft w:val="547"/>
          <w:marRight w:val="0"/>
          <w:marTop w:val="0"/>
          <w:marBottom w:val="120"/>
          <w:divBdr>
            <w:top w:val="none" w:sz="0" w:space="0" w:color="auto"/>
            <w:left w:val="none" w:sz="0" w:space="0" w:color="auto"/>
            <w:bottom w:val="none" w:sz="0" w:space="0" w:color="auto"/>
            <w:right w:val="none" w:sz="0" w:space="0" w:color="auto"/>
          </w:divBdr>
        </w:div>
        <w:div w:id="245656861">
          <w:marLeft w:val="547"/>
          <w:marRight w:val="0"/>
          <w:marTop w:val="0"/>
          <w:marBottom w:val="120"/>
          <w:divBdr>
            <w:top w:val="none" w:sz="0" w:space="0" w:color="auto"/>
            <w:left w:val="none" w:sz="0" w:space="0" w:color="auto"/>
            <w:bottom w:val="none" w:sz="0" w:space="0" w:color="auto"/>
            <w:right w:val="none" w:sz="0" w:space="0" w:color="auto"/>
          </w:divBdr>
        </w:div>
        <w:div w:id="1115252567">
          <w:marLeft w:val="547"/>
          <w:marRight w:val="0"/>
          <w:marTop w:val="0"/>
          <w:marBottom w:val="36"/>
          <w:divBdr>
            <w:top w:val="none" w:sz="0" w:space="0" w:color="auto"/>
            <w:left w:val="none" w:sz="0" w:space="0" w:color="auto"/>
            <w:bottom w:val="none" w:sz="0" w:space="0" w:color="auto"/>
            <w:right w:val="none" w:sz="0" w:space="0" w:color="auto"/>
          </w:divBdr>
        </w:div>
      </w:divsChild>
    </w:div>
    <w:div w:id="778838345">
      <w:bodyDiv w:val="1"/>
      <w:marLeft w:val="0"/>
      <w:marRight w:val="0"/>
      <w:marTop w:val="0"/>
      <w:marBottom w:val="0"/>
      <w:divBdr>
        <w:top w:val="none" w:sz="0" w:space="0" w:color="auto"/>
        <w:left w:val="none" w:sz="0" w:space="0" w:color="auto"/>
        <w:bottom w:val="none" w:sz="0" w:space="0" w:color="auto"/>
        <w:right w:val="none" w:sz="0" w:space="0" w:color="auto"/>
      </w:divBdr>
    </w:div>
    <w:div w:id="782311084">
      <w:bodyDiv w:val="1"/>
      <w:marLeft w:val="0"/>
      <w:marRight w:val="0"/>
      <w:marTop w:val="0"/>
      <w:marBottom w:val="0"/>
      <w:divBdr>
        <w:top w:val="none" w:sz="0" w:space="0" w:color="auto"/>
        <w:left w:val="none" w:sz="0" w:space="0" w:color="auto"/>
        <w:bottom w:val="none" w:sz="0" w:space="0" w:color="auto"/>
        <w:right w:val="none" w:sz="0" w:space="0" w:color="auto"/>
      </w:divBdr>
    </w:div>
    <w:div w:id="782462775">
      <w:bodyDiv w:val="1"/>
      <w:marLeft w:val="0"/>
      <w:marRight w:val="0"/>
      <w:marTop w:val="0"/>
      <w:marBottom w:val="0"/>
      <w:divBdr>
        <w:top w:val="none" w:sz="0" w:space="0" w:color="auto"/>
        <w:left w:val="none" w:sz="0" w:space="0" w:color="auto"/>
        <w:bottom w:val="none" w:sz="0" w:space="0" w:color="auto"/>
        <w:right w:val="none" w:sz="0" w:space="0" w:color="auto"/>
      </w:divBdr>
    </w:div>
    <w:div w:id="783888998">
      <w:bodyDiv w:val="1"/>
      <w:marLeft w:val="0"/>
      <w:marRight w:val="0"/>
      <w:marTop w:val="0"/>
      <w:marBottom w:val="0"/>
      <w:divBdr>
        <w:top w:val="none" w:sz="0" w:space="0" w:color="auto"/>
        <w:left w:val="none" w:sz="0" w:space="0" w:color="auto"/>
        <w:bottom w:val="none" w:sz="0" w:space="0" w:color="auto"/>
        <w:right w:val="none" w:sz="0" w:space="0" w:color="auto"/>
      </w:divBdr>
    </w:div>
    <w:div w:id="786852113">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87553704">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79602846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04201434">
      <w:bodyDiv w:val="1"/>
      <w:marLeft w:val="0"/>
      <w:marRight w:val="0"/>
      <w:marTop w:val="0"/>
      <w:marBottom w:val="0"/>
      <w:divBdr>
        <w:top w:val="none" w:sz="0" w:space="0" w:color="auto"/>
        <w:left w:val="none" w:sz="0" w:space="0" w:color="auto"/>
        <w:bottom w:val="none" w:sz="0" w:space="0" w:color="auto"/>
        <w:right w:val="none" w:sz="0" w:space="0" w:color="auto"/>
      </w:divBdr>
    </w:div>
    <w:div w:id="805439854">
      <w:bodyDiv w:val="1"/>
      <w:marLeft w:val="0"/>
      <w:marRight w:val="0"/>
      <w:marTop w:val="0"/>
      <w:marBottom w:val="0"/>
      <w:divBdr>
        <w:top w:val="none" w:sz="0" w:space="0" w:color="auto"/>
        <w:left w:val="none" w:sz="0" w:space="0" w:color="auto"/>
        <w:bottom w:val="none" w:sz="0" w:space="0" w:color="auto"/>
        <w:right w:val="none" w:sz="0" w:space="0" w:color="auto"/>
      </w:divBdr>
    </w:div>
    <w:div w:id="809589884">
      <w:bodyDiv w:val="1"/>
      <w:marLeft w:val="0"/>
      <w:marRight w:val="0"/>
      <w:marTop w:val="0"/>
      <w:marBottom w:val="0"/>
      <w:divBdr>
        <w:top w:val="none" w:sz="0" w:space="0" w:color="auto"/>
        <w:left w:val="none" w:sz="0" w:space="0" w:color="auto"/>
        <w:bottom w:val="none" w:sz="0" w:space="0" w:color="auto"/>
        <w:right w:val="none" w:sz="0" w:space="0" w:color="auto"/>
      </w:divBdr>
    </w:div>
    <w:div w:id="813067139">
      <w:bodyDiv w:val="1"/>
      <w:marLeft w:val="0"/>
      <w:marRight w:val="0"/>
      <w:marTop w:val="0"/>
      <w:marBottom w:val="0"/>
      <w:divBdr>
        <w:top w:val="none" w:sz="0" w:space="0" w:color="auto"/>
        <w:left w:val="none" w:sz="0" w:space="0" w:color="auto"/>
        <w:bottom w:val="none" w:sz="0" w:space="0" w:color="auto"/>
        <w:right w:val="none" w:sz="0" w:space="0" w:color="auto"/>
      </w:divBdr>
    </w:div>
    <w:div w:id="813521460">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15731285">
      <w:bodyDiv w:val="1"/>
      <w:marLeft w:val="0"/>
      <w:marRight w:val="0"/>
      <w:marTop w:val="0"/>
      <w:marBottom w:val="0"/>
      <w:divBdr>
        <w:top w:val="none" w:sz="0" w:space="0" w:color="auto"/>
        <w:left w:val="none" w:sz="0" w:space="0" w:color="auto"/>
        <w:bottom w:val="none" w:sz="0" w:space="0" w:color="auto"/>
        <w:right w:val="none" w:sz="0" w:space="0" w:color="auto"/>
      </w:divBdr>
    </w:div>
    <w:div w:id="818961389">
      <w:bodyDiv w:val="1"/>
      <w:marLeft w:val="0"/>
      <w:marRight w:val="0"/>
      <w:marTop w:val="0"/>
      <w:marBottom w:val="0"/>
      <w:divBdr>
        <w:top w:val="none" w:sz="0" w:space="0" w:color="auto"/>
        <w:left w:val="none" w:sz="0" w:space="0" w:color="auto"/>
        <w:bottom w:val="none" w:sz="0" w:space="0" w:color="auto"/>
        <w:right w:val="none" w:sz="0" w:space="0" w:color="auto"/>
      </w:divBdr>
    </w:div>
    <w:div w:id="823474657">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7842646">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230844">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1505544">
      <w:bodyDiv w:val="1"/>
      <w:marLeft w:val="0"/>
      <w:marRight w:val="0"/>
      <w:marTop w:val="0"/>
      <w:marBottom w:val="0"/>
      <w:divBdr>
        <w:top w:val="none" w:sz="0" w:space="0" w:color="auto"/>
        <w:left w:val="none" w:sz="0" w:space="0" w:color="auto"/>
        <w:bottom w:val="none" w:sz="0" w:space="0" w:color="auto"/>
        <w:right w:val="none" w:sz="0" w:space="0" w:color="auto"/>
      </w:divBdr>
    </w:div>
    <w:div w:id="841897913">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53764818">
      <w:bodyDiv w:val="1"/>
      <w:marLeft w:val="0"/>
      <w:marRight w:val="0"/>
      <w:marTop w:val="0"/>
      <w:marBottom w:val="0"/>
      <w:divBdr>
        <w:top w:val="none" w:sz="0" w:space="0" w:color="auto"/>
        <w:left w:val="none" w:sz="0" w:space="0" w:color="auto"/>
        <w:bottom w:val="none" w:sz="0" w:space="0" w:color="auto"/>
        <w:right w:val="none" w:sz="0" w:space="0" w:color="auto"/>
      </w:divBdr>
    </w:div>
    <w:div w:id="854810805">
      <w:bodyDiv w:val="1"/>
      <w:marLeft w:val="0"/>
      <w:marRight w:val="0"/>
      <w:marTop w:val="0"/>
      <w:marBottom w:val="0"/>
      <w:divBdr>
        <w:top w:val="none" w:sz="0" w:space="0" w:color="auto"/>
        <w:left w:val="none" w:sz="0" w:space="0" w:color="auto"/>
        <w:bottom w:val="none" w:sz="0" w:space="0" w:color="auto"/>
        <w:right w:val="none" w:sz="0" w:space="0" w:color="auto"/>
      </w:divBdr>
    </w:div>
    <w:div w:id="859121772">
      <w:bodyDiv w:val="1"/>
      <w:marLeft w:val="0"/>
      <w:marRight w:val="0"/>
      <w:marTop w:val="0"/>
      <w:marBottom w:val="0"/>
      <w:divBdr>
        <w:top w:val="none" w:sz="0" w:space="0" w:color="auto"/>
        <w:left w:val="none" w:sz="0" w:space="0" w:color="auto"/>
        <w:bottom w:val="none" w:sz="0" w:space="0" w:color="auto"/>
        <w:right w:val="none" w:sz="0" w:space="0" w:color="auto"/>
      </w:divBdr>
    </w:div>
    <w:div w:id="863252065">
      <w:bodyDiv w:val="1"/>
      <w:marLeft w:val="0"/>
      <w:marRight w:val="0"/>
      <w:marTop w:val="0"/>
      <w:marBottom w:val="0"/>
      <w:divBdr>
        <w:top w:val="none" w:sz="0" w:space="0" w:color="auto"/>
        <w:left w:val="none" w:sz="0" w:space="0" w:color="auto"/>
        <w:bottom w:val="none" w:sz="0" w:space="0" w:color="auto"/>
        <w:right w:val="none" w:sz="0" w:space="0" w:color="auto"/>
      </w:divBdr>
    </w:div>
    <w:div w:id="863790377">
      <w:bodyDiv w:val="1"/>
      <w:marLeft w:val="0"/>
      <w:marRight w:val="0"/>
      <w:marTop w:val="0"/>
      <w:marBottom w:val="0"/>
      <w:divBdr>
        <w:top w:val="none" w:sz="0" w:space="0" w:color="auto"/>
        <w:left w:val="none" w:sz="0" w:space="0" w:color="auto"/>
        <w:bottom w:val="none" w:sz="0" w:space="0" w:color="auto"/>
        <w:right w:val="none" w:sz="0" w:space="0" w:color="auto"/>
      </w:divBdr>
      <w:divsChild>
        <w:div w:id="1525897067">
          <w:marLeft w:val="0"/>
          <w:marRight w:val="0"/>
          <w:marTop w:val="0"/>
          <w:marBottom w:val="0"/>
          <w:divBdr>
            <w:top w:val="none" w:sz="0" w:space="0" w:color="auto"/>
            <w:left w:val="none" w:sz="0" w:space="0" w:color="auto"/>
            <w:bottom w:val="none" w:sz="0" w:space="0" w:color="auto"/>
            <w:right w:val="none" w:sz="0" w:space="0" w:color="auto"/>
          </w:divBdr>
        </w:div>
      </w:divsChild>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67304046">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1503594">
      <w:bodyDiv w:val="1"/>
      <w:marLeft w:val="0"/>
      <w:marRight w:val="0"/>
      <w:marTop w:val="0"/>
      <w:marBottom w:val="0"/>
      <w:divBdr>
        <w:top w:val="none" w:sz="0" w:space="0" w:color="auto"/>
        <w:left w:val="none" w:sz="0" w:space="0" w:color="auto"/>
        <w:bottom w:val="none" w:sz="0" w:space="0" w:color="auto"/>
        <w:right w:val="none" w:sz="0" w:space="0" w:color="auto"/>
      </w:divBdr>
    </w:div>
    <w:div w:id="894706498">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1989567">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03418561">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16325475">
      <w:bodyDiv w:val="1"/>
      <w:marLeft w:val="0"/>
      <w:marRight w:val="0"/>
      <w:marTop w:val="0"/>
      <w:marBottom w:val="0"/>
      <w:divBdr>
        <w:top w:val="none" w:sz="0" w:space="0" w:color="auto"/>
        <w:left w:val="none" w:sz="0" w:space="0" w:color="auto"/>
        <w:bottom w:val="none" w:sz="0" w:space="0" w:color="auto"/>
        <w:right w:val="none" w:sz="0" w:space="0" w:color="auto"/>
      </w:divBdr>
    </w:div>
    <w:div w:id="918632129">
      <w:bodyDiv w:val="1"/>
      <w:marLeft w:val="0"/>
      <w:marRight w:val="0"/>
      <w:marTop w:val="0"/>
      <w:marBottom w:val="0"/>
      <w:divBdr>
        <w:top w:val="none" w:sz="0" w:space="0" w:color="auto"/>
        <w:left w:val="none" w:sz="0" w:space="0" w:color="auto"/>
        <w:bottom w:val="none" w:sz="0" w:space="0" w:color="auto"/>
        <w:right w:val="none" w:sz="0" w:space="0" w:color="auto"/>
      </w:divBdr>
    </w:div>
    <w:div w:id="919825579">
      <w:bodyDiv w:val="1"/>
      <w:marLeft w:val="0"/>
      <w:marRight w:val="0"/>
      <w:marTop w:val="0"/>
      <w:marBottom w:val="0"/>
      <w:divBdr>
        <w:top w:val="none" w:sz="0" w:space="0" w:color="auto"/>
        <w:left w:val="none" w:sz="0" w:space="0" w:color="auto"/>
        <w:bottom w:val="none" w:sz="0" w:space="0" w:color="auto"/>
        <w:right w:val="none" w:sz="0" w:space="0" w:color="auto"/>
      </w:divBdr>
    </w:div>
    <w:div w:id="923146169">
      <w:bodyDiv w:val="1"/>
      <w:marLeft w:val="0"/>
      <w:marRight w:val="0"/>
      <w:marTop w:val="0"/>
      <w:marBottom w:val="0"/>
      <w:divBdr>
        <w:top w:val="none" w:sz="0" w:space="0" w:color="auto"/>
        <w:left w:val="none" w:sz="0" w:space="0" w:color="auto"/>
        <w:bottom w:val="none" w:sz="0" w:space="0" w:color="auto"/>
        <w:right w:val="none" w:sz="0" w:space="0" w:color="auto"/>
      </w:divBdr>
    </w:div>
    <w:div w:id="925842009">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34676130">
      <w:bodyDiv w:val="1"/>
      <w:marLeft w:val="0"/>
      <w:marRight w:val="0"/>
      <w:marTop w:val="0"/>
      <w:marBottom w:val="0"/>
      <w:divBdr>
        <w:top w:val="none" w:sz="0" w:space="0" w:color="auto"/>
        <w:left w:val="none" w:sz="0" w:space="0" w:color="auto"/>
        <w:bottom w:val="none" w:sz="0" w:space="0" w:color="auto"/>
        <w:right w:val="none" w:sz="0" w:space="0" w:color="auto"/>
      </w:divBdr>
    </w:div>
    <w:div w:id="939027622">
      <w:bodyDiv w:val="1"/>
      <w:marLeft w:val="0"/>
      <w:marRight w:val="0"/>
      <w:marTop w:val="0"/>
      <w:marBottom w:val="0"/>
      <w:divBdr>
        <w:top w:val="none" w:sz="0" w:space="0" w:color="auto"/>
        <w:left w:val="none" w:sz="0" w:space="0" w:color="auto"/>
        <w:bottom w:val="none" w:sz="0" w:space="0" w:color="auto"/>
        <w:right w:val="none" w:sz="0" w:space="0" w:color="auto"/>
      </w:divBdr>
    </w:div>
    <w:div w:id="944387735">
      <w:bodyDiv w:val="1"/>
      <w:marLeft w:val="0"/>
      <w:marRight w:val="0"/>
      <w:marTop w:val="0"/>
      <w:marBottom w:val="0"/>
      <w:divBdr>
        <w:top w:val="none" w:sz="0" w:space="0" w:color="auto"/>
        <w:left w:val="none" w:sz="0" w:space="0" w:color="auto"/>
        <w:bottom w:val="none" w:sz="0" w:space="0" w:color="auto"/>
        <w:right w:val="none" w:sz="0" w:space="0" w:color="auto"/>
      </w:divBdr>
    </w:div>
    <w:div w:id="944970281">
      <w:bodyDiv w:val="1"/>
      <w:marLeft w:val="0"/>
      <w:marRight w:val="0"/>
      <w:marTop w:val="0"/>
      <w:marBottom w:val="0"/>
      <w:divBdr>
        <w:top w:val="none" w:sz="0" w:space="0" w:color="auto"/>
        <w:left w:val="none" w:sz="0" w:space="0" w:color="auto"/>
        <w:bottom w:val="none" w:sz="0" w:space="0" w:color="auto"/>
        <w:right w:val="none" w:sz="0" w:space="0" w:color="auto"/>
      </w:divBdr>
    </w:div>
    <w:div w:id="946696167">
      <w:bodyDiv w:val="1"/>
      <w:marLeft w:val="0"/>
      <w:marRight w:val="0"/>
      <w:marTop w:val="0"/>
      <w:marBottom w:val="0"/>
      <w:divBdr>
        <w:top w:val="none" w:sz="0" w:space="0" w:color="auto"/>
        <w:left w:val="none" w:sz="0" w:space="0" w:color="auto"/>
        <w:bottom w:val="none" w:sz="0" w:space="0" w:color="auto"/>
        <w:right w:val="none" w:sz="0" w:space="0" w:color="auto"/>
      </w:divBdr>
    </w:div>
    <w:div w:id="947784571">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283103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982274410">
      <w:bodyDiv w:val="1"/>
      <w:marLeft w:val="0"/>
      <w:marRight w:val="0"/>
      <w:marTop w:val="0"/>
      <w:marBottom w:val="0"/>
      <w:divBdr>
        <w:top w:val="none" w:sz="0" w:space="0" w:color="auto"/>
        <w:left w:val="none" w:sz="0" w:space="0" w:color="auto"/>
        <w:bottom w:val="none" w:sz="0" w:space="0" w:color="auto"/>
        <w:right w:val="none" w:sz="0" w:space="0" w:color="auto"/>
      </w:divBdr>
    </w:div>
    <w:div w:id="984628271">
      <w:bodyDiv w:val="1"/>
      <w:marLeft w:val="0"/>
      <w:marRight w:val="0"/>
      <w:marTop w:val="0"/>
      <w:marBottom w:val="0"/>
      <w:divBdr>
        <w:top w:val="none" w:sz="0" w:space="0" w:color="auto"/>
        <w:left w:val="none" w:sz="0" w:space="0" w:color="auto"/>
        <w:bottom w:val="none" w:sz="0" w:space="0" w:color="auto"/>
        <w:right w:val="none" w:sz="0" w:space="0" w:color="auto"/>
      </w:divBdr>
    </w:div>
    <w:div w:id="990603261">
      <w:bodyDiv w:val="1"/>
      <w:marLeft w:val="0"/>
      <w:marRight w:val="0"/>
      <w:marTop w:val="0"/>
      <w:marBottom w:val="0"/>
      <w:divBdr>
        <w:top w:val="none" w:sz="0" w:space="0" w:color="auto"/>
        <w:left w:val="none" w:sz="0" w:space="0" w:color="auto"/>
        <w:bottom w:val="none" w:sz="0" w:space="0" w:color="auto"/>
        <w:right w:val="none" w:sz="0" w:space="0" w:color="auto"/>
      </w:divBdr>
    </w:div>
    <w:div w:id="1000474589">
      <w:bodyDiv w:val="1"/>
      <w:marLeft w:val="0"/>
      <w:marRight w:val="0"/>
      <w:marTop w:val="0"/>
      <w:marBottom w:val="0"/>
      <w:divBdr>
        <w:top w:val="none" w:sz="0" w:space="0" w:color="auto"/>
        <w:left w:val="none" w:sz="0" w:space="0" w:color="auto"/>
        <w:bottom w:val="none" w:sz="0" w:space="0" w:color="auto"/>
        <w:right w:val="none" w:sz="0" w:space="0" w:color="auto"/>
      </w:divBdr>
    </w:div>
    <w:div w:id="1004673820">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09212027">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2262659">
      <w:bodyDiv w:val="1"/>
      <w:marLeft w:val="0"/>
      <w:marRight w:val="0"/>
      <w:marTop w:val="0"/>
      <w:marBottom w:val="0"/>
      <w:divBdr>
        <w:top w:val="none" w:sz="0" w:space="0" w:color="auto"/>
        <w:left w:val="none" w:sz="0" w:space="0" w:color="auto"/>
        <w:bottom w:val="none" w:sz="0" w:space="0" w:color="auto"/>
        <w:right w:val="none" w:sz="0" w:space="0" w:color="auto"/>
      </w:divBdr>
    </w:div>
    <w:div w:id="1038630260">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0056996">
      <w:bodyDiv w:val="1"/>
      <w:marLeft w:val="0"/>
      <w:marRight w:val="0"/>
      <w:marTop w:val="0"/>
      <w:marBottom w:val="0"/>
      <w:divBdr>
        <w:top w:val="none" w:sz="0" w:space="0" w:color="auto"/>
        <w:left w:val="none" w:sz="0" w:space="0" w:color="auto"/>
        <w:bottom w:val="none" w:sz="0" w:space="0" w:color="auto"/>
        <w:right w:val="none" w:sz="0" w:space="0" w:color="auto"/>
      </w:divBdr>
    </w:div>
    <w:div w:id="1042903057">
      <w:bodyDiv w:val="1"/>
      <w:marLeft w:val="0"/>
      <w:marRight w:val="0"/>
      <w:marTop w:val="0"/>
      <w:marBottom w:val="0"/>
      <w:divBdr>
        <w:top w:val="none" w:sz="0" w:space="0" w:color="auto"/>
        <w:left w:val="none" w:sz="0" w:space="0" w:color="auto"/>
        <w:bottom w:val="none" w:sz="0" w:space="0" w:color="auto"/>
        <w:right w:val="none" w:sz="0" w:space="0" w:color="auto"/>
      </w:divBdr>
    </w:div>
    <w:div w:id="1044867756">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47683155">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55931326">
      <w:bodyDiv w:val="1"/>
      <w:marLeft w:val="0"/>
      <w:marRight w:val="0"/>
      <w:marTop w:val="0"/>
      <w:marBottom w:val="0"/>
      <w:divBdr>
        <w:top w:val="none" w:sz="0" w:space="0" w:color="auto"/>
        <w:left w:val="none" w:sz="0" w:space="0" w:color="auto"/>
        <w:bottom w:val="none" w:sz="0" w:space="0" w:color="auto"/>
        <w:right w:val="none" w:sz="0" w:space="0" w:color="auto"/>
      </w:divBdr>
    </w:div>
    <w:div w:id="1061175114">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3158049">
      <w:bodyDiv w:val="1"/>
      <w:marLeft w:val="0"/>
      <w:marRight w:val="0"/>
      <w:marTop w:val="0"/>
      <w:marBottom w:val="0"/>
      <w:divBdr>
        <w:top w:val="none" w:sz="0" w:space="0" w:color="auto"/>
        <w:left w:val="none" w:sz="0" w:space="0" w:color="auto"/>
        <w:bottom w:val="none" w:sz="0" w:space="0" w:color="auto"/>
        <w:right w:val="none" w:sz="0" w:space="0" w:color="auto"/>
      </w:divBdr>
    </w:div>
    <w:div w:id="1077284857">
      <w:bodyDiv w:val="1"/>
      <w:marLeft w:val="0"/>
      <w:marRight w:val="0"/>
      <w:marTop w:val="0"/>
      <w:marBottom w:val="0"/>
      <w:divBdr>
        <w:top w:val="none" w:sz="0" w:space="0" w:color="auto"/>
        <w:left w:val="none" w:sz="0" w:space="0" w:color="auto"/>
        <w:bottom w:val="none" w:sz="0" w:space="0" w:color="auto"/>
        <w:right w:val="none" w:sz="0" w:space="0" w:color="auto"/>
      </w:divBdr>
    </w:div>
    <w:div w:id="1077360400">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82872711">
      <w:bodyDiv w:val="1"/>
      <w:marLeft w:val="0"/>
      <w:marRight w:val="0"/>
      <w:marTop w:val="0"/>
      <w:marBottom w:val="0"/>
      <w:divBdr>
        <w:top w:val="none" w:sz="0" w:space="0" w:color="auto"/>
        <w:left w:val="none" w:sz="0" w:space="0" w:color="auto"/>
        <w:bottom w:val="none" w:sz="0" w:space="0" w:color="auto"/>
        <w:right w:val="none" w:sz="0" w:space="0" w:color="auto"/>
      </w:divBdr>
    </w:div>
    <w:div w:id="1085884418">
      <w:bodyDiv w:val="1"/>
      <w:marLeft w:val="0"/>
      <w:marRight w:val="0"/>
      <w:marTop w:val="0"/>
      <w:marBottom w:val="0"/>
      <w:divBdr>
        <w:top w:val="none" w:sz="0" w:space="0" w:color="auto"/>
        <w:left w:val="none" w:sz="0" w:space="0" w:color="auto"/>
        <w:bottom w:val="none" w:sz="0" w:space="0" w:color="auto"/>
        <w:right w:val="none" w:sz="0" w:space="0" w:color="auto"/>
      </w:divBdr>
    </w:div>
    <w:div w:id="1086418505">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094786541">
      <w:bodyDiv w:val="1"/>
      <w:marLeft w:val="0"/>
      <w:marRight w:val="0"/>
      <w:marTop w:val="0"/>
      <w:marBottom w:val="0"/>
      <w:divBdr>
        <w:top w:val="none" w:sz="0" w:space="0" w:color="auto"/>
        <w:left w:val="none" w:sz="0" w:space="0" w:color="auto"/>
        <w:bottom w:val="none" w:sz="0" w:space="0" w:color="auto"/>
        <w:right w:val="none" w:sz="0" w:space="0" w:color="auto"/>
      </w:divBdr>
    </w:div>
    <w:div w:id="1097561407">
      <w:bodyDiv w:val="1"/>
      <w:marLeft w:val="0"/>
      <w:marRight w:val="0"/>
      <w:marTop w:val="0"/>
      <w:marBottom w:val="0"/>
      <w:divBdr>
        <w:top w:val="none" w:sz="0" w:space="0" w:color="auto"/>
        <w:left w:val="none" w:sz="0" w:space="0" w:color="auto"/>
        <w:bottom w:val="none" w:sz="0" w:space="0" w:color="auto"/>
        <w:right w:val="none" w:sz="0" w:space="0" w:color="auto"/>
      </w:divBdr>
    </w:div>
    <w:div w:id="1099792305">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06316464">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29932993">
      <w:bodyDiv w:val="1"/>
      <w:marLeft w:val="0"/>
      <w:marRight w:val="0"/>
      <w:marTop w:val="0"/>
      <w:marBottom w:val="0"/>
      <w:divBdr>
        <w:top w:val="none" w:sz="0" w:space="0" w:color="auto"/>
        <w:left w:val="none" w:sz="0" w:space="0" w:color="auto"/>
        <w:bottom w:val="none" w:sz="0" w:space="0" w:color="auto"/>
        <w:right w:val="none" w:sz="0" w:space="0" w:color="auto"/>
      </w:divBdr>
    </w:div>
    <w:div w:id="1134717372">
      <w:bodyDiv w:val="1"/>
      <w:marLeft w:val="0"/>
      <w:marRight w:val="0"/>
      <w:marTop w:val="0"/>
      <w:marBottom w:val="0"/>
      <w:divBdr>
        <w:top w:val="none" w:sz="0" w:space="0" w:color="auto"/>
        <w:left w:val="none" w:sz="0" w:space="0" w:color="auto"/>
        <w:bottom w:val="none" w:sz="0" w:space="0" w:color="auto"/>
        <w:right w:val="none" w:sz="0" w:space="0" w:color="auto"/>
      </w:divBdr>
    </w:div>
    <w:div w:id="1137722744">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39424286">
      <w:bodyDiv w:val="1"/>
      <w:marLeft w:val="0"/>
      <w:marRight w:val="0"/>
      <w:marTop w:val="0"/>
      <w:marBottom w:val="0"/>
      <w:divBdr>
        <w:top w:val="none" w:sz="0" w:space="0" w:color="auto"/>
        <w:left w:val="none" w:sz="0" w:space="0" w:color="auto"/>
        <w:bottom w:val="none" w:sz="0" w:space="0" w:color="auto"/>
        <w:right w:val="none" w:sz="0" w:space="0" w:color="auto"/>
      </w:divBdr>
    </w:div>
    <w:div w:id="1141263145">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42499509">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4540265">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039898">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83780283">
      <w:bodyDiv w:val="1"/>
      <w:marLeft w:val="0"/>
      <w:marRight w:val="0"/>
      <w:marTop w:val="0"/>
      <w:marBottom w:val="0"/>
      <w:divBdr>
        <w:top w:val="none" w:sz="0" w:space="0" w:color="auto"/>
        <w:left w:val="none" w:sz="0" w:space="0" w:color="auto"/>
        <w:bottom w:val="none" w:sz="0" w:space="0" w:color="auto"/>
        <w:right w:val="none" w:sz="0" w:space="0" w:color="auto"/>
      </w:divBdr>
    </w:div>
    <w:div w:id="1186290830">
      <w:bodyDiv w:val="1"/>
      <w:marLeft w:val="0"/>
      <w:marRight w:val="0"/>
      <w:marTop w:val="0"/>
      <w:marBottom w:val="0"/>
      <w:divBdr>
        <w:top w:val="none" w:sz="0" w:space="0" w:color="auto"/>
        <w:left w:val="none" w:sz="0" w:space="0" w:color="auto"/>
        <w:bottom w:val="none" w:sz="0" w:space="0" w:color="auto"/>
        <w:right w:val="none" w:sz="0" w:space="0" w:color="auto"/>
      </w:divBdr>
    </w:div>
    <w:div w:id="118679277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5196493">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0581777">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07447719">
      <w:bodyDiv w:val="1"/>
      <w:marLeft w:val="0"/>
      <w:marRight w:val="0"/>
      <w:marTop w:val="0"/>
      <w:marBottom w:val="0"/>
      <w:divBdr>
        <w:top w:val="none" w:sz="0" w:space="0" w:color="auto"/>
        <w:left w:val="none" w:sz="0" w:space="0" w:color="auto"/>
        <w:bottom w:val="none" w:sz="0" w:space="0" w:color="auto"/>
        <w:right w:val="none" w:sz="0" w:space="0" w:color="auto"/>
      </w:divBdr>
      <w:divsChild>
        <w:div w:id="926033614">
          <w:marLeft w:val="547"/>
          <w:marRight w:val="0"/>
          <w:marTop w:val="0"/>
          <w:marBottom w:val="0"/>
          <w:divBdr>
            <w:top w:val="none" w:sz="0" w:space="0" w:color="auto"/>
            <w:left w:val="none" w:sz="0" w:space="0" w:color="auto"/>
            <w:bottom w:val="none" w:sz="0" w:space="0" w:color="auto"/>
            <w:right w:val="none" w:sz="0" w:space="0" w:color="auto"/>
          </w:divBdr>
        </w:div>
      </w:divsChild>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17548788">
      <w:bodyDiv w:val="1"/>
      <w:marLeft w:val="0"/>
      <w:marRight w:val="0"/>
      <w:marTop w:val="0"/>
      <w:marBottom w:val="0"/>
      <w:divBdr>
        <w:top w:val="none" w:sz="0" w:space="0" w:color="auto"/>
        <w:left w:val="none" w:sz="0" w:space="0" w:color="auto"/>
        <w:bottom w:val="none" w:sz="0" w:space="0" w:color="auto"/>
        <w:right w:val="none" w:sz="0" w:space="0" w:color="auto"/>
      </w:divBdr>
    </w:div>
    <w:div w:id="1219198476">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419085">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39167313">
      <w:bodyDiv w:val="1"/>
      <w:marLeft w:val="0"/>
      <w:marRight w:val="0"/>
      <w:marTop w:val="0"/>
      <w:marBottom w:val="0"/>
      <w:divBdr>
        <w:top w:val="none" w:sz="0" w:space="0" w:color="auto"/>
        <w:left w:val="none" w:sz="0" w:space="0" w:color="auto"/>
        <w:bottom w:val="none" w:sz="0" w:space="0" w:color="auto"/>
        <w:right w:val="none" w:sz="0" w:space="0" w:color="auto"/>
      </w:divBdr>
    </w:div>
    <w:div w:id="1241938340">
      <w:bodyDiv w:val="1"/>
      <w:marLeft w:val="0"/>
      <w:marRight w:val="0"/>
      <w:marTop w:val="0"/>
      <w:marBottom w:val="0"/>
      <w:divBdr>
        <w:top w:val="none" w:sz="0" w:space="0" w:color="auto"/>
        <w:left w:val="none" w:sz="0" w:space="0" w:color="auto"/>
        <w:bottom w:val="none" w:sz="0" w:space="0" w:color="auto"/>
        <w:right w:val="none" w:sz="0" w:space="0" w:color="auto"/>
      </w:divBdr>
    </w:div>
    <w:div w:id="1244989294">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55438604">
      <w:bodyDiv w:val="1"/>
      <w:marLeft w:val="0"/>
      <w:marRight w:val="0"/>
      <w:marTop w:val="0"/>
      <w:marBottom w:val="0"/>
      <w:divBdr>
        <w:top w:val="none" w:sz="0" w:space="0" w:color="auto"/>
        <w:left w:val="none" w:sz="0" w:space="0" w:color="auto"/>
        <w:bottom w:val="none" w:sz="0" w:space="0" w:color="auto"/>
        <w:right w:val="none" w:sz="0" w:space="0" w:color="auto"/>
      </w:divBdr>
    </w:div>
    <w:div w:id="1256282508">
      <w:bodyDiv w:val="1"/>
      <w:marLeft w:val="0"/>
      <w:marRight w:val="0"/>
      <w:marTop w:val="0"/>
      <w:marBottom w:val="0"/>
      <w:divBdr>
        <w:top w:val="none" w:sz="0" w:space="0" w:color="auto"/>
        <w:left w:val="none" w:sz="0" w:space="0" w:color="auto"/>
        <w:bottom w:val="none" w:sz="0" w:space="0" w:color="auto"/>
        <w:right w:val="none" w:sz="0" w:space="0" w:color="auto"/>
      </w:divBdr>
    </w:div>
    <w:div w:id="1257402398">
      <w:bodyDiv w:val="1"/>
      <w:marLeft w:val="0"/>
      <w:marRight w:val="0"/>
      <w:marTop w:val="0"/>
      <w:marBottom w:val="0"/>
      <w:divBdr>
        <w:top w:val="none" w:sz="0" w:space="0" w:color="auto"/>
        <w:left w:val="none" w:sz="0" w:space="0" w:color="auto"/>
        <w:bottom w:val="none" w:sz="0" w:space="0" w:color="auto"/>
        <w:right w:val="none" w:sz="0" w:space="0" w:color="auto"/>
      </w:divBdr>
    </w:div>
    <w:div w:id="1258633935">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3107758">
      <w:bodyDiv w:val="1"/>
      <w:marLeft w:val="0"/>
      <w:marRight w:val="0"/>
      <w:marTop w:val="0"/>
      <w:marBottom w:val="0"/>
      <w:divBdr>
        <w:top w:val="none" w:sz="0" w:space="0" w:color="auto"/>
        <w:left w:val="none" w:sz="0" w:space="0" w:color="auto"/>
        <w:bottom w:val="none" w:sz="0" w:space="0" w:color="auto"/>
        <w:right w:val="none" w:sz="0" w:space="0" w:color="auto"/>
      </w:divBdr>
    </w:div>
    <w:div w:id="1263337851">
      <w:bodyDiv w:val="1"/>
      <w:marLeft w:val="0"/>
      <w:marRight w:val="0"/>
      <w:marTop w:val="0"/>
      <w:marBottom w:val="0"/>
      <w:divBdr>
        <w:top w:val="none" w:sz="0" w:space="0" w:color="auto"/>
        <w:left w:val="none" w:sz="0" w:space="0" w:color="auto"/>
        <w:bottom w:val="none" w:sz="0" w:space="0" w:color="auto"/>
        <w:right w:val="none" w:sz="0" w:space="0" w:color="auto"/>
      </w:divBdr>
    </w:div>
    <w:div w:id="1263806574">
      <w:bodyDiv w:val="1"/>
      <w:marLeft w:val="0"/>
      <w:marRight w:val="0"/>
      <w:marTop w:val="0"/>
      <w:marBottom w:val="0"/>
      <w:divBdr>
        <w:top w:val="none" w:sz="0" w:space="0" w:color="auto"/>
        <w:left w:val="none" w:sz="0" w:space="0" w:color="auto"/>
        <w:bottom w:val="none" w:sz="0" w:space="0" w:color="auto"/>
        <w:right w:val="none" w:sz="0" w:space="0" w:color="auto"/>
      </w:divBdr>
    </w:div>
    <w:div w:id="1268081613">
      <w:bodyDiv w:val="1"/>
      <w:marLeft w:val="0"/>
      <w:marRight w:val="0"/>
      <w:marTop w:val="0"/>
      <w:marBottom w:val="0"/>
      <w:divBdr>
        <w:top w:val="none" w:sz="0" w:space="0" w:color="auto"/>
        <w:left w:val="none" w:sz="0" w:space="0" w:color="auto"/>
        <w:bottom w:val="none" w:sz="0" w:space="0" w:color="auto"/>
        <w:right w:val="none" w:sz="0" w:space="0" w:color="auto"/>
      </w:divBdr>
    </w:div>
    <w:div w:id="1269508436">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75479188">
      <w:bodyDiv w:val="1"/>
      <w:marLeft w:val="0"/>
      <w:marRight w:val="0"/>
      <w:marTop w:val="0"/>
      <w:marBottom w:val="0"/>
      <w:divBdr>
        <w:top w:val="none" w:sz="0" w:space="0" w:color="auto"/>
        <w:left w:val="none" w:sz="0" w:space="0" w:color="auto"/>
        <w:bottom w:val="none" w:sz="0" w:space="0" w:color="auto"/>
        <w:right w:val="none" w:sz="0" w:space="0" w:color="auto"/>
      </w:divBdr>
    </w:div>
    <w:div w:id="1276326552">
      <w:bodyDiv w:val="1"/>
      <w:marLeft w:val="0"/>
      <w:marRight w:val="0"/>
      <w:marTop w:val="0"/>
      <w:marBottom w:val="0"/>
      <w:divBdr>
        <w:top w:val="none" w:sz="0" w:space="0" w:color="auto"/>
        <w:left w:val="none" w:sz="0" w:space="0" w:color="auto"/>
        <w:bottom w:val="none" w:sz="0" w:space="0" w:color="auto"/>
        <w:right w:val="none" w:sz="0" w:space="0" w:color="auto"/>
      </w:divBdr>
    </w:div>
    <w:div w:id="1279416197">
      <w:bodyDiv w:val="1"/>
      <w:marLeft w:val="0"/>
      <w:marRight w:val="0"/>
      <w:marTop w:val="0"/>
      <w:marBottom w:val="0"/>
      <w:divBdr>
        <w:top w:val="none" w:sz="0" w:space="0" w:color="auto"/>
        <w:left w:val="none" w:sz="0" w:space="0" w:color="auto"/>
        <w:bottom w:val="none" w:sz="0" w:space="0" w:color="auto"/>
        <w:right w:val="none" w:sz="0" w:space="0" w:color="auto"/>
      </w:divBdr>
    </w:div>
    <w:div w:id="1280063064">
      <w:bodyDiv w:val="1"/>
      <w:marLeft w:val="0"/>
      <w:marRight w:val="0"/>
      <w:marTop w:val="0"/>
      <w:marBottom w:val="0"/>
      <w:divBdr>
        <w:top w:val="none" w:sz="0" w:space="0" w:color="auto"/>
        <w:left w:val="none" w:sz="0" w:space="0" w:color="auto"/>
        <w:bottom w:val="none" w:sz="0" w:space="0" w:color="auto"/>
        <w:right w:val="none" w:sz="0" w:space="0" w:color="auto"/>
      </w:divBdr>
    </w:div>
    <w:div w:id="1285578490">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127708">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299803977">
      <w:bodyDiv w:val="1"/>
      <w:marLeft w:val="0"/>
      <w:marRight w:val="0"/>
      <w:marTop w:val="0"/>
      <w:marBottom w:val="0"/>
      <w:divBdr>
        <w:top w:val="none" w:sz="0" w:space="0" w:color="auto"/>
        <w:left w:val="none" w:sz="0" w:space="0" w:color="auto"/>
        <w:bottom w:val="none" w:sz="0" w:space="0" w:color="auto"/>
        <w:right w:val="none" w:sz="0" w:space="0" w:color="auto"/>
      </w:divBdr>
    </w:div>
    <w:div w:id="1301568125">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0947583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20109194">
      <w:bodyDiv w:val="1"/>
      <w:marLeft w:val="0"/>
      <w:marRight w:val="0"/>
      <w:marTop w:val="0"/>
      <w:marBottom w:val="0"/>
      <w:divBdr>
        <w:top w:val="none" w:sz="0" w:space="0" w:color="auto"/>
        <w:left w:val="none" w:sz="0" w:space="0" w:color="auto"/>
        <w:bottom w:val="none" w:sz="0" w:space="0" w:color="auto"/>
        <w:right w:val="none" w:sz="0" w:space="0" w:color="auto"/>
      </w:divBdr>
    </w:div>
    <w:div w:id="1321427452">
      <w:bodyDiv w:val="1"/>
      <w:marLeft w:val="0"/>
      <w:marRight w:val="0"/>
      <w:marTop w:val="0"/>
      <w:marBottom w:val="0"/>
      <w:divBdr>
        <w:top w:val="none" w:sz="0" w:space="0" w:color="auto"/>
        <w:left w:val="none" w:sz="0" w:space="0" w:color="auto"/>
        <w:bottom w:val="none" w:sz="0" w:space="0" w:color="auto"/>
        <w:right w:val="none" w:sz="0" w:space="0" w:color="auto"/>
      </w:divBdr>
    </w:div>
    <w:div w:id="1324041559">
      <w:bodyDiv w:val="1"/>
      <w:marLeft w:val="0"/>
      <w:marRight w:val="0"/>
      <w:marTop w:val="0"/>
      <w:marBottom w:val="0"/>
      <w:divBdr>
        <w:top w:val="none" w:sz="0" w:space="0" w:color="auto"/>
        <w:left w:val="none" w:sz="0" w:space="0" w:color="auto"/>
        <w:bottom w:val="none" w:sz="0" w:space="0" w:color="auto"/>
        <w:right w:val="none" w:sz="0" w:space="0" w:color="auto"/>
      </w:divBdr>
    </w:div>
    <w:div w:id="1330013495">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1711912">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47514763">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65205338">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76780683">
      <w:bodyDiv w:val="1"/>
      <w:marLeft w:val="0"/>
      <w:marRight w:val="0"/>
      <w:marTop w:val="0"/>
      <w:marBottom w:val="0"/>
      <w:divBdr>
        <w:top w:val="none" w:sz="0" w:space="0" w:color="auto"/>
        <w:left w:val="none" w:sz="0" w:space="0" w:color="auto"/>
        <w:bottom w:val="none" w:sz="0" w:space="0" w:color="auto"/>
        <w:right w:val="none" w:sz="0" w:space="0" w:color="auto"/>
      </w:divBdr>
    </w:div>
    <w:div w:id="1386179002">
      <w:bodyDiv w:val="1"/>
      <w:marLeft w:val="0"/>
      <w:marRight w:val="0"/>
      <w:marTop w:val="0"/>
      <w:marBottom w:val="0"/>
      <w:divBdr>
        <w:top w:val="none" w:sz="0" w:space="0" w:color="auto"/>
        <w:left w:val="none" w:sz="0" w:space="0" w:color="auto"/>
        <w:bottom w:val="none" w:sz="0" w:space="0" w:color="auto"/>
        <w:right w:val="none" w:sz="0" w:space="0" w:color="auto"/>
      </w:divBdr>
    </w:div>
    <w:div w:id="1389111136">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5858766">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03261763">
      <w:bodyDiv w:val="1"/>
      <w:marLeft w:val="0"/>
      <w:marRight w:val="0"/>
      <w:marTop w:val="0"/>
      <w:marBottom w:val="0"/>
      <w:divBdr>
        <w:top w:val="none" w:sz="0" w:space="0" w:color="auto"/>
        <w:left w:val="none" w:sz="0" w:space="0" w:color="auto"/>
        <w:bottom w:val="none" w:sz="0" w:space="0" w:color="auto"/>
        <w:right w:val="none" w:sz="0" w:space="0" w:color="auto"/>
      </w:divBdr>
    </w:div>
    <w:div w:id="1404794111">
      <w:bodyDiv w:val="1"/>
      <w:marLeft w:val="0"/>
      <w:marRight w:val="0"/>
      <w:marTop w:val="0"/>
      <w:marBottom w:val="0"/>
      <w:divBdr>
        <w:top w:val="none" w:sz="0" w:space="0" w:color="auto"/>
        <w:left w:val="none" w:sz="0" w:space="0" w:color="auto"/>
        <w:bottom w:val="none" w:sz="0" w:space="0" w:color="auto"/>
        <w:right w:val="none" w:sz="0" w:space="0" w:color="auto"/>
      </w:divBdr>
    </w:div>
    <w:div w:id="1419711644">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43375824">
      <w:bodyDiv w:val="1"/>
      <w:marLeft w:val="0"/>
      <w:marRight w:val="0"/>
      <w:marTop w:val="0"/>
      <w:marBottom w:val="0"/>
      <w:divBdr>
        <w:top w:val="none" w:sz="0" w:space="0" w:color="auto"/>
        <w:left w:val="none" w:sz="0" w:space="0" w:color="auto"/>
        <w:bottom w:val="none" w:sz="0" w:space="0" w:color="auto"/>
        <w:right w:val="none" w:sz="0" w:space="0" w:color="auto"/>
      </w:divBdr>
    </w:div>
    <w:div w:id="1447507166">
      <w:bodyDiv w:val="1"/>
      <w:marLeft w:val="0"/>
      <w:marRight w:val="0"/>
      <w:marTop w:val="0"/>
      <w:marBottom w:val="0"/>
      <w:divBdr>
        <w:top w:val="none" w:sz="0" w:space="0" w:color="auto"/>
        <w:left w:val="none" w:sz="0" w:space="0" w:color="auto"/>
        <w:bottom w:val="none" w:sz="0" w:space="0" w:color="auto"/>
        <w:right w:val="none" w:sz="0" w:space="0" w:color="auto"/>
      </w:divBdr>
    </w:div>
    <w:div w:id="1449426750">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62337011">
      <w:bodyDiv w:val="1"/>
      <w:marLeft w:val="0"/>
      <w:marRight w:val="0"/>
      <w:marTop w:val="0"/>
      <w:marBottom w:val="0"/>
      <w:divBdr>
        <w:top w:val="none" w:sz="0" w:space="0" w:color="auto"/>
        <w:left w:val="none" w:sz="0" w:space="0" w:color="auto"/>
        <w:bottom w:val="none" w:sz="0" w:space="0" w:color="auto"/>
        <w:right w:val="none" w:sz="0" w:space="0" w:color="auto"/>
      </w:divBdr>
    </w:div>
    <w:div w:id="1467552778">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73478392">
      <w:bodyDiv w:val="1"/>
      <w:marLeft w:val="0"/>
      <w:marRight w:val="0"/>
      <w:marTop w:val="0"/>
      <w:marBottom w:val="0"/>
      <w:divBdr>
        <w:top w:val="none" w:sz="0" w:space="0" w:color="auto"/>
        <w:left w:val="none" w:sz="0" w:space="0" w:color="auto"/>
        <w:bottom w:val="none" w:sz="0" w:space="0" w:color="auto"/>
        <w:right w:val="none" w:sz="0" w:space="0" w:color="auto"/>
      </w:divBdr>
    </w:div>
    <w:div w:id="1475293259">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88132591">
      <w:bodyDiv w:val="1"/>
      <w:marLeft w:val="0"/>
      <w:marRight w:val="0"/>
      <w:marTop w:val="0"/>
      <w:marBottom w:val="0"/>
      <w:divBdr>
        <w:top w:val="none" w:sz="0" w:space="0" w:color="auto"/>
        <w:left w:val="none" w:sz="0" w:space="0" w:color="auto"/>
        <w:bottom w:val="none" w:sz="0" w:space="0" w:color="auto"/>
        <w:right w:val="none" w:sz="0" w:space="0" w:color="auto"/>
      </w:divBdr>
    </w:div>
    <w:div w:id="1489245266">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1042315">
      <w:bodyDiv w:val="1"/>
      <w:marLeft w:val="0"/>
      <w:marRight w:val="0"/>
      <w:marTop w:val="0"/>
      <w:marBottom w:val="0"/>
      <w:divBdr>
        <w:top w:val="none" w:sz="0" w:space="0" w:color="auto"/>
        <w:left w:val="none" w:sz="0" w:space="0" w:color="auto"/>
        <w:bottom w:val="none" w:sz="0" w:space="0" w:color="auto"/>
        <w:right w:val="none" w:sz="0" w:space="0" w:color="auto"/>
      </w:divBdr>
    </w:div>
    <w:div w:id="1506433504">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09565601">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4343156">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112926">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6480291">
      <w:bodyDiv w:val="1"/>
      <w:marLeft w:val="0"/>
      <w:marRight w:val="0"/>
      <w:marTop w:val="0"/>
      <w:marBottom w:val="0"/>
      <w:divBdr>
        <w:top w:val="none" w:sz="0" w:space="0" w:color="auto"/>
        <w:left w:val="none" w:sz="0" w:space="0" w:color="auto"/>
        <w:bottom w:val="none" w:sz="0" w:space="0" w:color="auto"/>
        <w:right w:val="none" w:sz="0" w:space="0" w:color="auto"/>
      </w:divBdr>
    </w:div>
    <w:div w:id="1528910194">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31802604">
      <w:bodyDiv w:val="1"/>
      <w:marLeft w:val="0"/>
      <w:marRight w:val="0"/>
      <w:marTop w:val="0"/>
      <w:marBottom w:val="0"/>
      <w:divBdr>
        <w:top w:val="none" w:sz="0" w:space="0" w:color="auto"/>
        <w:left w:val="none" w:sz="0" w:space="0" w:color="auto"/>
        <w:bottom w:val="none" w:sz="0" w:space="0" w:color="auto"/>
        <w:right w:val="none" w:sz="0" w:space="0" w:color="auto"/>
      </w:divBdr>
    </w:div>
    <w:div w:id="1534609584">
      <w:bodyDiv w:val="1"/>
      <w:marLeft w:val="0"/>
      <w:marRight w:val="0"/>
      <w:marTop w:val="0"/>
      <w:marBottom w:val="0"/>
      <w:divBdr>
        <w:top w:val="none" w:sz="0" w:space="0" w:color="auto"/>
        <w:left w:val="none" w:sz="0" w:space="0" w:color="auto"/>
        <w:bottom w:val="none" w:sz="0" w:space="0" w:color="auto"/>
        <w:right w:val="none" w:sz="0" w:space="0" w:color="auto"/>
      </w:divBdr>
    </w:div>
    <w:div w:id="1538351957">
      <w:bodyDiv w:val="1"/>
      <w:marLeft w:val="0"/>
      <w:marRight w:val="0"/>
      <w:marTop w:val="0"/>
      <w:marBottom w:val="0"/>
      <w:divBdr>
        <w:top w:val="none" w:sz="0" w:space="0" w:color="auto"/>
        <w:left w:val="none" w:sz="0" w:space="0" w:color="auto"/>
        <w:bottom w:val="none" w:sz="0" w:space="0" w:color="auto"/>
        <w:right w:val="none" w:sz="0" w:space="0" w:color="auto"/>
      </w:divBdr>
    </w:div>
    <w:div w:id="1542329897">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46529620">
      <w:bodyDiv w:val="1"/>
      <w:marLeft w:val="0"/>
      <w:marRight w:val="0"/>
      <w:marTop w:val="0"/>
      <w:marBottom w:val="0"/>
      <w:divBdr>
        <w:top w:val="none" w:sz="0" w:space="0" w:color="auto"/>
        <w:left w:val="none" w:sz="0" w:space="0" w:color="auto"/>
        <w:bottom w:val="none" w:sz="0" w:space="0" w:color="auto"/>
        <w:right w:val="none" w:sz="0" w:space="0" w:color="auto"/>
      </w:divBdr>
    </w:div>
    <w:div w:id="1551571486">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4682850">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3009630">
      <w:bodyDiv w:val="1"/>
      <w:marLeft w:val="0"/>
      <w:marRight w:val="0"/>
      <w:marTop w:val="0"/>
      <w:marBottom w:val="0"/>
      <w:divBdr>
        <w:top w:val="none" w:sz="0" w:space="0" w:color="auto"/>
        <w:left w:val="none" w:sz="0" w:space="0" w:color="auto"/>
        <w:bottom w:val="none" w:sz="0" w:space="0" w:color="auto"/>
        <w:right w:val="none" w:sz="0" w:space="0" w:color="auto"/>
      </w:divBdr>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2447768">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5843518">
      <w:bodyDiv w:val="1"/>
      <w:marLeft w:val="0"/>
      <w:marRight w:val="0"/>
      <w:marTop w:val="0"/>
      <w:marBottom w:val="0"/>
      <w:divBdr>
        <w:top w:val="none" w:sz="0" w:space="0" w:color="auto"/>
        <w:left w:val="none" w:sz="0" w:space="0" w:color="auto"/>
        <w:bottom w:val="none" w:sz="0" w:space="0" w:color="auto"/>
        <w:right w:val="none" w:sz="0" w:space="0" w:color="auto"/>
      </w:divBdr>
    </w:div>
    <w:div w:id="1586069267">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590309705">
      <w:bodyDiv w:val="1"/>
      <w:marLeft w:val="0"/>
      <w:marRight w:val="0"/>
      <w:marTop w:val="0"/>
      <w:marBottom w:val="0"/>
      <w:divBdr>
        <w:top w:val="none" w:sz="0" w:space="0" w:color="auto"/>
        <w:left w:val="none" w:sz="0" w:space="0" w:color="auto"/>
        <w:bottom w:val="none" w:sz="0" w:space="0" w:color="auto"/>
        <w:right w:val="none" w:sz="0" w:space="0" w:color="auto"/>
      </w:divBdr>
    </w:div>
    <w:div w:id="1593052308">
      <w:bodyDiv w:val="1"/>
      <w:marLeft w:val="0"/>
      <w:marRight w:val="0"/>
      <w:marTop w:val="0"/>
      <w:marBottom w:val="0"/>
      <w:divBdr>
        <w:top w:val="none" w:sz="0" w:space="0" w:color="auto"/>
        <w:left w:val="none" w:sz="0" w:space="0" w:color="auto"/>
        <w:bottom w:val="none" w:sz="0" w:space="0" w:color="auto"/>
        <w:right w:val="none" w:sz="0" w:space="0" w:color="auto"/>
      </w:divBdr>
    </w:div>
    <w:div w:id="1598437974">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15288686">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29243273">
      <w:bodyDiv w:val="1"/>
      <w:marLeft w:val="0"/>
      <w:marRight w:val="0"/>
      <w:marTop w:val="0"/>
      <w:marBottom w:val="0"/>
      <w:divBdr>
        <w:top w:val="none" w:sz="0" w:space="0" w:color="auto"/>
        <w:left w:val="none" w:sz="0" w:space="0" w:color="auto"/>
        <w:bottom w:val="none" w:sz="0" w:space="0" w:color="auto"/>
        <w:right w:val="none" w:sz="0" w:space="0" w:color="auto"/>
      </w:divBdr>
    </w:div>
    <w:div w:id="1630282424">
      <w:bodyDiv w:val="1"/>
      <w:marLeft w:val="0"/>
      <w:marRight w:val="0"/>
      <w:marTop w:val="0"/>
      <w:marBottom w:val="0"/>
      <w:divBdr>
        <w:top w:val="none" w:sz="0" w:space="0" w:color="auto"/>
        <w:left w:val="none" w:sz="0" w:space="0" w:color="auto"/>
        <w:bottom w:val="none" w:sz="0" w:space="0" w:color="auto"/>
        <w:right w:val="none" w:sz="0" w:space="0" w:color="auto"/>
      </w:divBdr>
    </w:div>
    <w:div w:id="1631934801">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41496185">
      <w:bodyDiv w:val="1"/>
      <w:marLeft w:val="0"/>
      <w:marRight w:val="0"/>
      <w:marTop w:val="0"/>
      <w:marBottom w:val="0"/>
      <w:divBdr>
        <w:top w:val="none" w:sz="0" w:space="0" w:color="auto"/>
        <w:left w:val="none" w:sz="0" w:space="0" w:color="auto"/>
        <w:bottom w:val="none" w:sz="0" w:space="0" w:color="auto"/>
        <w:right w:val="none" w:sz="0" w:space="0" w:color="auto"/>
      </w:divBdr>
    </w:div>
    <w:div w:id="1645502813">
      <w:bodyDiv w:val="1"/>
      <w:marLeft w:val="0"/>
      <w:marRight w:val="0"/>
      <w:marTop w:val="0"/>
      <w:marBottom w:val="0"/>
      <w:divBdr>
        <w:top w:val="none" w:sz="0" w:space="0" w:color="auto"/>
        <w:left w:val="none" w:sz="0" w:space="0" w:color="auto"/>
        <w:bottom w:val="none" w:sz="0" w:space="0" w:color="auto"/>
        <w:right w:val="none" w:sz="0" w:space="0" w:color="auto"/>
      </w:divBdr>
    </w:div>
    <w:div w:id="1647781290">
      <w:bodyDiv w:val="1"/>
      <w:marLeft w:val="0"/>
      <w:marRight w:val="0"/>
      <w:marTop w:val="0"/>
      <w:marBottom w:val="0"/>
      <w:divBdr>
        <w:top w:val="none" w:sz="0" w:space="0" w:color="auto"/>
        <w:left w:val="none" w:sz="0" w:space="0" w:color="auto"/>
        <w:bottom w:val="none" w:sz="0" w:space="0" w:color="auto"/>
        <w:right w:val="none" w:sz="0" w:space="0" w:color="auto"/>
      </w:divBdr>
    </w:div>
    <w:div w:id="1649630696">
      <w:bodyDiv w:val="1"/>
      <w:marLeft w:val="0"/>
      <w:marRight w:val="0"/>
      <w:marTop w:val="0"/>
      <w:marBottom w:val="0"/>
      <w:divBdr>
        <w:top w:val="none" w:sz="0" w:space="0" w:color="auto"/>
        <w:left w:val="none" w:sz="0" w:space="0" w:color="auto"/>
        <w:bottom w:val="none" w:sz="0" w:space="0" w:color="auto"/>
        <w:right w:val="none" w:sz="0" w:space="0" w:color="auto"/>
      </w:divBdr>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66057246">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73600388">
      <w:bodyDiv w:val="1"/>
      <w:marLeft w:val="0"/>
      <w:marRight w:val="0"/>
      <w:marTop w:val="0"/>
      <w:marBottom w:val="0"/>
      <w:divBdr>
        <w:top w:val="none" w:sz="0" w:space="0" w:color="auto"/>
        <w:left w:val="none" w:sz="0" w:space="0" w:color="auto"/>
        <w:bottom w:val="none" w:sz="0" w:space="0" w:color="auto"/>
        <w:right w:val="none" w:sz="0" w:space="0" w:color="auto"/>
      </w:divBdr>
    </w:div>
    <w:div w:id="1674725319">
      <w:bodyDiv w:val="1"/>
      <w:marLeft w:val="0"/>
      <w:marRight w:val="0"/>
      <w:marTop w:val="0"/>
      <w:marBottom w:val="0"/>
      <w:divBdr>
        <w:top w:val="none" w:sz="0" w:space="0" w:color="auto"/>
        <w:left w:val="none" w:sz="0" w:space="0" w:color="auto"/>
        <w:bottom w:val="none" w:sz="0" w:space="0" w:color="auto"/>
        <w:right w:val="none" w:sz="0" w:space="0" w:color="auto"/>
      </w:divBdr>
    </w:div>
    <w:div w:id="1677267616">
      <w:bodyDiv w:val="1"/>
      <w:marLeft w:val="0"/>
      <w:marRight w:val="0"/>
      <w:marTop w:val="0"/>
      <w:marBottom w:val="0"/>
      <w:divBdr>
        <w:top w:val="none" w:sz="0" w:space="0" w:color="auto"/>
        <w:left w:val="none" w:sz="0" w:space="0" w:color="auto"/>
        <w:bottom w:val="none" w:sz="0" w:space="0" w:color="auto"/>
        <w:right w:val="none" w:sz="0" w:space="0" w:color="auto"/>
      </w:divBdr>
    </w:div>
    <w:div w:id="1683966552">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0444751">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0232386">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06327424">
      <w:bodyDiv w:val="1"/>
      <w:marLeft w:val="0"/>
      <w:marRight w:val="0"/>
      <w:marTop w:val="0"/>
      <w:marBottom w:val="0"/>
      <w:divBdr>
        <w:top w:val="none" w:sz="0" w:space="0" w:color="auto"/>
        <w:left w:val="none" w:sz="0" w:space="0" w:color="auto"/>
        <w:bottom w:val="none" w:sz="0" w:space="0" w:color="auto"/>
        <w:right w:val="none" w:sz="0" w:space="0" w:color="auto"/>
      </w:divBdr>
    </w:div>
    <w:div w:id="1711878246">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644992">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691676">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273165">
      <w:bodyDiv w:val="1"/>
      <w:marLeft w:val="0"/>
      <w:marRight w:val="0"/>
      <w:marTop w:val="0"/>
      <w:marBottom w:val="0"/>
      <w:divBdr>
        <w:top w:val="none" w:sz="0" w:space="0" w:color="auto"/>
        <w:left w:val="none" w:sz="0" w:space="0" w:color="auto"/>
        <w:bottom w:val="none" w:sz="0" w:space="0" w:color="auto"/>
        <w:right w:val="none" w:sz="0" w:space="0" w:color="auto"/>
      </w:divBdr>
      <w:divsChild>
        <w:div w:id="830877749">
          <w:marLeft w:val="0"/>
          <w:marRight w:val="0"/>
          <w:marTop w:val="0"/>
          <w:marBottom w:val="0"/>
          <w:divBdr>
            <w:top w:val="none" w:sz="0" w:space="0" w:color="auto"/>
            <w:left w:val="none" w:sz="0" w:space="0" w:color="auto"/>
            <w:bottom w:val="none" w:sz="0" w:space="0" w:color="auto"/>
            <w:right w:val="none" w:sz="0" w:space="0" w:color="auto"/>
          </w:divBdr>
        </w:div>
      </w:divsChild>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
    <w:div w:id="1732460779">
      <w:bodyDiv w:val="1"/>
      <w:marLeft w:val="0"/>
      <w:marRight w:val="0"/>
      <w:marTop w:val="0"/>
      <w:marBottom w:val="0"/>
      <w:divBdr>
        <w:top w:val="none" w:sz="0" w:space="0" w:color="auto"/>
        <w:left w:val="none" w:sz="0" w:space="0" w:color="auto"/>
        <w:bottom w:val="none" w:sz="0" w:space="0" w:color="auto"/>
        <w:right w:val="none" w:sz="0" w:space="0" w:color="auto"/>
      </w:divBdr>
    </w:div>
    <w:div w:id="1734347903">
      <w:bodyDiv w:val="1"/>
      <w:marLeft w:val="0"/>
      <w:marRight w:val="0"/>
      <w:marTop w:val="0"/>
      <w:marBottom w:val="0"/>
      <w:divBdr>
        <w:top w:val="none" w:sz="0" w:space="0" w:color="auto"/>
        <w:left w:val="none" w:sz="0" w:space="0" w:color="auto"/>
        <w:bottom w:val="none" w:sz="0" w:space="0" w:color="auto"/>
        <w:right w:val="none" w:sz="0" w:space="0" w:color="auto"/>
      </w:divBdr>
    </w:div>
    <w:div w:id="1734501411">
      <w:bodyDiv w:val="1"/>
      <w:marLeft w:val="0"/>
      <w:marRight w:val="0"/>
      <w:marTop w:val="0"/>
      <w:marBottom w:val="0"/>
      <w:divBdr>
        <w:top w:val="none" w:sz="0" w:space="0" w:color="auto"/>
        <w:left w:val="none" w:sz="0" w:space="0" w:color="auto"/>
        <w:bottom w:val="none" w:sz="0" w:space="0" w:color="auto"/>
        <w:right w:val="none" w:sz="0" w:space="0" w:color="auto"/>
      </w:divBdr>
    </w:div>
    <w:div w:id="1738353897">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6805987">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0827889">
      <w:bodyDiv w:val="1"/>
      <w:marLeft w:val="0"/>
      <w:marRight w:val="0"/>
      <w:marTop w:val="0"/>
      <w:marBottom w:val="0"/>
      <w:divBdr>
        <w:top w:val="none" w:sz="0" w:space="0" w:color="auto"/>
        <w:left w:val="none" w:sz="0" w:space="0" w:color="auto"/>
        <w:bottom w:val="none" w:sz="0" w:space="0" w:color="auto"/>
        <w:right w:val="none" w:sz="0" w:space="0" w:color="auto"/>
      </w:divBdr>
    </w:div>
    <w:div w:id="1762943974">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65229205">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7944642">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79254507">
      <w:bodyDiv w:val="1"/>
      <w:marLeft w:val="0"/>
      <w:marRight w:val="0"/>
      <w:marTop w:val="0"/>
      <w:marBottom w:val="0"/>
      <w:divBdr>
        <w:top w:val="none" w:sz="0" w:space="0" w:color="auto"/>
        <w:left w:val="none" w:sz="0" w:space="0" w:color="auto"/>
        <w:bottom w:val="none" w:sz="0" w:space="0" w:color="auto"/>
        <w:right w:val="none" w:sz="0" w:space="0" w:color="auto"/>
      </w:divBdr>
    </w:div>
    <w:div w:id="178168294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87774496">
      <w:bodyDiv w:val="1"/>
      <w:marLeft w:val="0"/>
      <w:marRight w:val="0"/>
      <w:marTop w:val="0"/>
      <w:marBottom w:val="0"/>
      <w:divBdr>
        <w:top w:val="none" w:sz="0" w:space="0" w:color="auto"/>
        <w:left w:val="none" w:sz="0" w:space="0" w:color="auto"/>
        <w:bottom w:val="none" w:sz="0" w:space="0" w:color="auto"/>
        <w:right w:val="none" w:sz="0" w:space="0" w:color="auto"/>
      </w:divBdr>
    </w:div>
    <w:div w:id="1788698871">
      <w:bodyDiv w:val="1"/>
      <w:marLeft w:val="0"/>
      <w:marRight w:val="0"/>
      <w:marTop w:val="0"/>
      <w:marBottom w:val="0"/>
      <w:divBdr>
        <w:top w:val="none" w:sz="0" w:space="0" w:color="auto"/>
        <w:left w:val="none" w:sz="0" w:space="0" w:color="auto"/>
        <w:bottom w:val="none" w:sz="0" w:space="0" w:color="auto"/>
        <w:right w:val="none" w:sz="0" w:space="0" w:color="auto"/>
      </w:divBdr>
    </w:div>
    <w:div w:id="1790513847">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0151906">
      <w:bodyDiv w:val="1"/>
      <w:marLeft w:val="0"/>
      <w:marRight w:val="0"/>
      <w:marTop w:val="0"/>
      <w:marBottom w:val="0"/>
      <w:divBdr>
        <w:top w:val="none" w:sz="0" w:space="0" w:color="auto"/>
        <w:left w:val="none" w:sz="0" w:space="0" w:color="auto"/>
        <w:bottom w:val="none" w:sz="0" w:space="0" w:color="auto"/>
        <w:right w:val="none" w:sz="0" w:space="0" w:color="auto"/>
      </w:divBdr>
      <w:divsChild>
        <w:div w:id="284848996">
          <w:marLeft w:val="0"/>
          <w:marRight w:val="0"/>
          <w:marTop w:val="0"/>
          <w:marBottom w:val="0"/>
          <w:divBdr>
            <w:top w:val="none" w:sz="0" w:space="0" w:color="auto"/>
            <w:left w:val="none" w:sz="0" w:space="0" w:color="auto"/>
            <w:bottom w:val="none" w:sz="0" w:space="0" w:color="auto"/>
            <w:right w:val="none" w:sz="0" w:space="0" w:color="auto"/>
          </w:divBdr>
        </w:div>
      </w:divsChild>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2765917">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4343631">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5735657">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09783473">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18691526">
      <w:bodyDiv w:val="1"/>
      <w:marLeft w:val="0"/>
      <w:marRight w:val="0"/>
      <w:marTop w:val="0"/>
      <w:marBottom w:val="0"/>
      <w:divBdr>
        <w:top w:val="none" w:sz="0" w:space="0" w:color="auto"/>
        <w:left w:val="none" w:sz="0" w:space="0" w:color="auto"/>
        <w:bottom w:val="none" w:sz="0" w:space="0" w:color="auto"/>
        <w:right w:val="none" w:sz="0" w:space="0" w:color="auto"/>
      </w:divBdr>
    </w:div>
    <w:div w:id="1823815754">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6166668">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6262688">
      <w:bodyDiv w:val="1"/>
      <w:marLeft w:val="0"/>
      <w:marRight w:val="0"/>
      <w:marTop w:val="0"/>
      <w:marBottom w:val="0"/>
      <w:divBdr>
        <w:top w:val="none" w:sz="0" w:space="0" w:color="auto"/>
        <w:left w:val="none" w:sz="0" w:space="0" w:color="auto"/>
        <w:bottom w:val="none" w:sz="0" w:space="0" w:color="auto"/>
        <w:right w:val="none" w:sz="0" w:space="0" w:color="auto"/>
      </w:divBdr>
    </w:div>
    <w:div w:id="183725718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0343321">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47862890">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
    <w:div w:id="1853565643">
      <w:bodyDiv w:val="1"/>
      <w:marLeft w:val="0"/>
      <w:marRight w:val="0"/>
      <w:marTop w:val="0"/>
      <w:marBottom w:val="0"/>
      <w:divBdr>
        <w:top w:val="none" w:sz="0" w:space="0" w:color="auto"/>
        <w:left w:val="none" w:sz="0" w:space="0" w:color="auto"/>
        <w:bottom w:val="none" w:sz="0" w:space="0" w:color="auto"/>
        <w:right w:val="none" w:sz="0" w:space="0" w:color="auto"/>
      </w:divBdr>
    </w:div>
    <w:div w:id="1855076623">
      <w:bodyDiv w:val="1"/>
      <w:marLeft w:val="0"/>
      <w:marRight w:val="0"/>
      <w:marTop w:val="0"/>
      <w:marBottom w:val="0"/>
      <w:divBdr>
        <w:top w:val="none" w:sz="0" w:space="0" w:color="auto"/>
        <w:left w:val="none" w:sz="0" w:space="0" w:color="auto"/>
        <w:bottom w:val="none" w:sz="0" w:space="0" w:color="auto"/>
        <w:right w:val="none" w:sz="0" w:space="0" w:color="auto"/>
      </w:divBdr>
    </w:div>
    <w:div w:id="1858035977">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3595073">
      <w:bodyDiv w:val="1"/>
      <w:marLeft w:val="0"/>
      <w:marRight w:val="0"/>
      <w:marTop w:val="0"/>
      <w:marBottom w:val="0"/>
      <w:divBdr>
        <w:top w:val="none" w:sz="0" w:space="0" w:color="auto"/>
        <w:left w:val="none" w:sz="0" w:space="0" w:color="auto"/>
        <w:bottom w:val="none" w:sz="0" w:space="0" w:color="auto"/>
        <w:right w:val="none" w:sz="0" w:space="0" w:color="auto"/>
      </w:divBdr>
    </w:div>
    <w:div w:id="1867792525">
      <w:bodyDiv w:val="1"/>
      <w:marLeft w:val="0"/>
      <w:marRight w:val="0"/>
      <w:marTop w:val="0"/>
      <w:marBottom w:val="0"/>
      <w:divBdr>
        <w:top w:val="none" w:sz="0" w:space="0" w:color="auto"/>
        <w:left w:val="none" w:sz="0" w:space="0" w:color="auto"/>
        <w:bottom w:val="none" w:sz="0" w:space="0" w:color="auto"/>
        <w:right w:val="none" w:sz="0" w:space="0" w:color="auto"/>
      </w:divBdr>
    </w:div>
    <w:div w:id="1869098182">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0290559">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1652981">
      <w:bodyDiv w:val="1"/>
      <w:marLeft w:val="0"/>
      <w:marRight w:val="0"/>
      <w:marTop w:val="0"/>
      <w:marBottom w:val="0"/>
      <w:divBdr>
        <w:top w:val="none" w:sz="0" w:space="0" w:color="auto"/>
        <w:left w:val="none" w:sz="0" w:space="0" w:color="auto"/>
        <w:bottom w:val="none" w:sz="0" w:space="0" w:color="auto"/>
        <w:right w:val="none" w:sz="0" w:space="0" w:color="auto"/>
      </w:divBdr>
    </w:div>
    <w:div w:id="1894341385">
      <w:bodyDiv w:val="1"/>
      <w:marLeft w:val="0"/>
      <w:marRight w:val="0"/>
      <w:marTop w:val="0"/>
      <w:marBottom w:val="0"/>
      <w:divBdr>
        <w:top w:val="none" w:sz="0" w:space="0" w:color="auto"/>
        <w:left w:val="none" w:sz="0" w:space="0" w:color="auto"/>
        <w:bottom w:val="none" w:sz="0" w:space="0" w:color="auto"/>
        <w:right w:val="none" w:sz="0" w:space="0" w:color="auto"/>
      </w:divBdr>
    </w:div>
    <w:div w:id="1895696387">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03828904">
      <w:bodyDiv w:val="1"/>
      <w:marLeft w:val="0"/>
      <w:marRight w:val="0"/>
      <w:marTop w:val="0"/>
      <w:marBottom w:val="0"/>
      <w:divBdr>
        <w:top w:val="none" w:sz="0" w:space="0" w:color="auto"/>
        <w:left w:val="none" w:sz="0" w:space="0" w:color="auto"/>
        <w:bottom w:val="none" w:sz="0" w:space="0" w:color="auto"/>
        <w:right w:val="none" w:sz="0" w:space="0" w:color="auto"/>
      </w:divBdr>
    </w:div>
    <w:div w:id="1903904909">
      <w:bodyDiv w:val="1"/>
      <w:marLeft w:val="0"/>
      <w:marRight w:val="0"/>
      <w:marTop w:val="0"/>
      <w:marBottom w:val="0"/>
      <w:divBdr>
        <w:top w:val="none" w:sz="0" w:space="0" w:color="auto"/>
        <w:left w:val="none" w:sz="0" w:space="0" w:color="auto"/>
        <w:bottom w:val="none" w:sz="0" w:space="0" w:color="auto"/>
        <w:right w:val="none" w:sz="0" w:space="0" w:color="auto"/>
      </w:divBdr>
    </w:div>
    <w:div w:id="1907957140">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365701">
      <w:bodyDiv w:val="1"/>
      <w:marLeft w:val="0"/>
      <w:marRight w:val="0"/>
      <w:marTop w:val="0"/>
      <w:marBottom w:val="0"/>
      <w:divBdr>
        <w:top w:val="none" w:sz="0" w:space="0" w:color="auto"/>
        <w:left w:val="none" w:sz="0" w:space="0" w:color="auto"/>
        <w:bottom w:val="none" w:sz="0" w:space="0" w:color="auto"/>
        <w:right w:val="none" w:sz="0" w:space="0" w:color="auto"/>
      </w:divBdr>
    </w:div>
    <w:div w:id="191944107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8884534">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29731719">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7521007">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4529575">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52930254">
      <w:bodyDiv w:val="1"/>
      <w:marLeft w:val="0"/>
      <w:marRight w:val="0"/>
      <w:marTop w:val="0"/>
      <w:marBottom w:val="0"/>
      <w:divBdr>
        <w:top w:val="none" w:sz="0" w:space="0" w:color="auto"/>
        <w:left w:val="none" w:sz="0" w:space="0" w:color="auto"/>
        <w:bottom w:val="none" w:sz="0" w:space="0" w:color="auto"/>
        <w:right w:val="none" w:sz="0" w:space="0" w:color="auto"/>
      </w:divBdr>
    </w:div>
    <w:div w:id="1953517188">
      <w:bodyDiv w:val="1"/>
      <w:marLeft w:val="0"/>
      <w:marRight w:val="0"/>
      <w:marTop w:val="0"/>
      <w:marBottom w:val="0"/>
      <w:divBdr>
        <w:top w:val="none" w:sz="0" w:space="0" w:color="auto"/>
        <w:left w:val="none" w:sz="0" w:space="0" w:color="auto"/>
        <w:bottom w:val="none" w:sz="0" w:space="0" w:color="auto"/>
        <w:right w:val="none" w:sz="0" w:space="0" w:color="auto"/>
      </w:divBdr>
    </w:div>
    <w:div w:id="1955281212">
      <w:bodyDiv w:val="1"/>
      <w:marLeft w:val="0"/>
      <w:marRight w:val="0"/>
      <w:marTop w:val="0"/>
      <w:marBottom w:val="0"/>
      <w:divBdr>
        <w:top w:val="none" w:sz="0" w:space="0" w:color="auto"/>
        <w:left w:val="none" w:sz="0" w:space="0" w:color="auto"/>
        <w:bottom w:val="none" w:sz="0" w:space="0" w:color="auto"/>
        <w:right w:val="none" w:sz="0" w:space="0" w:color="auto"/>
      </w:divBdr>
    </w:div>
    <w:div w:id="1963606622">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69168299">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1284164">
      <w:bodyDiv w:val="1"/>
      <w:marLeft w:val="0"/>
      <w:marRight w:val="0"/>
      <w:marTop w:val="0"/>
      <w:marBottom w:val="0"/>
      <w:divBdr>
        <w:top w:val="none" w:sz="0" w:space="0" w:color="auto"/>
        <w:left w:val="none" w:sz="0" w:space="0" w:color="auto"/>
        <w:bottom w:val="none" w:sz="0" w:space="0" w:color="auto"/>
        <w:right w:val="none" w:sz="0" w:space="0" w:color="auto"/>
      </w:divBdr>
      <w:divsChild>
        <w:div w:id="151801454">
          <w:marLeft w:val="547"/>
          <w:marRight w:val="0"/>
          <w:marTop w:val="0"/>
          <w:marBottom w:val="0"/>
          <w:divBdr>
            <w:top w:val="none" w:sz="0" w:space="0" w:color="auto"/>
            <w:left w:val="none" w:sz="0" w:space="0" w:color="auto"/>
            <w:bottom w:val="none" w:sz="0" w:space="0" w:color="auto"/>
            <w:right w:val="none" w:sz="0" w:space="0" w:color="auto"/>
          </w:divBdr>
        </w:div>
      </w:divsChild>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83804694">
      <w:bodyDiv w:val="1"/>
      <w:marLeft w:val="0"/>
      <w:marRight w:val="0"/>
      <w:marTop w:val="0"/>
      <w:marBottom w:val="0"/>
      <w:divBdr>
        <w:top w:val="none" w:sz="0" w:space="0" w:color="auto"/>
        <w:left w:val="none" w:sz="0" w:space="0" w:color="auto"/>
        <w:bottom w:val="none" w:sz="0" w:space="0" w:color="auto"/>
        <w:right w:val="none" w:sz="0" w:space="0" w:color="auto"/>
      </w:divBdr>
    </w:div>
    <w:div w:id="1984037637">
      <w:bodyDiv w:val="1"/>
      <w:marLeft w:val="0"/>
      <w:marRight w:val="0"/>
      <w:marTop w:val="0"/>
      <w:marBottom w:val="0"/>
      <w:divBdr>
        <w:top w:val="none" w:sz="0" w:space="0" w:color="auto"/>
        <w:left w:val="none" w:sz="0" w:space="0" w:color="auto"/>
        <w:bottom w:val="none" w:sz="0" w:space="0" w:color="auto"/>
        <w:right w:val="none" w:sz="0" w:space="0" w:color="auto"/>
      </w:divBdr>
    </w:div>
    <w:div w:id="1984701811">
      <w:bodyDiv w:val="1"/>
      <w:marLeft w:val="0"/>
      <w:marRight w:val="0"/>
      <w:marTop w:val="0"/>
      <w:marBottom w:val="0"/>
      <w:divBdr>
        <w:top w:val="none" w:sz="0" w:space="0" w:color="auto"/>
        <w:left w:val="none" w:sz="0" w:space="0" w:color="auto"/>
        <w:bottom w:val="none" w:sz="0" w:space="0" w:color="auto"/>
        <w:right w:val="none" w:sz="0" w:space="0" w:color="auto"/>
      </w:divBdr>
    </w:div>
    <w:div w:id="1991714298">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1999068110">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03894751">
      <w:bodyDiv w:val="1"/>
      <w:marLeft w:val="0"/>
      <w:marRight w:val="0"/>
      <w:marTop w:val="0"/>
      <w:marBottom w:val="0"/>
      <w:divBdr>
        <w:top w:val="none" w:sz="0" w:space="0" w:color="auto"/>
        <w:left w:val="none" w:sz="0" w:space="0" w:color="auto"/>
        <w:bottom w:val="none" w:sz="0" w:space="0" w:color="auto"/>
        <w:right w:val="none" w:sz="0" w:space="0" w:color="auto"/>
      </w:divBdr>
    </w:div>
    <w:div w:id="2015301411">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29721712">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2977260">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44595632">
      <w:bodyDiv w:val="1"/>
      <w:marLeft w:val="0"/>
      <w:marRight w:val="0"/>
      <w:marTop w:val="0"/>
      <w:marBottom w:val="0"/>
      <w:divBdr>
        <w:top w:val="none" w:sz="0" w:space="0" w:color="auto"/>
        <w:left w:val="none" w:sz="0" w:space="0" w:color="auto"/>
        <w:bottom w:val="none" w:sz="0" w:space="0" w:color="auto"/>
        <w:right w:val="none" w:sz="0" w:space="0" w:color="auto"/>
      </w:divBdr>
    </w:div>
    <w:div w:id="2051760390">
      <w:bodyDiv w:val="1"/>
      <w:marLeft w:val="0"/>
      <w:marRight w:val="0"/>
      <w:marTop w:val="0"/>
      <w:marBottom w:val="0"/>
      <w:divBdr>
        <w:top w:val="none" w:sz="0" w:space="0" w:color="auto"/>
        <w:left w:val="none" w:sz="0" w:space="0" w:color="auto"/>
        <w:bottom w:val="none" w:sz="0" w:space="0" w:color="auto"/>
        <w:right w:val="none" w:sz="0" w:space="0" w:color="auto"/>
      </w:divBdr>
    </w:div>
    <w:div w:id="2058235886">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67138574">
      <w:bodyDiv w:val="1"/>
      <w:marLeft w:val="0"/>
      <w:marRight w:val="0"/>
      <w:marTop w:val="0"/>
      <w:marBottom w:val="0"/>
      <w:divBdr>
        <w:top w:val="none" w:sz="0" w:space="0" w:color="auto"/>
        <w:left w:val="none" w:sz="0" w:space="0" w:color="auto"/>
        <w:bottom w:val="none" w:sz="0" w:space="0" w:color="auto"/>
        <w:right w:val="none" w:sz="0" w:space="0" w:color="auto"/>
      </w:divBdr>
    </w:div>
    <w:div w:id="2073312413">
      <w:bodyDiv w:val="1"/>
      <w:marLeft w:val="0"/>
      <w:marRight w:val="0"/>
      <w:marTop w:val="0"/>
      <w:marBottom w:val="0"/>
      <w:divBdr>
        <w:top w:val="none" w:sz="0" w:space="0" w:color="auto"/>
        <w:left w:val="none" w:sz="0" w:space="0" w:color="auto"/>
        <w:bottom w:val="none" w:sz="0" w:space="0" w:color="auto"/>
        <w:right w:val="none" w:sz="0" w:space="0" w:color="auto"/>
      </w:divBdr>
    </w:div>
    <w:div w:id="2075397088">
      <w:bodyDiv w:val="1"/>
      <w:marLeft w:val="0"/>
      <w:marRight w:val="0"/>
      <w:marTop w:val="0"/>
      <w:marBottom w:val="0"/>
      <w:divBdr>
        <w:top w:val="none" w:sz="0" w:space="0" w:color="auto"/>
        <w:left w:val="none" w:sz="0" w:space="0" w:color="auto"/>
        <w:bottom w:val="none" w:sz="0" w:space="0" w:color="auto"/>
        <w:right w:val="none" w:sz="0" w:space="0" w:color="auto"/>
      </w:divBdr>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88189156">
      <w:bodyDiv w:val="1"/>
      <w:marLeft w:val="0"/>
      <w:marRight w:val="0"/>
      <w:marTop w:val="0"/>
      <w:marBottom w:val="0"/>
      <w:divBdr>
        <w:top w:val="none" w:sz="0" w:space="0" w:color="auto"/>
        <w:left w:val="none" w:sz="0" w:space="0" w:color="auto"/>
        <w:bottom w:val="none" w:sz="0" w:space="0" w:color="auto"/>
        <w:right w:val="none" w:sz="0" w:space="0" w:color="auto"/>
      </w:divBdr>
    </w:div>
    <w:div w:id="2090885209">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094859676">
      <w:bodyDiv w:val="1"/>
      <w:marLeft w:val="0"/>
      <w:marRight w:val="0"/>
      <w:marTop w:val="0"/>
      <w:marBottom w:val="0"/>
      <w:divBdr>
        <w:top w:val="none" w:sz="0" w:space="0" w:color="auto"/>
        <w:left w:val="none" w:sz="0" w:space="0" w:color="auto"/>
        <w:bottom w:val="none" w:sz="0" w:space="0" w:color="auto"/>
        <w:right w:val="none" w:sz="0" w:space="0" w:color="auto"/>
      </w:divBdr>
    </w:div>
    <w:div w:id="2101565142">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0733269">
      <w:bodyDiv w:val="1"/>
      <w:marLeft w:val="0"/>
      <w:marRight w:val="0"/>
      <w:marTop w:val="0"/>
      <w:marBottom w:val="0"/>
      <w:divBdr>
        <w:top w:val="none" w:sz="0" w:space="0" w:color="auto"/>
        <w:left w:val="none" w:sz="0" w:space="0" w:color="auto"/>
        <w:bottom w:val="none" w:sz="0" w:space="0" w:color="auto"/>
        <w:right w:val="none" w:sz="0" w:space="0" w:color="auto"/>
      </w:divBdr>
    </w:div>
    <w:div w:id="211335355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17747622">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 w:id="2125609041">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36945675">
      <w:bodyDiv w:val="1"/>
      <w:marLeft w:val="0"/>
      <w:marRight w:val="0"/>
      <w:marTop w:val="0"/>
      <w:marBottom w:val="0"/>
      <w:divBdr>
        <w:top w:val="none" w:sz="0" w:space="0" w:color="auto"/>
        <w:left w:val="none" w:sz="0" w:space="0" w:color="auto"/>
        <w:bottom w:val="none" w:sz="0" w:space="0" w:color="auto"/>
        <w:right w:val="none" w:sz="0" w:space="0" w:color="auto"/>
      </w:divBdr>
    </w:div>
    <w:div w:id="2142646839">
      <w:bodyDiv w:val="1"/>
      <w:marLeft w:val="0"/>
      <w:marRight w:val="0"/>
      <w:marTop w:val="0"/>
      <w:marBottom w:val="0"/>
      <w:divBdr>
        <w:top w:val="none" w:sz="0" w:space="0" w:color="auto"/>
        <w:left w:val="none" w:sz="0" w:space="0" w:color="auto"/>
        <w:bottom w:val="none" w:sz="0" w:space="0" w:color="auto"/>
        <w:right w:val="none" w:sz="0" w:space="0" w:color="auto"/>
      </w:divBdr>
    </w:div>
    <w:div w:id="2143183404">
      <w:bodyDiv w:val="1"/>
      <w:marLeft w:val="0"/>
      <w:marRight w:val="0"/>
      <w:marTop w:val="0"/>
      <w:marBottom w:val="0"/>
      <w:divBdr>
        <w:top w:val="none" w:sz="0" w:space="0" w:color="auto"/>
        <w:left w:val="none" w:sz="0" w:space="0" w:color="auto"/>
        <w:bottom w:val="none" w:sz="0" w:space="0" w:color="auto"/>
        <w:right w:val="none" w:sz="0" w:space="0" w:color="auto"/>
      </w:divBdr>
    </w:div>
    <w:div w:id="2145124438">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1.xml"/><Relationship Id="rId26" Type="http://schemas.openxmlformats.org/officeDocument/2006/relationships/diagramColors" Target="diagrams/colors2.xml"/><Relationship Id="rId39" Type="http://schemas.openxmlformats.org/officeDocument/2006/relationships/image" Target="media/image6.jpeg"/><Relationship Id="rId21" Type="http://schemas.openxmlformats.org/officeDocument/2006/relationships/chart" Target="charts/chart8.xml"/><Relationship Id="rId34" Type="http://schemas.openxmlformats.org/officeDocument/2006/relationships/chart" Target="charts/chart14.xm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microsoft.com/office/2014/relationships/chartEx" Target="charts/chart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diagramLayout" Target="diagrams/layout2.xml"/><Relationship Id="rId32" Type="http://schemas.openxmlformats.org/officeDocument/2006/relationships/chart" Target="charts/chart12.xml"/><Relationship Id="rId37" Type="http://schemas.openxmlformats.org/officeDocument/2006/relationships/image" Target="media/image4.png"/><Relationship Id="rId40" Type="http://schemas.openxmlformats.org/officeDocument/2006/relationships/image" Target="media/image7.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chart" Target="charts/chart10.xml"/><Relationship Id="rId36" Type="http://schemas.openxmlformats.org/officeDocument/2006/relationships/image" Target="media/image3.jpeg"/><Relationship Id="rId10" Type="http://schemas.openxmlformats.org/officeDocument/2006/relationships/chart" Target="charts/chart3.xml"/><Relationship Id="rId19" Type="http://schemas.openxmlformats.org/officeDocument/2006/relationships/chart" Target="charts/chart6.xml"/><Relationship Id="rId31" Type="http://schemas.openxmlformats.org/officeDocument/2006/relationships/chart" Target="charts/chart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Data" Target="diagrams/data1.xml"/><Relationship Id="rId22" Type="http://schemas.openxmlformats.org/officeDocument/2006/relationships/chart" Target="charts/chart9.xml"/><Relationship Id="rId27" Type="http://schemas.microsoft.com/office/2007/relationships/diagramDrawing" Target="diagrams/drawing2.xml"/><Relationship Id="rId30" Type="http://schemas.openxmlformats.org/officeDocument/2006/relationships/image" Target="media/image2.png"/><Relationship Id="rId35" Type="http://schemas.openxmlformats.org/officeDocument/2006/relationships/image" Target="media/image2.jpeg"/><Relationship Id="rId43"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diagramColors" Target="diagrams/colors1.xml"/><Relationship Id="rId25" Type="http://schemas.openxmlformats.org/officeDocument/2006/relationships/diagramQuickStyle" Target="diagrams/quickStyle2.xml"/><Relationship Id="rId33" Type="http://schemas.openxmlformats.org/officeDocument/2006/relationships/chart" Target="charts/chart13.xml"/><Relationship Id="rId38" Type="http://schemas.openxmlformats.org/officeDocument/2006/relationships/image" Target="media/image5.jpeg"/><Relationship Id="rId20" Type="http://schemas.openxmlformats.org/officeDocument/2006/relationships/chart" Target="charts/chart7.xm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oleObject" Target="file:///E:\Datos_Usuario\Control%20Interno\2020\Austeridad%20del%20Gasto\III%20Trimestre%202020\PAPELES%20DE%20TRABAJO\Planta%20de%20Personal%20III%20Trim%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Telefon&#237;a%20Movil%20III%20Trim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Energia%20III%20Trim%202020.xlsx" TargetMode="External"/><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Acueducto%20III%20trim%202020.xlsx" TargetMode="External"/><Relationship Id="rId2" Type="http://schemas.microsoft.com/office/2011/relationships/chartColorStyle" Target="colors13.xml"/><Relationship Id="rId1" Type="http://schemas.microsoft.com/office/2011/relationships/chartStyle" Target="style13.xml"/></Relationships>
</file>

<file path=word/charts/_rels/chart13.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Acueducto%20III%20trim%202020.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2.xml"/></Relationships>
</file>

<file path=word/charts/_rels/chart14.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Acueducto%20III%20trim%202020.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Horas%20extras%20III%20Trim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Servicios%20Profesionales%20III%20Trim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Viaticos%20y%20Pasajes%20III%20Trim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Viaticos%20y%20Pasajes%20III%20Trim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Combustible%20III%20Trim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Consumo%20de%20papel%20III%20Trim%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Consumo%20de%20papel%20III%20Trim%202020.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file:///E:\EdilceSinucoCorrea\OCI\AUSTERIDAD%202020\III%20Trimestre%202020\PAPELES%20DE%20TRABAJO\Consumo%20de%20papel%20III%20Trim%202020.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E:\EdilceSinucoCorrea\OCI\AUSTERIDAD%202020\III%20Trimestre%202020\PAPELES%20DE%20TRABAJO\Telefon&#237;a%20Movil%20III%20Trim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Distribución Planta de Personal  - MHCP</a:t>
            </a:r>
          </a:p>
          <a:p>
            <a:pPr>
              <a:defRPr/>
            </a:pPr>
            <a:r>
              <a:rPr lang="es-CO" sz="1200">
                <a:solidFill>
                  <a:schemeClr val="tx2">
                    <a:lumMod val="50000"/>
                  </a:schemeClr>
                </a:solidFill>
                <a:latin typeface="Arial" panose="020B0604020202020204" pitchFamily="34" charset="0"/>
                <a:cs typeface="Arial" panose="020B0604020202020204" pitchFamily="34" charset="0"/>
              </a:rPr>
              <a:t>A 30 Septiembre de 2020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941871845751877E-2"/>
          <c:y val="0.14415137385954921"/>
          <c:w val="0.82498718731770138"/>
          <c:h val="0.62100976874819414"/>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 III Trime2020'!$A$21:$A$32</c:f>
              <c:strCache>
                <c:ptCount val="12"/>
                <c:pt idx="0">
                  <c:v>Asesores</c:v>
                </c:pt>
                <c:pt idx="1">
                  <c:v>Profesionales</c:v>
                </c:pt>
                <c:pt idx="2">
                  <c:v>Secretarios</c:v>
                </c:pt>
                <c:pt idx="3">
                  <c:v>Técnicos</c:v>
                </c:pt>
                <c:pt idx="4">
                  <c:v>Auxiliares</c:v>
                </c:pt>
                <c:pt idx="5">
                  <c:v>Subdirectores</c:v>
                </c:pt>
                <c:pt idx="6">
                  <c:v>Conductores</c:v>
                </c:pt>
                <c:pt idx="7">
                  <c:v>Directores</c:v>
                </c:pt>
                <c:pt idx="8">
                  <c:v>Jefes de Oficina</c:v>
                </c:pt>
                <c:pt idx="9">
                  <c:v>Viceministros</c:v>
                </c:pt>
                <c:pt idx="10">
                  <c:v>Ministro</c:v>
                </c:pt>
                <c:pt idx="11">
                  <c:v>Secretario General</c:v>
                </c:pt>
              </c:strCache>
            </c:strRef>
          </c:cat>
          <c:val>
            <c:numRef>
              <c:f>'Variación Planta III Trime2020'!$C$21:$C$32</c:f>
              <c:numCache>
                <c:formatCode>0%</c:formatCode>
                <c:ptCount val="12"/>
                <c:pt idx="0">
                  <c:v>0.42815674891146588</c:v>
                </c:pt>
                <c:pt idx="1">
                  <c:v>0.23076923076923078</c:v>
                </c:pt>
                <c:pt idx="2">
                  <c:v>0.10014513788098693</c:v>
                </c:pt>
                <c:pt idx="3">
                  <c:v>7.6923076923076927E-2</c:v>
                </c:pt>
                <c:pt idx="4">
                  <c:v>7.6923076923076927E-2</c:v>
                </c:pt>
                <c:pt idx="5">
                  <c:v>3.483309143686502E-2</c:v>
                </c:pt>
                <c:pt idx="6">
                  <c:v>2.9027576197387519E-2</c:v>
                </c:pt>
                <c:pt idx="7">
                  <c:v>1.1611030478955007E-2</c:v>
                </c:pt>
                <c:pt idx="8">
                  <c:v>5.8055152394775036E-3</c:v>
                </c:pt>
                <c:pt idx="9" formatCode="0.0%">
                  <c:v>2.9027576197387518E-3</c:v>
                </c:pt>
                <c:pt idx="10" formatCode="0.0%">
                  <c:v>1.4513788098693759E-3</c:v>
                </c:pt>
                <c:pt idx="11" formatCode="0.0%">
                  <c:v>1.4513788098693759E-3</c:v>
                </c:pt>
              </c:numCache>
            </c:numRef>
          </c:val>
          <c:extLst>
            <c:ext xmlns:c16="http://schemas.microsoft.com/office/drawing/2014/chart" uri="{C3380CC4-5D6E-409C-BE32-E72D297353CC}">
              <c16:uniqueId val="{00000000-4437-4AC8-B0D8-0CCDE626AEE7}"/>
            </c:ext>
          </c:extLst>
        </c:ser>
        <c:dLbls>
          <c:showLegendKey val="0"/>
          <c:showVal val="0"/>
          <c:showCatName val="0"/>
          <c:showSerName val="0"/>
          <c:showPercent val="0"/>
          <c:showBubbleSize val="0"/>
        </c:dLbls>
        <c:gapWidth val="100"/>
        <c:overlap val="-24"/>
        <c:axId val="1675740655"/>
        <c:axId val="1675776847"/>
      </c:barChart>
      <c:catAx>
        <c:axId val="167574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1675776847"/>
        <c:crosses val="autoZero"/>
        <c:auto val="1"/>
        <c:lblAlgn val="ctr"/>
        <c:lblOffset val="100"/>
        <c:noMultiLvlLbl val="0"/>
      </c:catAx>
      <c:valAx>
        <c:axId val="16757768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5740655"/>
        <c:crosses val="autoZero"/>
        <c:crossBetween val="between"/>
        <c:majorUnit val="0.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b="1">
                <a:solidFill>
                  <a:schemeClr val="tx2">
                    <a:lumMod val="50000"/>
                  </a:schemeClr>
                </a:solidFill>
                <a:latin typeface="Arial" panose="020B0604020202020204" pitchFamily="34" charset="0"/>
                <a:cs typeface="Arial" panose="020B0604020202020204" pitchFamily="34" charset="0"/>
              </a:rPr>
              <a:t>Total Gastos por  Servicio de Telefonía Movil ($)</a:t>
            </a:r>
          </a:p>
        </c:rich>
      </c:tx>
      <c:layout>
        <c:manualLayout>
          <c:xMode val="edge"/>
          <c:yMode val="edge"/>
          <c:x val="0.20153689122193058"/>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255109231853418E-2"/>
          <c:y val="0.14634216177523263"/>
          <c:w val="0.93798449612403101"/>
          <c:h val="0.75850632307325216"/>
        </c:manualLayout>
      </c:layout>
      <c:barChart>
        <c:barDir val="col"/>
        <c:grouping val="clustered"/>
        <c:varyColors val="0"/>
        <c:ser>
          <c:idx val="0"/>
          <c:order val="0"/>
          <c:tx>
            <c:strRef>
              <c:f>Resumen!$F$8</c:f>
              <c:strCache>
                <c:ptCount val="1"/>
                <c:pt idx="0">
                  <c:v>Total  Servicio de Telefonía Movil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1941-49C5-828D-0285587497B5}"/>
              </c:ext>
            </c:extLst>
          </c:dPt>
          <c:dLbls>
            <c:dLbl>
              <c:idx val="1"/>
              <c:layout>
                <c:manualLayout>
                  <c:x val="0.11369509043927649"/>
                  <c:y val="-1.29032258064516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41-49C5-828D-0285587497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strRef>
              <c:f>Resumen!$G$6:$H$7</c:f>
              <c:strCache>
                <c:ptCount val="2"/>
                <c:pt idx="0">
                  <c:v>III Trimestre de 2019</c:v>
                </c:pt>
                <c:pt idx="1">
                  <c:v>III Trimestre de 2020</c:v>
                </c:pt>
              </c:strCache>
            </c:strRef>
          </c:cat>
          <c:val>
            <c:numRef>
              <c:f>Resumen!$G$8:$H$8</c:f>
              <c:numCache>
                <c:formatCode>_(* #,##0_);_(* \(#,##0\);_(* "-"_);_(@_)</c:formatCode>
                <c:ptCount val="2"/>
                <c:pt idx="0">
                  <c:v>15646520.85</c:v>
                </c:pt>
                <c:pt idx="1">
                  <c:v>8104713.8499999996</c:v>
                </c:pt>
              </c:numCache>
            </c:numRef>
          </c:val>
          <c:extLst>
            <c:ext xmlns:c16="http://schemas.microsoft.com/office/drawing/2014/chart" uri="{C3380CC4-5D6E-409C-BE32-E72D297353CC}">
              <c16:uniqueId val="{00000001-1941-49C5-828D-0285587497B5}"/>
            </c:ext>
          </c:extLst>
        </c:ser>
        <c:dLbls>
          <c:showLegendKey val="0"/>
          <c:showVal val="0"/>
          <c:showCatName val="0"/>
          <c:showSerName val="0"/>
          <c:showPercent val="0"/>
          <c:showBubbleSize val="0"/>
        </c:dLbls>
        <c:gapWidth val="150"/>
        <c:axId val="934798255"/>
        <c:axId val="934799503"/>
      </c:barChart>
      <c:catAx>
        <c:axId val="9347982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934799503"/>
        <c:crosses val="autoZero"/>
        <c:auto val="1"/>
        <c:lblAlgn val="ctr"/>
        <c:lblOffset val="100"/>
        <c:noMultiLvlLbl val="0"/>
      </c:catAx>
      <c:valAx>
        <c:axId val="934799503"/>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out"/>
        <c:minorTickMark val="none"/>
        <c:tickLblPos val="nextTo"/>
        <c:crossAx val="9347982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s-CO" sz="1200" b="1">
                <a:solidFill>
                  <a:schemeClr val="tx2">
                    <a:lumMod val="50000"/>
                  </a:schemeClr>
                </a:solidFill>
                <a:latin typeface="Arial" panose="020B0604020202020204" pitchFamily="34" charset="0"/>
                <a:cs typeface="Arial" panose="020B0604020202020204" pitchFamily="34" charset="0"/>
              </a:rPr>
              <a:t>Comportamiento del Gasto y Consumo de Energía</a:t>
            </a:r>
            <a:r>
              <a:rPr lang="es-CO" sz="1200" b="1" baseline="0">
                <a:solidFill>
                  <a:schemeClr val="tx2">
                    <a:lumMod val="50000"/>
                  </a:schemeClr>
                </a:solidFill>
                <a:latin typeface="Arial" panose="020B0604020202020204" pitchFamily="34" charset="0"/>
                <a:cs typeface="Arial" panose="020B0604020202020204" pitchFamily="34" charset="0"/>
              </a:rPr>
              <a:t> </a:t>
            </a:r>
          </a:p>
          <a:p>
            <a:pPr>
              <a:defRPr sz="1200">
                <a:solidFill>
                  <a:schemeClr val="tx2">
                    <a:lumMod val="50000"/>
                  </a:schemeClr>
                </a:solidFill>
                <a:latin typeface="Arial" panose="020B0604020202020204" pitchFamily="34" charset="0"/>
                <a:cs typeface="Arial" panose="020B0604020202020204" pitchFamily="34" charset="0"/>
              </a:defRPr>
            </a:pPr>
            <a:r>
              <a:rPr lang="es-CO" sz="1200" b="1" baseline="0">
                <a:solidFill>
                  <a:schemeClr val="tx2">
                    <a:lumMod val="50000"/>
                  </a:schemeClr>
                </a:solidFill>
                <a:latin typeface="Arial" panose="020B0604020202020204" pitchFamily="34" charset="0"/>
                <a:cs typeface="Arial" panose="020B0604020202020204" pitchFamily="34" charset="0"/>
              </a:rPr>
              <a:t>vigencia 2020 ( valores en miles de pesos)</a:t>
            </a:r>
            <a:endParaRPr lang="es-CO" sz="1200" b="1">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22692491207946508"/>
          <c:y val="3.87096774193548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902334576598978"/>
          <c:y val="0.17673118279569894"/>
          <c:w val="0.66365993724468653"/>
          <c:h val="0.48373369034922509"/>
        </c:manualLayout>
      </c:layout>
      <c:lineChart>
        <c:grouping val="stacked"/>
        <c:varyColors val="0"/>
        <c:ser>
          <c:idx val="0"/>
          <c:order val="0"/>
          <c:tx>
            <c:strRef>
              <c:f>'resumen III Trime 2020'!$B$4</c:f>
              <c:strCache>
                <c:ptCount val="1"/>
                <c:pt idx="0">
                  <c:v>Consumo Energía Kw/h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'resumen III Trime 2020'!$C$3:$K$3</c:f>
              <c:strCache>
                <c:ptCount val="9"/>
                <c:pt idx="0">
                  <c:v>Ene</c:v>
                </c:pt>
                <c:pt idx="1">
                  <c:v>Feb</c:v>
                </c:pt>
                <c:pt idx="2">
                  <c:v>Mar</c:v>
                </c:pt>
                <c:pt idx="3">
                  <c:v>Abr</c:v>
                </c:pt>
                <c:pt idx="4">
                  <c:v>May</c:v>
                </c:pt>
                <c:pt idx="5">
                  <c:v>Jun</c:v>
                </c:pt>
                <c:pt idx="6">
                  <c:v>Jul</c:v>
                </c:pt>
                <c:pt idx="7">
                  <c:v>Ago</c:v>
                </c:pt>
                <c:pt idx="8">
                  <c:v>Sep</c:v>
                </c:pt>
              </c:strCache>
            </c:strRef>
          </c:cat>
          <c:val>
            <c:numRef>
              <c:f>'resumen III Trime 2020'!$C$4:$K$4</c:f>
              <c:numCache>
                <c:formatCode>_(* #,##0_);_(* \(#,##0\);_(* "-"_);_(@_)</c:formatCode>
                <c:ptCount val="9"/>
                <c:pt idx="0">
                  <c:v>436609</c:v>
                </c:pt>
                <c:pt idx="1">
                  <c:v>400557</c:v>
                </c:pt>
                <c:pt idx="2">
                  <c:v>391448</c:v>
                </c:pt>
                <c:pt idx="3">
                  <c:v>404946</c:v>
                </c:pt>
                <c:pt idx="4">
                  <c:v>431943</c:v>
                </c:pt>
                <c:pt idx="5">
                  <c:v>362077</c:v>
                </c:pt>
                <c:pt idx="6">
                  <c:v>371548</c:v>
                </c:pt>
                <c:pt idx="7">
                  <c:v>353774</c:v>
                </c:pt>
                <c:pt idx="8">
                  <c:v>380052</c:v>
                </c:pt>
              </c:numCache>
            </c:numRef>
          </c:val>
          <c:smooth val="0"/>
          <c:extLst>
            <c:ext xmlns:c16="http://schemas.microsoft.com/office/drawing/2014/chart" uri="{C3380CC4-5D6E-409C-BE32-E72D297353CC}">
              <c16:uniqueId val="{00000001-CD15-4A4C-8AF8-57ECE0CDAB0C}"/>
            </c:ext>
          </c:extLst>
        </c:ser>
        <c:dLbls>
          <c:showLegendKey val="0"/>
          <c:showVal val="0"/>
          <c:showCatName val="0"/>
          <c:showSerName val="0"/>
          <c:showPercent val="0"/>
          <c:showBubbleSize val="0"/>
        </c:dLbls>
        <c:marker val="1"/>
        <c:smooth val="0"/>
        <c:axId val="557227736"/>
        <c:axId val="557219536"/>
      </c:lineChart>
      <c:lineChart>
        <c:grouping val="stacked"/>
        <c:varyColors val="0"/>
        <c:ser>
          <c:idx val="1"/>
          <c:order val="1"/>
          <c:tx>
            <c:strRef>
              <c:f>'resumen III Trime 2020'!$B$5</c:f>
              <c:strCache>
                <c:ptCount val="1"/>
                <c:pt idx="0">
                  <c:v>Valor Gasto Energía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'resumen III Trime 2020'!$C$3:$K$3</c:f>
              <c:strCache>
                <c:ptCount val="9"/>
                <c:pt idx="0">
                  <c:v>Ene</c:v>
                </c:pt>
                <c:pt idx="1">
                  <c:v>Feb</c:v>
                </c:pt>
                <c:pt idx="2">
                  <c:v>Mar</c:v>
                </c:pt>
                <c:pt idx="3">
                  <c:v>Abr</c:v>
                </c:pt>
                <c:pt idx="4">
                  <c:v>May</c:v>
                </c:pt>
                <c:pt idx="5">
                  <c:v>Jun</c:v>
                </c:pt>
                <c:pt idx="6">
                  <c:v>Jul</c:v>
                </c:pt>
                <c:pt idx="7">
                  <c:v>Ago</c:v>
                </c:pt>
                <c:pt idx="8">
                  <c:v>Sep</c:v>
                </c:pt>
              </c:strCache>
            </c:strRef>
          </c:cat>
          <c:val>
            <c:numRef>
              <c:f>'resumen III Trime 2020'!$C$5:$K$5</c:f>
              <c:numCache>
                <c:formatCode>_(* #,##0_);_(* \(#,##0\);_(* "-"_);_(@_)</c:formatCode>
                <c:ptCount val="9"/>
                <c:pt idx="0">
                  <c:v>121401.52</c:v>
                </c:pt>
                <c:pt idx="1">
                  <c:v>118926.901</c:v>
                </c:pt>
                <c:pt idx="2">
                  <c:v>116412.879</c:v>
                </c:pt>
                <c:pt idx="3">
                  <c:v>128009.26300000001</c:v>
                </c:pt>
                <c:pt idx="4">
                  <c:v>134793.818</c:v>
                </c:pt>
                <c:pt idx="5">
                  <c:v>92748.418000000005</c:v>
                </c:pt>
                <c:pt idx="6">
                  <c:v>101050.14</c:v>
                </c:pt>
                <c:pt idx="7">
                  <c:v>102884.557</c:v>
                </c:pt>
                <c:pt idx="8">
                  <c:v>111529.58500000001</c:v>
                </c:pt>
              </c:numCache>
            </c:numRef>
          </c:val>
          <c:smooth val="0"/>
          <c:extLst>
            <c:ext xmlns:c16="http://schemas.microsoft.com/office/drawing/2014/chart" uri="{C3380CC4-5D6E-409C-BE32-E72D297353CC}">
              <c16:uniqueId val="{00000000-CD15-4A4C-8AF8-57ECE0CDAB0C}"/>
            </c:ext>
          </c:extLst>
        </c:ser>
        <c:dLbls>
          <c:showLegendKey val="0"/>
          <c:showVal val="0"/>
          <c:showCatName val="0"/>
          <c:showSerName val="0"/>
          <c:showPercent val="0"/>
          <c:showBubbleSize val="0"/>
        </c:dLbls>
        <c:marker val="1"/>
        <c:smooth val="0"/>
        <c:axId val="363788648"/>
        <c:axId val="417247216"/>
      </c:lineChart>
      <c:catAx>
        <c:axId val="55722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219536"/>
        <c:crosses val="autoZero"/>
        <c:auto val="1"/>
        <c:lblAlgn val="ctr"/>
        <c:lblOffset val="100"/>
        <c:noMultiLvlLbl val="0"/>
      </c:catAx>
      <c:valAx>
        <c:axId val="557219536"/>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57227736"/>
        <c:crosses val="autoZero"/>
        <c:crossBetween val="between"/>
        <c:majorUnit val="80000000"/>
      </c:valAx>
      <c:valAx>
        <c:axId val="417247216"/>
        <c:scaling>
          <c:orientation val="minMax"/>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363788648"/>
        <c:crosses val="max"/>
        <c:crossBetween val="between"/>
        <c:majorUnit val="300000"/>
      </c:valAx>
      <c:catAx>
        <c:axId val="363788648"/>
        <c:scaling>
          <c:orientation val="minMax"/>
        </c:scaling>
        <c:delete val="1"/>
        <c:axPos val="b"/>
        <c:numFmt formatCode="General" sourceLinked="1"/>
        <c:majorTickMark val="out"/>
        <c:minorTickMark val="none"/>
        <c:tickLblPos val="nextTo"/>
        <c:crossAx val="41724721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300">
                <a:solidFill>
                  <a:schemeClr val="tx2">
                    <a:lumMod val="50000"/>
                  </a:schemeClr>
                </a:solidFill>
                <a:latin typeface="Arial" panose="020B0604020202020204" pitchFamily="34" charset="0"/>
                <a:cs typeface="Arial" panose="020B0604020202020204" pitchFamily="34" charset="0"/>
              </a:rPr>
              <a:t>Gasto de Servicio de Acueducto MHCP - Vigencia 2020 ($)</a:t>
            </a:r>
            <a:endParaRPr lang="es-CO" sz="1300">
              <a:solidFill>
                <a:schemeClr val="tx2">
                  <a:lumMod val="50000"/>
                </a:scheme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3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Graficas!$A$18</c:f>
              <c:strCache>
                <c:ptCount val="1"/>
                <c:pt idx="0">
                  <c:v>Enero - Febrero</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24A-4A76-BFC6-8674BDEBCE97}"/>
              </c:ext>
            </c:extLst>
          </c:dPt>
          <c:dPt>
            <c:idx val="1"/>
            <c:invertIfNegative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224A-4A76-BFC6-8674BDEBCE97}"/>
              </c:ext>
            </c:extLst>
          </c:dPt>
          <c:cat>
            <c:strRef>
              <c:f>Graficas!$B$17:$C$17</c:f>
              <c:strCache>
                <c:ptCount val="2"/>
                <c:pt idx="0">
                  <c:v>Casas de Santa Bárbara </c:v>
                </c:pt>
                <c:pt idx="1">
                  <c:v> Edificio San Agustín </c:v>
                </c:pt>
              </c:strCache>
            </c:strRef>
          </c:cat>
          <c:val>
            <c:numRef>
              <c:f>Graficas!$B$18:$C$18</c:f>
              <c:numCache>
                <c:formatCode>_(* #,##0_);_(* \(#,##0\);_(* "-"_);_(@_)</c:formatCode>
                <c:ptCount val="2"/>
                <c:pt idx="0">
                  <c:v>4179020</c:v>
                </c:pt>
                <c:pt idx="1">
                  <c:v>13118490</c:v>
                </c:pt>
              </c:numCache>
            </c:numRef>
          </c:val>
          <c:extLst>
            <c:ext xmlns:c16="http://schemas.microsoft.com/office/drawing/2014/chart" uri="{C3380CC4-5D6E-409C-BE32-E72D297353CC}">
              <c16:uniqueId val="{00000000-224A-4A76-BFC6-8674BDEBCE97}"/>
            </c:ext>
          </c:extLst>
        </c:ser>
        <c:ser>
          <c:idx val="1"/>
          <c:order val="1"/>
          <c:tx>
            <c:strRef>
              <c:f>Graficas!$A$19</c:f>
              <c:strCache>
                <c:ptCount val="1"/>
                <c:pt idx="0">
                  <c:v>Marzo - Abril</c:v>
                </c:pt>
              </c:strCache>
            </c:strRef>
          </c:tx>
          <c:spPr>
            <a:solidFill>
              <a:schemeClr val="accent1">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Graficas!$B$17:$C$17</c:f>
              <c:strCache>
                <c:ptCount val="2"/>
                <c:pt idx="0">
                  <c:v>Casas de Santa Bárbara </c:v>
                </c:pt>
                <c:pt idx="1">
                  <c:v> Edificio San Agustín </c:v>
                </c:pt>
              </c:strCache>
            </c:strRef>
          </c:cat>
          <c:val>
            <c:numRef>
              <c:f>Graficas!$B$19:$C$19</c:f>
              <c:numCache>
                <c:formatCode>_(* #,##0_);_(* \(#,##0\);_(* "-"_);_(@_)</c:formatCode>
                <c:ptCount val="2"/>
                <c:pt idx="0">
                  <c:v>3031060</c:v>
                </c:pt>
                <c:pt idx="1">
                  <c:v>6307062</c:v>
                </c:pt>
              </c:numCache>
            </c:numRef>
          </c:val>
          <c:extLst>
            <c:ext xmlns:c16="http://schemas.microsoft.com/office/drawing/2014/chart" uri="{C3380CC4-5D6E-409C-BE32-E72D297353CC}">
              <c16:uniqueId val="{00000001-224A-4A76-BFC6-8674BDEBCE97}"/>
            </c:ext>
          </c:extLst>
        </c:ser>
        <c:ser>
          <c:idx val="2"/>
          <c:order val="2"/>
          <c:tx>
            <c:strRef>
              <c:f>Graficas!$A$20</c:f>
              <c:strCache>
                <c:ptCount val="1"/>
                <c:pt idx="0">
                  <c:v>Mayo - Junio</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Graficas!$B$17:$C$17</c:f>
              <c:strCache>
                <c:ptCount val="2"/>
                <c:pt idx="0">
                  <c:v>Casas de Santa Bárbara </c:v>
                </c:pt>
                <c:pt idx="1">
                  <c:v> Edificio San Agustín </c:v>
                </c:pt>
              </c:strCache>
            </c:strRef>
          </c:cat>
          <c:val>
            <c:numRef>
              <c:f>Graficas!$B$20:$C$20</c:f>
              <c:numCache>
                <c:formatCode>_(* #,##0_);_(* \(#,##0\);_(* "-"_);_(@_)</c:formatCode>
                <c:ptCount val="2"/>
                <c:pt idx="0">
                  <c:v>1520030</c:v>
                </c:pt>
                <c:pt idx="1">
                  <c:v>4800401</c:v>
                </c:pt>
              </c:numCache>
            </c:numRef>
          </c:val>
          <c:extLst>
            <c:ext xmlns:c16="http://schemas.microsoft.com/office/drawing/2014/chart" uri="{C3380CC4-5D6E-409C-BE32-E72D297353CC}">
              <c16:uniqueId val="{00000002-224A-4A76-BFC6-8674BDEBCE97}"/>
            </c:ext>
          </c:extLst>
        </c:ser>
        <c:ser>
          <c:idx val="3"/>
          <c:order val="3"/>
          <c:tx>
            <c:strRef>
              <c:f>Graficas!$A$21</c:f>
              <c:strCache>
                <c:ptCount val="1"/>
                <c:pt idx="0">
                  <c:v>Julio- Septiembre</c:v>
                </c:pt>
              </c:strCache>
            </c:strRef>
          </c:tx>
          <c:spPr>
            <a:solidFill>
              <a:schemeClr val="accent5">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Graficas!$B$17:$C$17</c:f>
              <c:strCache>
                <c:ptCount val="2"/>
                <c:pt idx="0">
                  <c:v>Casas de Santa Bárbara </c:v>
                </c:pt>
                <c:pt idx="1">
                  <c:v> Edificio San Agustín </c:v>
                </c:pt>
              </c:strCache>
            </c:strRef>
          </c:cat>
          <c:val>
            <c:numRef>
              <c:f>Graficas!$B$21:$C$21</c:f>
              <c:numCache>
                <c:formatCode>_(* #,##0_);_(* \(#,##0\);_(* "-"_);_(@_)</c:formatCode>
                <c:ptCount val="2"/>
                <c:pt idx="0">
                  <c:v>1168254</c:v>
                </c:pt>
                <c:pt idx="1">
                  <c:v>5462671</c:v>
                </c:pt>
              </c:numCache>
            </c:numRef>
          </c:val>
          <c:extLst>
            <c:ext xmlns:c16="http://schemas.microsoft.com/office/drawing/2014/chart" uri="{C3380CC4-5D6E-409C-BE32-E72D297353CC}">
              <c16:uniqueId val="{00000003-224A-4A76-BFC6-8674BDEBCE97}"/>
            </c:ext>
          </c:extLst>
        </c:ser>
        <c:dLbls>
          <c:showLegendKey val="0"/>
          <c:showVal val="0"/>
          <c:showCatName val="0"/>
          <c:showSerName val="0"/>
          <c:showPercent val="0"/>
          <c:showBubbleSize val="0"/>
        </c:dLbls>
        <c:gapWidth val="100"/>
        <c:overlap val="-24"/>
        <c:axId val="575279848"/>
        <c:axId val="575283128"/>
      </c:barChart>
      <c:catAx>
        <c:axId val="575279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283128"/>
        <c:crosses val="autoZero"/>
        <c:auto val="1"/>
        <c:lblAlgn val="ctr"/>
        <c:lblOffset val="100"/>
        <c:noMultiLvlLbl val="0"/>
      </c:catAx>
      <c:valAx>
        <c:axId val="57528312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752798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Variaciones de Consumo y Valor Facturado Servicio de Acueducto </a:t>
            </a:r>
          </a:p>
          <a:p>
            <a:pPr>
              <a:defRPr sz="1200">
                <a:solidFill>
                  <a:schemeClr val="tx2">
                    <a:lumMod val="50000"/>
                  </a:schemeClr>
                </a:solidFill>
                <a:latin typeface="Arial" panose="020B0604020202020204" pitchFamily="34" charset="0"/>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III Trimestre 2020-2019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3.4221827110320888E-2"/>
          <c:y val="0.25656647165624369"/>
          <c:w val="0.70484269676185529"/>
          <c:h val="0.56964540719478862"/>
        </c:manualLayout>
      </c:layout>
      <c:barChart>
        <c:barDir val="bar"/>
        <c:grouping val="clustered"/>
        <c:varyColors val="0"/>
        <c:ser>
          <c:idx val="0"/>
          <c:order val="0"/>
          <c:tx>
            <c:strRef>
              <c:f>'consumo agua II Trime2020'!$E$71:$E$72</c:f>
              <c:strCache>
                <c:ptCount val="2"/>
                <c:pt idx="0">
                  <c:v>Edificio San Agustín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7.8254047459387598E-3"/>
                  <c:y val="1.88477560773236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ED-4D00-8254-865EB354E10C}"/>
                </c:ext>
              </c:extLst>
            </c:dLbl>
            <c:dLbl>
              <c:idx val="1"/>
              <c:layout>
                <c:manualLayout>
                  <c:x val="1.4094184685843048E-2"/>
                  <c:y val="1.3489457162515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ED-4D00-8254-865EB354E1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agua II Trime2020'!$D$73:$D$74</c:f>
              <c:strCache>
                <c:ptCount val="2"/>
                <c:pt idx="0">
                  <c:v>Valor Facturado </c:v>
                </c:pt>
                <c:pt idx="1">
                  <c:v>Consumo Metros cúbicos</c:v>
                </c:pt>
              </c:strCache>
            </c:strRef>
          </c:cat>
          <c:val>
            <c:numRef>
              <c:f>'consumo agua II Trime2020'!$E$73:$E$74</c:f>
              <c:numCache>
                <c:formatCode>0%</c:formatCode>
                <c:ptCount val="2"/>
                <c:pt idx="0">
                  <c:v>-0.51626918447352832</c:v>
                </c:pt>
                <c:pt idx="1">
                  <c:v>-0.51673517322372287</c:v>
                </c:pt>
              </c:numCache>
            </c:numRef>
          </c:val>
          <c:extLst>
            <c:ext xmlns:c16="http://schemas.microsoft.com/office/drawing/2014/chart" uri="{C3380CC4-5D6E-409C-BE32-E72D297353CC}">
              <c16:uniqueId val="{00000002-93ED-4D00-8254-865EB354E10C}"/>
            </c:ext>
          </c:extLst>
        </c:ser>
        <c:ser>
          <c:idx val="1"/>
          <c:order val="1"/>
          <c:tx>
            <c:strRef>
              <c:f>'consumo agua II Trime2020'!$F$71:$F$72</c:f>
              <c:strCache>
                <c:ptCount val="2"/>
                <c:pt idx="0">
                  <c:v>Casas de Santa Bárbara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098975070513816E-2"/>
                  <c:y val="2.71059785629909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ED-4D00-8254-865EB354E10C}"/>
                </c:ext>
              </c:extLst>
            </c:dLbl>
            <c:dLbl>
              <c:idx val="1"/>
              <c:layout>
                <c:manualLayout>
                  <c:x val="1.8591259656904318E-3"/>
                  <c:y val="-1.5345865679123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3ED-4D00-8254-865EB354E1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agua II Trime2020'!$D$73:$D$74</c:f>
              <c:strCache>
                <c:ptCount val="2"/>
                <c:pt idx="0">
                  <c:v>Valor Facturado </c:v>
                </c:pt>
                <c:pt idx="1">
                  <c:v>Consumo Metros cúbicos</c:v>
                </c:pt>
              </c:strCache>
            </c:strRef>
          </c:cat>
          <c:val>
            <c:numRef>
              <c:f>'consumo agua II Trime2020'!$F$73:$F$74</c:f>
              <c:numCache>
                <c:formatCode>0%</c:formatCode>
                <c:ptCount val="2"/>
                <c:pt idx="0">
                  <c:v>-0.41569692534452013</c:v>
                </c:pt>
                <c:pt idx="1">
                  <c:v>-0.41770401106500693</c:v>
                </c:pt>
              </c:numCache>
            </c:numRef>
          </c:val>
          <c:extLst>
            <c:ext xmlns:c16="http://schemas.microsoft.com/office/drawing/2014/chart" uri="{C3380CC4-5D6E-409C-BE32-E72D297353CC}">
              <c16:uniqueId val="{00000005-93ED-4D00-8254-865EB354E10C}"/>
            </c:ext>
          </c:extLst>
        </c:ser>
        <c:dLbls>
          <c:showLegendKey val="0"/>
          <c:showVal val="0"/>
          <c:showCatName val="0"/>
          <c:showSerName val="0"/>
          <c:showPercent val="0"/>
          <c:showBubbleSize val="0"/>
        </c:dLbls>
        <c:gapWidth val="115"/>
        <c:axId val="453447592"/>
        <c:axId val="453448576"/>
      </c:barChart>
      <c:catAx>
        <c:axId val="453447592"/>
        <c:scaling>
          <c:orientation val="minMax"/>
        </c:scaling>
        <c:delete val="1"/>
        <c:axPos val="l"/>
        <c:numFmt formatCode="General" sourceLinked="1"/>
        <c:majorTickMark val="none"/>
        <c:minorTickMark val="none"/>
        <c:tickLblPos val="nextTo"/>
        <c:crossAx val="453448576"/>
        <c:crosses val="autoZero"/>
        <c:auto val="0"/>
        <c:lblAlgn val="ctr"/>
        <c:lblOffset val="100"/>
        <c:noMultiLvlLbl val="0"/>
      </c:catAx>
      <c:valAx>
        <c:axId val="45344857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5344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300">
                <a:solidFill>
                  <a:schemeClr val="tx2">
                    <a:lumMod val="50000"/>
                  </a:schemeClr>
                </a:solidFill>
                <a:latin typeface="Arial" panose="020B0604020202020204" pitchFamily="34" charset="0"/>
                <a:cs typeface="Arial" panose="020B0604020202020204" pitchFamily="34" charset="0"/>
              </a:rPr>
              <a:t>Gasto de Servicio de Aseo MHCP - Vigencia 2020 ($)</a:t>
            </a:r>
          </a:p>
        </c:rich>
      </c:tx>
      <c:layout>
        <c:manualLayout>
          <c:xMode val="edge"/>
          <c:yMode val="edge"/>
          <c:x val="0.19989511115032191"/>
          <c:y val="2.6420712420328327E-2"/>
        </c:manualLayout>
      </c:layout>
      <c:overlay val="0"/>
      <c:spPr>
        <a:noFill/>
        <a:ln>
          <a:noFill/>
        </a:ln>
        <a:effectLst/>
      </c:spPr>
      <c:txPr>
        <a:bodyPr rot="0" spcFirstLastPara="1" vertOverflow="ellipsis" vert="horz" wrap="square" anchor="ctr" anchorCtr="1"/>
        <a:lstStyle/>
        <a:p>
          <a:pPr>
            <a:defRPr sz="13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Graficas!$B$3:$B$4</c:f>
              <c:strCache>
                <c:ptCount val="2"/>
                <c:pt idx="1">
                  <c:v>Casas de Santa Bárbara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accent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Graficas!$A$5:$A$12</c:f>
              <c:strCache>
                <c:ptCount val="8"/>
                <c:pt idx="0">
                  <c:v>Ene</c:v>
                </c:pt>
                <c:pt idx="1">
                  <c:v>Feb</c:v>
                </c:pt>
                <c:pt idx="2">
                  <c:v>Mar</c:v>
                </c:pt>
                <c:pt idx="3">
                  <c:v>Abr</c:v>
                </c:pt>
                <c:pt idx="4">
                  <c:v>May</c:v>
                </c:pt>
                <c:pt idx="5">
                  <c:v>Jun</c:v>
                </c:pt>
                <c:pt idx="6">
                  <c:v>Jul</c:v>
                </c:pt>
                <c:pt idx="7">
                  <c:v>Ago</c:v>
                </c:pt>
              </c:strCache>
            </c:strRef>
          </c:cat>
          <c:val>
            <c:numRef>
              <c:f>Graficas!$B$5:$B$12</c:f>
              <c:numCache>
                <c:formatCode>_(* #,##0_);_(* \(#,##0\);_(* "-"_);_(@_)</c:formatCode>
                <c:ptCount val="8"/>
                <c:pt idx="0">
                  <c:v>552400</c:v>
                </c:pt>
                <c:pt idx="1">
                  <c:v>559920</c:v>
                </c:pt>
                <c:pt idx="2">
                  <c:v>566770</c:v>
                </c:pt>
                <c:pt idx="3">
                  <c:v>566850</c:v>
                </c:pt>
                <c:pt idx="4">
                  <c:v>566950</c:v>
                </c:pt>
                <c:pt idx="5">
                  <c:v>567000</c:v>
                </c:pt>
                <c:pt idx="6">
                  <c:v>567080</c:v>
                </c:pt>
                <c:pt idx="7">
                  <c:v>571970</c:v>
                </c:pt>
              </c:numCache>
            </c:numRef>
          </c:val>
          <c:extLst>
            <c:ext xmlns:c16="http://schemas.microsoft.com/office/drawing/2014/chart" uri="{C3380CC4-5D6E-409C-BE32-E72D297353CC}">
              <c16:uniqueId val="{00000000-1EEC-4F00-9954-01C66D15BE68}"/>
            </c:ext>
          </c:extLst>
        </c:ser>
        <c:ser>
          <c:idx val="1"/>
          <c:order val="1"/>
          <c:tx>
            <c:strRef>
              <c:f>Graficas!$C$3:$C$4</c:f>
              <c:strCache>
                <c:ptCount val="2"/>
                <c:pt idx="1">
                  <c:v>Edificio San Agustín</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Graficas!$A$5:$A$12</c:f>
              <c:strCache>
                <c:ptCount val="8"/>
                <c:pt idx="0">
                  <c:v>Ene</c:v>
                </c:pt>
                <c:pt idx="1">
                  <c:v>Feb</c:v>
                </c:pt>
                <c:pt idx="2">
                  <c:v>Mar</c:v>
                </c:pt>
                <c:pt idx="3">
                  <c:v>Abr</c:v>
                </c:pt>
                <c:pt idx="4">
                  <c:v>May</c:v>
                </c:pt>
                <c:pt idx="5">
                  <c:v>Jun</c:v>
                </c:pt>
                <c:pt idx="6">
                  <c:v>Jul</c:v>
                </c:pt>
                <c:pt idx="7">
                  <c:v>Ago</c:v>
                </c:pt>
              </c:strCache>
            </c:strRef>
          </c:cat>
          <c:val>
            <c:numRef>
              <c:f>Graficas!$C$5:$C$12</c:f>
              <c:numCache>
                <c:formatCode>_(* #,##0_);_(* \(#,##0\);_(* "-"_);_(@_)</c:formatCode>
                <c:ptCount val="8"/>
                <c:pt idx="0">
                  <c:v>1152533</c:v>
                </c:pt>
                <c:pt idx="1">
                  <c:v>1168254</c:v>
                </c:pt>
                <c:pt idx="2">
                  <c:v>1182531</c:v>
                </c:pt>
                <c:pt idx="3">
                  <c:v>1182574</c:v>
                </c:pt>
                <c:pt idx="4">
                  <c:v>1182636</c:v>
                </c:pt>
                <c:pt idx="5">
                  <c:v>1602549</c:v>
                </c:pt>
                <c:pt idx="6">
                  <c:v>1182866</c:v>
                </c:pt>
                <c:pt idx="7">
                  <c:v>1193192</c:v>
                </c:pt>
              </c:numCache>
            </c:numRef>
          </c:val>
          <c:extLst>
            <c:ext xmlns:c16="http://schemas.microsoft.com/office/drawing/2014/chart" uri="{C3380CC4-5D6E-409C-BE32-E72D297353CC}">
              <c16:uniqueId val="{00000001-1EEC-4F00-9954-01C66D15BE68}"/>
            </c:ext>
          </c:extLst>
        </c:ser>
        <c:dLbls>
          <c:showLegendKey val="0"/>
          <c:showVal val="0"/>
          <c:showCatName val="0"/>
          <c:showSerName val="0"/>
          <c:showPercent val="0"/>
          <c:showBubbleSize val="0"/>
        </c:dLbls>
        <c:gapWidth val="150"/>
        <c:overlap val="100"/>
        <c:axId val="541015208"/>
        <c:axId val="541011928"/>
      </c:barChart>
      <c:catAx>
        <c:axId val="5410152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011928"/>
        <c:crosses val="autoZero"/>
        <c:auto val="1"/>
        <c:lblAlgn val="ctr"/>
        <c:lblOffset val="100"/>
        <c:noMultiLvlLbl val="0"/>
      </c:catAx>
      <c:valAx>
        <c:axId val="54101192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41015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Cantidad de Horas Extras Tercer Trimestre de 2020-2019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'tendencia '!$B$1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'!$A$2:$A$4</c:f>
              <c:strCache>
                <c:ptCount val="3"/>
                <c:pt idx="0">
                  <c:v>Julio </c:v>
                </c:pt>
                <c:pt idx="1">
                  <c:v>Agosto </c:v>
                </c:pt>
                <c:pt idx="2">
                  <c:v>Septiembre</c:v>
                </c:pt>
              </c:strCache>
            </c:strRef>
          </c:cat>
          <c:val>
            <c:numRef>
              <c:f>'tendencia '!$B$2:$B$4</c:f>
              <c:numCache>
                <c:formatCode>_(* #,##0_);_(* \(#,##0\);_(* "-"_);_(@_)</c:formatCode>
                <c:ptCount val="3"/>
                <c:pt idx="0">
                  <c:v>759</c:v>
                </c:pt>
                <c:pt idx="1">
                  <c:v>756.5</c:v>
                </c:pt>
                <c:pt idx="2">
                  <c:v>891.14</c:v>
                </c:pt>
              </c:numCache>
            </c:numRef>
          </c:val>
          <c:extLst>
            <c:ext xmlns:c16="http://schemas.microsoft.com/office/drawing/2014/chart" uri="{C3380CC4-5D6E-409C-BE32-E72D297353CC}">
              <c16:uniqueId val="{00000000-F692-4F7F-9D23-E4102BC344C5}"/>
            </c:ext>
          </c:extLst>
        </c:ser>
        <c:ser>
          <c:idx val="1"/>
          <c:order val="1"/>
          <c:tx>
            <c:strRef>
              <c:f>'tendencia '!$C$1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'!$A$2:$A$4</c:f>
              <c:strCache>
                <c:ptCount val="3"/>
                <c:pt idx="0">
                  <c:v>Julio </c:v>
                </c:pt>
                <c:pt idx="1">
                  <c:v>Agosto </c:v>
                </c:pt>
                <c:pt idx="2">
                  <c:v>Septiembre</c:v>
                </c:pt>
              </c:strCache>
            </c:strRef>
          </c:cat>
          <c:val>
            <c:numRef>
              <c:f>'tendencia '!$C$2:$C$4</c:f>
              <c:numCache>
                <c:formatCode>_(* #,##0_);_(* \(#,##0\);_(* "-"_);_(@_)</c:formatCode>
                <c:ptCount val="3"/>
                <c:pt idx="0">
                  <c:v>2400</c:v>
                </c:pt>
                <c:pt idx="1">
                  <c:v>2394</c:v>
                </c:pt>
                <c:pt idx="2">
                  <c:v>2526</c:v>
                </c:pt>
              </c:numCache>
            </c:numRef>
          </c:val>
          <c:extLst>
            <c:ext xmlns:c16="http://schemas.microsoft.com/office/drawing/2014/chart" uri="{C3380CC4-5D6E-409C-BE32-E72D297353CC}">
              <c16:uniqueId val="{00000001-F692-4F7F-9D23-E4102BC344C5}"/>
            </c:ext>
          </c:extLst>
        </c:ser>
        <c:dLbls>
          <c:showLegendKey val="0"/>
          <c:showVal val="0"/>
          <c:showCatName val="0"/>
          <c:showSerName val="0"/>
          <c:showPercent val="0"/>
          <c:showBubbleSize val="0"/>
        </c:dLbls>
        <c:gapWidth val="100"/>
        <c:overlap val="-24"/>
        <c:axId val="526800896"/>
        <c:axId val="526797944"/>
      </c:barChart>
      <c:catAx>
        <c:axId val="526800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797944"/>
        <c:crosses val="autoZero"/>
        <c:auto val="1"/>
        <c:lblAlgn val="ctr"/>
        <c:lblOffset val="100"/>
        <c:noMultiLvlLbl val="0"/>
      </c:catAx>
      <c:valAx>
        <c:axId val="526797944"/>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26800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300">
                <a:solidFill>
                  <a:schemeClr val="tx2">
                    <a:lumMod val="50000"/>
                  </a:schemeClr>
                </a:solidFill>
                <a:latin typeface="Arial" panose="020B0604020202020204" pitchFamily="34" charset="0"/>
                <a:cs typeface="Arial" panose="020B0604020202020204" pitchFamily="34" charset="0"/>
              </a:rPr>
              <a:t>Contratos Vigentes por Dependencia</a:t>
            </a:r>
          </a:p>
          <a:p>
            <a:pPr>
              <a:defRPr>
                <a:solidFill>
                  <a:schemeClr val="tx2">
                    <a:lumMod val="50000"/>
                  </a:schemeClr>
                </a:solidFill>
                <a:latin typeface="Arial" panose="020B0604020202020204" pitchFamily="34" charset="0"/>
                <a:cs typeface="Arial" panose="020B0604020202020204" pitchFamily="34" charset="0"/>
              </a:defRPr>
            </a:pPr>
            <a:r>
              <a:rPr lang="en-US" sz="1300">
                <a:solidFill>
                  <a:schemeClr val="tx2">
                    <a:lumMod val="50000"/>
                  </a:schemeClr>
                </a:solidFill>
                <a:latin typeface="Arial" panose="020B0604020202020204" pitchFamily="34" charset="0"/>
                <a:cs typeface="Arial" panose="020B0604020202020204" pitchFamily="34" charset="0"/>
              </a:rPr>
              <a:t>A 30 de Septiembre</a:t>
            </a:r>
            <a:r>
              <a:rPr lang="en-US" sz="1300" baseline="0">
                <a:solidFill>
                  <a:schemeClr val="tx2">
                    <a:lumMod val="50000"/>
                  </a:schemeClr>
                </a:solidFill>
                <a:latin typeface="Arial" panose="020B0604020202020204" pitchFamily="34" charset="0"/>
                <a:cs typeface="Arial" panose="020B0604020202020204" pitchFamily="34" charset="0"/>
              </a:rPr>
              <a:t> 2020</a:t>
            </a:r>
            <a:endParaRPr lang="en-US" sz="1300">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13676778281502691"/>
          <c:y val="1.021131973887879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8698321800684004E-2"/>
          <c:y val="0.13184377436124525"/>
          <c:w val="0.9580720591744214"/>
          <c:h val="0.73355568883127942"/>
        </c:manualLayout>
      </c:layout>
      <c:barChart>
        <c:barDir val="col"/>
        <c:grouping val="clustered"/>
        <c:varyColors val="0"/>
        <c:ser>
          <c:idx val="0"/>
          <c:order val="0"/>
          <c:tx>
            <c:strRef>
              <c:f>'resumen Contrato vigentes 2020 '!$B$68</c:f>
              <c:strCache>
                <c:ptCount val="1"/>
                <c:pt idx="0">
                  <c:v>Representatividad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2.1290751829673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EA-432B-A1CB-0C08D24D4FA8}"/>
                </c:ext>
              </c:extLst>
            </c:dLbl>
            <c:dLbl>
              <c:idx val="2"/>
              <c:layout>
                <c:manualLayout>
                  <c:x val="1.1420413990007138E-2"/>
                  <c:y val="-1.330671989354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EA-432B-A1CB-0C08D24D4F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 vigentes 2020 '!$A$69:$A$91</c:f>
              <c:strCache>
                <c:ptCount val="23"/>
                <c:pt idx="0">
                  <c:v>SJ</c:v>
                </c:pt>
                <c:pt idx="1">
                  <c:v>SART</c:v>
                </c:pt>
                <c:pt idx="2">
                  <c:v>DGPPN</c:v>
                </c:pt>
                <c:pt idx="3">
                  <c:v>SIS</c:v>
                </c:pt>
                <c:pt idx="4">
                  <c:v>DM</c:v>
                </c:pt>
                <c:pt idx="5">
                  <c:v>DGPE</c:v>
                </c:pt>
                <c:pt idx="6">
                  <c:v>SR</c:v>
                </c:pt>
                <c:pt idx="7">
                  <c:v>SIIF</c:v>
                </c:pt>
                <c:pt idx="8">
                  <c:v>OCDI</c:v>
                </c:pt>
                <c:pt idx="9">
                  <c:v>OAJ</c:v>
                </c:pt>
                <c:pt idx="10">
                  <c:v>DGRESS</c:v>
                </c:pt>
                <c:pt idx="11">
                  <c:v>OBP</c:v>
                </c:pt>
                <c:pt idx="12">
                  <c:v>DT</c:v>
                </c:pt>
                <c:pt idx="13">
                  <c:v>SG</c:v>
                </c:pt>
                <c:pt idx="14">
                  <c:v>SS</c:v>
                </c:pt>
                <c:pt idx="15">
                  <c:v>OCI</c:v>
                </c:pt>
                <c:pt idx="16">
                  <c:v>SAPP</c:v>
                </c:pt>
                <c:pt idx="17">
                  <c:v>SO</c:v>
                </c:pt>
                <c:pt idx="18">
                  <c:v>SFOM</c:v>
                </c:pt>
                <c:pt idx="19">
                  <c:v>SPPS</c:v>
                </c:pt>
                <c:pt idx="20">
                  <c:v>DGCPTN</c:v>
                </c:pt>
                <c:pt idx="21">
                  <c:v>DVG</c:v>
                </c:pt>
                <c:pt idx="22">
                  <c:v>DGPM</c:v>
                </c:pt>
              </c:strCache>
            </c:strRef>
          </c:cat>
          <c:val>
            <c:numRef>
              <c:f>'resumen Contrato vigentes 2020 '!$B$69:$B$91</c:f>
              <c:numCache>
                <c:formatCode>0%</c:formatCode>
                <c:ptCount val="23"/>
                <c:pt idx="0">
                  <c:v>0.29213483146067415</c:v>
                </c:pt>
                <c:pt idx="1">
                  <c:v>0.11235955056179775</c:v>
                </c:pt>
                <c:pt idx="2">
                  <c:v>0.11235955056179775</c:v>
                </c:pt>
                <c:pt idx="3">
                  <c:v>0.10112359550561797</c:v>
                </c:pt>
                <c:pt idx="4">
                  <c:v>7.8651685393258425E-2</c:v>
                </c:pt>
                <c:pt idx="5">
                  <c:v>3.3707865168539325E-2</c:v>
                </c:pt>
                <c:pt idx="6">
                  <c:v>3.3707865168539325E-2</c:v>
                </c:pt>
                <c:pt idx="7">
                  <c:v>2.247191011235955E-2</c:v>
                </c:pt>
                <c:pt idx="8">
                  <c:v>2.247191011235955E-2</c:v>
                </c:pt>
                <c:pt idx="9">
                  <c:v>2.247191011235955E-2</c:v>
                </c:pt>
                <c:pt idx="10">
                  <c:v>2.247191011235955E-2</c:v>
                </c:pt>
                <c:pt idx="11">
                  <c:v>2.247191011235955E-2</c:v>
                </c:pt>
                <c:pt idx="12">
                  <c:v>1.1235955056179775E-2</c:v>
                </c:pt>
                <c:pt idx="13">
                  <c:v>1.1235955056179775E-2</c:v>
                </c:pt>
                <c:pt idx="14">
                  <c:v>1.1235955056179775E-2</c:v>
                </c:pt>
                <c:pt idx="15">
                  <c:v>1.1235955056179775E-2</c:v>
                </c:pt>
                <c:pt idx="16">
                  <c:v>1.1235955056179775E-2</c:v>
                </c:pt>
                <c:pt idx="17">
                  <c:v>1.1235955056179775E-2</c:v>
                </c:pt>
                <c:pt idx="18">
                  <c:v>1.1235955056179775E-2</c:v>
                </c:pt>
                <c:pt idx="19">
                  <c:v>1.1235955056179775E-2</c:v>
                </c:pt>
                <c:pt idx="20">
                  <c:v>1.1235955056179775E-2</c:v>
                </c:pt>
                <c:pt idx="21">
                  <c:v>1.1235955056179775E-2</c:v>
                </c:pt>
                <c:pt idx="22">
                  <c:v>1.1235955056179775E-2</c:v>
                </c:pt>
              </c:numCache>
            </c:numRef>
          </c:val>
          <c:extLst>
            <c:ext xmlns:c16="http://schemas.microsoft.com/office/drawing/2014/chart" uri="{C3380CC4-5D6E-409C-BE32-E72D297353CC}">
              <c16:uniqueId val="{00000000-E432-414D-9D77-E338F856EF6C}"/>
            </c:ext>
          </c:extLst>
        </c:ser>
        <c:dLbls>
          <c:showLegendKey val="0"/>
          <c:showVal val="0"/>
          <c:showCatName val="0"/>
          <c:showSerName val="0"/>
          <c:showPercent val="0"/>
          <c:showBubbleSize val="0"/>
        </c:dLbls>
        <c:gapWidth val="100"/>
        <c:overlap val="-24"/>
        <c:axId val="1268906559"/>
        <c:axId val="1268911551"/>
      </c:barChart>
      <c:catAx>
        <c:axId val="1268906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1268911551"/>
        <c:crosses val="autoZero"/>
        <c:auto val="1"/>
        <c:lblAlgn val="ctr"/>
        <c:lblOffset val="100"/>
        <c:noMultiLvlLbl val="0"/>
      </c:catAx>
      <c:valAx>
        <c:axId val="126891155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689065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Gastos Pasajes Aereos ($)</a:t>
            </a:r>
          </a:p>
          <a:p>
            <a:pPr>
              <a:defRPr>
                <a:solidFill>
                  <a:schemeClr val="tx2">
                    <a:lumMod val="50000"/>
                  </a:schemeClr>
                </a:solidFill>
              </a:defRPr>
            </a:pPr>
            <a:r>
              <a:rPr lang="es-CO" sz="1200">
                <a:solidFill>
                  <a:schemeClr val="tx2">
                    <a:lumMod val="50000"/>
                  </a:schemeClr>
                </a:solidFill>
                <a:latin typeface="Arial" panose="020B0604020202020204" pitchFamily="34" charset="0"/>
                <a:cs typeface="Arial" panose="020B0604020202020204" pitchFamily="34" charset="0"/>
              </a:rPr>
              <a:t>Tercer Trimestre 2020-2019</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n-US"/>
        </a:p>
      </c:txPr>
    </c:title>
    <c:autoTitleDeleted val="0"/>
    <c:plotArea>
      <c:layout>
        <c:manualLayout>
          <c:layoutTarget val="inner"/>
          <c:xMode val="edge"/>
          <c:yMode val="edge"/>
          <c:x val="0.25673592823415836"/>
          <c:y val="0.21373737373737373"/>
          <c:w val="0.72321357036375478"/>
          <c:h val="0.52506588191627557"/>
        </c:manualLayout>
      </c:layout>
      <c:barChart>
        <c:barDir val="col"/>
        <c:grouping val="clustered"/>
        <c:varyColors val="0"/>
        <c:ser>
          <c:idx val="0"/>
          <c:order val="0"/>
          <c:tx>
            <c:strRef>
              <c:f>'tendencia '!$G$1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'!$F$2:$F$4</c:f>
              <c:strCache>
                <c:ptCount val="3"/>
                <c:pt idx="0">
                  <c:v>Jul</c:v>
                </c:pt>
                <c:pt idx="1">
                  <c:v>Ago</c:v>
                </c:pt>
                <c:pt idx="2">
                  <c:v>Sep</c:v>
                </c:pt>
              </c:strCache>
            </c:strRef>
          </c:cat>
          <c:val>
            <c:numRef>
              <c:f>'tendencia '!$G$2:$G$4</c:f>
              <c:numCache>
                <c:formatCode>#,##0_ ;\-#,##0\ </c:formatCode>
                <c:ptCount val="3"/>
                <c:pt idx="0">
                  <c:v>0</c:v>
                </c:pt>
                <c:pt idx="1">
                  <c:v>0</c:v>
                </c:pt>
                <c:pt idx="2">
                  <c:v>309450</c:v>
                </c:pt>
              </c:numCache>
            </c:numRef>
          </c:val>
          <c:extLst>
            <c:ext xmlns:c16="http://schemas.microsoft.com/office/drawing/2014/chart" uri="{C3380CC4-5D6E-409C-BE32-E72D297353CC}">
              <c16:uniqueId val="{00000000-2129-4665-855D-FBB8A3FDB142}"/>
            </c:ext>
          </c:extLst>
        </c:ser>
        <c:ser>
          <c:idx val="1"/>
          <c:order val="1"/>
          <c:tx>
            <c:strRef>
              <c:f>'tendencia '!$H$1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'!$F$2:$F$4</c:f>
              <c:strCache>
                <c:ptCount val="3"/>
                <c:pt idx="0">
                  <c:v>Jul</c:v>
                </c:pt>
                <c:pt idx="1">
                  <c:v>Ago</c:v>
                </c:pt>
                <c:pt idx="2">
                  <c:v>Sep</c:v>
                </c:pt>
              </c:strCache>
            </c:strRef>
          </c:cat>
          <c:val>
            <c:numRef>
              <c:f>'tendencia '!$H$2:$H$4</c:f>
              <c:numCache>
                <c:formatCode>#,##0_ ;\-#,##0\ </c:formatCode>
                <c:ptCount val="3"/>
                <c:pt idx="0">
                  <c:v>52263625</c:v>
                </c:pt>
                <c:pt idx="1">
                  <c:v>47834245</c:v>
                </c:pt>
                <c:pt idx="2" formatCode="_(* #,##0_);_(* \(#,##0\);_(* &quot;-&quot;_);_(@_)">
                  <c:v>58185633</c:v>
                </c:pt>
              </c:numCache>
            </c:numRef>
          </c:val>
          <c:extLst>
            <c:ext xmlns:c16="http://schemas.microsoft.com/office/drawing/2014/chart" uri="{C3380CC4-5D6E-409C-BE32-E72D297353CC}">
              <c16:uniqueId val="{00000001-2129-4665-855D-FBB8A3FDB142}"/>
            </c:ext>
          </c:extLst>
        </c:ser>
        <c:ser>
          <c:idx val="2"/>
          <c:order val="2"/>
          <c:tx>
            <c:strRef>
              <c:f>'tendencia '!$I$1</c:f>
              <c:strCache>
                <c:ptCount val="1"/>
                <c:pt idx="0">
                  <c:v>Variación</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'!$F$2:$F$4</c:f>
              <c:strCache>
                <c:ptCount val="3"/>
                <c:pt idx="0">
                  <c:v>Jul</c:v>
                </c:pt>
                <c:pt idx="1">
                  <c:v>Ago</c:v>
                </c:pt>
                <c:pt idx="2">
                  <c:v>Sep</c:v>
                </c:pt>
              </c:strCache>
            </c:strRef>
          </c:cat>
          <c:val>
            <c:numRef>
              <c:f>'tendencia '!$I$2:$I$4</c:f>
              <c:numCache>
                <c:formatCode>0%</c:formatCode>
                <c:ptCount val="3"/>
                <c:pt idx="0">
                  <c:v>-1</c:v>
                </c:pt>
                <c:pt idx="1">
                  <c:v>-1</c:v>
                </c:pt>
                <c:pt idx="2">
                  <c:v>-0.99468167683249231</c:v>
                </c:pt>
              </c:numCache>
            </c:numRef>
          </c:val>
          <c:extLst>
            <c:ext xmlns:c16="http://schemas.microsoft.com/office/drawing/2014/chart" uri="{C3380CC4-5D6E-409C-BE32-E72D297353CC}">
              <c16:uniqueId val="{00000002-2129-4665-855D-FBB8A3FDB142}"/>
            </c:ext>
          </c:extLst>
        </c:ser>
        <c:dLbls>
          <c:showLegendKey val="0"/>
          <c:showVal val="0"/>
          <c:showCatName val="0"/>
          <c:showSerName val="0"/>
          <c:showPercent val="0"/>
          <c:showBubbleSize val="0"/>
        </c:dLbls>
        <c:gapWidth val="100"/>
        <c:overlap val="-24"/>
        <c:axId val="516720008"/>
        <c:axId val="516720992"/>
      </c:barChart>
      <c:catAx>
        <c:axId val="5167200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720992"/>
        <c:crosses val="autoZero"/>
        <c:auto val="1"/>
        <c:lblAlgn val="ctr"/>
        <c:lblOffset val="100"/>
        <c:noMultiLvlLbl val="0"/>
      </c:catAx>
      <c:valAx>
        <c:axId val="516720992"/>
        <c:scaling>
          <c:orientation val="minMax"/>
        </c:scaling>
        <c:delete val="1"/>
        <c:axPos val="l"/>
        <c:majorGridlines>
          <c:spPr>
            <a:ln w="9525" cap="flat" cmpd="sng" algn="ctr">
              <a:solidFill>
                <a:schemeClr val="tx1">
                  <a:lumMod val="15000"/>
                  <a:lumOff val="85000"/>
                </a:schemeClr>
              </a:solidFill>
              <a:round/>
            </a:ln>
            <a:effectLst/>
          </c:spPr>
        </c:majorGridlines>
        <c:numFmt formatCode="#,##0_ ;\-#,##0\ " sourceLinked="1"/>
        <c:majorTickMark val="none"/>
        <c:minorTickMark val="none"/>
        <c:tickLblPos val="nextTo"/>
        <c:crossAx val="516720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Gasto de Viáticos ($)</a:t>
            </a:r>
          </a:p>
          <a:p>
            <a:pPr>
              <a:defRPr>
                <a:solidFill>
                  <a:schemeClr val="tx2">
                    <a:lumMod val="50000"/>
                  </a:schemeClr>
                </a:solidFill>
              </a:defRPr>
            </a:pPr>
            <a:r>
              <a:rPr lang="es-CO" sz="1200">
                <a:solidFill>
                  <a:schemeClr val="tx2">
                    <a:lumMod val="50000"/>
                  </a:schemeClr>
                </a:solidFill>
                <a:latin typeface="Arial" panose="020B0604020202020204" pitchFamily="34" charset="0"/>
                <a:cs typeface="Arial" panose="020B0604020202020204" pitchFamily="34" charset="0"/>
              </a:rPr>
              <a:t>Tercer Trimestre 2020-2019</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'tendencia '!$B$1</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'!$A$2:$A$4</c:f>
              <c:strCache>
                <c:ptCount val="3"/>
                <c:pt idx="0">
                  <c:v>Jul</c:v>
                </c:pt>
                <c:pt idx="1">
                  <c:v>Ago</c:v>
                </c:pt>
                <c:pt idx="2">
                  <c:v>Sep</c:v>
                </c:pt>
              </c:strCache>
            </c:strRef>
          </c:cat>
          <c:val>
            <c:numRef>
              <c:f>'tendencia '!$B$2:$B$4</c:f>
              <c:numCache>
                <c:formatCode>_(* #,##0_);_(* \(#,##0\);_(* "-"_);_(@_)</c:formatCode>
                <c:ptCount val="3"/>
                <c:pt idx="0">
                  <c:v>2262840</c:v>
                </c:pt>
                <c:pt idx="1">
                  <c:v>2217271.4500000002</c:v>
                </c:pt>
                <c:pt idx="2">
                  <c:v>2904948.95</c:v>
                </c:pt>
              </c:numCache>
            </c:numRef>
          </c:val>
          <c:extLst>
            <c:ext xmlns:c16="http://schemas.microsoft.com/office/drawing/2014/chart" uri="{C3380CC4-5D6E-409C-BE32-E72D297353CC}">
              <c16:uniqueId val="{00000000-C680-44B6-8DBB-FBB88D66DE43}"/>
            </c:ext>
          </c:extLst>
        </c:ser>
        <c:ser>
          <c:idx val="1"/>
          <c:order val="1"/>
          <c:tx>
            <c:strRef>
              <c:f>'tendencia '!$C$1</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'!$A$2:$A$4</c:f>
              <c:strCache>
                <c:ptCount val="3"/>
                <c:pt idx="0">
                  <c:v>Jul</c:v>
                </c:pt>
                <c:pt idx="1">
                  <c:v>Ago</c:v>
                </c:pt>
                <c:pt idx="2">
                  <c:v>Sep</c:v>
                </c:pt>
              </c:strCache>
            </c:strRef>
          </c:cat>
          <c:val>
            <c:numRef>
              <c:f>'tendencia '!$C$2:$C$4</c:f>
              <c:numCache>
                <c:formatCode>_(* #,##0_);_(* \(#,##0\);_(* "-"_);_(@_)</c:formatCode>
                <c:ptCount val="3"/>
                <c:pt idx="0">
                  <c:v>40870408.300000019</c:v>
                </c:pt>
                <c:pt idx="1">
                  <c:v>39743671.899999999</c:v>
                </c:pt>
                <c:pt idx="2">
                  <c:v>41543413.850000016</c:v>
                </c:pt>
              </c:numCache>
            </c:numRef>
          </c:val>
          <c:extLst>
            <c:ext xmlns:c16="http://schemas.microsoft.com/office/drawing/2014/chart" uri="{C3380CC4-5D6E-409C-BE32-E72D297353CC}">
              <c16:uniqueId val="{00000001-C680-44B6-8DBB-FBB88D66DE43}"/>
            </c:ext>
          </c:extLst>
        </c:ser>
        <c:ser>
          <c:idx val="2"/>
          <c:order val="2"/>
          <c:tx>
            <c:strRef>
              <c:f>'tendencia '!$D$1</c:f>
              <c:strCache>
                <c:ptCount val="1"/>
                <c:pt idx="0">
                  <c:v>Variación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'!$A$2:$A$4</c:f>
              <c:strCache>
                <c:ptCount val="3"/>
                <c:pt idx="0">
                  <c:v>Jul</c:v>
                </c:pt>
                <c:pt idx="1">
                  <c:v>Ago</c:v>
                </c:pt>
                <c:pt idx="2">
                  <c:v>Sep</c:v>
                </c:pt>
              </c:strCache>
            </c:strRef>
          </c:cat>
          <c:val>
            <c:numRef>
              <c:f>'tendencia '!$D$2:$D$4</c:f>
              <c:numCache>
                <c:formatCode>0%</c:formatCode>
                <c:ptCount val="3"/>
                <c:pt idx="0">
                  <c:v>-0.94463378042641188</c:v>
                </c:pt>
                <c:pt idx="1">
                  <c:v>-0.94421070464805235</c:v>
                </c:pt>
                <c:pt idx="2">
                  <c:v>-0.93007438049051905</c:v>
                </c:pt>
              </c:numCache>
            </c:numRef>
          </c:val>
          <c:extLst>
            <c:ext xmlns:c16="http://schemas.microsoft.com/office/drawing/2014/chart" uri="{C3380CC4-5D6E-409C-BE32-E72D297353CC}">
              <c16:uniqueId val="{00000002-C680-44B6-8DBB-FBB88D66DE43}"/>
            </c:ext>
          </c:extLst>
        </c:ser>
        <c:dLbls>
          <c:showLegendKey val="0"/>
          <c:showVal val="0"/>
          <c:showCatName val="0"/>
          <c:showSerName val="0"/>
          <c:showPercent val="0"/>
          <c:showBubbleSize val="0"/>
        </c:dLbls>
        <c:gapWidth val="100"/>
        <c:overlap val="-24"/>
        <c:axId val="521000864"/>
        <c:axId val="521003488"/>
      </c:barChart>
      <c:catAx>
        <c:axId val="521000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03488"/>
        <c:crosses val="autoZero"/>
        <c:auto val="1"/>
        <c:lblAlgn val="ctr"/>
        <c:lblOffset val="100"/>
        <c:noMultiLvlLbl val="0"/>
      </c:catAx>
      <c:valAx>
        <c:axId val="52100348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521000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Gasto de Combustible ($)</a:t>
            </a:r>
          </a:p>
          <a:p>
            <a:pPr>
              <a:defRPr sz="1200">
                <a:solidFill>
                  <a:schemeClr val="tx2">
                    <a:lumMod val="50000"/>
                  </a:schemeClr>
                </a:solidFill>
                <a:latin typeface="Arial" panose="020B0604020202020204" pitchFamily="34" charset="0"/>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Tercer Trimestre de 2020-2019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'tendencia '!$C$34</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'!$B$35:$B$37</c:f>
              <c:strCache>
                <c:ptCount val="3"/>
                <c:pt idx="0">
                  <c:v>Jul</c:v>
                </c:pt>
                <c:pt idx="1">
                  <c:v>Ago</c:v>
                </c:pt>
                <c:pt idx="2">
                  <c:v>Sep</c:v>
                </c:pt>
              </c:strCache>
            </c:strRef>
          </c:cat>
          <c:val>
            <c:numRef>
              <c:f>'tendencia '!$C$35:$C$37</c:f>
              <c:numCache>
                <c:formatCode>_(* #,##0_);_(* \(#,##0\);_(* "-"_);_(@_)</c:formatCode>
                <c:ptCount val="3"/>
                <c:pt idx="0">
                  <c:v>3553199.0246200003</c:v>
                </c:pt>
                <c:pt idx="1">
                  <c:v>3369664.1130999997</c:v>
                </c:pt>
                <c:pt idx="2">
                  <c:v>3829801.3575400007</c:v>
                </c:pt>
              </c:numCache>
            </c:numRef>
          </c:val>
          <c:extLst>
            <c:ext xmlns:c16="http://schemas.microsoft.com/office/drawing/2014/chart" uri="{C3380CC4-5D6E-409C-BE32-E72D297353CC}">
              <c16:uniqueId val="{00000000-DE37-4E3C-B2C1-E03BE696599D}"/>
            </c:ext>
          </c:extLst>
        </c:ser>
        <c:ser>
          <c:idx val="1"/>
          <c:order val="1"/>
          <c:tx>
            <c:strRef>
              <c:f>'tendencia '!$D$34</c:f>
              <c:strCache>
                <c:ptCount val="1"/>
                <c:pt idx="0">
                  <c:v>2019</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'!$B$35:$B$37</c:f>
              <c:strCache>
                <c:ptCount val="3"/>
                <c:pt idx="0">
                  <c:v>Jul</c:v>
                </c:pt>
                <c:pt idx="1">
                  <c:v>Ago</c:v>
                </c:pt>
                <c:pt idx="2">
                  <c:v>Sep</c:v>
                </c:pt>
              </c:strCache>
            </c:strRef>
          </c:cat>
          <c:val>
            <c:numRef>
              <c:f>'tendencia '!$D$35:$D$37</c:f>
              <c:numCache>
                <c:formatCode>_(* #,##0_);_(* \(#,##0\);_(* "-"_);_(@_)</c:formatCode>
                <c:ptCount val="3"/>
                <c:pt idx="0">
                  <c:v>13104616.800912401</c:v>
                </c:pt>
                <c:pt idx="1">
                  <c:v>13848411.660882998</c:v>
                </c:pt>
                <c:pt idx="2">
                  <c:v>11787164.745719999</c:v>
                </c:pt>
              </c:numCache>
            </c:numRef>
          </c:val>
          <c:extLst>
            <c:ext xmlns:c16="http://schemas.microsoft.com/office/drawing/2014/chart" uri="{C3380CC4-5D6E-409C-BE32-E72D297353CC}">
              <c16:uniqueId val="{00000001-DE37-4E3C-B2C1-E03BE696599D}"/>
            </c:ext>
          </c:extLst>
        </c:ser>
        <c:ser>
          <c:idx val="2"/>
          <c:order val="2"/>
          <c:tx>
            <c:strRef>
              <c:f>'tendencia '!$E$34</c:f>
              <c:strCache>
                <c:ptCount val="1"/>
                <c:pt idx="0">
                  <c:v>Variación</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'tendencia '!$B$35:$B$37</c:f>
              <c:strCache>
                <c:ptCount val="3"/>
                <c:pt idx="0">
                  <c:v>Jul</c:v>
                </c:pt>
                <c:pt idx="1">
                  <c:v>Ago</c:v>
                </c:pt>
                <c:pt idx="2">
                  <c:v>Sep</c:v>
                </c:pt>
              </c:strCache>
            </c:strRef>
          </c:cat>
          <c:val>
            <c:numRef>
              <c:f>'tendencia '!$E$35:$E$37</c:f>
              <c:numCache>
                <c:formatCode>0%</c:formatCode>
                <c:ptCount val="3"/>
                <c:pt idx="0">
                  <c:v>-0.72885899079684568</c:v>
                </c:pt>
                <c:pt idx="1">
                  <c:v>-0.75667504724616597</c:v>
                </c:pt>
                <c:pt idx="2">
                  <c:v>-0.67508714435075423</c:v>
                </c:pt>
              </c:numCache>
            </c:numRef>
          </c:val>
          <c:extLst>
            <c:ext xmlns:c16="http://schemas.microsoft.com/office/drawing/2014/chart" uri="{C3380CC4-5D6E-409C-BE32-E72D297353CC}">
              <c16:uniqueId val="{00000002-DE37-4E3C-B2C1-E03BE696599D}"/>
            </c:ext>
          </c:extLst>
        </c:ser>
        <c:dLbls>
          <c:showLegendKey val="0"/>
          <c:showVal val="0"/>
          <c:showCatName val="0"/>
          <c:showSerName val="0"/>
          <c:showPercent val="0"/>
          <c:showBubbleSize val="0"/>
        </c:dLbls>
        <c:gapWidth val="100"/>
        <c:overlap val="-24"/>
        <c:axId val="470818680"/>
        <c:axId val="470811464"/>
      </c:barChart>
      <c:catAx>
        <c:axId val="470818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811464"/>
        <c:crosses val="autoZero"/>
        <c:auto val="1"/>
        <c:lblAlgn val="ctr"/>
        <c:lblOffset val="100"/>
        <c:noMultiLvlLbl val="0"/>
      </c:catAx>
      <c:valAx>
        <c:axId val="470811464"/>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4708186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Comportamiento de Cosnumo de Papel</a:t>
            </a:r>
          </a:p>
          <a:p>
            <a:pPr>
              <a:defRPr sz="1200"/>
            </a:pPr>
            <a:r>
              <a:rPr lang="es-CO" sz="1200">
                <a:solidFill>
                  <a:schemeClr val="tx2">
                    <a:lumMod val="50000"/>
                  </a:schemeClr>
                </a:solidFill>
                <a:latin typeface="Arial" panose="020B0604020202020204" pitchFamily="34" charset="0"/>
                <a:cs typeface="Arial" panose="020B0604020202020204" pitchFamily="34" charset="0"/>
              </a:rPr>
              <a:t> Vigencia 2020 </a:t>
            </a:r>
          </a:p>
        </c:rich>
      </c:tx>
      <c:layout>
        <c:manualLayout>
          <c:xMode val="edge"/>
          <c:yMode val="edge"/>
          <c:x val="0.20914443679330957"/>
          <c:y val="1.221373850033243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'graficas consumo'!$I$1</c:f>
              <c:strCache>
                <c:ptCount val="1"/>
                <c:pt idx="0">
                  <c:v># Hojas Usadas</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f>'graficas consumo'!$H$2:$H$10</c:f>
              <c:strCache>
                <c:ptCount val="9"/>
                <c:pt idx="0">
                  <c:v>Ene</c:v>
                </c:pt>
                <c:pt idx="1">
                  <c:v>Feb</c:v>
                </c:pt>
                <c:pt idx="2">
                  <c:v>Mar</c:v>
                </c:pt>
                <c:pt idx="3">
                  <c:v>Abr</c:v>
                </c:pt>
                <c:pt idx="4">
                  <c:v>May</c:v>
                </c:pt>
                <c:pt idx="5">
                  <c:v>Jun</c:v>
                </c:pt>
                <c:pt idx="6">
                  <c:v>Jul</c:v>
                </c:pt>
                <c:pt idx="7">
                  <c:v>Ago</c:v>
                </c:pt>
                <c:pt idx="8">
                  <c:v>Sep</c:v>
                </c:pt>
              </c:strCache>
            </c:strRef>
          </c:cat>
          <c:val>
            <c:numRef>
              <c:f>'graficas consumo'!$I$2:$I$10</c:f>
              <c:numCache>
                <c:formatCode>#,##0</c:formatCode>
                <c:ptCount val="9"/>
                <c:pt idx="0">
                  <c:v>123991</c:v>
                </c:pt>
                <c:pt idx="1">
                  <c:v>167618</c:v>
                </c:pt>
                <c:pt idx="2">
                  <c:v>141918</c:v>
                </c:pt>
                <c:pt idx="3">
                  <c:v>927</c:v>
                </c:pt>
                <c:pt idx="4">
                  <c:v>2327</c:v>
                </c:pt>
                <c:pt idx="5">
                  <c:v>2141</c:v>
                </c:pt>
                <c:pt idx="6">
                  <c:v>6193</c:v>
                </c:pt>
                <c:pt idx="7">
                  <c:v>2083</c:v>
                </c:pt>
                <c:pt idx="8">
                  <c:v>7154</c:v>
                </c:pt>
              </c:numCache>
            </c:numRef>
          </c:val>
          <c:smooth val="0"/>
          <c:extLst>
            <c:ext xmlns:c16="http://schemas.microsoft.com/office/drawing/2014/chart" uri="{C3380CC4-5D6E-409C-BE32-E72D297353CC}">
              <c16:uniqueId val="{00000000-FECD-4E0D-96A7-FB16AE4432D9}"/>
            </c:ext>
          </c:extLst>
        </c:ser>
        <c:dLbls>
          <c:showLegendKey val="0"/>
          <c:showVal val="0"/>
          <c:showCatName val="0"/>
          <c:showSerName val="0"/>
          <c:showPercent val="0"/>
          <c:showBubbleSize val="0"/>
        </c:dLbls>
        <c:smooth val="0"/>
        <c:axId val="496091176"/>
        <c:axId val="496087568"/>
      </c:lineChart>
      <c:catAx>
        <c:axId val="496091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087568"/>
        <c:crosses val="autoZero"/>
        <c:auto val="1"/>
        <c:lblAlgn val="ctr"/>
        <c:lblOffset val="100"/>
        <c:noMultiLvlLbl val="0"/>
      </c:catAx>
      <c:valAx>
        <c:axId val="496087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4960911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Consumo de Papel Por Dependencia </a:t>
            </a:r>
          </a:p>
          <a:p>
            <a:pPr>
              <a:defRPr sz="1200">
                <a:solidFill>
                  <a:schemeClr val="tx2">
                    <a:lumMod val="50000"/>
                  </a:schemeClr>
                </a:solidFill>
                <a:latin typeface="Arial" panose="020B0604020202020204" pitchFamily="34" charset="0"/>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Tercer Trimestre de 2020 </a:t>
            </a:r>
          </a:p>
        </c:rich>
      </c:tx>
      <c:layout>
        <c:manualLayout>
          <c:xMode val="edge"/>
          <c:yMode val="edge"/>
          <c:x val="0.20975965340576969"/>
          <c:y val="2.1030494216614092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3051496292221111E-2"/>
          <c:y val="0.14109361329833769"/>
          <c:w val="0.83992479500629169"/>
          <c:h val="0.68647418293766005"/>
        </c:manualLayout>
      </c:layout>
      <c:barChart>
        <c:barDir val="col"/>
        <c:grouping val="clustered"/>
        <c:varyColors val="0"/>
        <c:ser>
          <c:idx val="0"/>
          <c:order val="0"/>
          <c:tx>
            <c:strRef>
              <c:f>'resumen variaciones'!$B$54</c:f>
              <c:strCache>
                <c:ptCount val="1"/>
                <c:pt idx="0">
                  <c:v>Total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variaciones'!$A$55:$A$64</c:f>
              <c:strCache>
                <c:ptCount val="10"/>
                <c:pt idx="0">
                  <c:v>DA</c:v>
                </c:pt>
                <c:pt idx="1">
                  <c:v>DM</c:v>
                </c:pt>
                <c:pt idx="2">
                  <c:v>SACP</c:v>
                </c:pt>
                <c:pt idx="3">
                  <c:v>DVG</c:v>
                </c:pt>
                <c:pt idx="4">
                  <c:v>SG</c:v>
                </c:pt>
                <c:pt idx="5">
                  <c:v>DT</c:v>
                </c:pt>
                <c:pt idx="6">
                  <c:v>DGRESS</c:v>
                </c:pt>
                <c:pt idx="7">
                  <c:v>SJ</c:v>
                </c:pt>
                <c:pt idx="8">
                  <c:v>DGCPTN</c:v>
                </c:pt>
                <c:pt idx="9">
                  <c:v>DGPPN</c:v>
                </c:pt>
              </c:strCache>
            </c:strRef>
          </c:cat>
          <c:val>
            <c:numRef>
              <c:f>'resumen variaciones'!$B$55:$B$64</c:f>
              <c:numCache>
                <c:formatCode>0%</c:formatCode>
                <c:ptCount val="10"/>
                <c:pt idx="0">
                  <c:v>0.3149060272197019</c:v>
                </c:pt>
                <c:pt idx="1">
                  <c:v>0.27362281270252753</c:v>
                </c:pt>
                <c:pt idx="2">
                  <c:v>0.21892417368762151</c:v>
                </c:pt>
                <c:pt idx="3">
                  <c:v>3.7459494491250807E-2</c:v>
                </c:pt>
                <c:pt idx="4">
                  <c:v>3.6357744653272843E-2</c:v>
                </c:pt>
                <c:pt idx="5">
                  <c:v>2.9488010369410241E-2</c:v>
                </c:pt>
                <c:pt idx="6">
                  <c:v>2.6053143227478936E-2</c:v>
                </c:pt>
                <c:pt idx="7">
                  <c:v>2.0674011665586519E-2</c:v>
                </c:pt>
                <c:pt idx="8">
                  <c:v>1.9896305897602076E-2</c:v>
                </c:pt>
                <c:pt idx="9">
                  <c:v>9.4620868438107589E-3</c:v>
                </c:pt>
              </c:numCache>
            </c:numRef>
          </c:val>
          <c:extLst>
            <c:ext xmlns:c16="http://schemas.microsoft.com/office/drawing/2014/chart" uri="{C3380CC4-5D6E-409C-BE32-E72D297353CC}">
              <c16:uniqueId val="{00000000-3483-48BE-BEBD-399CF3F07DC1}"/>
            </c:ext>
          </c:extLst>
        </c:ser>
        <c:dLbls>
          <c:showLegendKey val="0"/>
          <c:showVal val="0"/>
          <c:showCatName val="0"/>
          <c:showSerName val="0"/>
          <c:showPercent val="0"/>
          <c:showBubbleSize val="0"/>
        </c:dLbls>
        <c:gapWidth val="100"/>
        <c:overlap val="-24"/>
        <c:axId val="496110200"/>
        <c:axId val="496110528"/>
      </c:barChart>
      <c:catAx>
        <c:axId val="4961102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496110528"/>
        <c:crosses val="autoZero"/>
        <c:auto val="1"/>
        <c:lblAlgn val="ctr"/>
        <c:lblOffset val="100"/>
        <c:noMultiLvlLbl val="0"/>
      </c:catAx>
      <c:valAx>
        <c:axId val="49611052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6110200"/>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a:t>Consumo de Papel por Mes - III Trimestre 2020-2019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377431544461197"/>
          <c:y val="0.1740056022408964"/>
          <c:w val="0.86022095642300034"/>
          <c:h val="0.55954343942301332"/>
        </c:manualLayout>
      </c:layout>
      <c:barChart>
        <c:barDir val="col"/>
        <c:grouping val="clustered"/>
        <c:varyColors val="0"/>
        <c:ser>
          <c:idx val="0"/>
          <c:order val="0"/>
          <c:tx>
            <c:strRef>
              <c:f>'graficas consumo'!$A$19</c:f>
              <c:strCache>
                <c:ptCount val="1"/>
                <c:pt idx="0">
                  <c:v>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consumo'!$B$18:$D$18</c:f>
              <c:strCache>
                <c:ptCount val="3"/>
                <c:pt idx="0">
                  <c:v>Julio </c:v>
                </c:pt>
                <c:pt idx="1">
                  <c:v>Agosto</c:v>
                </c:pt>
                <c:pt idx="2">
                  <c:v>Septiembre</c:v>
                </c:pt>
              </c:strCache>
            </c:strRef>
          </c:cat>
          <c:val>
            <c:numRef>
              <c:f>'graficas consumo'!$B$19:$D$19</c:f>
              <c:numCache>
                <c:formatCode>#,##0</c:formatCode>
                <c:ptCount val="3"/>
                <c:pt idx="0">
                  <c:v>6193</c:v>
                </c:pt>
                <c:pt idx="1">
                  <c:v>2083</c:v>
                </c:pt>
                <c:pt idx="2">
                  <c:v>7154</c:v>
                </c:pt>
              </c:numCache>
            </c:numRef>
          </c:val>
          <c:extLst>
            <c:ext xmlns:c16="http://schemas.microsoft.com/office/drawing/2014/chart" uri="{C3380CC4-5D6E-409C-BE32-E72D297353CC}">
              <c16:uniqueId val="{00000000-3EBC-4EE7-8581-D803EE3407B0}"/>
            </c:ext>
          </c:extLst>
        </c:ser>
        <c:ser>
          <c:idx val="1"/>
          <c:order val="1"/>
          <c:tx>
            <c:strRef>
              <c:f>'graficas consumo'!$A$20</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consumo'!$B$18:$D$18</c:f>
              <c:strCache>
                <c:ptCount val="3"/>
                <c:pt idx="0">
                  <c:v>Julio </c:v>
                </c:pt>
                <c:pt idx="1">
                  <c:v>Agosto</c:v>
                </c:pt>
                <c:pt idx="2">
                  <c:v>Septiembre</c:v>
                </c:pt>
              </c:strCache>
            </c:strRef>
          </c:cat>
          <c:val>
            <c:numRef>
              <c:f>'graficas consumo'!$B$20:$D$20</c:f>
              <c:numCache>
                <c:formatCode>_(* #,##0_);_(* \(#,##0\);_(* "-"_);_(@_)</c:formatCode>
                <c:ptCount val="3"/>
                <c:pt idx="0">
                  <c:v>237600</c:v>
                </c:pt>
                <c:pt idx="1">
                  <c:v>242838</c:v>
                </c:pt>
                <c:pt idx="2">
                  <c:v>239275</c:v>
                </c:pt>
              </c:numCache>
            </c:numRef>
          </c:val>
          <c:extLst>
            <c:ext xmlns:c16="http://schemas.microsoft.com/office/drawing/2014/chart" uri="{C3380CC4-5D6E-409C-BE32-E72D297353CC}">
              <c16:uniqueId val="{00000001-3EBC-4EE7-8581-D803EE3407B0}"/>
            </c:ext>
          </c:extLst>
        </c:ser>
        <c:dLbls>
          <c:showLegendKey val="0"/>
          <c:showVal val="0"/>
          <c:showCatName val="0"/>
          <c:showSerName val="0"/>
          <c:showPercent val="0"/>
          <c:showBubbleSize val="0"/>
        </c:dLbls>
        <c:gapWidth val="150"/>
        <c:axId val="659572368"/>
        <c:axId val="659572784"/>
      </c:barChart>
      <c:catAx>
        <c:axId val="659572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crossAx val="659572784"/>
        <c:crosses val="autoZero"/>
        <c:auto val="1"/>
        <c:lblAlgn val="ctr"/>
        <c:lblOffset val="100"/>
        <c:noMultiLvlLbl val="0"/>
      </c:catAx>
      <c:valAx>
        <c:axId val="6595727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9572368"/>
        <c:crosses val="autoZero"/>
        <c:crossBetween val="between"/>
        <c:majorUnit val="8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chemeClr val="tx2">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Resumen!$D$68:$E$68</cx:f>
        <cx:lvl ptCount="2">
          <cx:pt idx="0">Ahorro Medidas de Austeridad del Gasto - MHCP </cx:pt>
          <cx:pt idx="1">Ahorro Medidas por COVID -19</cx:pt>
        </cx:lvl>
      </cx:strDim>
      <cx:numDim type="size">
        <cx:f>Resumen!$D$69:$E$69</cx:f>
        <cx:lvl ptCount="2" formatCode="0%">
          <cx:pt idx="0">0.46999999999999997</cx:pt>
          <cx:pt idx="1">0.01</cx:pt>
        </cx:lvl>
      </cx:numDim>
    </cx:data>
  </cx:chartData>
  <cx:chart>
    <cx:plotArea>
      <cx:plotAreaRegion>
        <cx:plotSurface>
          <cx:spPr>
            <a:ln>
              <a:noFill/>
            </a:ln>
          </cx:spPr>
        </cx:plotSurface>
        <cx:series layoutId="sunburst" uniqueId="{BD2B4B87-C3EF-4A9E-8E4E-C91750E890AC}">
          <cx:dataPt idx="1">
            <cx:spPr>
              <a:solidFill>
                <a:srgbClr val="C0504D"/>
              </a:solidFill>
            </cx:spPr>
          </cx:dataPt>
          <cx:dataId val="0"/>
        </cx:series>
      </cx:plotAreaRegion>
    </cx:plotArea>
    <cx:legend pos="b" align="ctr" overlay="0">
      <cx:txPr>
        <a:bodyPr spcFirstLastPara="1" vertOverflow="ellipsis" horzOverflow="overflow" wrap="square" lIns="0" tIns="0" rIns="0" bIns="0" anchor="ctr" anchorCtr="1"/>
        <a:lstStyle/>
        <a:p>
          <a:pPr algn="ctr" rtl="0">
            <a:defRPr>
              <a:solidFill>
                <a:schemeClr val="tx2">
                  <a:lumMod val="50000"/>
                </a:schemeClr>
              </a:solidFill>
              <a:latin typeface="Arial" panose="020B0604020202020204" pitchFamily="34" charset="0"/>
              <a:ea typeface="Arial" panose="020B0604020202020204" pitchFamily="34" charset="0"/>
              <a:cs typeface="Arial" panose="020B0604020202020204" pitchFamily="34" charset="0"/>
            </a:defRPr>
          </a:pPr>
          <a:endParaRPr lang="es-ES" sz="900" b="0" i="0" u="none" strike="noStrike" baseline="0">
            <a:solidFill>
              <a:schemeClr val="tx2">
                <a:lumMod val="50000"/>
              </a:schemeClr>
            </a:solidFill>
            <a:latin typeface="Arial" panose="020B0604020202020204" pitchFamily="34" charset="0"/>
            <a:cs typeface="Arial" panose="020B0604020202020204" pitchFamily="34" charset="0"/>
          </a:endParaRPr>
        </a:p>
      </cx:txPr>
    </cx:legend>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81946E-5836-4DAE-A856-3C37E91B9513}" type="doc">
      <dgm:prSet loTypeId="urn:microsoft.com/office/officeart/2008/layout/HorizontalMultiLevelHierarchy"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Vehículos del MHCP - 2020</a:t>
          </a:r>
        </a:p>
      </dgm:t>
    </dgm:pt>
    <dgm:pt modelId="{802AAF5E-F72F-4F65-8466-C97732A840E7}" type="parTrans" cxnId="{9BBAC92C-DE00-46DC-8662-46C7492ED942}">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14 </a:t>
          </a:r>
        </a:p>
      </dgm:t>
    </dgm:pt>
    <dgm:pt modelId="{D6218370-2762-4C5D-B6FF-0EDDC3DCAE75}" type="parTrans" cxnId="{D8008E8A-22D5-4272-BA05-9C5DEF3B2B05}">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Total: 27</a:t>
          </a:r>
        </a:p>
      </dgm:t>
    </dgm:pt>
    <dgm:pt modelId="{DBC44E3F-3C7B-431B-A780-6BD75620EB3D}" type="parTrans" cxnId="{020C25A9-00CF-47A4-9887-F2F2671D5A34}">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 Motocicletas Suzuki</a:t>
          </a:r>
        </a:p>
      </dgm:t>
    </dgm:pt>
    <dgm:pt modelId="{9B725DB8-C047-4580-A01B-247330F9466F}" type="parTrans" cxnId="{17117168-7870-4912-BCEC-AAA8888D95F1}">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3 Camionetas Toyota Prado (UNP)</a:t>
          </a:r>
        </a:p>
      </dgm:t>
    </dgm:pt>
    <dgm:pt modelId="{0B53B95D-7D83-47BC-B96A-2119D72B9144}" type="parTrans" cxnId="{1C4802D1-9309-436F-A055-D735B21F849E}">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  6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900">
            <a:solidFill>
              <a:schemeClr val="tx1"/>
            </a:solidFill>
            <a:latin typeface="Arial" panose="020B0604020202020204" pitchFamily="34" charset="0"/>
            <a:cs typeface="Arial" panose="020B0604020202020204" pitchFamily="34" charset="0"/>
          </a:endParaRPr>
        </a:p>
      </dgm:t>
    </dgm:pt>
    <dgm:pt modelId="{66696AF1-B6BC-4666-B450-4927CB3DE2FF}">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Esquema de Seguridad - Viceministro General </a:t>
          </a:r>
        </a:p>
      </dgm:t>
    </dgm:pt>
    <dgm:pt modelId="{AE15A6D9-B7B4-434D-AE1E-D5A1F40478D3}" type="parTrans" cxnId="{5FB163DE-8115-4924-9589-FC70112B4415}">
      <dgm:prSet custT="1"/>
      <dgm:spPr/>
      <dgm:t>
        <a:bodyPr/>
        <a:lstStyle/>
        <a:p>
          <a:endParaRPr lang="es-ES" sz="900">
            <a:latin typeface="Arial" panose="020B0604020202020204" pitchFamily="34" charset="0"/>
            <a:cs typeface="Arial" panose="020B0604020202020204" pitchFamily="34" charset="0"/>
          </a:endParaRPr>
        </a:p>
      </dgm:t>
    </dgm:pt>
    <dgm:pt modelId="{ABE79400-2DE4-4907-8AB2-4BB8674A8C00}" type="sibTrans" cxnId="{5FB163DE-8115-4924-9589-FC70112B4415}">
      <dgm:prSet/>
      <dgm:spPr/>
      <dgm:t>
        <a:bodyPr/>
        <a:lstStyle/>
        <a:p>
          <a:endParaRPr lang="es-ES" sz="900">
            <a:latin typeface="Arial" panose="020B0604020202020204" pitchFamily="34" charset="0"/>
            <a:cs typeface="Arial" panose="020B0604020202020204" pitchFamily="34" charset="0"/>
          </a:endParaRPr>
        </a:p>
      </dgm:t>
    </dgm:pt>
    <dgm:pt modelId="{A0F228CB-036A-4A65-9606-1BCBD5C831C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 Camionetas Toyota Prado (UNP)</a:t>
          </a:r>
        </a:p>
      </dgm:t>
    </dgm:pt>
    <dgm:pt modelId="{1A81D65E-15FF-46FC-908D-4711AE93C038}" type="parTrans" cxnId="{22D7685D-22A2-4B66-999E-0B31BDCED343}">
      <dgm:prSet custT="1"/>
      <dgm:spPr/>
      <dgm:t>
        <a:bodyPr/>
        <a:lstStyle/>
        <a:p>
          <a:endParaRPr lang="es-ES" sz="900">
            <a:latin typeface="Arial" panose="020B0604020202020204" pitchFamily="34" charset="0"/>
            <a:cs typeface="Arial" panose="020B0604020202020204" pitchFamily="34" charset="0"/>
          </a:endParaRPr>
        </a:p>
      </dgm:t>
    </dgm:pt>
    <dgm:pt modelId="{FCBEB68A-89FF-435E-A6E6-2E4D32E7F399}" type="sibTrans" cxnId="{22D7685D-22A2-4B66-999E-0B31BDCED343}">
      <dgm:prSet/>
      <dgm:spPr/>
      <dgm:t>
        <a:bodyPr/>
        <a:lstStyle/>
        <a:p>
          <a:endParaRPr lang="es-ES" sz="900">
            <a:latin typeface="Arial" panose="020B0604020202020204" pitchFamily="34" charset="0"/>
            <a:cs typeface="Arial" panose="020B0604020202020204" pitchFamily="34" charset="0"/>
          </a:endParaRPr>
        </a:p>
      </dgm:t>
    </dgm:pt>
    <dgm:pt modelId="{A1C18B35-E01D-457A-86D7-8F284070DB3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a:t>
          </a:r>
        </a:p>
      </dgm:t>
    </dgm:pt>
    <dgm:pt modelId="{AF38406F-0760-412B-9D25-A798DBD2BE1E}" type="parTrans" cxnId="{06735CCB-E606-47FF-8250-B382D1BCCC2F}">
      <dgm:prSet custT="1"/>
      <dgm:spPr/>
      <dgm:t>
        <a:bodyPr/>
        <a:lstStyle/>
        <a:p>
          <a:endParaRPr lang="es-ES" sz="900">
            <a:latin typeface="Arial" panose="020B0604020202020204" pitchFamily="34" charset="0"/>
            <a:cs typeface="Arial" panose="020B0604020202020204" pitchFamily="34" charset="0"/>
          </a:endParaRPr>
        </a:p>
      </dgm:t>
    </dgm:pt>
    <dgm:pt modelId="{B96FB483-5A6D-4121-B272-50D7357BC661}" type="sibTrans" cxnId="{06735CCB-E606-47FF-8250-B382D1BCCC2F}">
      <dgm:prSet/>
      <dgm:spPr/>
      <dgm:t>
        <a:bodyPr/>
        <a:lstStyle/>
        <a:p>
          <a:endParaRPr lang="es-ES" sz="900">
            <a:latin typeface="Arial" panose="020B0604020202020204" pitchFamily="34" charset="0"/>
            <a:cs typeface="Arial" panose="020B0604020202020204" pitchFamily="34" charset="0"/>
          </a:endParaRPr>
        </a:p>
      </dgm:t>
    </dgm:pt>
    <dgm:pt modelId="{604D7E82-8EF5-486B-9D04-3F34D719D5A5}">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1 Camioneta Toyota Fortuner (Comodato UNP).</a:t>
          </a:r>
        </a:p>
      </dgm:t>
    </dgm:pt>
    <dgm:pt modelId="{B242E5BF-DF96-4656-9EF6-F8FC4A70F144}" type="parTrans" cxnId="{3ECABA1E-BFA6-4996-A80A-823DC27206EF}">
      <dgm:prSet custT="1"/>
      <dgm:spPr/>
      <dgm:t>
        <a:bodyPr/>
        <a:lstStyle/>
        <a:p>
          <a:endParaRPr lang="es-CO" sz="900">
            <a:latin typeface="Arial" panose="020B0604020202020204" pitchFamily="34" charset="0"/>
            <a:cs typeface="Arial" panose="020B0604020202020204" pitchFamily="34" charset="0"/>
          </a:endParaRPr>
        </a:p>
      </dgm:t>
    </dgm:pt>
    <dgm:pt modelId="{57A37B26-C452-4D14-ADEC-6D5BE9799BDA}" type="sibTrans" cxnId="{3ECABA1E-BFA6-4996-A80A-823DC27206EF}">
      <dgm:prSet/>
      <dgm:spPr/>
      <dgm:t>
        <a:bodyPr/>
        <a:lstStyle/>
        <a:p>
          <a:endParaRPr lang="es-CO" sz="900">
            <a:latin typeface="Arial" panose="020B0604020202020204" pitchFamily="34" charset="0"/>
            <a:cs typeface="Arial" panose="020B0604020202020204" pitchFamily="34" charset="0"/>
          </a:endParaRPr>
        </a:p>
      </dgm:t>
    </dgm:pt>
    <dgm:pt modelId="{426736F1-B52E-413C-BE46-8D57A0BA55B1}">
      <dgm:prSet phldrT="[Texto]" custT="1"/>
      <dgm:spPr/>
      <dgm:t>
        <a:bodyPr/>
        <a:lstStyle/>
        <a:p>
          <a:pPr>
            <a:spcBef>
              <a:spcPts val="0"/>
            </a:spcBef>
            <a:spcAft>
              <a:spcPts val="0"/>
            </a:spcAft>
          </a:pPr>
          <a:r>
            <a:rPr lang="es-CO" sz="900">
              <a:latin typeface="Arial" panose="020B0604020202020204" pitchFamily="34" charset="0"/>
              <a:cs typeface="Arial" panose="020B0604020202020204" pitchFamily="34" charset="0"/>
            </a:rPr>
            <a:t>2 camionetas SAE - Destinación provisional</a:t>
          </a:r>
        </a:p>
      </dgm:t>
    </dgm:pt>
    <dgm:pt modelId="{56DF6D02-F0C8-4FA3-8D44-F9DFD11A7C25}" type="parTrans" cxnId="{51D70247-135A-4E9A-B7FE-14CB7090240E}">
      <dgm:prSet custT="1"/>
      <dgm:spPr/>
      <dgm:t>
        <a:bodyPr/>
        <a:lstStyle/>
        <a:p>
          <a:endParaRPr lang="es-CO" sz="900">
            <a:latin typeface="Arial" panose="020B0604020202020204" pitchFamily="34" charset="0"/>
            <a:cs typeface="Arial" panose="020B0604020202020204" pitchFamily="34" charset="0"/>
          </a:endParaRPr>
        </a:p>
      </dgm:t>
    </dgm:pt>
    <dgm:pt modelId="{D467941C-23B1-4662-9A07-39D116261275}" type="sibTrans" cxnId="{51D70247-135A-4E9A-B7FE-14CB7090240E}">
      <dgm:prSet/>
      <dgm:spPr/>
      <dgm:t>
        <a:bodyPr/>
        <a:lstStyle/>
        <a:p>
          <a:endParaRPr lang="es-CO" sz="900">
            <a:latin typeface="Arial" panose="020B0604020202020204" pitchFamily="34" charset="0"/>
            <a:cs typeface="Arial" panose="020B0604020202020204" pitchFamily="34" charset="0"/>
          </a:endParaRPr>
        </a:p>
      </dgm:t>
    </dgm:pt>
    <dgm:pt modelId="{65D4BCBF-1CDD-4728-B15E-95BEF3768B96}" type="pres">
      <dgm:prSet presAssocID="{D181946E-5836-4DAE-A856-3C37E91B9513}" presName="Name0" presStyleCnt="0">
        <dgm:presLayoutVars>
          <dgm:chPref val="1"/>
          <dgm:dir/>
          <dgm:animOne val="branch"/>
          <dgm:animLvl val="lvl"/>
          <dgm:resizeHandles val="exact"/>
        </dgm:presLayoutVars>
      </dgm:prSet>
      <dgm:spPr/>
      <dgm:t>
        <a:bodyPr/>
        <a:lstStyle/>
        <a:p>
          <a:endParaRPr lang="es-ES"/>
        </a:p>
      </dgm:t>
    </dgm:pt>
    <dgm:pt modelId="{8DAE53DE-A733-42CF-B846-7A7A112821FA}" type="pres">
      <dgm:prSet presAssocID="{E8B3673D-BDA6-4DA9-ABD6-FA4B21C3F72B}" presName="root1" presStyleCnt="0"/>
      <dgm:spPr/>
    </dgm:pt>
    <dgm:pt modelId="{920DEC97-464B-4C8C-94CF-C0DEA874AD30}" type="pres">
      <dgm:prSet presAssocID="{E8B3673D-BDA6-4DA9-ABD6-FA4B21C3F72B}" presName="LevelOneTextNode" presStyleLbl="node0" presStyleIdx="0" presStyleCnt="1" custScaleX="177929">
        <dgm:presLayoutVars>
          <dgm:chPref val="3"/>
        </dgm:presLayoutVars>
      </dgm:prSet>
      <dgm:spPr/>
      <dgm:t>
        <a:bodyPr/>
        <a:lstStyle/>
        <a:p>
          <a:endParaRPr lang="es-ES"/>
        </a:p>
      </dgm:t>
    </dgm:pt>
    <dgm:pt modelId="{8D4F9D1B-DDC5-44F3-9DC3-D18A3FC7CEE1}" type="pres">
      <dgm:prSet presAssocID="{E8B3673D-BDA6-4DA9-ABD6-FA4B21C3F72B}" presName="level2hierChild" presStyleCnt="0"/>
      <dgm:spPr/>
    </dgm:pt>
    <dgm:pt modelId="{3914288F-28D9-4772-9C09-6026C7DEF065}" type="pres">
      <dgm:prSet presAssocID="{6579F72E-6896-4DBA-8018-36243424E035}" presName="conn2-1" presStyleLbl="parChTrans1D2" presStyleIdx="0" presStyleCnt="5"/>
      <dgm:spPr/>
      <dgm:t>
        <a:bodyPr/>
        <a:lstStyle/>
        <a:p>
          <a:endParaRPr lang="es-ES"/>
        </a:p>
      </dgm:t>
    </dgm:pt>
    <dgm:pt modelId="{45AD2EEF-945A-4934-9743-5E8119210B8E}" type="pres">
      <dgm:prSet presAssocID="{6579F72E-6896-4DBA-8018-36243424E035}" presName="connTx" presStyleLbl="parChTrans1D2" presStyleIdx="0" presStyleCnt="5"/>
      <dgm:spPr/>
      <dgm:t>
        <a:bodyPr/>
        <a:lstStyle/>
        <a:p>
          <a:endParaRPr lang="es-ES"/>
        </a:p>
      </dgm:t>
    </dgm:pt>
    <dgm:pt modelId="{9F4347D4-432F-406A-8BE0-46AD735D56E6}" type="pres">
      <dgm:prSet presAssocID="{A4059410-9B0F-484F-844F-E93AC4998E66}" presName="root2" presStyleCnt="0"/>
      <dgm:spPr/>
    </dgm:pt>
    <dgm:pt modelId="{15E6158D-3599-423F-B033-1023F7BA276E}" type="pres">
      <dgm:prSet presAssocID="{A4059410-9B0F-484F-844F-E93AC4998E66}" presName="LevelTwoTextNode" presStyleLbl="node2" presStyleIdx="0" presStyleCnt="5" custScaleY="183277">
        <dgm:presLayoutVars>
          <dgm:chPref val="3"/>
        </dgm:presLayoutVars>
      </dgm:prSet>
      <dgm:spPr/>
      <dgm:t>
        <a:bodyPr/>
        <a:lstStyle/>
        <a:p>
          <a:endParaRPr lang="es-ES"/>
        </a:p>
      </dgm:t>
    </dgm:pt>
    <dgm:pt modelId="{F18349D3-8BFE-4BE5-9B6F-862392D7627D}" type="pres">
      <dgm:prSet presAssocID="{A4059410-9B0F-484F-844F-E93AC4998E66}" presName="level3hierChild" presStyleCnt="0"/>
      <dgm:spPr/>
    </dgm:pt>
    <dgm:pt modelId="{E2B8BE31-55B8-41C9-89F7-53FA7D497E32}" type="pres">
      <dgm:prSet presAssocID="{433EB2E6-C581-4752-819E-3317E338113B}" presName="conn2-1" presStyleLbl="parChTrans1D3" presStyleIdx="0" presStyleCnt="4"/>
      <dgm:spPr/>
      <dgm:t>
        <a:bodyPr/>
        <a:lstStyle/>
        <a:p>
          <a:endParaRPr lang="es-ES"/>
        </a:p>
      </dgm:t>
    </dgm:pt>
    <dgm:pt modelId="{DB144476-97FB-414F-AF48-293973402CA7}" type="pres">
      <dgm:prSet presAssocID="{433EB2E6-C581-4752-819E-3317E338113B}" presName="connTx" presStyleLbl="parChTrans1D3" presStyleIdx="0" presStyleCnt="4"/>
      <dgm:spPr/>
      <dgm:t>
        <a:bodyPr/>
        <a:lstStyle/>
        <a:p>
          <a:endParaRPr lang="es-ES"/>
        </a:p>
      </dgm:t>
    </dgm:pt>
    <dgm:pt modelId="{81627970-1576-4261-92BD-792DC7C68A90}" type="pres">
      <dgm:prSet presAssocID="{C5B1D6E8-79DF-40F0-9888-E78E36D619CD}" presName="root2" presStyleCnt="0"/>
      <dgm:spPr/>
    </dgm:pt>
    <dgm:pt modelId="{264881E2-64F9-4A2E-8EFE-02BA2D9B83AB}" type="pres">
      <dgm:prSet presAssocID="{C5B1D6E8-79DF-40F0-9888-E78E36D619CD}" presName="LevelTwoTextNode" presStyleLbl="node3" presStyleIdx="0" presStyleCnt="4">
        <dgm:presLayoutVars>
          <dgm:chPref val="3"/>
        </dgm:presLayoutVars>
      </dgm:prSet>
      <dgm:spPr/>
      <dgm:t>
        <a:bodyPr/>
        <a:lstStyle/>
        <a:p>
          <a:endParaRPr lang="es-ES"/>
        </a:p>
      </dgm:t>
    </dgm:pt>
    <dgm:pt modelId="{3A176DFE-D3CE-4CD6-8AEA-1C69F02346EC}" type="pres">
      <dgm:prSet presAssocID="{C5B1D6E8-79DF-40F0-9888-E78E36D619CD}" presName="level3hierChild" presStyleCnt="0"/>
      <dgm:spPr/>
    </dgm:pt>
    <dgm:pt modelId="{3015A65E-BF40-44DD-8425-CB5E22503F57}" type="pres">
      <dgm:prSet presAssocID="{0B53B95D-7D83-47BC-B96A-2119D72B9144}" presName="conn2-1" presStyleLbl="parChTrans1D4" presStyleIdx="0" presStyleCnt="7"/>
      <dgm:spPr/>
      <dgm:t>
        <a:bodyPr/>
        <a:lstStyle/>
        <a:p>
          <a:endParaRPr lang="es-ES"/>
        </a:p>
      </dgm:t>
    </dgm:pt>
    <dgm:pt modelId="{A50FE637-CAAE-40F8-A9EE-99D74A41DD64}" type="pres">
      <dgm:prSet presAssocID="{0B53B95D-7D83-47BC-B96A-2119D72B9144}" presName="connTx" presStyleLbl="parChTrans1D4" presStyleIdx="0" presStyleCnt="7"/>
      <dgm:spPr/>
      <dgm:t>
        <a:bodyPr/>
        <a:lstStyle/>
        <a:p>
          <a:endParaRPr lang="es-ES"/>
        </a:p>
      </dgm:t>
    </dgm:pt>
    <dgm:pt modelId="{F75D1540-266B-44AD-B0A8-DED66BA6D388}" type="pres">
      <dgm:prSet presAssocID="{1471DF1C-8B6F-4AF4-B443-DBE2AB698D91}" presName="root2" presStyleCnt="0"/>
      <dgm:spPr/>
    </dgm:pt>
    <dgm:pt modelId="{8B984234-E143-4FA1-9BEF-50AFCB64381A}" type="pres">
      <dgm:prSet presAssocID="{1471DF1C-8B6F-4AF4-B443-DBE2AB698D91}" presName="LevelTwoTextNode" presStyleLbl="node4" presStyleIdx="0" presStyleCnt="7" custScaleY="187248">
        <dgm:presLayoutVars>
          <dgm:chPref val="3"/>
        </dgm:presLayoutVars>
      </dgm:prSet>
      <dgm:spPr/>
      <dgm:t>
        <a:bodyPr/>
        <a:lstStyle/>
        <a:p>
          <a:endParaRPr lang="es-ES"/>
        </a:p>
      </dgm:t>
    </dgm:pt>
    <dgm:pt modelId="{466F685E-543A-4C14-948F-DC1AA0D7F2D7}" type="pres">
      <dgm:prSet presAssocID="{1471DF1C-8B6F-4AF4-B443-DBE2AB698D91}" presName="level3hierChild" presStyleCnt="0"/>
      <dgm:spPr/>
    </dgm:pt>
    <dgm:pt modelId="{44EA9E8E-C653-42C1-9CC8-387A26AF79B7}" type="pres">
      <dgm:prSet presAssocID="{9B725DB8-C047-4580-A01B-247330F9466F}" presName="conn2-1" presStyleLbl="parChTrans1D4" presStyleIdx="1" presStyleCnt="7"/>
      <dgm:spPr/>
      <dgm:t>
        <a:bodyPr/>
        <a:lstStyle/>
        <a:p>
          <a:endParaRPr lang="es-ES"/>
        </a:p>
      </dgm:t>
    </dgm:pt>
    <dgm:pt modelId="{54611D1E-484E-4F89-A5AA-D311066F4909}" type="pres">
      <dgm:prSet presAssocID="{9B725DB8-C047-4580-A01B-247330F9466F}" presName="connTx" presStyleLbl="parChTrans1D4" presStyleIdx="1" presStyleCnt="7"/>
      <dgm:spPr/>
      <dgm:t>
        <a:bodyPr/>
        <a:lstStyle/>
        <a:p>
          <a:endParaRPr lang="es-ES"/>
        </a:p>
      </dgm:t>
    </dgm:pt>
    <dgm:pt modelId="{A431CBA6-9138-496B-8A1B-208921C9BA63}" type="pres">
      <dgm:prSet presAssocID="{30B989E8-5477-416F-B05A-91F6D3CF3A0D}" presName="root2" presStyleCnt="0"/>
      <dgm:spPr/>
    </dgm:pt>
    <dgm:pt modelId="{FF4E8EC0-7C80-4B91-9232-908568F67927}" type="pres">
      <dgm:prSet presAssocID="{30B989E8-5477-416F-B05A-91F6D3CF3A0D}" presName="LevelTwoTextNode" presStyleLbl="node4" presStyleIdx="1" presStyleCnt="7">
        <dgm:presLayoutVars>
          <dgm:chPref val="3"/>
        </dgm:presLayoutVars>
      </dgm:prSet>
      <dgm:spPr/>
      <dgm:t>
        <a:bodyPr/>
        <a:lstStyle/>
        <a:p>
          <a:endParaRPr lang="es-ES"/>
        </a:p>
      </dgm:t>
    </dgm:pt>
    <dgm:pt modelId="{7305214A-C853-48EF-BBB3-C20059318244}" type="pres">
      <dgm:prSet presAssocID="{30B989E8-5477-416F-B05A-91F6D3CF3A0D}" presName="level3hierChild" presStyleCnt="0"/>
      <dgm:spPr/>
    </dgm:pt>
    <dgm:pt modelId="{61896EDA-C978-4A7F-B6EB-9E7037FB7874}" type="pres">
      <dgm:prSet presAssocID="{AE15A6D9-B7B4-434D-AE1E-D5A1F40478D3}" presName="conn2-1" presStyleLbl="parChTrans1D2" presStyleIdx="1" presStyleCnt="5"/>
      <dgm:spPr/>
      <dgm:t>
        <a:bodyPr/>
        <a:lstStyle/>
        <a:p>
          <a:endParaRPr lang="es-ES"/>
        </a:p>
      </dgm:t>
    </dgm:pt>
    <dgm:pt modelId="{9D51272E-0B26-494D-804A-DF90A57DA499}" type="pres">
      <dgm:prSet presAssocID="{AE15A6D9-B7B4-434D-AE1E-D5A1F40478D3}" presName="connTx" presStyleLbl="parChTrans1D2" presStyleIdx="1" presStyleCnt="5"/>
      <dgm:spPr/>
      <dgm:t>
        <a:bodyPr/>
        <a:lstStyle/>
        <a:p>
          <a:endParaRPr lang="es-ES"/>
        </a:p>
      </dgm:t>
    </dgm:pt>
    <dgm:pt modelId="{506EB52F-1E40-4B97-B6A3-8D906C731100}" type="pres">
      <dgm:prSet presAssocID="{66696AF1-B6BC-4666-B450-4927CB3DE2FF}" presName="root2" presStyleCnt="0"/>
      <dgm:spPr/>
    </dgm:pt>
    <dgm:pt modelId="{494812A6-4174-4972-AA1B-B1F2F2D50CCD}" type="pres">
      <dgm:prSet presAssocID="{66696AF1-B6BC-4666-B450-4927CB3DE2FF}" presName="LevelTwoTextNode" presStyleLbl="node2" presStyleIdx="1" presStyleCnt="5" custScaleY="192172">
        <dgm:presLayoutVars>
          <dgm:chPref val="3"/>
        </dgm:presLayoutVars>
      </dgm:prSet>
      <dgm:spPr/>
      <dgm:t>
        <a:bodyPr/>
        <a:lstStyle/>
        <a:p>
          <a:endParaRPr lang="es-ES"/>
        </a:p>
      </dgm:t>
    </dgm:pt>
    <dgm:pt modelId="{F7CC2178-27DB-43D4-86D3-FA7198903B4E}" type="pres">
      <dgm:prSet presAssocID="{66696AF1-B6BC-4666-B450-4927CB3DE2FF}" presName="level3hierChild" presStyleCnt="0"/>
      <dgm:spPr/>
    </dgm:pt>
    <dgm:pt modelId="{A08AD3C9-6BCD-44E0-BECE-FCCF70D98855}" type="pres">
      <dgm:prSet presAssocID="{AF38406F-0760-412B-9D25-A798DBD2BE1E}" presName="conn2-1" presStyleLbl="parChTrans1D3" presStyleIdx="1" presStyleCnt="4"/>
      <dgm:spPr/>
      <dgm:t>
        <a:bodyPr/>
        <a:lstStyle/>
        <a:p>
          <a:endParaRPr lang="es-ES"/>
        </a:p>
      </dgm:t>
    </dgm:pt>
    <dgm:pt modelId="{A191EDEC-FE20-43BA-9FF3-26B859B50C1B}" type="pres">
      <dgm:prSet presAssocID="{AF38406F-0760-412B-9D25-A798DBD2BE1E}" presName="connTx" presStyleLbl="parChTrans1D3" presStyleIdx="1" presStyleCnt="4"/>
      <dgm:spPr/>
      <dgm:t>
        <a:bodyPr/>
        <a:lstStyle/>
        <a:p>
          <a:endParaRPr lang="es-ES"/>
        </a:p>
      </dgm:t>
    </dgm:pt>
    <dgm:pt modelId="{421C7A88-6001-484C-8943-65EE9E483FF8}" type="pres">
      <dgm:prSet presAssocID="{A1C18B35-E01D-457A-86D7-8F284070DB31}" presName="root2" presStyleCnt="0"/>
      <dgm:spPr/>
    </dgm:pt>
    <dgm:pt modelId="{A9F5FAF6-4812-43C5-A4B8-12B1BFC264D4}" type="pres">
      <dgm:prSet presAssocID="{A1C18B35-E01D-457A-86D7-8F284070DB31}" presName="LevelTwoTextNode" presStyleLbl="node3" presStyleIdx="1" presStyleCnt="4">
        <dgm:presLayoutVars>
          <dgm:chPref val="3"/>
        </dgm:presLayoutVars>
      </dgm:prSet>
      <dgm:spPr/>
      <dgm:t>
        <a:bodyPr/>
        <a:lstStyle/>
        <a:p>
          <a:endParaRPr lang="es-ES"/>
        </a:p>
      </dgm:t>
    </dgm:pt>
    <dgm:pt modelId="{42413A23-B145-445A-B08D-A2208D92AB03}" type="pres">
      <dgm:prSet presAssocID="{A1C18B35-E01D-457A-86D7-8F284070DB31}" presName="level3hierChild" presStyleCnt="0"/>
      <dgm:spPr/>
    </dgm:pt>
    <dgm:pt modelId="{70E0485C-A82F-4CA5-B84B-DA7341F39CFA}" type="pres">
      <dgm:prSet presAssocID="{1A81D65E-15FF-46FC-908D-4711AE93C038}" presName="conn2-1" presStyleLbl="parChTrans1D4" presStyleIdx="2" presStyleCnt="7"/>
      <dgm:spPr/>
      <dgm:t>
        <a:bodyPr/>
        <a:lstStyle/>
        <a:p>
          <a:endParaRPr lang="es-ES"/>
        </a:p>
      </dgm:t>
    </dgm:pt>
    <dgm:pt modelId="{2BA310C3-8934-4427-8C1C-E3220CC12B4D}" type="pres">
      <dgm:prSet presAssocID="{1A81D65E-15FF-46FC-908D-4711AE93C038}" presName="connTx" presStyleLbl="parChTrans1D4" presStyleIdx="2" presStyleCnt="7"/>
      <dgm:spPr/>
      <dgm:t>
        <a:bodyPr/>
        <a:lstStyle/>
        <a:p>
          <a:endParaRPr lang="es-ES"/>
        </a:p>
      </dgm:t>
    </dgm:pt>
    <dgm:pt modelId="{A7728D9C-7081-4BE6-BB40-632D0C33E235}" type="pres">
      <dgm:prSet presAssocID="{A0F228CB-036A-4A65-9606-1BCBD5C831C1}" presName="root2" presStyleCnt="0"/>
      <dgm:spPr/>
    </dgm:pt>
    <dgm:pt modelId="{37212196-EF47-4823-84B2-C68A44AC2B5E}" type="pres">
      <dgm:prSet presAssocID="{A0F228CB-036A-4A65-9606-1BCBD5C831C1}" presName="LevelTwoTextNode" presStyleLbl="node4" presStyleIdx="2" presStyleCnt="7" custScaleY="153574">
        <dgm:presLayoutVars>
          <dgm:chPref val="3"/>
        </dgm:presLayoutVars>
      </dgm:prSet>
      <dgm:spPr/>
      <dgm:t>
        <a:bodyPr/>
        <a:lstStyle/>
        <a:p>
          <a:endParaRPr lang="es-ES"/>
        </a:p>
      </dgm:t>
    </dgm:pt>
    <dgm:pt modelId="{01C6FABF-5B27-4D50-A468-13F48873CC78}" type="pres">
      <dgm:prSet presAssocID="{A0F228CB-036A-4A65-9606-1BCBD5C831C1}" presName="level3hierChild" presStyleCnt="0"/>
      <dgm:spPr/>
    </dgm:pt>
    <dgm:pt modelId="{70EBD4A3-65DF-4750-98E6-1376098FD932}" type="pres">
      <dgm:prSet presAssocID="{B242E5BF-DF96-4656-9EF6-F8FC4A70F144}" presName="conn2-1" presStyleLbl="parChTrans1D4" presStyleIdx="3" presStyleCnt="7"/>
      <dgm:spPr/>
      <dgm:t>
        <a:bodyPr/>
        <a:lstStyle/>
        <a:p>
          <a:endParaRPr lang="es-ES"/>
        </a:p>
      </dgm:t>
    </dgm:pt>
    <dgm:pt modelId="{291FEF5F-6A9B-4E6F-98E3-75083A50BA07}" type="pres">
      <dgm:prSet presAssocID="{B242E5BF-DF96-4656-9EF6-F8FC4A70F144}" presName="connTx" presStyleLbl="parChTrans1D4" presStyleIdx="3" presStyleCnt="7"/>
      <dgm:spPr/>
      <dgm:t>
        <a:bodyPr/>
        <a:lstStyle/>
        <a:p>
          <a:endParaRPr lang="es-ES"/>
        </a:p>
      </dgm:t>
    </dgm:pt>
    <dgm:pt modelId="{84927273-860F-4276-94D4-EB57483B4E32}" type="pres">
      <dgm:prSet presAssocID="{604D7E82-8EF5-486B-9D04-3F34D719D5A5}" presName="root2" presStyleCnt="0"/>
      <dgm:spPr/>
    </dgm:pt>
    <dgm:pt modelId="{390B820D-A4A0-4985-9898-E56B663CADE2}" type="pres">
      <dgm:prSet presAssocID="{604D7E82-8EF5-486B-9D04-3F34D719D5A5}" presName="LevelTwoTextNode" presStyleLbl="node4" presStyleIdx="3" presStyleCnt="7" custScaleY="180123">
        <dgm:presLayoutVars>
          <dgm:chPref val="3"/>
        </dgm:presLayoutVars>
      </dgm:prSet>
      <dgm:spPr/>
      <dgm:t>
        <a:bodyPr/>
        <a:lstStyle/>
        <a:p>
          <a:endParaRPr lang="es-ES"/>
        </a:p>
      </dgm:t>
    </dgm:pt>
    <dgm:pt modelId="{2DF87F3C-9EB7-40A7-8318-ACBBA45398CE}" type="pres">
      <dgm:prSet presAssocID="{604D7E82-8EF5-486B-9D04-3F34D719D5A5}" presName="level3hierChild" presStyleCnt="0"/>
      <dgm:spPr/>
    </dgm:pt>
    <dgm:pt modelId="{AB0728BE-2A7E-4B69-ACA1-3159E1A5898A}" type="pres">
      <dgm:prSet presAssocID="{E5627A23-BD4F-4432-935C-CF68F84A7274}" presName="conn2-1" presStyleLbl="parChTrans1D2" presStyleIdx="2" presStyleCnt="5"/>
      <dgm:spPr/>
      <dgm:t>
        <a:bodyPr/>
        <a:lstStyle/>
        <a:p>
          <a:endParaRPr lang="es-ES"/>
        </a:p>
      </dgm:t>
    </dgm:pt>
    <dgm:pt modelId="{812E6632-A533-426C-98B1-06805D28E76B}" type="pres">
      <dgm:prSet presAssocID="{E5627A23-BD4F-4432-935C-CF68F84A7274}" presName="connTx" presStyleLbl="parChTrans1D2" presStyleIdx="2" presStyleCnt="5"/>
      <dgm:spPr/>
      <dgm:t>
        <a:bodyPr/>
        <a:lstStyle/>
        <a:p>
          <a:endParaRPr lang="es-ES"/>
        </a:p>
      </dgm:t>
    </dgm:pt>
    <dgm:pt modelId="{AF0389B1-6CD1-41CD-9FEA-5DAA42265C62}" type="pres">
      <dgm:prSet presAssocID="{7674FDF5-0174-442F-B729-D51C40AE5E39}" presName="root2" presStyleCnt="0"/>
      <dgm:spPr/>
    </dgm:pt>
    <dgm:pt modelId="{7FD53DF9-7469-4CC2-9125-ADE85DAD2A48}" type="pres">
      <dgm:prSet presAssocID="{7674FDF5-0174-442F-B729-D51C40AE5E39}" presName="LevelTwoTextNode" presStyleLbl="node2" presStyleIdx="2" presStyleCnt="5" custScaleY="183717">
        <dgm:presLayoutVars>
          <dgm:chPref val="3"/>
        </dgm:presLayoutVars>
      </dgm:prSet>
      <dgm:spPr/>
      <dgm:t>
        <a:bodyPr/>
        <a:lstStyle/>
        <a:p>
          <a:endParaRPr lang="es-ES"/>
        </a:p>
      </dgm:t>
    </dgm:pt>
    <dgm:pt modelId="{004989D1-4C32-4537-939B-27032F1281A7}" type="pres">
      <dgm:prSet presAssocID="{7674FDF5-0174-442F-B729-D51C40AE5E39}" presName="level3hierChild" presStyleCnt="0"/>
      <dgm:spPr/>
    </dgm:pt>
    <dgm:pt modelId="{B964B80F-863B-4754-B783-9FB543B74C89}" type="pres">
      <dgm:prSet presAssocID="{D6218370-2762-4C5D-B6FF-0EDDC3DCAE75}" presName="conn2-1" presStyleLbl="parChTrans1D3" presStyleIdx="2" presStyleCnt="4"/>
      <dgm:spPr/>
      <dgm:t>
        <a:bodyPr/>
        <a:lstStyle/>
        <a:p>
          <a:endParaRPr lang="es-ES"/>
        </a:p>
      </dgm:t>
    </dgm:pt>
    <dgm:pt modelId="{A5417EB1-0F99-465A-8B21-2D9F26902D3D}" type="pres">
      <dgm:prSet presAssocID="{D6218370-2762-4C5D-B6FF-0EDDC3DCAE75}" presName="connTx" presStyleLbl="parChTrans1D3" presStyleIdx="2" presStyleCnt="4"/>
      <dgm:spPr/>
      <dgm:t>
        <a:bodyPr/>
        <a:lstStyle/>
        <a:p>
          <a:endParaRPr lang="es-ES"/>
        </a:p>
      </dgm:t>
    </dgm:pt>
    <dgm:pt modelId="{F6A0B636-F1B3-4712-BC29-391F6C7B0354}" type="pres">
      <dgm:prSet presAssocID="{23567BB9-A2D9-48AA-AFC3-90BBF23632B3}" presName="root2" presStyleCnt="0"/>
      <dgm:spPr/>
    </dgm:pt>
    <dgm:pt modelId="{98C9A6EC-3F79-45B3-B661-0BC5AA3B8725}" type="pres">
      <dgm:prSet presAssocID="{23567BB9-A2D9-48AA-AFC3-90BBF23632B3}" presName="LevelTwoTextNode" presStyleLbl="node3" presStyleIdx="2" presStyleCnt="4">
        <dgm:presLayoutVars>
          <dgm:chPref val="3"/>
        </dgm:presLayoutVars>
      </dgm:prSet>
      <dgm:spPr/>
      <dgm:t>
        <a:bodyPr/>
        <a:lstStyle/>
        <a:p>
          <a:endParaRPr lang="es-ES"/>
        </a:p>
      </dgm:t>
    </dgm:pt>
    <dgm:pt modelId="{EE4A02D9-4432-47CD-8F8A-C1281C5B4C8B}" type="pres">
      <dgm:prSet presAssocID="{23567BB9-A2D9-48AA-AFC3-90BBF23632B3}" presName="level3hierChild" presStyleCnt="0"/>
      <dgm:spPr/>
    </dgm:pt>
    <dgm:pt modelId="{FB705C91-1767-43E0-9305-0DCC809CE1A4}" type="pres">
      <dgm:prSet presAssocID="{702CCD3F-1F7D-4584-A66D-FB5A6B96C4FA}" presName="conn2-1" presStyleLbl="parChTrans1D4" presStyleIdx="4" presStyleCnt="7"/>
      <dgm:spPr/>
      <dgm:t>
        <a:bodyPr/>
        <a:lstStyle/>
        <a:p>
          <a:endParaRPr lang="es-ES"/>
        </a:p>
      </dgm:t>
    </dgm:pt>
    <dgm:pt modelId="{D4FCBE79-1B7A-4A24-836C-FDB5DEBE8F5D}" type="pres">
      <dgm:prSet presAssocID="{702CCD3F-1F7D-4584-A66D-FB5A6B96C4FA}" presName="connTx" presStyleLbl="parChTrans1D4" presStyleIdx="4" presStyleCnt="7"/>
      <dgm:spPr/>
      <dgm:t>
        <a:bodyPr/>
        <a:lstStyle/>
        <a:p>
          <a:endParaRPr lang="es-ES"/>
        </a:p>
      </dgm:t>
    </dgm:pt>
    <dgm:pt modelId="{D062FE9F-1E82-46D7-980A-F990DAE8A1E4}" type="pres">
      <dgm:prSet presAssocID="{BEEFAD95-6692-4CE3-9EA9-3123CCAE2477}" presName="root2" presStyleCnt="0"/>
      <dgm:spPr/>
    </dgm:pt>
    <dgm:pt modelId="{6F50AB69-8BAF-443D-89B3-9820A20362F6}" type="pres">
      <dgm:prSet presAssocID="{BEEFAD95-6692-4CE3-9EA9-3123CCAE2477}" presName="LevelTwoTextNode" presStyleLbl="node4" presStyleIdx="4" presStyleCnt="7" custScaleY="148072">
        <dgm:presLayoutVars>
          <dgm:chPref val="3"/>
        </dgm:presLayoutVars>
      </dgm:prSet>
      <dgm:spPr/>
      <dgm:t>
        <a:bodyPr/>
        <a:lstStyle/>
        <a:p>
          <a:endParaRPr lang="es-ES"/>
        </a:p>
      </dgm:t>
    </dgm:pt>
    <dgm:pt modelId="{00D1706C-6B3F-4602-98EB-421E29A95966}" type="pres">
      <dgm:prSet presAssocID="{BEEFAD95-6692-4CE3-9EA9-3123CCAE2477}" presName="level3hierChild" presStyleCnt="0"/>
      <dgm:spPr/>
    </dgm:pt>
    <dgm:pt modelId="{5C6D2F35-F8C3-4495-8606-B567450F60A9}" type="pres">
      <dgm:prSet presAssocID="{56DF6D02-F0C8-4FA3-8D44-F9DFD11A7C25}" presName="conn2-1" presStyleLbl="parChTrans1D4" presStyleIdx="5" presStyleCnt="7"/>
      <dgm:spPr/>
      <dgm:t>
        <a:bodyPr/>
        <a:lstStyle/>
        <a:p>
          <a:endParaRPr lang="es-ES"/>
        </a:p>
      </dgm:t>
    </dgm:pt>
    <dgm:pt modelId="{7E1C3984-05E1-4D77-8470-4DD90383AD64}" type="pres">
      <dgm:prSet presAssocID="{56DF6D02-F0C8-4FA3-8D44-F9DFD11A7C25}" presName="connTx" presStyleLbl="parChTrans1D4" presStyleIdx="5" presStyleCnt="7"/>
      <dgm:spPr/>
      <dgm:t>
        <a:bodyPr/>
        <a:lstStyle/>
        <a:p>
          <a:endParaRPr lang="es-ES"/>
        </a:p>
      </dgm:t>
    </dgm:pt>
    <dgm:pt modelId="{52F1D3AB-F07C-42E6-8827-DE2CBD915C68}" type="pres">
      <dgm:prSet presAssocID="{426736F1-B52E-413C-BE46-8D57A0BA55B1}" presName="root2" presStyleCnt="0"/>
      <dgm:spPr/>
    </dgm:pt>
    <dgm:pt modelId="{1989BE18-802E-4B4B-ADDF-FF5E0170DD37}" type="pres">
      <dgm:prSet presAssocID="{426736F1-B52E-413C-BE46-8D57A0BA55B1}" presName="LevelTwoTextNode" presStyleLbl="node4" presStyleIdx="5" presStyleCnt="7" custAng="10800000" custFlipVert="1" custScaleY="195798">
        <dgm:presLayoutVars>
          <dgm:chPref val="3"/>
        </dgm:presLayoutVars>
      </dgm:prSet>
      <dgm:spPr/>
      <dgm:t>
        <a:bodyPr/>
        <a:lstStyle/>
        <a:p>
          <a:endParaRPr lang="es-ES"/>
        </a:p>
      </dgm:t>
    </dgm:pt>
    <dgm:pt modelId="{EA4AED22-0960-4AF2-A095-583C27DB442D}" type="pres">
      <dgm:prSet presAssocID="{426736F1-B52E-413C-BE46-8D57A0BA55B1}" presName="level3hierChild" presStyleCnt="0"/>
      <dgm:spPr/>
    </dgm:pt>
    <dgm:pt modelId="{EF05E614-B17C-4D8C-9849-A7A212579DFB}" type="pres">
      <dgm:prSet presAssocID="{51DC8177-94D5-4055-9969-3108DE20B4C3}" presName="conn2-1" presStyleLbl="parChTrans1D2" presStyleIdx="3" presStyleCnt="5"/>
      <dgm:spPr/>
      <dgm:t>
        <a:bodyPr/>
        <a:lstStyle/>
        <a:p>
          <a:endParaRPr lang="es-ES"/>
        </a:p>
      </dgm:t>
    </dgm:pt>
    <dgm:pt modelId="{FA02AA63-85FF-4290-ADCE-10BFC972EBDB}" type="pres">
      <dgm:prSet presAssocID="{51DC8177-94D5-4055-9969-3108DE20B4C3}" presName="connTx" presStyleLbl="parChTrans1D2" presStyleIdx="3" presStyleCnt="5"/>
      <dgm:spPr/>
      <dgm:t>
        <a:bodyPr/>
        <a:lstStyle/>
        <a:p>
          <a:endParaRPr lang="es-ES"/>
        </a:p>
      </dgm:t>
    </dgm:pt>
    <dgm:pt modelId="{3E8CD21E-7481-433A-A411-44418D1B6D7D}" type="pres">
      <dgm:prSet presAssocID="{C252AD91-BCCD-467D-9A58-DAA8B2CCA638}" presName="root2" presStyleCnt="0"/>
      <dgm:spPr/>
    </dgm:pt>
    <dgm:pt modelId="{7C760A39-7BB5-42F9-848A-FDC372C20F63}" type="pres">
      <dgm:prSet presAssocID="{C252AD91-BCCD-467D-9A58-DAA8B2CCA638}" presName="LevelTwoTextNode" presStyleLbl="node2" presStyleIdx="3" presStyleCnt="5" custScaleY="154961">
        <dgm:presLayoutVars>
          <dgm:chPref val="3"/>
        </dgm:presLayoutVars>
      </dgm:prSet>
      <dgm:spPr/>
      <dgm:t>
        <a:bodyPr/>
        <a:lstStyle/>
        <a:p>
          <a:endParaRPr lang="es-ES"/>
        </a:p>
      </dgm:t>
    </dgm:pt>
    <dgm:pt modelId="{2D3B9A94-DD86-4E1C-80D8-1D8B75C31940}" type="pres">
      <dgm:prSet presAssocID="{C252AD91-BCCD-467D-9A58-DAA8B2CCA638}" presName="level3hierChild" presStyleCnt="0"/>
      <dgm:spPr/>
    </dgm:pt>
    <dgm:pt modelId="{94A09F21-223F-413A-A844-DB919B2AA95E}" type="pres">
      <dgm:prSet presAssocID="{9A97888D-6D18-48EC-B903-A8B6FC8AAF2D}" presName="conn2-1" presStyleLbl="parChTrans1D3" presStyleIdx="3" presStyleCnt="4"/>
      <dgm:spPr/>
      <dgm:t>
        <a:bodyPr/>
        <a:lstStyle/>
        <a:p>
          <a:endParaRPr lang="es-ES"/>
        </a:p>
      </dgm:t>
    </dgm:pt>
    <dgm:pt modelId="{48953031-5E0A-453A-892C-CF3823DDEC54}" type="pres">
      <dgm:prSet presAssocID="{9A97888D-6D18-48EC-B903-A8B6FC8AAF2D}" presName="connTx" presStyleLbl="parChTrans1D3" presStyleIdx="3" presStyleCnt="4"/>
      <dgm:spPr/>
      <dgm:t>
        <a:bodyPr/>
        <a:lstStyle/>
        <a:p>
          <a:endParaRPr lang="es-ES"/>
        </a:p>
      </dgm:t>
    </dgm:pt>
    <dgm:pt modelId="{B487C9CF-FE60-4D3F-9A60-09FBA256FE8A}" type="pres">
      <dgm:prSet presAssocID="{EF2B6A14-CBB5-4255-86DF-4C0C366D0D28}" presName="root2" presStyleCnt="0"/>
      <dgm:spPr/>
    </dgm:pt>
    <dgm:pt modelId="{804EFEB1-BDA5-496A-901F-F7088A0A840B}" type="pres">
      <dgm:prSet presAssocID="{EF2B6A14-CBB5-4255-86DF-4C0C366D0D28}" presName="LevelTwoTextNode" presStyleLbl="node3" presStyleIdx="3" presStyleCnt="4">
        <dgm:presLayoutVars>
          <dgm:chPref val="3"/>
        </dgm:presLayoutVars>
      </dgm:prSet>
      <dgm:spPr/>
      <dgm:t>
        <a:bodyPr/>
        <a:lstStyle/>
        <a:p>
          <a:endParaRPr lang="es-ES"/>
        </a:p>
      </dgm:t>
    </dgm:pt>
    <dgm:pt modelId="{8E1FACBB-5B93-4E74-950D-D747609F6163}" type="pres">
      <dgm:prSet presAssocID="{EF2B6A14-CBB5-4255-86DF-4C0C366D0D28}" presName="level3hierChild" presStyleCnt="0"/>
      <dgm:spPr/>
    </dgm:pt>
    <dgm:pt modelId="{DD95188E-3821-44B9-B0E7-C87567035424}" type="pres">
      <dgm:prSet presAssocID="{15D2D7FF-9390-4CC5-8184-BD5E05D7FEB5}" presName="conn2-1" presStyleLbl="parChTrans1D4" presStyleIdx="6" presStyleCnt="7"/>
      <dgm:spPr/>
      <dgm:t>
        <a:bodyPr/>
        <a:lstStyle/>
        <a:p>
          <a:endParaRPr lang="es-ES"/>
        </a:p>
      </dgm:t>
    </dgm:pt>
    <dgm:pt modelId="{5F87C5FF-9F8A-4025-AF6D-62DEBF5FCC6D}" type="pres">
      <dgm:prSet presAssocID="{15D2D7FF-9390-4CC5-8184-BD5E05D7FEB5}" presName="connTx" presStyleLbl="parChTrans1D4" presStyleIdx="6" presStyleCnt="7"/>
      <dgm:spPr/>
      <dgm:t>
        <a:bodyPr/>
        <a:lstStyle/>
        <a:p>
          <a:endParaRPr lang="es-ES"/>
        </a:p>
      </dgm:t>
    </dgm:pt>
    <dgm:pt modelId="{BDF19DBE-8D3B-4B3D-A065-F59075120A8D}" type="pres">
      <dgm:prSet presAssocID="{E50941B1-D4E4-49EF-A108-E125C787E702}" presName="root2" presStyleCnt="0"/>
      <dgm:spPr/>
    </dgm:pt>
    <dgm:pt modelId="{4E77E3E8-8E3E-4E85-94F6-6EEECCC42B46}" type="pres">
      <dgm:prSet presAssocID="{E50941B1-D4E4-49EF-A108-E125C787E702}" presName="LevelTwoTextNode" presStyleLbl="node4" presStyleIdx="6" presStyleCnt="7" custScaleY="174499">
        <dgm:presLayoutVars>
          <dgm:chPref val="3"/>
        </dgm:presLayoutVars>
      </dgm:prSet>
      <dgm:spPr/>
      <dgm:t>
        <a:bodyPr/>
        <a:lstStyle/>
        <a:p>
          <a:endParaRPr lang="es-ES"/>
        </a:p>
      </dgm:t>
    </dgm:pt>
    <dgm:pt modelId="{07C99856-C90E-4AE5-A14C-3C46E338F21A}" type="pres">
      <dgm:prSet presAssocID="{E50941B1-D4E4-49EF-A108-E125C787E702}" presName="level3hierChild" presStyleCnt="0"/>
      <dgm:spPr/>
    </dgm:pt>
    <dgm:pt modelId="{20859683-1E44-46C1-8B5B-57BB6C514D5A}" type="pres">
      <dgm:prSet presAssocID="{DBC44E3F-3C7B-431B-A780-6BD75620EB3D}" presName="conn2-1" presStyleLbl="parChTrans1D2" presStyleIdx="4" presStyleCnt="5"/>
      <dgm:spPr/>
      <dgm:t>
        <a:bodyPr/>
        <a:lstStyle/>
        <a:p>
          <a:endParaRPr lang="es-ES"/>
        </a:p>
      </dgm:t>
    </dgm:pt>
    <dgm:pt modelId="{6CB66B04-6280-4FB6-B761-BE0511577EEE}" type="pres">
      <dgm:prSet presAssocID="{DBC44E3F-3C7B-431B-A780-6BD75620EB3D}" presName="connTx" presStyleLbl="parChTrans1D2" presStyleIdx="4" presStyleCnt="5"/>
      <dgm:spPr/>
      <dgm:t>
        <a:bodyPr/>
        <a:lstStyle/>
        <a:p>
          <a:endParaRPr lang="es-ES"/>
        </a:p>
      </dgm:t>
    </dgm:pt>
    <dgm:pt modelId="{94D91D88-CEF8-4CFD-B913-8C5F44897BE2}" type="pres">
      <dgm:prSet presAssocID="{7018968A-8292-46DA-BD71-9F7AEDB10FC2}" presName="root2" presStyleCnt="0"/>
      <dgm:spPr/>
    </dgm:pt>
    <dgm:pt modelId="{28FFD107-EDB6-47A3-9CB3-E0BFEA3622E8}" type="pres">
      <dgm:prSet presAssocID="{7018968A-8292-46DA-BD71-9F7AEDB10FC2}" presName="LevelTwoTextNode" presStyleLbl="node2" presStyleIdx="4" presStyleCnt="5" custScaleY="175162">
        <dgm:presLayoutVars>
          <dgm:chPref val="3"/>
        </dgm:presLayoutVars>
      </dgm:prSet>
      <dgm:spPr/>
      <dgm:t>
        <a:bodyPr/>
        <a:lstStyle/>
        <a:p>
          <a:endParaRPr lang="es-ES"/>
        </a:p>
      </dgm:t>
    </dgm:pt>
    <dgm:pt modelId="{ED6F91EC-E26E-49D9-BC88-6234C2D9ADA0}" type="pres">
      <dgm:prSet presAssocID="{7018968A-8292-46DA-BD71-9F7AEDB10FC2}" presName="level3hierChild" presStyleCnt="0"/>
      <dgm:spPr/>
    </dgm:pt>
  </dgm:ptLst>
  <dgm:cxnLst>
    <dgm:cxn modelId="{1C4802D1-9309-436F-A055-D735B21F849E}" srcId="{C5B1D6E8-79DF-40F0-9888-E78E36D619CD}" destId="{1471DF1C-8B6F-4AF4-B443-DBE2AB698D91}" srcOrd="0" destOrd="0" parTransId="{0B53B95D-7D83-47BC-B96A-2119D72B9144}" sibTransId="{955468FA-B85C-4176-8B06-81E6B18BB1FE}"/>
    <dgm:cxn modelId="{3D65CC56-0117-46F1-B79B-4E3E5D1F7256}" type="presOf" srcId="{1A81D65E-15FF-46FC-908D-4711AE93C038}" destId="{70E0485C-A82F-4CA5-B84B-DA7341F39CFA}" srcOrd="0" destOrd="0" presId="urn:microsoft.com/office/officeart/2008/layout/HorizontalMultiLevelHierarchy"/>
    <dgm:cxn modelId="{66F15DB2-7C16-4222-9498-E415DC78FC4B}" type="presOf" srcId="{C5B1D6E8-79DF-40F0-9888-E78E36D619CD}" destId="{264881E2-64F9-4A2E-8EFE-02BA2D9B83AB}" srcOrd="0" destOrd="0" presId="urn:microsoft.com/office/officeart/2008/layout/HorizontalMultiLevelHierarchy"/>
    <dgm:cxn modelId="{CE904391-8E43-4182-A0AF-C590F1724A2C}" type="presOf" srcId="{433EB2E6-C581-4752-819E-3317E338113B}" destId="{E2B8BE31-55B8-41C9-89F7-53FA7D497E32}" srcOrd="0" destOrd="0" presId="urn:microsoft.com/office/officeart/2008/layout/HorizontalMultiLevelHierarchy"/>
    <dgm:cxn modelId="{2BA50AA3-76C0-480C-A09E-C4FCA0F03996}" type="presOf" srcId="{D6218370-2762-4C5D-B6FF-0EDDC3DCAE75}" destId="{B964B80F-863B-4754-B783-9FB543B74C89}" srcOrd="0" destOrd="0" presId="urn:microsoft.com/office/officeart/2008/layout/HorizontalMultiLevelHierarchy"/>
    <dgm:cxn modelId="{51D70247-135A-4E9A-B7FE-14CB7090240E}" srcId="{23567BB9-A2D9-48AA-AFC3-90BBF23632B3}" destId="{426736F1-B52E-413C-BE46-8D57A0BA55B1}" srcOrd="1" destOrd="0" parTransId="{56DF6D02-F0C8-4FA3-8D44-F9DFD11A7C25}" sibTransId="{D467941C-23B1-4662-9A07-39D116261275}"/>
    <dgm:cxn modelId="{71269A5A-D36C-4CC5-A154-85BC9DEE26E9}" type="presOf" srcId="{9B725DB8-C047-4580-A01B-247330F9466F}" destId="{54611D1E-484E-4F89-A5AA-D311066F4909}" srcOrd="1" destOrd="0" presId="urn:microsoft.com/office/officeart/2008/layout/HorizontalMultiLevelHierarchy"/>
    <dgm:cxn modelId="{C94753DB-8C48-4565-8716-835B57ED66F9}" type="presOf" srcId="{702CCD3F-1F7D-4584-A66D-FB5A6B96C4FA}" destId="{D4FCBE79-1B7A-4A24-836C-FDB5DEBE8F5D}" srcOrd="1" destOrd="0" presId="urn:microsoft.com/office/officeart/2008/layout/HorizontalMultiLevelHierarchy"/>
    <dgm:cxn modelId="{8265DE99-82BD-4BBF-9959-80912FFD2A49}" type="presOf" srcId="{E50941B1-D4E4-49EF-A108-E125C787E702}" destId="{4E77E3E8-8E3E-4E85-94F6-6EEECCC42B46}" srcOrd="0" destOrd="0" presId="urn:microsoft.com/office/officeart/2008/layout/HorizontalMultiLevelHierarchy"/>
    <dgm:cxn modelId="{3ECABA1E-BFA6-4996-A80A-823DC27206EF}" srcId="{A1C18B35-E01D-457A-86D7-8F284070DB31}" destId="{604D7E82-8EF5-486B-9D04-3F34D719D5A5}" srcOrd="1" destOrd="0" parTransId="{B242E5BF-DF96-4656-9EF6-F8FC4A70F144}" sibTransId="{57A37B26-C452-4D14-ADEC-6D5BE9799BDA}"/>
    <dgm:cxn modelId="{D5BB5987-F7E1-4488-B104-54D8C3756ADE}" type="presOf" srcId="{15D2D7FF-9390-4CC5-8184-BD5E05D7FEB5}" destId="{DD95188E-3821-44B9-B0E7-C87567035424}" srcOrd="0" destOrd="0" presId="urn:microsoft.com/office/officeart/2008/layout/HorizontalMultiLevelHierarchy"/>
    <dgm:cxn modelId="{42CE2B70-7CA9-4DC7-B27E-492B98544031}" srcId="{A4059410-9B0F-484F-844F-E93AC4998E66}" destId="{C5B1D6E8-79DF-40F0-9888-E78E36D619CD}" srcOrd="0" destOrd="0" parTransId="{433EB2E6-C581-4752-819E-3317E338113B}" sibTransId="{688FBB23-AB0D-4A9A-9E45-93A21FC6BE33}"/>
    <dgm:cxn modelId="{020C25A9-00CF-47A4-9887-F2F2671D5A34}" srcId="{E8B3673D-BDA6-4DA9-ABD6-FA4B21C3F72B}" destId="{7018968A-8292-46DA-BD71-9F7AEDB10FC2}" srcOrd="4" destOrd="0" parTransId="{DBC44E3F-3C7B-431B-A780-6BD75620EB3D}" sibTransId="{3DE7080A-120D-4FB4-836C-F26DAD07CD45}"/>
    <dgm:cxn modelId="{DCC8C4E2-4B38-4951-BF26-EE1E4EE97275}" type="presOf" srcId="{0B53B95D-7D83-47BC-B96A-2119D72B9144}" destId="{A50FE637-CAAE-40F8-A9EE-99D74A41DD64}" srcOrd="1" destOrd="0" presId="urn:microsoft.com/office/officeart/2008/layout/HorizontalMultiLevelHierarchy"/>
    <dgm:cxn modelId="{BBB5BAF8-F592-456F-9A83-54334D11F834}" srcId="{E8B3673D-BDA6-4DA9-ABD6-FA4B21C3F72B}" destId="{A4059410-9B0F-484F-844F-E93AC4998E66}" srcOrd="0" destOrd="0" parTransId="{6579F72E-6896-4DBA-8018-36243424E035}" sibTransId="{2D0820E8-EA0D-4D5C-A9C6-1380776DD15F}"/>
    <dgm:cxn modelId="{EB0BC540-AB99-4F94-9940-33BED25909D8}" type="presOf" srcId="{30B989E8-5477-416F-B05A-91F6D3CF3A0D}" destId="{FF4E8EC0-7C80-4B91-9232-908568F67927}" srcOrd="0" destOrd="0" presId="urn:microsoft.com/office/officeart/2008/layout/HorizontalMultiLevelHierarchy"/>
    <dgm:cxn modelId="{E7E09BE2-9515-4ED6-8B27-462848FD0A7B}" type="presOf" srcId="{E8B3673D-BDA6-4DA9-ABD6-FA4B21C3F72B}" destId="{920DEC97-464B-4C8C-94CF-C0DEA874AD30}" srcOrd="0" destOrd="0" presId="urn:microsoft.com/office/officeart/2008/layout/HorizontalMultiLevelHierarchy"/>
    <dgm:cxn modelId="{A19F928F-856A-43A2-A1C6-FCA58ACA57B0}" type="presOf" srcId="{D181946E-5836-4DAE-A856-3C37E91B9513}" destId="{65D4BCBF-1CDD-4728-B15E-95BEF3768B96}" srcOrd="0" destOrd="0" presId="urn:microsoft.com/office/officeart/2008/layout/HorizontalMultiLevelHierarchy"/>
    <dgm:cxn modelId="{7D80DF78-CABA-4F91-88D8-846AD326BFFF}" type="presOf" srcId="{DBC44E3F-3C7B-431B-A780-6BD75620EB3D}" destId="{6CB66B04-6280-4FB6-B761-BE0511577EEE}" srcOrd="1" destOrd="0" presId="urn:microsoft.com/office/officeart/2008/layout/HorizontalMultiLevelHierarchy"/>
    <dgm:cxn modelId="{7012D455-7A68-40FD-A8AE-4DBE6CCB78B3}" srcId="{E8B3673D-BDA6-4DA9-ABD6-FA4B21C3F72B}" destId="{7674FDF5-0174-442F-B729-D51C40AE5E39}" srcOrd="2" destOrd="0" parTransId="{E5627A23-BD4F-4432-935C-CF68F84A7274}" sibTransId="{B8098630-DD36-429A-B8EF-C71A9B0C918B}"/>
    <dgm:cxn modelId="{1DDEC4D0-B16C-464F-BE73-E1F4CD8A090F}" type="presOf" srcId="{B242E5BF-DF96-4656-9EF6-F8FC4A70F144}" destId="{70EBD4A3-65DF-4750-98E6-1376098FD932}" srcOrd="0" destOrd="0" presId="urn:microsoft.com/office/officeart/2008/layout/HorizontalMultiLevelHierarchy"/>
    <dgm:cxn modelId="{414D444D-5E7C-44F7-95B5-BA015325899A}" type="presOf" srcId="{E5627A23-BD4F-4432-935C-CF68F84A7274}" destId="{812E6632-A533-426C-98B1-06805D28E76B}" srcOrd="1" destOrd="0" presId="urn:microsoft.com/office/officeart/2008/layout/HorizontalMultiLevelHierarchy"/>
    <dgm:cxn modelId="{30A875F3-00B4-491F-BDF1-24B40AA8E6C3}" type="presOf" srcId="{23567BB9-A2D9-48AA-AFC3-90BBF23632B3}" destId="{98C9A6EC-3F79-45B3-B661-0BC5AA3B8725}" srcOrd="0" destOrd="0" presId="urn:microsoft.com/office/officeart/2008/layout/HorizontalMultiLevelHierarchy"/>
    <dgm:cxn modelId="{5BAA1EED-A608-4506-ABDA-66DA516CD9D2}" type="presOf" srcId="{DBC44E3F-3C7B-431B-A780-6BD75620EB3D}" destId="{20859683-1E44-46C1-8B5B-57BB6C514D5A}" srcOrd="0" destOrd="0" presId="urn:microsoft.com/office/officeart/2008/layout/HorizontalMultiLevelHierarchy"/>
    <dgm:cxn modelId="{0D3D4F73-418C-4E54-9F86-EF30E6683F57}" type="presOf" srcId="{7674FDF5-0174-442F-B729-D51C40AE5E39}" destId="{7FD53DF9-7469-4CC2-9125-ADE85DAD2A48}" srcOrd="0" destOrd="0" presId="urn:microsoft.com/office/officeart/2008/layout/HorizontalMultiLevelHierarchy"/>
    <dgm:cxn modelId="{3BA6E698-DE26-406A-ACCB-CFFD328661EF}" type="presOf" srcId="{1471DF1C-8B6F-4AF4-B443-DBE2AB698D91}" destId="{8B984234-E143-4FA1-9BEF-50AFCB64381A}" srcOrd="0" destOrd="0" presId="urn:microsoft.com/office/officeart/2008/layout/HorizontalMultiLevelHierarchy"/>
    <dgm:cxn modelId="{2B929996-2387-4D6E-AA18-07343C7AC088}" type="presOf" srcId="{AF38406F-0760-412B-9D25-A798DBD2BE1E}" destId="{A191EDEC-FE20-43BA-9FF3-26B859B50C1B}" srcOrd="1" destOrd="0" presId="urn:microsoft.com/office/officeart/2008/layout/HorizontalMultiLevelHierarchy"/>
    <dgm:cxn modelId="{94163E29-5745-47AB-8E2E-F7207F191ECC}" srcId="{C252AD91-BCCD-467D-9A58-DAA8B2CCA638}" destId="{EF2B6A14-CBB5-4255-86DF-4C0C366D0D28}" srcOrd="0" destOrd="0" parTransId="{9A97888D-6D18-48EC-B903-A8B6FC8AAF2D}" sibTransId="{3AC239E3-A20A-4D63-8FBF-FC0EB0C122D4}"/>
    <dgm:cxn modelId="{0370DA48-CED3-4FCF-A997-3DC63F3D50A1}" type="presOf" srcId="{15D2D7FF-9390-4CC5-8184-BD5E05D7FEB5}" destId="{5F87C5FF-9F8A-4025-AF6D-62DEBF5FCC6D}" srcOrd="1" destOrd="0" presId="urn:microsoft.com/office/officeart/2008/layout/HorizontalMultiLevelHierarchy"/>
    <dgm:cxn modelId="{22D7685D-22A2-4B66-999E-0B31BDCED343}" srcId="{A1C18B35-E01D-457A-86D7-8F284070DB31}" destId="{A0F228CB-036A-4A65-9606-1BCBD5C831C1}" srcOrd="0" destOrd="0" parTransId="{1A81D65E-15FF-46FC-908D-4711AE93C038}" sibTransId="{FCBEB68A-89FF-435E-A6E6-2E4D32E7F399}"/>
    <dgm:cxn modelId="{3A9C4F4D-5B81-4CFF-A903-EE09135CBD84}" type="presOf" srcId="{0B53B95D-7D83-47BC-B96A-2119D72B9144}" destId="{3015A65E-BF40-44DD-8425-CB5E22503F57}" srcOrd="0" destOrd="0" presId="urn:microsoft.com/office/officeart/2008/layout/HorizontalMultiLevelHierarchy"/>
    <dgm:cxn modelId="{F7880142-A52D-4E5D-904F-6CC08368E523}" type="presOf" srcId="{C252AD91-BCCD-467D-9A58-DAA8B2CCA638}" destId="{7C760A39-7BB5-42F9-848A-FDC372C20F63}" srcOrd="0" destOrd="0" presId="urn:microsoft.com/office/officeart/2008/layout/HorizontalMultiLevelHierarchy"/>
    <dgm:cxn modelId="{1183113F-8C3F-48D1-9D81-793F9BCD8548}" type="presOf" srcId="{E5627A23-BD4F-4432-935C-CF68F84A7274}" destId="{AB0728BE-2A7E-4B69-ACA1-3159E1A5898A}" srcOrd="0" destOrd="0" presId="urn:microsoft.com/office/officeart/2008/layout/HorizontalMultiLevelHierarchy"/>
    <dgm:cxn modelId="{06735CCB-E606-47FF-8250-B382D1BCCC2F}" srcId="{66696AF1-B6BC-4666-B450-4927CB3DE2FF}" destId="{A1C18B35-E01D-457A-86D7-8F284070DB31}" srcOrd="0" destOrd="0" parTransId="{AF38406F-0760-412B-9D25-A798DBD2BE1E}" sibTransId="{B96FB483-5A6D-4121-B272-50D7357BC661}"/>
    <dgm:cxn modelId="{B154E118-1643-49C9-AAB2-BC32FC8D3863}" srcId="{E8B3673D-BDA6-4DA9-ABD6-FA4B21C3F72B}" destId="{C252AD91-BCCD-467D-9A58-DAA8B2CCA638}" srcOrd="3" destOrd="0" parTransId="{51DC8177-94D5-4055-9969-3108DE20B4C3}" sibTransId="{C8785E6F-00B7-43E3-B4DF-18BA6EECE080}"/>
    <dgm:cxn modelId="{9FE20E11-39CB-4A90-AFBA-10E942CEBDCD}" type="presOf" srcId="{BEEFAD95-6692-4CE3-9EA9-3123CCAE2477}" destId="{6F50AB69-8BAF-443D-89B3-9820A20362F6}" srcOrd="0" destOrd="0" presId="urn:microsoft.com/office/officeart/2008/layout/HorizontalMultiLevelHierarchy"/>
    <dgm:cxn modelId="{5FB163DE-8115-4924-9589-FC70112B4415}" srcId="{E8B3673D-BDA6-4DA9-ABD6-FA4B21C3F72B}" destId="{66696AF1-B6BC-4666-B450-4927CB3DE2FF}" srcOrd="1" destOrd="0" parTransId="{AE15A6D9-B7B4-434D-AE1E-D5A1F40478D3}" sibTransId="{ABE79400-2DE4-4907-8AB2-4BB8674A8C00}"/>
    <dgm:cxn modelId="{AC348588-9BEB-4478-A954-9B9B96C78F61}" type="presOf" srcId="{56DF6D02-F0C8-4FA3-8D44-F9DFD11A7C25}" destId="{7E1C3984-05E1-4D77-8470-4DD90383AD64}" srcOrd="1" destOrd="0" presId="urn:microsoft.com/office/officeart/2008/layout/HorizontalMultiLevelHierarchy"/>
    <dgm:cxn modelId="{9BBAC92C-DE00-46DC-8662-46C7492ED942}" srcId="{D181946E-5836-4DAE-A856-3C37E91B9513}" destId="{E8B3673D-BDA6-4DA9-ABD6-FA4B21C3F72B}" srcOrd="0" destOrd="0" parTransId="{802AAF5E-F72F-4F65-8466-C97732A840E7}" sibTransId="{2DD38211-DBB4-411C-82F3-CD745AD446EA}"/>
    <dgm:cxn modelId="{0113DB4B-C80F-4FD7-BD08-1380B34400B7}" type="presOf" srcId="{7018968A-8292-46DA-BD71-9F7AEDB10FC2}" destId="{28FFD107-EDB6-47A3-9CB3-E0BFEA3622E8}" srcOrd="0" destOrd="0" presId="urn:microsoft.com/office/officeart/2008/layout/HorizontalMultiLevelHierarchy"/>
    <dgm:cxn modelId="{EA8B6564-C96A-4CFB-8D79-6CD4D35B1C0D}" type="presOf" srcId="{51DC8177-94D5-4055-9969-3108DE20B4C3}" destId="{FA02AA63-85FF-4290-ADCE-10BFC972EBDB}" srcOrd="1" destOrd="0" presId="urn:microsoft.com/office/officeart/2008/layout/HorizontalMultiLevelHierarchy"/>
    <dgm:cxn modelId="{C443EA22-0A6C-453E-8F0F-1DC3B08FD7AA}" type="presOf" srcId="{A1C18B35-E01D-457A-86D7-8F284070DB31}" destId="{A9F5FAF6-4812-43C5-A4B8-12B1BFC264D4}" srcOrd="0" destOrd="0" presId="urn:microsoft.com/office/officeart/2008/layout/HorizontalMultiLevelHierarchy"/>
    <dgm:cxn modelId="{2E53EA08-34E8-43F5-9F59-83B30A72A657}" type="presOf" srcId="{51DC8177-94D5-4055-9969-3108DE20B4C3}" destId="{EF05E614-B17C-4D8C-9849-A7A212579DFB}" srcOrd="0" destOrd="0" presId="urn:microsoft.com/office/officeart/2008/layout/HorizontalMultiLevelHierarchy"/>
    <dgm:cxn modelId="{D4F92B13-477C-45D4-9C89-05E8CA12A04C}" type="presOf" srcId="{A4059410-9B0F-484F-844F-E93AC4998E66}" destId="{15E6158D-3599-423F-B033-1023F7BA276E}" srcOrd="0" destOrd="0" presId="urn:microsoft.com/office/officeart/2008/layout/HorizontalMultiLevelHierarchy"/>
    <dgm:cxn modelId="{476F74E9-1977-42F0-8C5A-C01F0076D5DA}" type="presOf" srcId="{702CCD3F-1F7D-4584-A66D-FB5A6B96C4FA}" destId="{FB705C91-1767-43E0-9305-0DCC809CE1A4}" srcOrd="0" destOrd="0" presId="urn:microsoft.com/office/officeart/2008/layout/HorizontalMultiLevelHierarchy"/>
    <dgm:cxn modelId="{1975D8D3-E2CA-4ABB-B70A-A3066AE1C061}" type="presOf" srcId="{AF38406F-0760-412B-9D25-A798DBD2BE1E}" destId="{A08AD3C9-6BCD-44E0-BECE-FCCF70D98855}" srcOrd="0" destOrd="0" presId="urn:microsoft.com/office/officeart/2008/layout/HorizontalMultiLevelHierarchy"/>
    <dgm:cxn modelId="{39431036-96B0-4A09-8A49-4F6DBCF2DB0E}" type="presOf" srcId="{6579F72E-6896-4DBA-8018-36243424E035}" destId="{3914288F-28D9-4772-9C09-6026C7DEF065}" srcOrd="0" destOrd="0" presId="urn:microsoft.com/office/officeart/2008/layout/HorizontalMultiLevelHierarchy"/>
    <dgm:cxn modelId="{F6E441E8-9932-4D93-8400-92789496ABE8}" type="presOf" srcId="{1A81D65E-15FF-46FC-908D-4711AE93C038}" destId="{2BA310C3-8934-4427-8C1C-E3220CC12B4D}" srcOrd="1" destOrd="0" presId="urn:microsoft.com/office/officeart/2008/layout/HorizontalMultiLevelHierarchy"/>
    <dgm:cxn modelId="{CB1F5CCD-4CB3-481A-B068-86BBDDEB2535}" srcId="{23567BB9-A2D9-48AA-AFC3-90BBF23632B3}" destId="{BEEFAD95-6692-4CE3-9EA9-3123CCAE2477}" srcOrd="0" destOrd="0" parTransId="{702CCD3F-1F7D-4584-A66D-FB5A6B96C4FA}" sibTransId="{D4590E11-79B9-4EB6-BCB4-FBEED887B6BA}"/>
    <dgm:cxn modelId="{67079862-992E-456D-B017-BBE772A109CE}" type="presOf" srcId="{56DF6D02-F0C8-4FA3-8D44-F9DFD11A7C25}" destId="{5C6D2F35-F8C3-4495-8606-B567450F60A9}" srcOrd="0" destOrd="0" presId="urn:microsoft.com/office/officeart/2008/layout/HorizontalMultiLevelHierarchy"/>
    <dgm:cxn modelId="{BD505184-926A-441B-B6FF-8A1890D0CF89}" type="presOf" srcId="{9A97888D-6D18-48EC-B903-A8B6FC8AAF2D}" destId="{94A09F21-223F-413A-A844-DB919B2AA95E}" srcOrd="0" destOrd="0" presId="urn:microsoft.com/office/officeart/2008/layout/HorizontalMultiLevelHierarchy"/>
    <dgm:cxn modelId="{5997D447-8A84-4F5E-971A-DBBC6AF3FC2C}" type="presOf" srcId="{6579F72E-6896-4DBA-8018-36243424E035}" destId="{45AD2EEF-945A-4934-9743-5E8119210B8E}" srcOrd="1" destOrd="0" presId="urn:microsoft.com/office/officeart/2008/layout/HorizontalMultiLevelHierarchy"/>
    <dgm:cxn modelId="{7A8F0054-F3DA-4729-B0CB-5A364586BB17}" type="presOf" srcId="{A0F228CB-036A-4A65-9606-1BCBD5C831C1}" destId="{37212196-EF47-4823-84B2-C68A44AC2B5E}" srcOrd="0" destOrd="0" presId="urn:microsoft.com/office/officeart/2008/layout/HorizontalMultiLevelHierarchy"/>
    <dgm:cxn modelId="{67681D31-47FE-4AC4-A231-58583E5C2994}" type="presOf" srcId="{9B725DB8-C047-4580-A01B-247330F9466F}" destId="{44EA9E8E-C653-42C1-9CC8-387A26AF79B7}" srcOrd="0" destOrd="0" presId="urn:microsoft.com/office/officeart/2008/layout/HorizontalMultiLevelHierarchy"/>
    <dgm:cxn modelId="{0E6A727F-92B0-455F-8356-2C2086CC74B4}" type="presOf" srcId="{426736F1-B52E-413C-BE46-8D57A0BA55B1}" destId="{1989BE18-802E-4B4B-ADDF-FF5E0170DD37}" srcOrd="0" destOrd="0" presId="urn:microsoft.com/office/officeart/2008/layout/HorizontalMultiLevelHierarchy"/>
    <dgm:cxn modelId="{FA800688-EE34-4B34-A614-44319F66898F}" type="presOf" srcId="{D6218370-2762-4C5D-B6FF-0EDDC3DCAE75}" destId="{A5417EB1-0F99-465A-8B21-2D9F26902D3D}" srcOrd="1" destOrd="0" presId="urn:microsoft.com/office/officeart/2008/layout/HorizontalMultiLevelHierarchy"/>
    <dgm:cxn modelId="{79AFF114-1133-406C-8905-64560A081881}" type="presOf" srcId="{604D7E82-8EF5-486B-9D04-3F34D719D5A5}" destId="{390B820D-A4A0-4985-9898-E56B663CADE2}" srcOrd="0" destOrd="0" presId="urn:microsoft.com/office/officeart/2008/layout/HorizontalMultiLevelHierarchy"/>
    <dgm:cxn modelId="{17117168-7870-4912-BCEC-AAA8888D95F1}" srcId="{C5B1D6E8-79DF-40F0-9888-E78E36D619CD}" destId="{30B989E8-5477-416F-B05A-91F6D3CF3A0D}" srcOrd="1" destOrd="0" parTransId="{9B725DB8-C047-4580-A01B-247330F9466F}" sibTransId="{5296FC1A-9565-4448-9253-85B8F34C654C}"/>
    <dgm:cxn modelId="{0D0B6AD8-2CBF-46BF-A4B1-FEAC1D69BD18}" type="presOf" srcId="{AE15A6D9-B7B4-434D-AE1E-D5A1F40478D3}" destId="{9D51272E-0B26-494D-804A-DF90A57DA499}" srcOrd="1" destOrd="0" presId="urn:microsoft.com/office/officeart/2008/layout/HorizontalMultiLevelHierarchy"/>
    <dgm:cxn modelId="{8D122FB2-966A-41A1-944D-444F6C7D27FD}" type="presOf" srcId="{433EB2E6-C581-4752-819E-3317E338113B}" destId="{DB144476-97FB-414F-AF48-293973402CA7}" srcOrd="1" destOrd="0" presId="urn:microsoft.com/office/officeart/2008/layout/HorizontalMultiLevelHierarchy"/>
    <dgm:cxn modelId="{D443695A-F895-4DCB-96F8-9AE6A045A444}" type="presOf" srcId="{B242E5BF-DF96-4656-9EF6-F8FC4A70F144}" destId="{291FEF5F-6A9B-4E6F-98E3-75083A50BA07}" srcOrd="1" destOrd="0" presId="urn:microsoft.com/office/officeart/2008/layout/HorizontalMultiLevelHierarchy"/>
    <dgm:cxn modelId="{BDD9FFFC-B90B-4C8C-8821-B30A0F9F5190}" srcId="{EF2B6A14-CBB5-4255-86DF-4C0C366D0D28}" destId="{E50941B1-D4E4-49EF-A108-E125C787E702}" srcOrd="0" destOrd="0" parTransId="{15D2D7FF-9390-4CC5-8184-BD5E05D7FEB5}" sibTransId="{16876659-FA83-4A53-93DD-903F78249689}"/>
    <dgm:cxn modelId="{DD6314F0-93B0-4DEB-A275-8FCAC183FC64}" type="presOf" srcId="{AE15A6D9-B7B4-434D-AE1E-D5A1F40478D3}" destId="{61896EDA-C978-4A7F-B6EB-9E7037FB7874}" srcOrd="0" destOrd="0" presId="urn:microsoft.com/office/officeart/2008/layout/HorizontalMultiLevelHierarchy"/>
    <dgm:cxn modelId="{A03DF74F-B278-4F30-969E-F5D6805941EF}" type="presOf" srcId="{9A97888D-6D18-48EC-B903-A8B6FC8AAF2D}" destId="{48953031-5E0A-453A-892C-CF3823DDEC54}" srcOrd="1" destOrd="0" presId="urn:microsoft.com/office/officeart/2008/layout/HorizontalMultiLevelHierarchy"/>
    <dgm:cxn modelId="{45C218C8-3E1D-4A8C-B266-7D6AD766C13E}" type="presOf" srcId="{66696AF1-B6BC-4666-B450-4927CB3DE2FF}" destId="{494812A6-4174-4972-AA1B-B1F2F2D50CCD}" srcOrd="0" destOrd="0" presId="urn:microsoft.com/office/officeart/2008/layout/HorizontalMultiLevelHierarchy"/>
    <dgm:cxn modelId="{D8008E8A-22D5-4272-BA05-9C5DEF3B2B05}" srcId="{7674FDF5-0174-442F-B729-D51C40AE5E39}" destId="{23567BB9-A2D9-48AA-AFC3-90BBF23632B3}" srcOrd="0" destOrd="0" parTransId="{D6218370-2762-4C5D-B6FF-0EDDC3DCAE75}" sibTransId="{B7EB28DC-810E-4762-8D55-B95EBF915FDC}"/>
    <dgm:cxn modelId="{9B269DDC-97C5-42D6-AFE0-44B319221F25}" type="presOf" srcId="{EF2B6A14-CBB5-4255-86DF-4C0C366D0D28}" destId="{804EFEB1-BDA5-496A-901F-F7088A0A840B}" srcOrd="0" destOrd="0" presId="urn:microsoft.com/office/officeart/2008/layout/HorizontalMultiLevelHierarchy"/>
    <dgm:cxn modelId="{36713D92-9292-46C6-8085-B03E3C2258C2}" type="presParOf" srcId="{65D4BCBF-1CDD-4728-B15E-95BEF3768B96}" destId="{8DAE53DE-A733-42CF-B846-7A7A112821FA}" srcOrd="0" destOrd="0" presId="urn:microsoft.com/office/officeart/2008/layout/HorizontalMultiLevelHierarchy"/>
    <dgm:cxn modelId="{90D97A79-A11C-49B5-A191-F831EB9B0428}" type="presParOf" srcId="{8DAE53DE-A733-42CF-B846-7A7A112821FA}" destId="{920DEC97-464B-4C8C-94CF-C0DEA874AD30}" srcOrd="0" destOrd="0" presId="urn:microsoft.com/office/officeart/2008/layout/HorizontalMultiLevelHierarchy"/>
    <dgm:cxn modelId="{8328A82B-CA2E-4E7F-8ED0-2F3813FBF879}" type="presParOf" srcId="{8DAE53DE-A733-42CF-B846-7A7A112821FA}" destId="{8D4F9D1B-DDC5-44F3-9DC3-D18A3FC7CEE1}" srcOrd="1" destOrd="0" presId="urn:microsoft.com/office/officeart/2008/layout/HorizontalMultiLevelHierarchy"/>
    <dgm:cxn modelId="{D8E5B9D8-F5A8-4902-8E18-9E21A5215ADC}" type="presParOf" srcId="{8D4F9D1B-DDC5-44F3-9DC3-D18A3FC7CEE1}" destId="{3914288F-28D9-4772-9C09-6026C7DEF065}" srcOrd="0" destOrd="0" presId="urn:microsoft.com/office/officeart/2008/layout/HorizontalMultiLevelHierarchy"/>
    <dgm:cxn modelId="{902B2CFF-D002-4954-A241-B26745503E88}" type="presParOf" srcId="{3914288F-28D9-4772-9C09-6026C7DEF065}" destId="{45AD2EEF-945A-4934-9743-5E8119210B8E}" srcOrd="0" destOrd="0" presId="urn:microsoft.com/office/officeart/2008/layout/HorizontalMultiLevelHierarchy"/>
    <dgm:cxn modelId="{0B26967D-ED58-463C-8C9A-90BFF26029E2}" type="presParOf" srcId="{8D4F9D1B-DDC5-44F3-9DC3-D18A3FC7CEE1}" destId="{9F4347D4-432F-406A-8BE0-46AD735D56E6}" srcOrd="1" destOrd="0" presId="urn:microsoft.com/office/officeart/2008/layout/HorizontalMultiLevelHierarchy"/>
    <dgm:cxn modelId="{F5423E7A-E481-449C-95D2-7C49620F140A}" type="presParOf" srcId="{9F4347D4-432F-406A-8BE0-46AD735D56E6}" destId="{15E6158D-3599-423F-B033-1023F7BA276E}" srcOrd="0" destOrd="0" presId="urn:microsoft.com/office/officeart/2008/layout/HorizontalMultiLevelHierarchy"/>
    <dgm:cxn modelId="{D8F53572-D534-450D-BC1E-9378570ADBA8}" type="presParOf" srcId="{9F4347D4-432F-406A-8BE0-46AD735D56E6}" destId="{F18349D3-8BFE-4BE5-9B6F-862392D7627D}" srcOrd="1" destOrd="0" presId="urn:microsoft.com/office/officeart/2008/layout/HorizontalMultiLevelHierarchy"/>
    <dgm:cxn modelId="{7FBFEFE8-A197-4CC3-BC6B-F9BFD7347F96}" type="presParOf" srcId="{F18349D3-8BFE-4BE5-9B6F-862392D7627D}" destId="{E2B8BE31-55B8-41C9-89F7-53FA7D497E32}" srcOrd="0" destOrd="0" presId="urn:microsoft.com/office/officeart/2008/layout/HorizontalMultiLevelHierarchy"/>
    <dgm:cxn modelId="{62EF85F9-7E23-4899-8D8A-8147F11F6300}" type="presParOf" srcId="{E2B8BE31-55B8-41C9-89F7-53FA7D497E32}" destId="{DB144476-97FB-414F-AF48-293973402CA7}" srcOrd="0" destOrd="0" presId="urn:microsoft.com/office/officeart/2008/layout/HorizontalMultiLevelHierarchy"/>
    <dgm:cxn modelId="{CE0D2B7B-0750-4A29-8AAD-21BA2F1EF2EE}" type="presParOf" srcId="{F18349D3-8BFE-4BE5-9B6F-862392D7627D}" destId="{81627970-1576-4261-92BD-792DC7C68A90}" srcOrd="1" destOrd="0" presId="urn:microsoft.com/office/officeart/2008/layout/HorizontalMultiLevelHierarchy"/>
    <dgm:cxn modelId="{AA6FF6D3-2D72-47C5-92F7-BB2F23C78B40}" type="presParOf" srcId="{81627970-1576-4261-92BD-792DC7C68A90}" destId="{264881E2-64F9-4A2E-8EFE-02BA2D9B83AB}" srcOrd="0" destOrd="0" presId="urn:microsoft.com/office/officeart/2008/layout/HorizontalMultiLevelHierarchy"/>
    <dgm:cxn modelId="{9D2B5ADE-4367-459F-BEE4-1CA28F201A96}" type="presParOf" srcId="{81627970-1576-4261-92BD-792DC7C68A90}" destId="{3A176DFE-D3CE-4CD6-8AEA-1C69F02346EC}" srcOrd="1" destOrd="0" presId="urn:microsoft.com/office/officeart/2008/layout/HorizontalMultiLevelHierarchy"/>
    <dgm:cxn modelId="{EAF905CC-173C-40D8-8DDB-A911415357D5}" type="presParOf" srcId="{3A176DFE-D3CE-4CD6-8AEA-1C69F02346EC}" destId="{3015A65E-BF40-44DD-8425-CB5E22503F57}" srcOrd="0" destOrd="0" presId="urn:microsoft.com/office/officeart/2008/layout/HorizontalMultiLevelHierarchy"/>
    <dgm:cxn modelId="{BF6B67E0-0D05-4BDA-BA77-97527DCE1D17}" type="presParOf" srcId="{3015A65E-BF40-44DD-8425-CB5E22503F57}" destId="{A50FE637-CAAE-40F8-A9EE-99D74A41DD64}" srcOrd="0" destOrd="0" presId="urn:microsoft.com/office/officeart/2008/layout/HorizontalMultiLevelHierarchy"/>
    <dgm:cxn modelId="{9EA2321F-45A8-49D7-A0A8-332FC11D2350}" type="presParOf" srcId="{3A176DFE-D3CE-4CD6-8AEA-1C69F02346EC}" destId="{F75D1540-266B-44AD-B0A8-DED66BA6D388}" srcOrd="1" destOrd="0" presId="urn:microsoft.com/office/officeart/2008/layout/HorizontalMultiLevelHierarchy"/>
    <dgm:cxn modelId="{4C2A0D94-D1E9-4801-AC83-DAB4D9E85470}" type="presParOf" srcId="{F75D1540-266B-44AD-B0A8-DED66BA6D388}" destId="{8B984234-E143-4FA1-9BEF-50AFCB64381A}" srcOrd="0" destOrd="0" presId="urn:microsoft.com/office/officeart/2008/layout/HorizontalMultiLevelHierarchy"/>
    <dgm:cxn modelId="{254E7000-1360-4D12-A0FF-44DF759B3131}" type="presParOf" srcId="{F75D1540-266B-44AD-B0A8-DED66BA6D388}" destId="{466F685E-543A-4C14-948F-DC1AA0D7F2D7}" srcOrd="1" destOrd="0" presId="urn:microsoft.com/office/officeart/2008/layout/HorizontalMultiLevelHierarchy"/>
    <dgm:cxn modelId="{1921DDF4-C0C5-4090-8FC5-BFA18B6ED6F9}" type="presParOf" srcId="{3A176DFE-D3CE-4CD6-8AEA-1C69F02346EC}" destId="{44EA9E8E-C653-42C1-9CC8-387A26AF79B7}" srcOrd="2" destOrd="0" presId="urn:microsoft.com/office/officeart/2008/layout/HorizontalMultiLevelHierarchy"/>
    <dgm:cxn modelId="{ED118F80-A192-4B63-AC58-1BE0622F954D}" type="presParOf" srcId="{44EA9E8E-C653-42C1-9CC8-387A26AF79B7}" destId="{54611D1E-484E-4F89-A5AA-D311066F4909}" srcOrd="0" destOrd="0" presId="urn:microsoft.com/office/officeart/2008/layout/HorizontalMultiLevelHierarchy"/>
    <dgm:cxn modelId="{0D211034-2191-485C-9D99-F9B636C9221D}" type="presParOf" srcId="{3A176DFE-D3CE-4CD6-8AEA-1C69F02346EC}" destId="{A431CBA6-9138-496B-8A1B-208921C9BA63}" srcOrd="3" destOrd="0" presId="urn:microsoft.com/office/officeart/2008/layout/HorizontalMultiLevelHierarchy"/>
    <dgm:cxn modelId="{08852BEE-175F-43F1-9178-7D88EFEC7767}" type="presParOf" srcId="{A431CBA6-9138-496B-8A1B-208921C9BA63}" destId="{FF4E8EC0-7C80-4B91-9232-908568F67927}" srcOrd="0" destOrd="0" presId="urn:microsoft.com/office/officeart/2008/layout/HorizontalMultiLevelHierarchy"/>
    <dgm:cxn modelId="{D43EF092-8C5C-441A-AC0C-AD79D39E81AC}" type="presParOf" srcId="{A431CBA6-9138-496B-8A1B-208921C9BA63}" destId="{7305214A-C853-48EF-BBB3-C20059318244}" srcOrd="1" destOrd="0" presId="urn:microsoft.com/office/officeart/2008/layout/HorizontalMultiLevelHierarchy"/>
    <dgm:cxn modelId="{6A46A15F-67BB-4D44-9AAB-5D15B4390525}" type="presParOf" srcId="{8D4F9D1B-DDC5-44F3-9DC3-D18A3FC7CEE1}" destId="{61896EDA-C978-4A7F-B6EB-9E7037FB7874}" srcOrd="2" destOrd="0" presId="urn:microsoft.com/office/officeart/2008/layout/HorizontalMultiLevelHierarchy"/>
    <dgm:cxn modelId="{42A87E25-168A-4524-B715-037D82CF1EBA}" type="presParOf" srcId="{61896EDA-C978-4A7F-B6EB-9E7037FB7874}" destId="{9D51272E-0B26-494D-804A-DF90A57DA499}" srcOrd="0" destOrd="0" presId="urn:microsoft.com/office/officeart/2008/layout/HorizontalMultiLevelHierarchy"/>
    <dgm:cxn modelId="{EC8F2B64-372A-41E0-9262-420090E742BF}" type="presParOf" srcId="{8D4F9D1B-DDC5-44F3-9DC3-D18A3FC7CEE1}" destId="{506EB52F-1E40-4B97-B6A3-8D906C731100}" srcOrd="3" destOrd="0" presId="urn:microsoft.com/office/officeart/2008/layout/HorizontalMultiLevelHierarchy"/>
    <dgm:cxn modelId="{E1F375F6-53BD-48BD-B975-105B5B012867}" type="presParOf" srcId="{506EB52F-1E40-4B97-B6A3-8D906C731100}" destId="{494812A6-4174-4972-AA1B-B1F2F2D50CCD}" srcOrd="0" destOrd="0" presId="urn:microsoft.com/office/officeart/2008/layout/HorizontalMultiLevelHierarchy"/>
    <dgm:cxn modelId="{30EE6CFE-5844-4D63-A98C-96DA1357A061}" type="presParOf" srcId="{506EB52F-1E40-4B97-B6A3-8D906C731100}" destId="{F7CC2178-27DB-43D4-86D3-FA7198903B4E}" srcOrd="1" destOrd="0" presId="urn:microsoft.com/office/officeart/2008/layout/HorizontalMultiLevelHierarchy"/>
    <dgm:cxn modelId="{D9BC2326-60CC-429E-AA07-56DC7034960C}" type="presParOf" srcId="{F7CC2178-27DB-43D4-86D3-FA7198903B4E}" destId="{A08AD3C9-6BCD-44E0-BECE-FCCF70D98855}" srcOrd="0" destOrd="0" presId="urn:microsoft.com/office/officeart/2008/layout/HorizontalMultiLevelHierarchy"/>
    <dgm:cxn modelId="{E3144F14-ECD7-4971-B974-D754186B431E}" type="presParOf" srcId="{A08AD3C9-6BCD-44E0-BECE-FCCF70D98855}" destId="{A191EDEC-FE20-43BA-9FF3-26B859B50C1B}" srcOrd="0" destOrd="0" presId="urn:microsoft.com/office/officeart/2008/layout/HorizontalMultiLevelHierarchy"/>
    <dgm:cxn modelId="{10A8678E-0403-4E5F-A4D8-D56A7EAA20D1}" type="presParOf" srcId="{F7CC2178-27DB-43D4-86D3-FA7198903B4E}" destId="{421C7A88-6001-484C-8943-65EE9E483FF8}" srcOrd="1" destOrd="0" presId="urn:microsoft.com/office/officeart/2008/layout/HorizontalMultiLevelHierarchy"/>
    <dgm:cxn modelId="{12084E02-F07F-42A4-9E65-959272E81FF4}" type="presParOf" srcId="{421C7A88-6001-484C-8943-65EE9E483FF8}" destId="{A9F5FAF6-4812-43C5-A4B8-12B1BFC264D4}" srcOrd="0" destOrd="0" presId="urn:microsoft.com/office/officeart/2008/layout/HorizontalMultiLevelHierarchy"/>
    <dgm:cxn modelId="{EC27B43E-0FDA-4934-A5E1-EB65DE1490ED}" type="presParOf" srcId="{421C7A88-6001-484C-8943-65EE9E483FF8}" destId="{42413A23-B145-445A-B08D-A2208D92AB03}" srcOrd="1" destOrd="0" presId="urn:microsoft.com/office/officeart/2008/layout/HorizontalMultiLevelHierarchy"/>
    <dgm:cxn modelId="{120C10E7-9B5F-412E-B041-FAC53C6D6154}" type="presParOf" srcId="{42413A23-B145-445A-B08D-A2208D92AB03}" destId="{70E0485C-A82F-4CA5-B84B-DA7341F39CFA}" srcOrd="0" destOrd="0" presId="urn:microsoft.com/office/officeart/2008/layout/HorizontalMultiLevelHierarchy"/>
    <dgm:cxn modelId="{BBF7AB78-47EE-4EAA-B46E-2E19B1CF415C}" type="presParOf" srcId="{70E0485C-A82F-4CA5-B84B-DA7341F39CFA}" destId="{2BA310C3-8934-4427-8C1C-E3220CC12B4D}" srcOrd="0" destOrd="0" presId="urn:microsoft.com/office/officeart/2008/layout/HorizontalMultiLevelHierarchy"/>
    <dgm:cxn modelId="{E4EC0B3E-B81A-4127-81AA-C2C487CBFE0B}" type="presParOf" srcId="{42413A23-B145-445A-B08D-A2208D92AB03}" destId="{A7728D9C-7081-4BE6-BB40-632D0C33E235}" srcOrd="1" destOrd="0" presId="urn:microsoft.com/office/officeart/2008/layout/HorizontalMultiLevelHierarchy"/>
    <dgm:cxn modelId="{DCE6E49F-D62A-4475-91E7-077B81C87E9B}" type="presParOf" srcId="{A7728D9C-7081-4BE6-BB40-632D0C33E235}" destId="{37212196-EF47-4823-84B2-C68A44AC2B5E}" srcOrd="0" destOrd="0" presId="urn:microsoft.com/office/officeart/2008/layout/HorizontalMultiLevelHierarchy"/>
    <dgm:cxn modelId="{E3EC3EA4-2520-4B51-B1FB-D45AFBA2408C}" type="presParOf" srcId="{A7728D9C-7081-4BE6-BB40-632D0C33E235}" destId="{01C6FABF-5B27-4D50-A468-13F48873CC78}" srcOrd="1" destOrd="0" presId="urn:microsoft.com/office/officeart/2008/layout/HorizontalMultiLevelHierarchy"/>
    <dgm:cxn modelId="{0426C49F-A563-48EB-93A7-23636DC39D8E}" type="presParOf" srcId="{42413A23-B145-445A-B08D-A2208D92AB03}" destId="{70EBD4A3-65DF-4750-98E6-1376098FD932}" srcOrd="2" destOrd="0" presId="urn:microsoft.com/office/officeart/2008/layout/HorizontalMultiLevelHierarchy"/>
    <dgm:cxn modelId="{ECBF048C-3356-47F1-99A3-70469391D270}" type="presParOf" srcId="{70EBD4A3-65DF-4750-98E6-1376098FD932}" destId="{291FEF5F-6A9B-4E6F-98E3-75083A50BA07}" srcOrd="0" destOrd="0" presId="urn:microsoft.com/office/officeart/2008/layout/HorizontalMultiLevelHierarchy"/>
    <dgm:cxn modelId="{6BF0588E-7159-4892-97E5-8240D600242B}" type="presParOf" srcId="{42413A23-B145-445A-B08D-A2208D92AB03}" destId="{84927273-860F-4276-94D4-EB57483B4E32}" srcOrd="3" destOrd="0" presId="urn:microsoft.com/office/officeart/2008/layout/HorizontalMultiLevelHierarchy"/>
    <dgm:cxn modelId="{345E4EDE-C87F-4EFB-8466-8228386446C5}" type="presParOf" srcId="{84927273-860F-4276-94D4-EB57483B4E32}" destId="{390B820D-A4A0-4985-9898-E56B663CADE2}" srcOrd="0" destOrd="0" presId="urn:microsoft.com/office/officeart/2008/layout/HorizontalMultiLevelHierarchy"/>
    <dgm:cxn modelId="{050A7AF6-43EF-4F4F-AD6D-1D7E943E349B}" type="presParOf" srcId="{84927273-860F-4276-94D4-EB57483B4E32}" destId="{2DF87F3C-9EB7-40A7-8318-ACBBA45398CE}" srcOrd="1" destOrd="0" presId="urn:microsoft.com/office/officeart/2008/layout/HorizontalMultiLevelHierarchy"/>
    <dgm:cxn modelId="{A7BA5218-7C45-4CDF-AD01-8D5CEE43D659}" type="presParOf" srcId="{8D4F9D1B-DDC5-44F3-9DC3-D18A3FC7CEE1}" destId="{AB0728BE-2A7E-4B69-ACA1-3159E1A5898A}" srcOrd="4" destOrd="0" presId="urn:microsoft.com/office/officeart/2008/layout/HorizontalMultiLevelHierarchy"/>
    <dgm:cxn modelId="{F83F39DB-33BB-467A-96AB-B347DED3CBC1}" type="presParOf" srcId="{AB0728BE-2A7E-4B69-ACA1-3159E1A5898A}" destId="{812E6632-A533-426C-98B1-06805D28E76B}" srcOrd="0" destOrd="0" presId="urn:microsoft.com/office/officeart/2008/layout/HorizontalMultiLevelHierarchy"/>
    <dgm:cxn modelId="{C82F162E-077C-45AD-B6B7-12CEC5E20267}" type="presParOf" srcId="{8D4F9D1B-DDC5-44F3-9DC3-D18A3FC7CEE1}" destId="{AF0389B1-6CD1-41CD-9FEA-5DAA42265C62}" srcOrd="5" destOrd="0" presId="urn:microsoft.com/office/officeart/2008/layout/HorizontalMultiLevelHierarchy"/>
    <dgm:cxn modelId="{E810DDC3-8AB0-4E2E-81E6-35BBBFF20490}" type="presParOf" srcId="{AF0389B1-6CD1-41CD-9FEA-5DAA42265C62}" destId="{7FD53DF9-7469-4CC2-9125-ADE85DAD2A48}" srcOrd="0" destOrd="0" presId="urn:microsoft.com/office/officeart/2008/layout/HorizontalMultiLevelHierarchy"/>
    <dgm:cxn modelId="{EF523C41-68C7-45D0-A686-EA3DA9B22DF9}" type="presParOf" srcId="{AF0389B1-6CD1-41CD-9FEA-5DAA42265C62}" destId="{004989D1-4C32-4537-939B-27032F1281A7}" srcOrd="1" destOrd="0" presId="urn:microsoft.com/office/officeart/2008/layout/HorizontalMultiLevelHierarchy"/>
    <dgm:cxn modelId="{671A94E4-178D-45F3-A9BD-6B5D8B40BAF5}" type="presParOf" srcId="{004989D1-4C32-4537-939B-27032F1281A7}" destId="{B964B80F-863B-4754-B783-9FB543B74C89}" srcOrd="0" destOrd="0" presId="urn:microsoft.com/office/officeart/2008/layout/HorizontalMultiLevelHierarchy"/>
    <dgm:cxn modelId="{4D1DB7B6-22E1-4C53-8418-CDF78FE4DEF4}" type="presParOf" srcId="{B964B80F-863B-4754-B783-9FB543B74C89}" destId="{A5417EB1-0F99-465A-8B21-2D9F26902D3D}" srcOrd="0" destOrd="0" presId="urn:microsoft.com/office/officeart/2008/layout/HorizontalMultiLevelHierarchy"/>
    <dgm:cxn modelId="{C15D217E-8561-46E1-BD69-C888D047A71B}" type="presParOf" srcId="{004989D1-4C32-4537-939B-27032F1281A7}" destId="{F6A0B636-F1B3-4712-BC29-391F6C7B0354}" srcOrd="1" destOrd="0" presId="urn:microsoft.com/office/officeart/2008/layout/HorizontalMultiLevelHierarchy"/>
    <dgm:cxn modelId="{BF31551F-85FC-44DE-8122-BE049D9BDBAF}" type="presParOf" srcId="{F6A0B636-F1B3-4712-BC29-391F6C7B0354}" destId="{98C9A6EC-3F79-45B3-B661-0BC5AA3B8725}" srcOrd="0" destOrd="0" presId="urn:microsoft.com/office/officeart/2008/layout/HorizontalMultiLevelHierarchy"/>
    <dgm:cxn modelId="{C55E49D4-F5C8-411D-B26B-9F9914914DD6}" type="presParOf" srcId="{F6A0B636-F1B3-4712-BC29-391F6C7B0354}" destId="{EE4A02D9-4432-47CD-8F8A-C1281C5B4C8B}" srcOrd="1" destOrd="0" presId="urn:microsoft.com/office/officeart/2008/layout/HorizontalMultiLevelHierarchy"/>
    <dgm:cxn modelId="{A2B1B94A-3CA5-4E8C-BBA4-89E6B11AEC2B}" type="presParOf" srcId="{EE4A02D9-4432-47CD-8F8A-C1281C5B4C8B}" destId="{FB705C91-1767-43E0-9305-0DCC809CE1A4}" srcOrd="0" destOrd="0" presId="urn:microsoft.com/office/officeart/2008/layout/HorizontalMultiLevelHierarchy"/>
    <dgm:cxn modelId="{7667A554-9A04-4CC2-B2BC-CC7BFDE24263}" type="presParOf" srcId="{FB705C91-1767-43E0-9305-0DCC809CE1A4}" destId="{D4FCBE79-1B7A-4A24-836C-FDB5DEBE8F5D}" srcOrd="0" destOrd="0" presId="urn:microsoft.com/office/officeart/2008/layout/HorizontalMultiLevelHierarchy"/>
    <dgm:cxn modelId="{47944D51-B87C-499D-8FB9-F5DCA8287963}" type="presParOf" srcId="{EE4A02D9-4432-47CD-8F8A-C1281C5B4C8B}" destId="{D062FE9F-1E82-46D7-980A-F990DAE8A1E4}" srcOrd="1" destOrd="0" presId="urn:microsoft.com/office/officeart/2008/layout/HorizontalMultiLevelHierarchy"/>
    <dgm:cxn modelId="{21E83169-5E62-4817-9BF9-700A1BBB93DF}" type="presParOf" srcId="{D062FE9F-1E82-46D7-980A-F990DAE8A1E4}" destId="{6F50AB69-8BAF-443D-89B3-9820A20362F6}" srcOrd="0" destOrd="0" presId="urn:microsoft.com/office/officeart/2008/layout/HorizontalMultiLevelHierarchy"/>
    <dgm:cxn modelId="{86CF2FD9-2950-4901-A84F-DC043A1FE6BC}" type="presParOf" srcId="{D062FE9F-1E82-46D7-980A-F990DAE8A1E4}" destId="{00D1706C-6B3F-4602-98EB-421E29A95966}" srcOrd="1" destOrd="0" presId="urn:microsoft.com/office/officeart/2008/layout/HorizontalMultiLevelHierarchy"/>
    <dgm:cxn modelId="{4D5E8925-CB1B-4C72-9CF0-39B7FE3792E3}" type="presParOf" srcId="{EE4A02D9-4432-47CD-8F8A-C1281C5B4C8B}" destId="{5C6D2F35-F8C3-4495-8606-B567450F60A9}" srcOrd="2" destOrd="0" presId="urn:microsoft.com/office/officeart/2008/layout/HorizontalMultiLevelHierarchy"/>
    <dgm:cxn modelId="{7879828D-955B-4E48-957D-E9B770A03127}" type="presParOf" srcId="{5C6D2F35-F8C3-4495-8606-B567450F60A9}" destId="{7E1C3984-05E1-4D77-8470-4DD90383AD64}" srcOrd="0" destOrd="0" presId="urn:microsoft.com/office/officeart/2008/layout/HorizontalMultiLevelHierarchy"/>
    <dgm:cxn modelId="{DC611FDC-003E-462C-829A-4629E6D7FC15}" type="presParOf" srcId="{EE4A02D9-4432-47CD-8F8A-C1281C5B4C8B}" destId="{52F1D3AB-F07C-42E6-8827-DE2CBD915C68}" srcOrd="3" destOrd="0" presId="urn:microsoft.com/office/officeart/2008/layout/HorizontalMultiLevelHierarchy"/>
    <dgm:cxn modelId="{AEEB50F5-61E4-458A-B1BB-369CC49E054E}" type="presParOf" srcId="{52F1D3AB-F07C-42E6-8827-DE2CBD915C68}" destId="{1989BE18-802E-4B4B-ADDF-FF5E0170DD37}" srcOrd="0" destOrd="0" presId="urn:microsoft.com/office/officeart/2008/layout/HorizontalMultiLevelHierarchy"/>
    <dgm:cxn modelId="{F6EC43BA-EA16-476F-BC75-8AC241241E29}" type="presParOf" srcId="{52F1D3AB-F07C-42E6-8827-DE2CBD915C68}" destId="{EA4AED22-0960-4AF2-A095-583C27DB442D}" srcOrd="1" destOrd="0" presId="urn:microsoft.com/office/officeart/2008/layout/HorizontalMultiLevelHierarchy"/>
    <dgm:cxn modelId="{6CBEB0DD-94EE-4218-B7BE-4B8F14E133F1}" type="presParOf" srcId="{8D4F9D1B-DDC5-44F3-9DC3-D18A3FC7CEE1}" destId="{EF05E614-B17C-4D8C-9849-A7A212579DFB}" srcOrd="6" destOrd="0" presId="urn:microsoft.com/office/officeart/2008/layout/HorizontalMultiLevelHierarchy"/>
    <dgm:cxn modelId="{C6B03EDA-C1D8-443C-9AED-C77FF3C5CCB8}" type="presParOf" srcId="{EF05E614-B17C-4D8C-9849-A7A212579DFB}" destId="{FA02AA63-85FF-4290-ADCE-10BFC972EBDB}" srcOrd="0" destOrd="0" presId="urn:microsoft.com/office/officeart/2008/layout/HorizontalMultiLevelHierarchy"/>
    <dgm:cxn modelId="{5A744DE4-143E-4E06-83D3-C461DC643975}" type="presParOf" srcId="{8D4F9D1B-DDC5-44F3-9DC3-D18A3FC7CEE1}" destId="{3E8CD21E-7481-433A-A411-44418D1B6D7D}" srcOrd="7" destOrd="0" presId="urn:microsoft.com/office/officeart/2008/layout/HorizontalMultiLevelHierarchy"/>
    <dgm:cxn modelId="{37BEE449-E9AE-455F-8A71-72A53A56772D}" type="presParOf" srcId="{3E8CD21E-7481-433A-A411-44418D1B6D7D}" destId="{7C760A39-7BB5-42F9-848A-FDC372C20F63}" srcOrd="0" destOrd="0" presId="urn:microsoft.com/office/officeart/2008/layout/HorizontalMultiLevelHierarchy"/>
    <dgm:cxn modelId="{733168AA-D1C0-407B-AABE-6DEBD994A4C5}" type="presParOf" srcId="{3E8CD21E-7481-433A-A411-44418D1B6D7D}" destId="{2D3B9A94-DD86-4E1C-80D8-1D8B75C31940}" srcOrd="1" destOrd="0" presId="urn:microsoft.com/office/officeart/2008/layout/HorizontalMultiLevelHierarchy"/>
    <dgm:cxn modelId="{4E4B769E-CD0E-43F9-9C10-0B990F59DDF1}" type="presParOf" srcId="{2D3B9A94-DD86-4E1C-80D8-1D8B75C31940}" destId="{94A09F21-223F-413A-A844-DB919B2AA95E}" srcOrd="0" destOrd="0" presId="urn:microsoft.com/office/officeart/2008/layout/HorizontalMultiLevelHierarchy"/>
    <dgm:cxn modelId="{7F3A6CFD-A994-4059-BFE8-A1B0E7F7CF6A}" type="presParOf" srcId="{94A09F21-223F-413A-A844-DB919B2AA95E}" destId="{48953031-5E0A-453A-892C-CF3823DDEC54}" srcOrd="0" destOrd="0" presId="urn:microsoft.com/office/officeart/2008/layout/HorizontalMultiLevelHierarchy"/>
    <dgm:cxn modelId="{7F1DD19E-1D64-4EF5-A521-0F6CEF550B68}" type="presParOf" srcId="{2D3B9A94-DD86-4E1C-80D8-1D8B75C31940}" destId="{B487C9CF-FE60-4D3F-9A60-09FBA256FE8A}" srcOrd="1" destOrd="0" presId="urn:microsoft.com/office/officeart/2008/layout/HorizontalMultiLevelHierarchy"/>
    <dgm:cxn modelId="{E354BC5A-6B67-45F4-B15A-5A1E948F7223}" type="presParOf" srcId="{B487C9CF-FE60-4D3F-9A60-09FBA256FE8A}" destId="{804EFEB1-BDA5-496A-901F-F7088A0A840B}" srcOrd="0" destOrd="0" presId="urn:microsoft.com/office/officeart/2008/layout/HorizontalMultiLevelHierarchy"/>
    <dgm:cxn modelId="{915FEA64-6F47-4DBB-9628-088894364D66}" type="presParOf" srcId="{B487C9CF-FE60-4D3F-9A60-09FBA256FE8A}" destId="{8E1FACBB-5B93-4E74-950D-D747609F6163}" srcOrd="1" destOrd="0" presId="urn:microsoft.com/office/officeart/2008/layout/HorizontalMultiLevelHierarchy"/>
    <dgm:cxn modelId="{E88F4A6A-7F82-4086-A229-231B57A8DCE8}" type="presParOf" srcId="{8E1FACBB-5B93-4E74-950D-D747609F6163}" destId="{DD95188E-3821-44B9-B0E7-C87567035424}" srcOrd="0" destOrd="0" presId="urn:microsoft.com/office/officeart/2008/layout/HorizontalMultiLevelHierarchy"/>
    <dgm:cxn modelId="{1FA25019-5831-4226-B3B1-2C23F4BA142C}" type="presParOf" srcId="{DD95188E-3821-44B9-B0E7-C87567035424}" destId="{5F87C5FF-9F8A-4025-AF6D-62DEBF5FCC6D}" srcOrd="0" destOrd="0" presId="urn:microsoft.com/office/officeart/2008/layout/HorizontalMultiLevelHierarchy"/>
    <dgm:cxn modelId="{74C9F93D-19D5-4D9F-A242-4190E52D2668}" type="presParOf" srcId="{8E1FACBB-5B93-4E74-950D-D747609F6163}" destId="{BDF19DBE-8D3B-4B3D-A065-F59075120A8D}" srcOrd="1" destOrd="0" presId="urn:microsoft.com/office/officeart/2008/layout/HorizontalMultiLevelHierarchy"/>
    <dgm:cxn modelId="{8BE75EB4-887B-4FDF-BE18-3C8D98A0966F}" type="presParOf" srcId="{BDF19DBE-8D3B-4B3D-A065-F59075120A8D}" destId="{4E77E3E8-8E3E-4E85-94F6-6EEECCC42B46}" srcOrd="0" destOrd="0" presId="urn:microsoft.com/office/officeart/2008/layout/HorizontalMultiLevelHierarchy"/>
    <dgm:cxn modelId="{E26200FC-D5E2-4A0F-BABE-B958789C348E}" type="presParOf" srcId="{BDF19DBE-8D3B-4B3D-A065-F59075120A8D}" destId="{07C99856-C90E-4AE5-A14C-3C46E338F21A}" srcOrd="1" destOrd="0" presId="urn:microsoft.com/office/officeart/2008/layout/HorizontalMultiLevelHierarchy"/>
    <dgm:cxn modelId="{B7657AAB-0EFB-4521-9A4F-9A6B96D63BF7}" type="presParOf" srcId="{8D4F9D1B-DDC5-44F3-9DC3-D18A3FC7CEE1}" destId="{20859683-1E44-46C1-8B5B-57BB6C514D5A}" srcOrd="8" destOrd="0" presId="urn:microsoft.com/office/officeart/2008/layout/HorizontalMultiLevelHierarchy"/>
    <dgm:cxn modelId="{F1898ADE-FEDE-46CC-8342-1FFC2D9917F7}" type="presParOf" srcId="{20859683-1E44-46C1-8B5B-57BB6C514D5A}" destId="{6CB66B04-6280-4FB6-B761-BE0511577EEE}" srcOrd="0" destOrd="0" presId="urn:microsoft.com/office/officeart/2008/layout/HorizontalMultiLevelHierarchy"/>
    <dgm:cxn modelId="{347957F9-925D-4E5C-82DA-C796769F7433}" type="presParOf" srcId="{8D4F9D1B-DDC5-44F3-9DC3-D18A3FC7CEE1}" destId="{94D91D88-CEF8-4CFD-B913-8C5F44897BE2}" srcOrd="9" destOrd="0" presId="urn:microsoft.com/office/officeart/2008/layout/HorizontalMultiLevelHierarchy"/>
    <dgm:cxn modelId="{2CFD9DD6-3174-4705-9B4A-612813CD7336}" type="presParOf" srcId="{94D91D88-CEF8-4CFD-B913-8C5F44897BE2}" destId="{28FFD107-EDB6-47A3-9CB3-E0BFEA3622E8}" srcOrd="0" destOrd="0" presId="urn:microsoft.com/office/officeart/2008/layout/HorizontalMultiLevelHierarchy"/>
    <dgm:cxn modelId="{7F5F5D17-CC16-41B1-80A5-95BDD22206CE}" type="presParOf" srcId="{94D91D88-CEF8-4CFD-B913-8C5F44897BE2}" destId="{ED6F91EC-E26E-49D9-BC88-6234C2D9ADA0}"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3d2" qsCatId="3D"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00">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00">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00">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00">
              <a:latin typeface="Arial" panose="020B0604020202020204" pitchFamily="34" charset="0"/>
              <a:cs typeface="Arial" panose="020B0604020202020204" pitchFamily="34" charset="0"/>
            </a:rPr>
            <a:t>22 Líneas </a:t>
          </a:r>
        </a:p>
      </dgm:t>
    </dgm:pt>
    <dgm:pt modelId="{2F2E90C0-A12E-473D-9081-A2BC8644E370}" type="parTrans" cxnId="{B86133C6-C9C5-4F28-AAB5-34BE4CB2F6F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00">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00">
              <a:latin typeface="Arial" panose="020B0604020202020204" pitchFamily="34" charset="0"/>
              <a:cs typeface="Arial" panose="020B0604020202020204" pitchFamily="34" charset="0"/>
            </a:rPr>
            <a:t>7 Asignadas a Planta Telefónica   </a:t>
          </a:r>
        </a:p>
      </dgm:t>
    </dgm:pt>
    <dgm:pt modelId="{28A8C854-4371-460F-B439-34DEEC288791}" type="parTrans" cxnId="{C62C359C-A0DA-4FC5-A510-D957E1B2B3A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00">
              <a:latin typeface="Arial" panose="020B0604020202020204" pitchFamily="34" charset="0"/>
              <a:cs typeface="Arial" panose="020B0604020202020204" pitchFamily="34" charset="0"/>
            </a:rPr>
            <a:t>16 Asignadas a Directivos </a:t>
          </a:r>
        </a:p>
      </dgm:t>
    </dgm:pt>
    <dgm:pt modelId="{233163F6-44BE-422A-8D6A-F8507C8E09CA}" type="parTrans" cxnId="{5BB43D37-296C-414A-99F1-5BCA14A7314B}">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00">
              <a:latin typeface="Arial" panose="020B0604020202020204" pitchFamily="34" charset="0"/>
              <a:cs typeface="Arial" panose="020B0604020202020204" pitchFamily="34" charset="0"/>
            </a:rPr>
            <a:t>Esquema de seguridad </a:t>
          </a:r>
        </a:p>
        <a:p>
          <a:r>
            <a:rPr lang="es-ES" sz="1000">
              <a:latin typeface="Arial" panose="020B0604020202020204" pitchFamily="34" charset="0"/>
              <a:cs typeface="Arial" panose="020B0604020202020204" pitchFamily="34" charset="0"/>
            </a:rPr>
            <a:t>3 Líneas</a:t>
          </a:r>
        </a:p>
      </dgm:t>
    </dgm:pt>
    <dgm:pt modelId="{D89DB3EF-0F5E-4006-8234-1BEF17527B8E}" type="parTrans" cxnId="{66BED4B1-B1F0-44D9-98F5-DA557EADF3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0AF9F34-0647-4E5A-9F2B-1CE270088EA8}" type="sibTrans" cxnId="{66BED4B1-B1F0-44D9-98F5-DA557EADF3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42CB47A4-9C91-4D5C-99CB-0183D5DFFFBC}">
      <dgm:prSet phldrT="[Texto]" custT="1"/>
      <dgm:spPr/>
      <dgm:t>
        <a:bodyPr/>
        <a:lstStyle/>
        <a:p>
          <a:r>
            <a:rPr lang="es-ES" sz="1000">
              <a:latin typeface="Arial" panose="020B0604020202020204" pitchFamily="34" charset="0"/>
              <a:cs typeface="Arial" panose="020B0604020202020204" pitchFamily="34" charset="0"/>
            </a:rPr>
            <a:t>6 Asignadas a Planta Telefónica</a:t>
          </a:r>
        </a:p>
      </dgm:t>
    </dgm:pt>
    <dgm:pt modelId="{C88AA6EF-3CE5-41DF-B1BE-E66D7BCECE28}" type="parTrans" cxnId="{6FD8A467-B73B-4C07-9A43-91CC7E5D2D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37E4A0A7-5526-4C07-96E7-947C0998887A}" type="sibTrans" cxnId="{6FD8A467-B73B-4C07-9A43-91CC7E5D2D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t>
        <a:bodyPr/>
        <a:lstStyle/>
        <a:p>
          <a:endParaRPr lang="es-ES"/>
        </a:p>
      </dgm:t>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t>
        <a:bodyPr/>
        <a:lstStyle/>
        <a:p>
          <a:endParaRPr lang="es-ES"/>
        </a:p>
      </dgm:t>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t>
        <a:bodyPr/>
        <a:lstStyle/>
        <a:p>
          <a:endParaRPr lang="es-ES"/>
        </a:p>
      </dgm:t>
    </dgm:pt>
    <dgm:pt modelId="{8E8F3966-1709-4424-98BA-787E1E473EDA}" type="pres">
      <dgm:prSet presAssocID="{F4AF0459-265A-4EED-87EB-EBD75089D025}" presName="connTx" presStyleLbl="parChTrans1D2" presStyleIdx="0" presStyleCnt="3"/>
      <dgm:spPr/>
      <dgm:t>
        <a:bodyPr/>
        <a:lstStyle/>
        <a:p>
          <a:endParaRPr lang="es-ES"/>
        </a:p>
      </dgm:t>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t>
        <a:bodyPr/>
        <a:lstStyle/>
        <a:p>
          <a:endParaRPr lang="es-ES"/>
        </a:p>
      </dgm:t>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t>
        <a:bodyPr/>
        <a:lstStyle/>
        <a:p>
          <a:endParaRPr lang="es-ES"/>
        </a:p>
      </dgm:t>
    </dgm:pt>
    <dgm:pt modelId="{3E753E52-E478-406A-90C4-036AB39C6AE3}" type="pres">
      <dgm:prSet presAssocID="{2F2E90C0-A12E-473D-9081-A2BC8644E370}" presName="connTx" presStyleLbl="parChTrans1D3" presStyleIdx="0" presStyleCnt="3"/>
      <dgm:spPr/>
      <dgm:t>
        <a:bodyPr/>
        <a:lstStyle/>
        <a:p>
          <a:endParaRPr lang="es-ES"/>
        </a:p>
      </dgm:t>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t>
        <a:bodyPr/>
        <a:lstStyle/>
        <a:p>
          <a:endParaRPr lang="es-ES"/>
        </a:p>
      </dgm:t>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3"/>
      <dgm:spPr/>
      <dgm:t>
        <a:bodyPr/>
        <a:lstStyle/>
        <a:p>
          <a:endParaRPr lang="es-ES"/>
        </a:p>
      </dgm:t>
    </dgm:pt>
    <dgm:pt modelId="{E1C4CDDB-D717-42C3-87D9-1C008AB44DEA}" type="pres">
      <dgm:prSet presAssocID="{233163F6-44BE-422A-8D6A-F8507C8E09CA}" presName="connTx" presStyleLbl="parChTrans1D4" presStyleIdx="0" presStyleCnt="3"/>
      <dgm:spPr/>
      <dgm:t>
        <a:bodyPr/>
        <a:lstStyle/>
        <a:p>
          <a:endParaRPr lang="es-ES"/>
        </a:p>
      </dgm:t>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3">
        <dgm:presLayoutVars>
          <dgm:chPref val="3"/>
        </dgm:presLayoutVars>
      </dgm:prSet>
      <dgm:spPr/>
      <dgm:t>
        <a:bodyPr/>
        <a:lstStyle/>
        <a:p>
          <a:endParaRPr lang="es-ES"/>
        </a:p>
      </dgm:t>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3"/>
      <dgm:spPr/>
      <dgm:t>
        <a:bodyPr/>
        <a:lstStyle/>
        <a:p>
          <a:endParaRPr lang="es-ES"/>
        </a:p>
      </dgm:t>
    </dgm:pt>
    <dgm:pt modelId="{3A91213D-A740-4089-9D65-CB95A6A3145B}" type="pres">
      <dgm:prSet presAssocID="{C88AA6EF-3CE5-41DF-B1BE-E66D7BCECE28}" presName="connTx" presStyleLbl="parChTrans1D4" presStyleIdx="1" presStyleCnt="3"/>
      <dgm:spPr/>
      <dgm:t>
        <a:bodyPr/>
        <a:lstStyle/>
        <a:p>
          <a:endParaRPr lang="es-ES"/>
        </a:p>
      </dgm:t>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3">
        <dgm:presLayoutVars>
          <dgm:chPref val="3"/>
        </dgm:presLayoutVars>
      </dgm:prSet>
      <dgm:spPr/>
      <dgm:t>
        <a:bodyPr/>
        <a:lstStyle/>
        <a:p>
          <a:endParaRPr lang="es-ES"/>
        </a:p>
      </dgm:t>
    </dgm:pt>
    <dgm:pt modelId="{A74FC62E-359B-40F6-A7F5-471C0B15CA75}" type="pres">
      <dgm:prSet presAssocID="{42CB47A4-9C91-4D5C-99CB-0183D5DFFFBC}" presName="level3hierChild" presStyleCnt="0"/>
      <dgm:spPr/>
    </dgm:pt>
    <dgm:pt modelId="{6A06BAA5-A702-4D5C-A34F-87929BC50D95}" type="pres">
      <dgm:prSet presAssocID="{B5A5ACFE-1062-4635-8245-28AE81E7713E}" presName="conn2-1" presStyleLbl="parChTrans1D2" presStyleIdx="1" presStyleCnt="3"/>
      <dgm:spPr/>
      <dgm:t>
        <a:bodyPr/>
        <a:lstStyle/>
        <a:p>
          <a:endParaRPr lang="es-ES"/>
        </a:p>
      </dgm:t>
    </dgm:pt>
    <dgm:pt modelId="{0B33F1A9-1EB5-43AD-9A01-5FAA0F25E6F5}" type="pres">
      <dgm:prSet presAssocID="{B5A5ACFE-1062-4635-8245-28AE81E7713E}" presName="connTx" presStyleLbl="parChTrans1D2" presStyleIdx="1" presStyleCnt="3"/>
      <dgm:spPr/>
      <dgm:t>
        <a:bodyPr/>
        <a:lstStyle/>
        <a:p>
          <a:endParaRPr lang="es-ES"/>
        </a:p>
      </dgm:t>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t>
        <a:bodyPr/>
        <a:lstStyle/>
        <a:p>
          <a:endParaRPr lang="es-ES"/>
        </a:p>
      </dgm:t>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t>
        <a:bodyPr/>
        <a:lstStyle/>
        <a:p>
          <a:endParaRPr lang="es-ES"/>
        </a:p>
      </dgm:t>
    </dgm:pt>
    <dgm:pt modelId="{304850C4-6EDA-4B26-9956-F2D371E2255E}" type="pres">
      <dgm:prSet presAssocID="{D89DB3EF-0F5E-4006-8234-1BEF17527B8E}" presName="connTx" presStyleLbl="parChTrans1D3" presStyleIdx="1" presStyleCnt="3"/>
      <dgm:spPr/>
      <dgm:t>
        <a:bodyPr/>
        <a:lstStyle/>
        <a:p>
          <a:endParaRPr lang="es-ES"/>
        </a:p>
      </dgm:t>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t>
        <a:bodyPr/>
        <a:lstStyle/>
        <a:p>
          <a:endParaRPr lang="es-ES"/>
        </a:p>
      </dgm:t>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t>
        <a:bodyPr/>
        <a:lstStyle/>
        <a:p>
          <a:endParaRPr lang="es-ES"/>
        </a:p>
      </dgm:t>
    </dgm:pt>
    <dgm:pt modelId="{7FD92EFF-DC6D-43A8-9A04-B6349048CEC3}" type="pres">
      <dgm:prSet presAssocID="{B7D82E41-6B77-4A15-8C0D-82539200E0A1}" presName="connTx" presStyleLbl="parChTrans1D2" presStyleIdx="2" presStyleCnt="3"/>
      <dgm:spPr/>
      <dgm:t>
        <a:bodyPr/>
        <a:lstStyle/>
        <a:p>
          <a:endParaRPr lang="es-ES"/>
        </a:p>
      </dgm:t>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t>
        <a:bodyPr/>
        <a:lstStyle/>
        <a:p>
          <a:endParaRPr lang="es-ES"/>
        </a:p>
      </dgm:t>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t>
        <a:bodyPr/>
        <a:lstStyle/>
        <a:p>
          <a:endParaRPr lang="es-ES"/>
        </a:p>
      </dgm:t>
    </dgm:pt>
    <dgm:pt modelId="{0C2AA6F1-3858-4712-9FA7-3E239E518B92}" type="pres">
      <dgm:prSet presAssocID="{DFAF0ED2-C696-4206-AF72-F0588E56A0D4}" presName="connTx" presStyleLbl="parChTrans1D3" presStyleIdx="2" presStyleCnt="3"/>
      <dgm:spPr/>
      <dgm:t>
        <a:bodyPr/>
        <a:lstStyle/>
        <a:p>
          <a:endParaRPr lang="es-ES"/>
        </a:p>
      </dgm:t>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t>
        <a:bodyPr/>
        <a:lstStyle/>
        <a:p>
          <a:endParaRPr lang="es-ES"/>
        </a:p>
      </dgm:t>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2" presStyleCnt="3"/>
      <dgm:spPr/>
      <dgm:t>
        <a:bodyPr/>
        <a:lstStyle/>
        <a:p>
          <a:endParaRPr lang="es-ES"/>
        </a:p>
      </dgm:t>
    </dgm:pt>
    <dgm:pt modelId="{56A35FD9-7BE3-41D6-8F1C-1FFEA9910D31}" type="pres">
      <dgm:prSet presAssocID="{28A8C854-4371-460F-B439-34DEEC288791}" presName="connTx" presStyleLbl="parChTrans1D4" presStyleIdx="2" presStyleCnt="3"/>
      <dgm:spPr/>
      <dgm:t>
        <a:bodyPr/>
        <a:lstStyle/>
        <a:p>
          <a:endParaRPr lang="es-ES"/>
        </a:p>
      </dgm:t>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2" presStyleCnt="3">
        <dgm:presLayoutVars>
          <dgm:chPref val="3"/>
        </dgm:presLayoutVars>
      </dgm:prSet>
      <dgm:spPr/>
      <dgm:t>
        <a:bodyPr/>
        <a:lstStyle/>
        <a:p>
          <a:endParaRPr lang="es-ES"/>
        </a:p>
      </dgm:t>
    </dgm:pt>
    <dgm:pt modelId="{31DE6F68-7D8C-4ED6-A532-D9EAD1E4466A}" type="pres">
      <dgm:prSet presAssocID="{243818CD-25D5-426B-A8A5-B17980663A5E}" presName="level3hierChild" presStyleCnt="0"/>
      <dgm:spPr/>
    </dgm:pt>
  </dgm:ptLst>
  <dgm:cxnLst>
    <dgm:cxn modelId="{7E3F70AC-A72E-4FB1-BDF0-79A91A774AD4}" type="presOf" srcId="{2F2E90C0-A12E-473D-9081-A2BC8644E370}" destId="{3E753E52-E478-406A-90C4-036AB39C6AE3}" srcOrd="1" destOrd="0" presId="urn:microsoft.com/office/officeart/2008/layout/HorizontalMultiLevelHierarchy"/>
    <dgm:cxn modelId="{45E0E34E-D884-4DF8-8518-7F7807F36A15}" type="presOf" srcId="{E09DDB0B-C6EE-4D5F-825F-FB57A6AFA05D}" destId="{0C9DE918-C12F-45A6-B7CD-3DBC91ABA330}"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9FC8B245-9272-4968-BFD0-3A23C47384F1}" srcId="{667920FD-8395-4EED-9FC9-9C00BE38A18E}" destId="{7CAFB958-2B40-42DE-9D69-B68FB57A20FD}" srcOrd="1" destOrd="0" parTransId="{B5A5ACFE-1062-4635-8245-28AE81E7713E}" sibTransId="{2FF574E5-1C6B-4266-AF80-201C2426E9F3}"/>
    <dgm:cxn modelId="{66BED4B1-B1F0-44D9-98F5-DA557EADF341}" srcId="{7CAFB958-2B40-42DE-9D69-B68FB57A20FD}" destId="{5BAB3883-C242-4688-8448-A80D24DD35C3}" srcOrd="0" destOrd="0" parTransId="{D89DB3EF-0F5E-4006-8234-1BEF17527B8E}" sibTransId="{B0AF9F34-0647-4E5A-9F2B-1CE270088EA8}"/>
    <dgm:cxn modelId="{BD7E4511-102C-40B3-9193-AF99378289BF}" type="presOf" srcId="{B7D82E41-6B77-4A15-8C0D-82539200E0A1}" destId="{7FD92EFF-DC6D-43A8-9A04-B6349048CEC3}" srcOrd="1" destOrd="0" presId="urn:microsoft.com/office/officeart/2008/layout/HorizontalMultiLevelHierarchy"/>
    <dgm:cxn modelId="{7C995AA8-D294-42CE-83FB-CDB26202CD7F}" type="presOf" srcId="{84790FFF-0BB7-49C5-B365-E8CE069F577E}" destId="{385CDF54-AC42-405B-8B77-B98AD90F34F1}" srcOrd="0" destOrd="0" presId="urn:microsoft.com/office/officeart/2008/layout/HorizontalMultiLevelHierarchy"/>
    <dgm:cxn modelId="{3AA54DD5-79E3-42BB-A574-A74D8CC55CCD}" type="presOf" srcId="{233163F6-44BE-422A-8D6A-F8507C8E09CA}" destId="{E1C4CDDB-D717-42C3-87D9-1C008AB44DEA}" srcOrd="1" destOrd="0" presId="urn:microsoft.com/office/officeart/2008/layout/HorizontalMultiLevelHierarchy"/>
    <dgm:cxn modelId="{C506C71C-F541-43F5-AE86-4AE56FF55246}" type="presOf" srcId="{F4AF0459-265A-4EED-87EB-EBD75089D025}" destId="{71C3EB14-BB59-4ECB-B0DB-94D6E6D3D293}" srcOrd="0" destOrd="0" presId="urn:microsoft.com/office/officeart/2008/layout/HorizontalMultiLevelHierarchy"/>
    <dgm:cxn modelId="{1A7E2D4C-A417-4813-B858-707E1BAB3615}" type="presOf" srcId="{DC3406BE-6832-4762-8F23-2756A5FED612}" destId="{B35597C1-046F-4F0A-91C3-777F7C3CAC4E}" srcOrd="0" destOrd="0" presId="urn:microsoft.com/office/officeart/2008/layout/HorizontalMultiLevelHierarchy"/>
    <dgm:cxn modelId="{BFDA5D8F-EB96-4301-AF0B-1400461DAD39}" type="presOf" srcId="{B7D82E41-6B77-4A15-8C0D-82539200E0A1}" destId="{530C3156-009D-4CE6-9AC0-CE0D599EA16D}" srcOrd="0" destOrd="0" presId="urn:microsoft.com/office/officeart/2008/layout/HorizontalMultiLevelHierarchy"/>
    <dgm:cxn modelId="{C321FBAB-9B0B-4980-8406-749B72CE3C28}" type="presOf" srcId="{D89DB3EF-0F5E-4006-8234-1BEF17527B8E}" destId="{304850C4-6EDA-4B26-9956-F2D371E2255E}" srcOrd="1" destOrd="0" presId="urn:microsoft.com/office/officeart/2008/layout/HorizontalMultiLevelHierarchy"/>
    <dgm:cxn modelId="{33EAFB7A-D5DB-4051-8760-7939C53E0C7F}" type="presOf" srcId="{B62C4582-1B47-49A3-B1BA-02D15E0FA8C4}" destId="{70B46348-E2A0-428A-B325-5705AA8028B3}"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EE51A23D-C612-46B6-9842-F2D1ED95318E}" srcId="{667920FD-8395-4EED-9FC9-9C00BE38A18E}" destId="{D572156E-051B-41F1-8F44-A4C8E651676F}" srcOrd="0" destOrd="0" parTransId="{F4AF0459-265A-4EED-87EB-EBD75089D025}" sibTransId="{19DC6975-5B5B-4E69-B59E-76B0630D4755}"/>
    <dgm:cxn modelId="{AFF318D3-1C05-4B42-9728-8C9BE2F5EE21}" type="presOf" srcId="{D7BD8E43-E757-4A5E-9C4F-727A2BCBF880}" destId="{A066A57B-55AA-49B2-A827-1C04D3541042}" srcOrd="0" destOrd="0" presId="urn:microsoft.com/office/officeart/2008/layout/HorizontalMultiLevelHierarchy"/>
    <dgm:cxn modelId="{2C91EE9E-86E4-483A-AA53-BE6DCF317D7E}" type="presOf" srcId="{C88AA6EF-3CE5-41DF-B1BE-E66D7BCECE28}" destId="{420125B8-E613-4D5F-A844-C5774DA72C3B}" srcOrd="0" destOrd="0" presId="urn:microsoft.com/office/officeart/2008/layout/HorizontalMultiLevelHierarchy"/>
    <dgm:cxn modelId="{0CE8C2B0-C295-400F-8CA3-033F4D03F375}" type="presOf" srcId="{D89DB3EF-0F5E-4006-8234-1BEF17527B8E}" destId="{689646B4-2B28-494C-B0DB-511493D0722D}" srcOrd="0"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8A05556B-226B-47FE-A7A0-8ED35260F41D}" type="presOf" srcId="{DFAF0ED2-C696-4206-AF72-F0588E56A0D4}" destId="{0C2AA6F1-3858-4712-9FA7-3E239E518B92}" srcOrd="1" destOrd="0" presId="urn:microsoft.com/office/officeart/2008/layout/HorizontalMultiLevelHierarchy"/>
    <dgm:cxn modelId="{93A23D2F-FAC8-4C50-A4F9-1EB7D75AA9F9}" type="presOf" srcId="{2F2E90C0-A12E-473D-9081-A2BC8644E370}" destId="{6D5211D1-B486-4EA6-9C61-0ABABD207976}" srcOrd="0" destOrd="0" presId="urn:microsoft.com/office/officeart/2008/layout/HorizontalMultiLevelHierarchy"/>
    <dgm:cxn modelId="{EF9B0213-A506-44C7-B000-8B99714F1654}" type="presOf" srcId="{B5A5ACFE-1062-4635-8245-28AE81E7713E}" destId="{0B33F1A9-1EB5-43AD-9A01-5FAA0F25E6F5}" srcOrd="1" destOrd="0" presId="urn:microsoft.com/office/officeart/2008/layout/HorizontalMultiLevelHierarchy"/>
    <dgm:cxn modelId="{82033C0D-50A8-4259-B575-4AD62B68EA55}" type="presOf" srcId="{42CB47A4-9C91-4D5C-99CB-0183D5DFFFBC}" destId="{0EF58E61-AA7E-40D2-9EA1-FD10C968E904}" srcOrd="0" destOrd="0" presId="urn:microsoft.com/office/officeart/2008/layout/HorizontalMultiLevelHierarchy"/>
    <dgm:cxn modelId="{1F034EBF-245E-4269-B73D-EB2CFA894970}" type="presOf" srcId="{28A8C854-4371-460F-B439-34DEEC288791}" destId="{56A35FD9-7BE3-41D6-8F1C-1FFEA9910D31}" srcOrd="1" destOrd="0" presId="urn:microsoft.com/office/officeart/2008/layout/HorizontalMultiLevelHierarchy"/>
    <dgm:cxn modelId="{B86133C6-C9C5-4F28-AAB5-34BE4CB2F6F3}" srcId="{D572156E-051B-41F1-8F44-A4C8E651676F}" destId="{D7BD8E43-E757-4A5E-9C4F-727A2BCBF880}" srcOrd="0" destOrd="0" parTransId="{2F2E90C0-A12E-473D-9081-A2BC8644E370}" sibTransId="{22B65023-33F5-4B88-B695-FA5C5FF8A0A9}"/>
    <dgm:cxn modelId="{747D0EB9-5888-436E-94BA-021EAE6E5AC7}" type="presOf" srcId="{F4AF0459-265A-4EED-87EB-EBD75089D025}" destId="{8E8F3966-1709-4424-98BA-787E1E473EDA}" srcOrd="1" destOrd="0" presId="urn:microsoft.com/office/officeart/2008/layout/HorizontalMultiLevelHierarchy"/>
    <dgm:cxn modelId="{D2BC2747-A156-4F70-954D-7FFE7F43014E}" type="presOf" srcId="{DFAF0ED2-C696-4206-AF72-F0588E56A0D4}" destId="{66E88A14-BAB7-413C-8DAC-E4A2B6934F45}" srcOrd="0" destOrd="0" presId="urn:microsoft.com/office/officeart/2008/layout/HorizontalMultiLevelHierarchy"/>
    <dgm:cxn modelId="{A4B61038-EEE8-41D1-99A9-0519B455D6E4}" type="presOf" srcId="{28A8C854-4371-460F-B439-34DEEC288791}" destId="{34FE3DBE-D76C-46DD-A6A1-AACE07CED360}" srcOrd="0" destOrd="0" presId="urn:microsoft.com/office/officeart/2008/layout/HorizontalMultiLevelHierarchy"/>
    <dgm:cxn modelId="{DAD7187F-D9EF-4C62-BD10-D2774E2B701A}" type="presOf" srcId="{D572156E-051B-41F1-8F44-A4C8E651676F}" destId="{29585426-42D9-45DD-9270-52CE683DC2AD}" srcOrd="0" destOrd="0" presId="urn:microsoft.com/office/officeart/2008/layout/HorizontalMultiLevelHierarchy"/>
    <dgm:cxn modelId="{D1C7982D-05EA-4936-A405-FB79F735C367}" type="presOf" srcId="{B5A5ACFE-1062-4635-8245-28AE81E7713E}" destId="{6A06BAA5-A702-4D5C-A34F-87929BC50D95}" srcOrd="0" destOrd="0" presId="urn:microsoft.com/office/officeart/2008/layout/HorizontalMultiLevelHierarchy"/>
    <dgm:cxn modelId="{9F1D044F-773F-4FB8-AC0E-0603BBCB40CF}" type="presOf" srcId="{233163F6-44BE-422A-8D6A-F8507C8E09CA}" destId="{8544C45B-167C-4524-894D-DB9BE1E27233}" srcOrd="0" destOrd="0" presId="urn:microsoft.com/office/officeart/2008/layout/HorizontalMultiLevelHierarchy"/>
    <dgm:cxn modelId="{0B039B74-D107-47D6-BDB5-894AAC86CEA9}" type="presOf" srcId="{C88AA6EF-3CE5-41DF-B1BE-E66D7BCECE28}" destId="{3A91213D-A740-4089-9D65-CB95A6A3145B}" srcOrd="1" destOrd="0" presId="urn:microsoft.com/office/officeart/2008/layout/HorizontalMultiLevelHierarchy"/>
    <dgm:cxn modelId="{914D9816-8D25-4CCE-8CAF-E2887B53699E}" type="presOf" srcId="{5BAB3883-C242-4688-8448-A80D24DD35C3}" destId="{F23E05AC-420C-4A0C-80EF-4E5B7B1FB4D6}" srcOrd="0"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FAC8D5FB-D99F-481D-986B-F065B458FC7F}" type="presOf" srcId="{667920FD-8395-4EED-9FC9-9C00BE38A18E}" destId="{E7FB635D-8A90-4184-8878-E5B808191C1B}" srcOrd="0" destOrd="0" presId="urn:microsoft.com/office/officeart/2008/layout/HorizontalMultiLevelHierarchy"/>
    <dgm:cxn modelId="{6FD8A467-B73B-4C07-9A43-91CC7E5D2D41}" srcId="{D7BD8E43-E757-4A5E-9C4F-727A2BCBF880}" destId="{42CB47A4-9C91-4D5C-99CB-0183D5DFFFBC}" srcOrd="1" destOrd="0" parTransId="{C88AA6EF-3CE5-41DF-B1BE-E66D7BCECE28}" sibTransId="{37E4A0A7-5526-4C07-96E7-947C0998887A}"/>
    <dgm:cxn modelId="{A62267BB-ADC6-4687-BB3A-26FD5D44E584}" srcId="{B62C4582-1B47-49A3-B1BA-02D15E0FA8C4}" destId="{84790FFF-0BB7-49C5-B365-E8CE069F577E}" srcOrd="0" destOrd="0" parTransId="{DFAF0ED2-C696-4206-AF72-F0588E56A0D4}" sibTransId="{154D83B6-38E4-4797-BA1F-FD11DDD2CC10}"/>
    <dgm:cxn modelId="{323A2409-AF4F-4CA6-8313-FB5658671EB5}" type="presOf" srcId="{7CAFB958-2B40-42DE-9D69-B68FB57A20FD}" destId="{7FE28124-E944-4026-8357-2663DC08B1CF}" srcOrd="0" destOrd="0" presId="urn:microsoft.com/office/officeart/2008/layout/HorizontalMultiLevelHierarchy"/>
    <dgm:cxn modelId="{EB27D2D3-BC13-4766-8CE4-E17770313EEE}" type="presOf" srcId="{243818CD-25D5-426B-A8A5-B17980663A5E}" destId="{C007F74D-D915-4B1D-9926-26ACF676C91F}" srcOrd="0" destOrd="0" presId="urn:microsoft.com/office/officeart/2008/layout/HorizontalMultiLevelHierarchy"/>
    <dgm:cxn modelId="{EF5FAB85-01BE-483C-8855-D7A48EBFF11B}" type="presParOf" srcId="{B35597C1-046F-4F0A-91C3-777F7C3CAC4E}" destId="{803560A2-6582-4343-A7C0-2ED1806FD129}" srcOrd="0" destOrd="0" presId="urn:microsoft.com/office/officeart/2008/layout/HorizontalMultiLevelHierarchy"/>
    <dgm:cxn modelId="{8C3C5B95-FED9-4006-894A-E4487340FA44}" type="presParOf" srcId="{803560A2-6582-4343-A7C0-2ED1806FD129}" destId="{E7FB635D-8A90-4184-8878-E5B808191C1B}" srcOrd="0" destOrd="0" presId="urn:microsoft.com/office/officeart/2008/layout/HorizontalMultiLevelHierarchy"/>
    <dgm:cxn modelId="{289E5D41-805E-4C2C-A857-A476507B1C81}" type="presParOf" srcId="{803560A2-6582-4343-A7C0-2ED1806FD129}" destId="{028857F0-8723-4319-A0FD-EA46D3850097}" srcOrd="1" destOrd="0" presId="urn:microsoft.com/office/officeart/2008/layout/HorizontalMultiLevelHierarchy"/>
    <dgm:cxn modelId="{25CB9FD5-64F6-4EA1-9ACC-042912D8EE0C}" type="presParOf" srcId="{028857F0-8723-4319-A0FD-EA46D3850097}" destId="{71C3EB14-BB59-4ECB-B0DB-94D6E6D3D293}" srcOrd="0" destOrd="0" presId="urn:microsoft.com/office/officeart/2008/layout/HorizontalMultiLevelHierarchy"/>
    <dgm:cxn modelId="{66E1A272-1661-43EE-8CEB-6BDD204B1F4C}" type="presParOf" srcId="{71C3EB14-BB59-4ECB-B0DB-94D6E6D3D293}" destId="{8E8F3966-1709-4424-98BA-787E1E473EDA}" srcOrd="0" destOrd="0" presId="urn:microsoft.com/office/officeart/2008/layout/HorizontalMultiLevelHierarchy"/>
    <dgm:cxn modelId="{7183B752-BDEA-46E9-BC88-9AFB444F8E9F}" type="presParOf" srcId="{028857F0-8723-4319-A0FD-EA46D3850097}" destId="{14D725A6-BACD-409C-AC7D-CBF70BEA0D11}" srcOrd="1" destOrd="0" presId="urn:microsoft.com/office/officeart/2008/layout/HorizontalMultiLevelHierarchy"/>
    <dgm:cxn modelId="{DB63CC1E-EDE4-406B-8B19-EBDBBD71F75F}" type="presParOf" srcId="{14D725A6-BACD-409C-AC7D-CBF70BEA0D11}" destId="{29585426-42D9-45DD-9270-52CE683DC2AD}" srcOrd="0" destOrd="0" presId="urn:microsoft.com/office/officeart/2008/layout/HorizontalMultiLevelHierarchy"/>
    <dgm:cxn modelId="{92842086-8A21-49CF-80F9-16B4CBE5AFD7}" type="presParOf" srcId="{14D725A6-BACD-409C-AC7D-CBF70BEA0D11}" destId="{1762AC67-0A0E-481A-B926-C68803388A0E}" srcOrd="1" destOrd="0" presId="urn:microsoft.com/office/officeart/2008/layout/HorizontalMultiLevelHierarchy"/>
    <dgm:cxn modelId="{8282B885-B8A5-44DA-ACB7-EDA3D5FA009A}" type="presParOf" srcId="{1762AC67-0A0E-481A-B926-C68803388A0E}" destId="{6D5211D1-B486-4EA6-9C61-0ABABD207976}" srcOrd="0" destOrd="0" presId="urn:microsoft.com/office/officeart/2008/layout/HorizontalMultiLevelHierarchy"/>
    <dgm:cxn modelId="{CFB11B3C-8E81-4FE6-B046-678E75AE5FB7}" type="presParOf" srcId="{6D5211D1-B486-4EA6-9C61-0ABABD207976}" destId="{3E753E52-E478-406A-90C4-036AB39C6AE3}" srcOrd="0" destOrd="0" presId="urn:microsoft.com/office/officeart/2008/layout/HorizontalMultiLevelHierarchy"/>
    <dgm:cxn modelId="{764D1FD3-2791-423F-BFAE-4A92C9E7A822}" type="presParOf" srcId="{1762AC67-0A0E-481A-B926-C68803388A0E}" destId="{7502342F-7F6B-4F60-92B1-43008C5811FB}" srcOrd="1" destOrd="0" presId="urn:microsoft.com/office/officeart/2008/layout/HorizontalMultiLevelHierarchy"/>
    <dgm:cxn modelId="{482EE883-53A6-4A2A-9449-2BC216003522}" type="presParOf" srcId="{7502342F-7F6B-4F60-92B1-43008C5811FB}" destId="{A066A57B-55AA-49B2-A827-1C04D3541042}" srcOrd="0" destOrd="0" presId="urn:microsoft.com/office/officeart/2008/layout/HorizontalMultiLevelHierarchy"/>
    <dgm:cxn modelId="{2651E713-A16B-4590-929A-01A62877FAF2}" type="presParOf" srcId="{7502342F-7F6B-4F60-92B1-43008C5811FB}" destId="{DD192244-8434-44C9-BBDA-B18883B6054A}" srcOrd="1" destOrd="0" presId="urn:microsoft.com/office/officeart/2008/layout/HorizontalMultiLevelHierarchy"/>
    <dgm:cxn modelId="{6071335C-D0BA-47C9-8847-69A9F5741D69}" type="presParOf" srcId="{DD192244-8434-44C9-BBDA-B18883B6054A}" destId="{8544C45B-167C-4524-894D-DB9BE1E27233}" srcOrd="0" destOrd="0" presId="urn:microsoft.com/office/officeart/2008/layout/HorizontalMultiLevelHierarchy"/>
    <dgm:cxn modelId="{8CA450A4-359A-49F3-9CB0-5C84355A436B}" type="presParOf" srcId="{8544C45B-167C-4524-894D-DB9BE1E27233}" destId="{E1C4CDDB-D717-42C3-87D9-1C008AB44DEA}" srcOrd="0" destOrd="0" presId="urn:microsoft.com/office/officeart/2008/layout/HorizontalMultiLevelHierarchy"/>
    <dgm:cxn modelId="{55574B40-29AD-4010-A105-5B805D52F453}" type="presParOf" srcId="{DD192244-8434-44C9-BBDA-B18883B6054A}" destId="{D35A8F03-F032-420C-BA3B-6971E750D6BD}" srcOrd="1" destOrd="0" presId="urn:microsoft.com/office/officeart/2008/layout/HorizontalMultiLevelHierarchy"/>
    <dgm:cxn modelId="{86CCC9C6-A305-4A68-88CB-74B5F3D6F680}" type="presParOf" srcId="{D35A8F03-F032-420C-BA3B-6971E750D6BD}" destId="{0C9DE918-C12F-45A6-B7CD-3DBC91ABA330}" srcOrd="0" destOrd="0" presId="urn:microsoft.com/office/officeart/2008/layout/HorizontalMultiLevelHierarchy"/>
    <dgm:cxn modelId="{1327CFAF-FDCE-49E2-808C-FBDD26FB23B2}" type="presParOf" srcId="{D35A8F03-F032-420C-BA3B-6971E750D6BD}" destId="{D795AEEF-9467-4B65-A805-973E4776B9FF}" srcOrd="1" destOrd="0" presId="urn:microsoft.com/office/officeart/2008/layout/HorizontalMultiLevelHierarchy"/>
    <dgm:cxn modelId="{1D435E62-9B25-4866-97F4-1B1DBDF1AEAB}" type="presParOf" srcId="{DD192244-8434-44C9-BBDA-B18883B6054A}" destId="{420125B8-E613-4D5F-A844-C5774DA72C3B}" srcOrd="2" destOrd="0" presId="urn:microsoft.com/office/officeart/2008/layout/HorizontalMultiLevelHierarchy"/>
    <dgm:cxn modelId="{A1A1B0FA-246A-4784-9D58-C94F71ED3701}" type="presParOf" srcId="{420125B8-E613-4D5F-A844-C5774DA72C3B}" destId="{3A91213D-A740-4089-9D65-CB95A6A3145B}" srcOrd="0" destOrd="0" presId="urn:microsoft.com/office/officeart/2008/layout/HorizontalMultiLevelHierarchy"/>
    <dgm:cxn modelId="{C446557B-F6D6-41D8-B473-4D373101B9C1}" type="presParOf" srcId="{DD192244-8434-44C9-BBDA-B18883B6054A}" destId="{E7CD9CF4-9C8A-4E94-9F75-B64AE37CE356}" srcOrd="3" destOrd="0" presId="urn:microsoft.com/office/officeart/2008/layout/HorizontalMultiLevelHierarchy"/>
    <dgm:cxn modelId="{7062FDDB-7B3A-49E7-AEF9-6CBAFEA60D2F}" type="presParOf" srcId="{E7CD9CF4-9C8A-4E94-9F75-B64AE37CE356}" destId="{0EF58E61-AA7E-40D2-9EA1-FD10C968E904}" srcOrd="0" destOrd="0" presId="urn:microsoft.com/office/officeart/2008/layout/HorizontalMultiLevelHierarchy"/>
    <dgm:cxn modelId="{6CE2A00C-4C7C-4BFE-9942-3B5F7F340748}" type="presParOf" srcId="{E7CD9CF4-9C8A-4E94-9F75-B64AE37CE356}" destId="{A74FC62E-359B-40F6-A7F5-471C0B15CA75}" srcOrd="1" destOrd="0" presId="urn:microsoft.com/office/officeart/2008/layout/HorizontalMultiLevelHierarchy"/>
    <dgm:cxn modelId="{E34598DB-518A-4158-90BA-1C76B42F2C8D}" type="presParOf" srcId="{028857F0-8723-4319-A0FD-EA46D3850097}" destId="{6A06BAA5-A702-4D5C-A34F-87929BC50D95}" srcOrd="2" destOrd="0" presId="urn:microsoft.com/office/officeart/2008/layout/HorizontalMultiLevelHierarchy"/>
    <dgm:cxn modelId="{129DB9F6-911E-4DE6-8127-46BAA6BC3E8B}" type="presParOf" srcId="{6A06BAA5-A702-4D5C-A34F-87929BC50D95}" destId="{0B33F1A9-1EB5-43AD-9A01-5FAA0F25E6F5}" srcOrd="0" destOrd="0" presId="urn:microsoft.com/office/officeart/2008/layout/HorizontalMultiLevelHierarchy"/>
    <dgm:cxn modelId="{F7B63FCD-9B93-4731-857A-DA18C42C41B3}" type="presParOf" srcId="{028857F0-8723-4319-A0FD-EA46D3850097}" destId="{BEE4A7AC-1CB8-4E23-8F47-F576CBD0956F}" srcOrd="3" destOrd="0" presId="urn:microsoft.com/office/officeart/2008/layout/HorizontalMultiLevelHierarchy"/>
    <dgm:cxn modelId="{F091263D-AF2B-4633-B785-9DC10879E310}" type="presParOf" srcId="{BEE4A7AC-1CB8-4E23-8F47-F576CBD0956F}" destId="{7FE28124-E944-4026-8357-2663DC08B1CF}" srcOrd="0" destOrd="0" presId="urn:microsoft.com/office/officeart/2008/layout/HorizontalMultiLevelHierarchy"/>
    <dgm:cxn modelId="{804766F2-296A-43B7-8714-18BD8F2F1F57}" type="presParOf" srcId="{BEE4A7AC-1CB8-4E23-8F47-F576CBD0956F}" destId="{4AD4AE24-94B3-4222-96EC-12333AB42892}" srcOrd="1" destOrd="0" presId="urn:microsoft.com/office/officeart/2008/layout/HorizontalMultiLevelHierarchy"/>
    <dgm:cxn modelId="{06DDEE60-C504-4B33-83D1-7FA3494E39DA}" type="presParOf" srcId="{4AD4AE24-94B3-4222-96EC-12333AB42892}" destId="{689646B4-2B28-494C-B0DB-511493D0722D}" srcOrd="0" destOrd="0" presId="urn:microsoft.com/office/officeart/2008/layout/HorizontalMultiLevelHierarchy"/>
    <dgm:cxn modelId="{A6C603E3-34D2-4782-935E-F20C36D104E6}" type="presParOf" srcId="{689646B4-2B28-494C-B0DB-511493D0722D}" destId="{304850C4-6EDA-4B26-9956-F2D371E2255E}" srcOrd="0" destOrd="0" presId="urn:microsoft.com/office/officeart/2008/layout/HorizontalMultiLevelHierarchy"/>
    <dgm:cxn modelId="{64676523-5236-4B67-AD67-50B3D695A9EA}" type="presParOf" srcId="{4AD4AE24-94B3-4222-96EC-12333AB42892}" destId="{438A8AB9-74A7-4786-9D1C-CABB0C8D5FBA}" srcOrd="1" destOrd="0" presId="urn:microsoft.com/office/officeart/2008/layout/HorizontalMultiLevelHierarchy"/>
    <dgm:cxn modelId="{E39A83EC-6C4B-4DBF-AC90-4E56A4B1AADC}" type="presParOf" srcId="{438A8AB9-74A7-4786-9D1C-CABB0C8D5FBA}" destId="{F23E05AC-420C-4A0C-80EF-4E5B7B1FB4D6}" srcOrd="0" destOrd="0" presId="urn:microsoft.com/office/officeart/2008/layout/HorizontalMultiLevelHierarchy"/>
    <dgm:cxn modelId="{30F18D40-EC47-4750-879B-F79D71A95DA1}" type="presParOf" srcId="{438A8AB9-74A7-4786-9D1C-CABB0C8D5FBA}" destId="{AA41E3F2-F9D9-4569-A211-F608EF766582}" srcOrd="1" destOrd="0" presId="urn:microsoft.com/office/officeart/2008/layout/HorizontalMultiLevelHierarchy"/>
    <dgm:cxn modelId="{8EABA0D5-74D6-448F-9D23-C2CA22BA407E}" type="presParOf" srcId="{028857F0-8723-4319-A0FD-EA46D3850097}" destId="{530C3156-009D-4CE6-9AC0-CE0D599EA16D}" srcOrd="4" destOrd="0" presId="urn:microsoft.com/office/officeart/2008/layout/HorizontalMultiLevelHierarchy"/>
    <dgm:cxn modelId="{85E9749A-E839-4EE5-A22D-C99B73490375}" type="presParOf" srcId="{530C3156-009D-4CE6-9AC0-CE0D599EA16D}" destId="{7FD92EFF-DC6D-43A8-9A04-B6349048CEC3}" srcOrd="0" destOrd="0" presId="urn:microsoft.com/office/officeart/2008/layout/HorizontalMultiLevelHierarchy"/>
    <dgm:cxn modelId="{92E8F73E-9CAA-4F9D-ACBD-F9691CBC4057}" type="presParOf" srcId="{028857F0-8723-4319-A0FD-EA46D3850097}" destId="{7469C073-4755-4582-9601-EF73D8A6169B}" srcOrd="5" destOrd="0" presId="urn:microsoft.com/office/officeart/2008/layout/HorizontalMultiLevelHierarchy"/>
    <dgm:cxn modelId="{5F2C5879-D7B8-4083-BAD5-CA7CFA36C9BF}" type="presParOf" srcId="{7469C073-4755-4582-9601-EF73D8A6169B}" destId="{70B46348-E2A0-428A-B325-5705AA8028B3}" srcOrd="0" destOrd="0" presId="urn:microsoft.com/office/officeart/2008/layout/HorizontalMultiLevelHierarchy"/>
    <dgm:cxn modelId="{2C81D62F-4B8C-4092-BFAA-C8B72A42309B}" type="presParOf" srcId="{7469C073-4755-4582-9601-EF73D8A6169B}" destId="{41957373-FA3D-4D2B-A2AD-9DB2AAC55C3B}" srcOrd="1" destOrd="0" presId="urn:microsoft.com/office/officeart/2008/layout/HorizontalMultiLevelHierarchy"/>
    <dgm:cxn modelId="{D9A4D5F1-7BDF-485C-8A24-C986C3CC44AE}" type="presParOf" srcId="{41957373-FA3D-4D2B-A2AD-9DB2AAC55C3B}" destId="{66E88A14-BAB7-413C-8DAC-E4A2B6934F45}" srcOrd="0" destOrd="0" presId="urn:microsoft.com/office/officeart/2008/layout/HorizontalMultiLevelHierarchy"/>
    <dgm:cxn modelId="{11AA0C54-27D3-40C2-AFAA-1F05DF44CB12}" type="presParOf" srcId="{66E88A14-BAB7-413C-8DAC-E4A2B6934F45}" destId="{0C2AA6F1-3858-4712-9FA7-3E239E518B92}" srcOrd="0" destOrd="0" presId="urn:microsoft.com/office/officeart/2008/layout/HorizontalMultiLevelHierarchy"/>
    <dgm:cxn modelId="{48281453-DF82-4EC5-8666-9AB55C4478B6}" type="presParOf" srcId="{41957373-FA3D-4D2B-A2AD-9DB2AAC55C3B}" destId="{790054D1-F6FA-4783-92AC-10677F3520E3}" srcOrd="1" destOrd="0" presId="urn:microsoft.com/office/officeart/2008/layout/HorizontalMultiLevelHierarchy"/>
    <dgm:cxn modelId="{0DC2EEC7-F502-4D98-BF89-C3239C58A35B}" type="presParOf" srcId="{790054D1-F6FA-4783-92AC-10677F3520E3}" destId="{385CDF54-AC42-405B-8B77-B98AD90F34F1}" srcOrd="0" destOrd="0" presId="urn:microsoft.com/office/officeart/2008/layout/HorizontalMultiLevelHierarchy"/>
    <dgm:cxn modelId="{191110ED-D1C3-4B99-B9D3-7AB8DB23F496}" type="presParOf" srcId="{790054D1-F6FA-4783-92AC-10677F3520E3}" destId="{502A8601-632E-4891-9F95-06F310D65287}" srcOrd="1" destOrd="0" presId="urn:microsoft.com/office/officeart/2008/layout/HorizontalMultiLevelHierarchy"/>
    <dgm:cxn modelId="{B01AAA3C-BD90-4704-B2A9-CBE60457C1DB}" type="presParOf" srcId="{502A8601-632E-4891-9F95-06F310D65287}" destId="{34FE3DBE-D76C-46DD-A6A1-AACE07CED360}" srcOrd="0" destOrd="0" presId="urn:microsoft.com/office/officeart/2008/layout/HorizontalMultiLevelHierarchy"/>
    <dgm:cxn modelId="{A8CD6009-1291-4FF5-BB57-131FB6900ED9}" type="presParOf" srcId="{34FE3DBE-D76C-46DD-A6A1-AACE07CED360}" destId="{56A35FD9-7BE3-41D6-8F1C-1FFEA9910D31}" srcOrd="0" destOrd="0" presId="urn:microsoft.com/office/officeart/2008/layout/HorizontalMultiLevelHierarchy"/>
    <dgm:cxn modelId="{087F6449-ECAE-4BA8-B6FE-6B8E73736977}" type="presParOf" srcId="{502A8601-632E-4891-9F95-06F310D65287}" destId="{6FE882EE-B4ED-48BD-814F-85218F42881F}" srcOrd="1" destOrd="0" presId="urn:microsoft.com/office/officeart/2008/layout/HorizontalMultiLevelHierarchy"/>
    <dgm:cxn modelId="{A81B6E33-35CD-4263-8446-3DD1B915F5E4}" type="presParOf" srcId="{6FE882EE-B4ED-48BD-814F-85218F42881F}" destId="{C007F74D-D915-4B1D-9926-26ACF676C91F}" srcOrd="0" destOrd="0" presId="urn:microsoft.com/office/officeart/2008/layout/HorizontalMultiLevelHierarchy"/>
    <dgm:cxn modelId="{23A98129-8ADB-483B-BD13-3B23467D810A}"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859683-1E44-46C1-8B5B-57BB6C514D5A}">
      <dsp:nvSpPr>
        <dsp:cNvPr id="0" name=""/>
        <dsp:cNvSpPr/>
      </dsp:nvSpPr>
      <dsp:spPr>
        <a:xfrm>
          <a:off x="1744484" y="2171766"/>
          <a:ext cx="184238" cy="1741364"/>
        </a:xfrm>
        <a:custGeom>
          <a:avLst/>
          <a:gdLst/>
          <a:ahLst/>
          <a:cxnLst/>
          <a:rect l="0" t="0" r="0" b="0"/>
          <a:pathLst>
            <a:path>
              <a:moveTo>
                <a:pt x="0" y="0"/>
              </a:moveTo>
              <a:lnTo>
                <a:pt x="92119" y="0"/>
              </a:lnTo>
              <a:lnTo>
                <a:pt x="92119" y="1741364"/>
              </a:lnTo>
              <a:lnTo>
                <a:pt x="184238" y="17413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1792826" y="2998671"/>
        <a:ext cx="87554" cy="87554"/>
      </dsp:txXfrm>
    </dsp:sp>
    <dsp:sp modelId="{DD95188E-3821-44B9-B0E7-C87567035424}">
      <dsp:nvSpPr>
        <dsp:cNvPr id="0" name=""/>
        <dsp:cNvSpPr/>
      </dsp:nvSpPr>
      <dsp:spPr>
        <a:xfrm>
          <a:off x="3955349" y="3333620"/>
          <a:ext cx="184238" cy="91440"/>
        </a:xfrm>
        <a:custGeom>
          <a:avLst/>
          <a:gdLst/>
          <a:ahLst/>
          <a:cxnLst/>
          <a:rect l="0" t="0" r="0" b="0"/>
          <a:pathLst>
            <a:path>
              <a:moveTo>
                <a:pt x="0" y="45720"/>
              </a:moveTo>
              <a:lnTo>
                <a:pt x="18423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4042862" y="3374734"/>
        <a:ext cx="9211" cy="9211"/>
      </dsp:txXfrm>
    </dsp:sp>
    <dsp:sp modelId="{94A09F21-223F-413A-A844-DB919B2AA95E}">
      <dsp:nvSpPr>
        <dsp:cNvPr id="0" name=""/>
        <dsp:cNvSpPr/>
      </dsp:nvSpPr>
      <dsp:spPr>
        <a:xfrm>
          <a:off x="2849917" y="3333620"/>
          <a:ext cx="184238" cy="91440"/>
        </a:xfrm>
        <a:custGeom>
          <a:avLst/>
          <a:gdLst/>
          <a:ahLst/>
          <a:cxnLst/>
          <a:rect l="0" t="0" r="0" b="0"/>
          <a:pathLst>
            <a:path>
              <a:moveTo>
                <a:pt x="0" y="45720"/>
              </a:moveTo>
              <a:lnTo>
                <a:pt x="18423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2937430" y="3374734"/>
        <a:ext cx="9211" cy="9211"/>
      </dsp:txXfrm>
    </dsp:sp>
    <dsp:sp modelId="{EF05E614-B17C-4D8C-9849-A7A212579DFB}">
      <dsp:nvSpPr>
        <dsp:cNvPr id="0" name=""/>
        <dsp:cNvSpPr/>
      </dsp:nvSpPr>
      <dsp:spPr>
        <a:xfrm>
          <a:off x="1744484" y="2171766"/>
          <a:ext cx="184238" cy="1207573"/>
        </a:xfrm>
        <a:custGeom>
          <a:avLst/>
          <a:gdLst/>
          <a:ahLst/>
          <a:cxnLst/>
          <a:rect l="0" t="0" r="0" b="0"/>
          <a:pathLst>
            <a:path>
              <a:moveTo>
                <a:pt x="0" y="0"/>
              </a:moveTo>
              <a:lnTo>
                <a:pt x="92119" y="0"/>
              </a:lnTo>
              <a:lnTo>
                <a:pt x="92119" y="1207573"/>
              </a:lnTo>
              <a:lnTo>
                <a:pt x="184238" y="12075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1806065" y="2745014"/>
        <a:ext cx="61077" cy="61077"/>
      </dsp:txXfrm>
    </dsp:sp>
    <dsp:sp modelId="{5C6D2F35-F8C3-4495-8606-B567450F60A9}">
      <dsp:nvSpPr>
        <dsp:cNvPr id="0" name=""/>
        <dsp:cNvSpPr/>
      </dsp:nvSpPr>
      <dsp:spPr>
        <a:xfrm>
          <a:off x="3955349" y="2546096"/>
          <a:ext cx="184238" cy="243037"/>
        </a:xfrm>
        <a:custGeom>
          <a:avLst/>
          <a:gdLst/>
          <a:ahLst/>
          <a:cxnLst/>
          <a:rect l="0" t="0" r="0" b="0"/>
          <a:pathLst>
            <a:path>
              <a:moveTo>
                <a:pt x="0" y="0"/>
              </a:moveTo>
              <a:lnTo>
                <a:pt x="92119" y="0"/>
              </a:lnTo>
              <a:lnTo>
                <a:pt x="92119" y="243037"/>
              </a:lnTo>
              <a:lnTo>
                <a:pt x="184238" y="2430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CO" sz="900" kern="1200">
            <a:latin typeface="Arial" panose="020B0604020202020204" pitchFamily="34" charset="0"/>
            <a:cs typeface="Arial" panose="020B0604020202020204" pitchFamily="34" charset="0"/>
          </a:endParaRPr>
        </a:p>
      </dsp:txBody>
      <dsp:txXfrm>
        <a:off x="4039844" y="2659991"/>
        <a:ext cx="15248" cy="15248"/>
      </dsp:txXfrm>
    </dsp:sp>
    <dsp:sp modelId="{FB705C91-1767-43E0-9305-0DCC809CE1A4}">
      <dsp:nvSpPr>
        <dsp:cNvPr id="0" name=""/>
        <dsp:cNvSpPr/>
      </dsp:nvSpPr>
      <dsp:spPr>
        <a:xfrm>
          <a:off x="3955349" y="2236039"/>
          <a:ext cx="184238" cy="310057"/>
        </a:xfrm>
        <a:custGeom>
          <a:avLst/>
          <a:gdLst/>
          <a:ahLst/>
          <a:cxnLst/>
          <a:rect l="0" t="0" r="0" b="0"/>
          <a:pathLst>
            <a:path>
              <a:moveTo>
                <a:pt x="0" y="310057"/>
              </a:moveTo>
              <a:lnTo>
                <a:pt x="92119" y="310057"/>
              </a:lnTo>
              <a:lnTo>
                <a:pt x="92119" y="0"/>
              </a:lnTo>
              <a:lnTo>
                <a:pt x="18423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4038452" y="2382051"/>
        <a:ext cx="18033" cy="18033"/>
      </dsp:txXfrm>
    </dsp:sp>
    <dsp:sp modelId="{B964B80F-863B-4754-B783-9FB543B74C89}">
      <dsp:nvSpPr>
        <dsp:cNvPr id="0" name=""/>
        <dsp:cNvSpPr/>
      </dsp:nvSpPr>
      <dsp:spPr>
        <a:xfrm>
          <a:off x="2849917" y="2500376"/>
          <a:ext cx="184238" cy="91440"/>
        </a:xfrm>
        <a:custGeom>
          <a:avLst/>
          <a:gdLst/>
          <a:ahLst/>
          <a:cxnLst/>
          <a:rect l="0" t="0" r="0" b="0"/>
          <a:pathLst>
            <a:path>
              <a:moveTo>
                <a:pt x="0" y="45720"/>
              </a:moveTo>
              <a:lnTo>
                <a:pt x="18423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2937430" y="2541490"/>
        <a:ext cx="9211" cy="9211"/>
      </dsp:txXfrm>
    </dsp:sp>
    <dsp:sp modelId="{AB0728BE-2A7E-4B69-ACA1-3159E1A5898A}">
      <dsp:nvSpPr>
        <dsp:cNvPr id="0" name=""/>
        <dsp:cNvSpPr/>
      </dsp:nvSpPr>
      <dsp:spPr>
        <a:xfrm>
          <a:off x="1744484" y="2171766"/>
          <a:ext cx="184238" cy="374329"/>
        </a:xfrm>
        <a:custGeom>
          <a:avLst/>
          <a:gdLst/>
          <a:ahLst/>
          <a:cxnLst/>
          <a:rect l="0" t="0" r="0" b="0"/>
          <a:pathLst>
            <a:path>
              <a:moveTo>
                <a:pt x="0" y="0"/>
              </a:moveTo>
              <a:lnTo>
                <a:pt x="92119" y="0"/>
              </a:lnTo>
              <a:lnTo>
                <a:pt x="92119" y="374329"/>
              </a:lnTo>
              <a:lnTo>
                <a:pt x="184238" y="374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1826173" y="2348501"/>
        <a:ext cx="20860" cy="20860"/>
      </dsp:txXfrm>
    </dsp:sp>
    <dsp:sp modelId="{70EBD4A3-65DF-4750-98E6-1376098FD932}">
      <dsp:nvSpPr>
        <dsp:cNvPr id="0" name=""/>
        <dsp:cNvSpPr/>
      </dsp:nvSpPr>
      <dsp:spPr>
        <a:xfrm>
          <a:off x="3955349" y="1454191"/>
          <a:ext cx="184238" cy="250764"/>
        </a:xfrm>
        <a:custGeom>
          <a:avLst/>
          <a:gdLst/>
          <a:ahLst/>
          <a:cxnLst/>
          <a:rect l="0" t="0" r="0" b="0"/>
          <a:pathLst>
            <a:path>
              <a:moveTo>
                <a:pt x="0" y="0"/>
              </a:moveTo>
              <a:lnTo>
                <a:pt x="92119" y="0"/>
              </a:lnTo>
              <a:lnTo>
                <a:pt x="92119" y="250764"/>
              </a:lnTo>
              <a:lnTo>
                <a:pt x="184238" y="250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CO" sz="900" kern="1200">
            <a:latin typeface="Arial" panose="020B0604020202020204" pitchFamily="34" charset="0"/>
            <a:cs typeface="Arial" panose="020B0604020202020204" pitchFamily="34" charset="0"/>
          </a:endParaRPr>
        </a:p>
      </dsp:txBody>
      <dsp:txXfrm>
        <a:off x="4039689" y="1571794"/>
        <a:ext cx="15558" cy="15558"/>
      </dsp:txXfrm>
    </dsp:sp>
    <dsp:sp modelId="{70E0485C-A82F-4CA5-B84B-DA7341F39CFA}">
      <dsp:nvSpPr>
        <dsp:cNvPr id="0" name=""/>
        <dsp:cNvSpPr/>
      </dsp:nvSpPr>
      <dsp:spPr>
        <a:xfrm>
          <a:off x="3955349" y="1166145"/>
          <a:ext cx="184238" cy="288045"/>
        </a:xfrm>
        <a:custGeom>
          <a:avLst/>
          <a:gdLst/>
          <a:ahLst/>
          <a:cxnLst/>
          <a:rect l="0" t="0" r="0" b="0"/>
          <a:pathLst>
            <a:path>
              <a:moveTo>
                <a:pt x="0" y="288045"/>
              </a:moveTo>
              <a:lnTo>
                <a:pt x="92119" y="288045"/>
              </a:lnTo>
              <a:lnTo>
                <a:pt x="92119" y="0"/>
              </a:lnTo>
              <a:lnTo>
                <a:pt x="18423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latin typeface="Arial" panose="020B0604020202020204" pitchFamily="34" charset="0"/>
            <a:cs typeface="Arial" panose="020B0604020202020204" pitchFamily="34" charset="0"/>
          </a:endParaRPr>
        </a:p>
      </dsp:txBody>
      <dsp:txXfrm>
        <a:off x="4038920" y="1301620"/>
        <a:ext cx="17096" cy="17096"/>
      </dsp:txXfrm>
    </dsp:sp>
    <dsp:sp modelId="{A08AD3C9-6BCD-44E0-BECE-FCCF70D98855}">
      <dsp:nvSpPr>
        <dsp:cNvPr id="0" name=""/>
        <dsp:cNvSpPr/>
      </dsp:nvSpPr>
      <dsp:spPr>
        <a:xfrm>
          <a:off x="2849917" y="1408471"/>
          <a:ext cx="184238" cy="91440"/>
        </a:xfrm>
        <a:custGeom>
          <a:avLst/>
          <a:gdLst/>
          <a:ahLst/>
          <a:cxnLst/>
          <a:rect l="0" t="0" r="0" b="0"/>
          <a:pathLst>
            <a:path>
              <a:moveTo>
                <a:pt x="0" y="45720"/>
              </a:moveTo>
              <a:lnTo>
                <a:pt x="18423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latin typeface="Arial" panose="020B0604020202020204" pitchFamily="34" charset="0"/>
            <a:cs typeface="Arial" panose="020B0604020202020204" pitchFamily="34" charset="0"/>
          </a:endParaRPr>
        </a:p>
      </dsp:txBody>
      <dsp:txXfrm>
        <a:off x="2937430" y="1449585"/>
        <a:ext cx="9211" cy="9211"/>
      </dsp:txXfrm>
    </dsp:sp>
    <dsp:sp modelId="{61896EDA-C978-4A7F-B6EB-9E7037FB7874}">
      <dsp:nvSpPr>
        <dsp:cNvPr id="0" name=""/>
        <dsp:cNvSpPr/>
      </dsp:nvSpPr>
      <dsp:spPr>
        <a:xfrm>
          <a:off x="1744484" y="1454191"/>
          <a:ext cx="184238" cy="717575"/>
        </a:xfrm>
        <a:custGeom>
          <a:avLst/>
          <a:gdLst/>
          <a:ahLst/>
          <a:cxnLst/>
          <a:rect l="0" t="0" r="0" b="0"/>
          <a:pathLst>
            <a:path>
              <a:moveTo>
                <a:pt x="0" y="717575"/>
              </a:moveTo>
              <a:lnTo>
                <a:pt x="92119" y="717575"/>
              </a:lnTo>
              <a:lnTo>
                <a:pt x="92119" y="0"/>
              </a:lnTo>
              <a:lnTo>
                <a:pt x="18423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s-ES" sz="900" kern="1200">
            <a:latin typeface="Arial" panose="020B0604020202020204" pitchFamily="34" charset="0"/>
            <a:cs typeface="Arial" panose="020B0604020202020204" pitchFamily="34" charset="0"/>
          </a:endParaRPr>
        </a:p>
      </dsp:txBody>
      <dsp:txXfrm>
        <a:off x="1818082" y="1794457"/>
        <a:ext cx="37042" cy="37042"/>
      </dsp:txXfrm>
    </dsp:sp>
    <dsp:sp modelId="{44EA9E8E-C653-42C1-9CC8-387A26AF79B7}">
      <dsp:nvSpPr>
        <dsp:cNvPr id="0" name=""/>
        <dsp:cNvSpPr/>
      </dsp:nvSpPr>
      <dsp:spPr>
        <a:xfrm>
          <a:off x="3955349" y="441798"/>
          <a:ext cx="184238" cy="298051"/>
        </a:xfrm>
        <a:custGeom>
          <a:avLst/>
          <a:gdLst/>
          <a:ahLst/>
          <a:cxnLst/>
          <a:rect l="0" t="0" r="0" b="0"/>
          <a:pathLst>
            <a:path>
              <a:moveTo>
                <a:pt x="0" y="0"/>
              </a:moveTo>
              <a:lnTo>
                <a:pt x="92119" y="0"/>
              </a:lnTo>
              <a:lnTo>
                <a:pt x="92119" y="298051"/>
              </a:lnTo>
              <a:lnTo>
                <a:pt x="184238" y="298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4038709" y="582063"/>
        <a:ext cx="17519" cy="17519"/>
      </dsp:txXfrm>
    </dsp:sp>
    <dsp:sp modelId="{3015A65E-BF40-44DD-8425-CB5E22503F57}">
      <dsp:nvSpPr>
        <dsp:cNvPr id="0" name=""/>
        <dsp:cNvSpPr/>
      </dsp:nvSpPr>
      <dsp:spPr>
        <a:xfrm>
          <a:off x="3955349" y="266265"/>
          <a:ext cx="184238" cy="175532"/>
        </a:xfrm>
        <a:custGeom>
          <a:avLst/>
          <a:gdLst/>
          <a:ahLst/>
          <a:cxnLst/>
          <a:rect l="0" t="0" r="0" b="0"/>
          <a:pathLst>
            <a:path>
              <a:moveTo>
                <a:pt x="0" y="175532"/>
              </a:moveTo>
              <a:lnTo>
                <a:pt x="92119" y="175532"/>
              </a:lnTo>
              <a:lnTo>
                <a:pt x="92119" y="0"/>
              </a:lnTo>
              <a:lnTo>
                <a:pt x="18423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4041107" y="347670"/>
        <a:ext cx="12723" cy="12723"/>
      </dsp:txXfrm>
    </dsp:sp>
    <dsp:sp modelId="{E2B8BE31-55B8-41C9-89F7-53FA7D497E32}">
      <dsp:nvSpPr>
        <dsp:cNvPr id="0" name=""/>
        <dsp:cNvSpPr/>
      </dsp:nvSpPr>
      <dsp:spPr>
        <a:xfrm>
          <a:off x="2849917" y="396078"/>
          <a:ext cx="184238" cy="91440"/>
        </a:xfrm>
        <a:custGeom>
          <a:avLst/>
          <a:gdLst/>
          <a:ahLst/>
          <a:cxnLst/>
          <a:rect l="0" t="0" r="0" b="0"/>
          <a:pathLst>
            <a:path>
              <a:moveTo>
                <a:pt x="0" y="45720"/>
              </a:moveTo>
              <a:lnTo>
                <a:pt x="18423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2937430" y="437192"/>
        <a:ext cx="9211" cy="9211"/>
      </dsp:txXfrm>
    </dsp:sp>
    <dsp:sp modelId="{3914288F-28D9-4772-9C09-6026C7DEF065}">
      <dsp:nvSpPr>
        <dsp:cNvPr id="0" name=""/>
        <dsp:cNvSpPr/>
      </dsp:nvSpPr>
      <dsp:spPr>
        <a:xfrm>
          <a:off x="1744484" y="441798"/>
          <a:ext cx="184238" cy="1729968"/>
        </a:xfrm>
        <a:custGeom>
          <a:avLst/>
          <a:gdLst/>
          <a:ahLst/>
          <a:cxnLst/>
          <a:rect l="0" t="0" r="0" b="0"/>
          <a:pathLst>
            <a:path>
              <a:moveTo>
                <a:pt x="0" y="1729968"/>
              </a:moveTo>
              <a:lnTo>
                <a:pt x="92119" y="1729968"/>
              </a:lnTo>
              <a:lnTo>
                <a:pt x="92119" y="0"/>
              </a:lnTo>
              <a:lnTo>
                <a:pt x="184238"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es-CO" sz="900" kern="1200">
            <a:solidFill>
              <a:schemeClr val="tx1"/>
            </a:solidFill>
            <a:latin typeface="Arial" panose="020B0604020202020204" pitchFamily="34" charset="0"/>
            <a:cs typeface="Arial" panose="020B0604020202020204" pitchFamily="34" charset="0"/>
          </a:endParaRPr>
        </a:p>
      </dsp:txBody>
      <dsp:txXfrm>
        <a:off x="1793110" y="1263288"/>
        <a:ext cx="86987" cy="86987"/>
      </dsp:txXfrm>
    </dsp:sp>
    <dsp:sp modelId="{920DEC97-464B-4C8C-94CF-C0DEA874AD30}">
      <dsp:nvSpPr>
        <dsp:cNvPr id="0" name=""/>
        <dsp:cNvSpPr/>
      </dsp:nvSpPr>
      <dsp:spPr>
        <a:xfrm rot="16200000">
          <a:off x="755542" y="1921908"/>
          <a:ext cx="1478167" cy="49971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Vehículos del MHCP - 2020</a:t>
          </a:r>
        </a:p>
      </dsp:txBody>
      <dsp:txXfrm>
        <a:off x="755542" y="1921908"/>
        <a:ext cx="1478167" cy="499716"/>
      </dsp:txXfrm>
    </dsp:sp>
    <dsp:sp modelId="{15E6158D-3599-423F-B033-1023F7BA276E}">
      <dsp:nvSpPr>
        <dsp:cNvPr id="0" name=""/>
        <dsp:cNvSpPr/>
      </dsp:nvSpPr>
      <dsp:spPr>
        <a:xfrm>
          <a:off x="1928723" y="184429"/>
          <a:ext cx="921193" cy="51473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Esquema de Seguridad -Despacho de Ministro </a:t>
          </a:r>
        </a:p>
      </dsp:txBody>
      <dsp:txXfrm>
        <a:off x="1928723" y="184429"/>
        <a:ext cx="921193" cy="514736"/>
      </dsp:txXfrm>
    </dsp:sp>
    <dsp:sp modelId="{264881E2-64F9-4A2E-8EFE-02BA2D9B83AB}">
      <dsp:nvSpPr>
        <dsp:cNvPr id="0" name=""/>
        <dsp:cNvSpPr/>
      </dsp:nvSpPr>
      <dsp:spPr>
        <a:xfrm>
          <a:off x="3034155" y="301372"/>
          <a:ext cx="921193" cy="28085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5</a:t>
          </a:r>
        </a:p>
      </dsp:txBody>
      <dsp:txXfrm>
        <a:off x="3034155" y="301372"/>
        <a:ext cx="921193" cy="280851"/>
      </dsp:txXfrm>
    </dsp:sp>
    <dsp:sp modelId="{8B984234-E143-4FA1-9BEF-50AFCB64381A}">
      <dsp:nvSpPr>
        <dsp:cNvPr id="0" name=""/>
        <dsp:cNvSpPr/>
      </dsp:nvSpPr>
      <dsp:spPr>
        <a:xfrm>
          <a:off x="4139588" y="3321"/>
          <a:ext cx="921193" cy="525889"/>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 3 Camionetas Toyota Prado (UNP)</a:t>
          </a:r>
        </a:p>
      </dsp:txBody>
      <dsp:txXfrm>
        <a:off x="4139588" y="3321"/>
        <a:ext cx="921193" cy="525889"/>
      </dsp:txXfrm>
    </dsp:sp>
    <dsp:sp modelId="{FF4E8EC0-7C80-4B91-9232-908568F67927}">
      <dsp:nvSpPr>
        <dsp:cNvPr id="0" name=""/>
        <dsp:cNvSpPr/>
      </dsp:nvSpPr>
      <dsp:spPr>
        <a:xfrm>
          <a:off x="4139588" y="599423"/>
          <a:ext cx="921193" cy="28085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2 Motocicletas Suzuki</a:t>
          </a:r>
        </a:p>
      </dsp:txBody>
      <dsp:txXfrm>
        <a:off x="4139588" y="599423"/>
        <a:ext cx="921193" cy="280851"/>
      </dsp:txXfrm>
    </dsp:sp>
    <dsp:sp modelId="{494812A6-4174-4972-AA1B-B1F2F2D50CCD}">
      <dsp:nvSpPr>
        <dsp:cNvPr id="0" name=""/>
        <dsp:cNvSpPr/>
      </dsp:nvSpPr>
      <dsp:spPr>
        <a:xfrm>
          <a:off x="1928723" y="1184332"/>
          <a:ext cx="921193" cy="53971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Esquema de Seguridad - Viceministro General </a:t>
          </a:r>
        </a:p>
      </dsp:txBody>
      <dsp:txXfrm>
        <a:off x="1928723" y="1184332"/>
        <a:ext cx="921193" cy="539718"/>
      </dsp:txXfrm>
    </dsp:sp>
    <dsp:sp modelId="{A9F5FAF6-4812-43C5-A4B8-12B1BFC264D4}">
      <dsp:nvSpPr>
        <dsp:cNvPr id="0" name=""/>
        <dsp:cNvSpPr/>
      </dsp:nvSpPr>
      <dsp:spPr>
        <a:xfrm>
          <a:off x="3034155" y="1313765"/>
          <a:ext cx="921193" cy="28085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2</a:t>
          </a:r>
        </a:p>
      </dsp:txBody>
      <dsp:txXfrm>
        <a:off x="3034155" y="1313765"/>
        <a:ext cx="921193" cy="280851"/>
      </dsp:txXfrm>
    </dsp:sp>
    <dsp:sp modelId="{37212196-EF47-4823-84B2-C68A44AC2B5E}">
      <dsp:nvSpPr>
        <dsp:cNvPr id="0" name=""/>
        <dsp:cNvSpPr/>
      </dsp:nvSpPr>
      <dsp:spPr>
        <a:xfrm>
          <a:off x="4139588" y="950487"/>
          <a:ext cx="921193" cy="43131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1 Camionetas Toyota Prado (UNP)</a:t>
          </a:r>
        </a:p>
      </dsp:txBody>
      <dsp:txXfrm>
        <a:off x="4139588" y="950487"/>
        <a:ext cx="921193" cy="431315"/>
      </dsp:txXfrm>
    </dsp:sp>
    <dsp:sp modelId="{390B820D-A4A0-4985-9898-E56B663CADE2}">
      <dsp:nvSpPr>
        <dsp:cNvPr id="0" name=""/>
        <dsp:cNvSpPr/>
      </dsp:nvSpPr>
      <dsp:spPr>
        <a:xfrm>
          <a:off x="4139588" y="1452016"/>
          <a:ext cx="921193" cy="50587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1 Camioneta Toyota Fortuner (Comodato UNP).</a:t>
          </a:r>
        </a:p>
      </dsp:txBody>
      <dsp:txXfrm>
        <a:off x="4139588" y="1452016"/>
        <a:ext cx="921193" cy="505878"/>
      </dsp:txXfrm>
    </dsp:sp>
    <dsp:sp modelId="{7FD53DF9-7469-4CC2-9125-ADE85DAD2A48}">
      <dsp:nvSpPr>
        <dsp:cNvPr id="0" name=""/>
        <dsp:cNvSpPr/>
      </dsp:nvSpPr>
      <dsp:spPr>
        <a:xfrm>
          <a:off x="1928723" y="2288110"/>
          <a:ext cx="921193" cy="51597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Directivos </a:t>
          </a:r>
        </a:p>
      </dsp:txBody>
      <dsp:txXfrm>
        <a:off x="1928723" y="2288110"/>
        <a:ext cx="921193" cy="515972"/>
      </dsp:txXfrm>
    </dsp:sp>
    <dsp:sp modelId="{98C9A6EC-3F79-45B3-B661-0BC5AA3B8725}">
      <dsp:nvSpPr>
        <dsp:cNvPr id="0" name=""/>
        <dsp:cNvSpPr/>
      </dsp:nvSpPr>
      <dsp:spPr>
        <a:xfrm>
          <a:off x="3034155" y="2405670"/>
          <a:ext cx="921193" cy="28085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14 </a:t>
          </a:r>
        </a:p>
      </dsp:txBody>
      <dsp:txXfrm>
        <a:off x="3034155" y="2405670"/>
        <a:ext cx="921193" cy="280851"/>
      </dsp:txXfrm>
    </dsp:sp>
    <dsp:sp modelId="{6F50AB69-8BAF-443D-89B3-9820A20362F6}">
      <dsp:nvSpPr>
        <dsp:cNvPr id="0" name=""/>
        <dsp:cNvSpPr/>
      </dsp:nvSpPr>
      <dsp:spPr>
        <a:xfrm>
          <a:off x="4139588" y="2028107"/>
          <a:ext cx="921193" cy="41586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  12 Camionetas Renault Koleos</a:t>
          </a:r>
        </a:p>
      </dsp:txBody>
      <dsp:txXfrm>
        <a:off x="4139588" y="2028107"/>
        <a:ext cx="921193" cy="415862"/>
      </dsp:txXfrm>
    </dsp:sp>
    <dsp:sp modelId="{1989BE18-802E-4B4B-ADDF-FF5E0170DD37}">
      <dsp:nvSpPr>
        <dsp:cNvPr id="0" name=""/>
        <dsp:cNvSpPr/>
      </dsp:nvSpPr>
      <dsp:spPr>
        <a:xfrm rot="10800000" flipV="1">
          <a:off x="4139588" y="2514183"/>
          <a:ext cx="921193" cy="54990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2 camionetas SAE - Destinación provisional</a:t>
          </a:r>
        </a:p>
      </dsp:txBody>
      <dsp:txXfrm rot="-10800000">
        <a:off x="4139588" y="2514183"/>
        <a:ext cx="921193" cy="549902"/>
      </dsp:txXfrm>
    </dsp:sp>
    <dsp:sp modelId="{7C760A39-7BB5-42F9-848A-FDC372C20F63}">
      <dsp:nvSpPr>
        <dsp:cNvPr id="0" name=""/>
        <dsp:cNvSpPr/>
      </dsp:nvSpPr>
      <dsp:spPr>
        <a:xfrm>
          <a:off x="1928723" y="3161734"/>
          <a:ext cx="921193" cy="435210"/>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Operativos</a:t>
          </a:r>
        </a:p>
      </dsp:txBody>
      <dsp:txXfrm>
        <a:off x="1928723" y="3161734"/>
        <a:ext cx="921193" cy="435210"/>
      </dsp:txXfrm>
    </dsp:sp>
    <dsp:sp modelId="{804EFEB1-BDA5-496A-901F-F7088A0A840B}">
      <dsp:nvSpPr>
        <dsp:cNvPr id="0" name=""/>
        <dsp:cNvSpPr/>
      </dsp:nvSpPr>
      <dsp:spPr>
        <a:xfrm>
          <a:off x="3034155" y="3238914"/>
          <a:ext cx="921193" cy="280851"/>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6</a:t>
          </a:r>
        </a:p>
      </dsp:txBody>
      <dsp:txXfrm>
        <a:off x="3034155" y="3238914"/>
        <a:ext cx="921193" cy="280851"/>
      </dsp:txXfrm>
    </dsp:sp>
    <dsp:sp modelId="{4E77E3E8-8E3E-4E85-94F6-6EEECCC42B46}">
      <dsp:nvSpPr>
        <dsp:cNvPr id="0" name=""/>
        <dsp:cNvSpPr/>
      </dsp:nvSpPr>
      <dsp:spPr>
        <a:xfrm>
          <a:off x="4139588" y="3134298"/>
          <a:ext cx="921193" cy="490083"/>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  6 Automovil Renault Fluence</a:t>
          </a:r>
        </a:p>
      </dsp:txBody>
      <dsp:txXfrm>
        <a:off x="4139588" y="3134298"/>
        <a:ext cx="921193" cy="490083"/>
      </dsp:txXfrm>
    </dsp:sp>
    <dsp:sp modelId="{28FFD107-EDB6-47A3-9CB3-E0BFEA3622E8}">
      <dsp:nvSpPr>
        <dsp:cNvPr id="0" name=""/>
        <dsp:cNvSpPr/>
      </dsp:nvSpPr>
      <dsp:spPr>
        <a:xfrm>
          <a:off x="1928723" y="3667158"/>
          <a:ext cx="921193" cy="491945"/>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es-CO" sz="900" kern="1200">
              <a:latin typeface="Arial" panose="020B0604020202020204" pitchFamily="34" charset="0"/>
              <a:cs typeface="Arial" panose="020B0604020202020204" pitchFamily="34" charset="0"/>
            </a:rPr>
            <a:t>Total: 27</a:t>
          </a:r>
        </a:p>
      </dsp:txBody>
      <dsp:txXfrm>
        <a:off x="1928723" y="3667158"/>
        <a:ext cx="921193" cy="4919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186922" y="1633180"/>
          <a:ext cx="283739" cy="91440"/>
        </a:xfrm>
        <a:custGeom>
          <a:avLst/>
          <a:gdLst/>
          <a:ahLst/>
          <a:cxnLst/>
          <a:rect l="0" t="0" r="0" b="0"/>
          <a:pathLst>
            <a:path>
              <a:moveTo>
                <a:pt x="0" y="45720"/>
              </a:moveTo>
              <a:lnTo>
                <a:pt x="283739"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321698" y="1671806"/>
        <a:ext cx="14186" cy="14186"/>
      </dsp:txXfrm>
    </dsp:sp>
    <dsp:sp modelId="{66E88A14-BAB7-413C-8DAC-E4A2B6934F45}">
      <dsp:nvSpPr>
        <dsp:cNvPr id="0" name=""/>
        <dsp:cNvSpPr/>
      </dsp:nvSpPr>
      <dsp:spPr>
        <a:xfrm>
          <a:off x="2484483" y="1633180"/>
          <a:ext cx="283739" cy="91440"/>
        </a:xfrm>
        <a:custGeom>
          <a:avLst/>
          <a:gdLst/>
          <a:ahLst/>
          <a:cxnLst/>
          <a:rect l="0" t="0" r="0" b="0"/>
          <a:pathLst>
            <a:path>
              <a:moveTo>
                <a:pt x="0" y="45720"/>
              </a:moveTo>
              <a:lnTo>
                <a:pt x="283739"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19259" y="1671806"/>
        <a:ext cx="14186" cy="14186"/>
      </dsp:txXfrm>
    </dsp:sp>
    <dsp:sp modelId="{530C3156-009D-4CE6-9AC0-CE0D599EA16D}">
      <dsp:nvSpPr>
        <dsp:cNvPr id="0" name=""/>
        <dsp:cNvSpPr/>
      </dsp:nvSpPr>
      <dsp:spPr>
        <a:xfrm>
          <a:off x="782044" y="1138237"/>
          <a:ext cx="283739" cy="540662"/>
        </a:xfrm>
        <a:custGeom>
          <a:avLst/>
          <a:gdLst/>
          <a:ahLst/>
          <a:cxnLst/>
          <a:rect l="0" t="0" r="0" b="0"/>
          <a:pathLst>
            <a:path>
              <a:moveTo>
                <a:pt x="0" y="0"/>
              </a:moveTo>
              <a:lnTo>
                <a:pt x="141869" y="0"/>
              </a:lnTo>
              <a:lnTo>
                <a:pt x="141869" y="540662"/>
              </a:lnTo>
              <a:lnTo>
                <a:pt x="283739" y="54066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08649" y="1393304"/>
        <a:ext cx="30529" cy="30529"/>
      </dsp:txXfrm>
    </dsp:sp>
    <dsp:sp modelId="{689646B4-2B28-494C-B0DB-511493D0722D}">
      <dsp:nvSpPr>
        <dsp:cNvPr id="0" name=""/>
        <dsp:cNvSpPr/>
      </dsp:nvSpPr>
      <dsp:spPr>
        <a:xfrm>
          <a:off x="2484483" y="1092517"/>
          <a:ext cx="283739" cy="91440"/>
        </a:xfrm>
        <a:custGeom>
          <a:avLst/>
          <a:gdLst/>
          <a:ahLst/>
          <a:cxnLst/>
          <a:rect l="0" t="0" r="0" b="0"/>
          <a:pathLst>
            <a:path>
              <a:moveTo>
                <a:pt x="0" y="45720"/>
              </a:moveTo>
              <a:lnTo>
                <a:pt x="283739"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19259" y="1131144"/>
        <a:ext cx="14186" cy="14186"/>
      </dsp:txXfrm>
    </dsp:sp>
    <dsp:sp modelId="{6A06BAA5-A702-4D5C-A34F-87929BC50D95}">
      <dsp:nvSpPr>
        <dsp:cNvPr id="0" name=""/>
        <dsp:cNvSpPr/>
      </dsp:nvSpPr>
      <dsp:spPr>
        <a:xfrm>
          <a:off x="782044" y="1092517"/>
          <a:ext cx="283739" cy="91440"/>
        </a:xfrm>
        <a:custGeom>
          <a:avLst/>
          <a:gdLst/>
          <a:ahLst/>
          <a:cxnLst/>
          <a:rect l="0" t="0" r="0" b="0"/>
          <a:pathLst>
            <a:path>
              <a:moveTo>
                <a:pt x="0" y="45720"/>
              </a:moveTo>
              <a:lnTo>
                <a:pt x="283739" y="457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16820" y="1131144"/>
        <a:ext cx="14186" cy="14186"/>
      </dsp:txXfrm>
    </dsp:sp>
    <dsp:sp modelId="{420125B8-E613-4D5F-A844-C5774DA72C3B}">
      <dsp:nvSpPr>
        <dsp:cNvPr id="0" name=""/>
        <dsp:cNvSpPr/>
      </dsp:nvSpPr>
      <dsp:spPr>
        <a:xfrm>
          <a:off x="4186922" y="597574"/>
          <a:ext cx="283739" cy="270331"/>
        </a:xfrm>
        <a:custGeom>
          <a:avLst/>
          <a:gdLst/>
          <a:ahLst/>
          <a:cxnLst/>
          <a:rect l="0" t="0" r="0" b="0"/>
          <a:pathLst>
            <a:path>
              <a:moveTo>
                <a:pt x="0" y="0"/>
              </a:moveTo>
              <a:lnTo>
                <a:pt x="141869" y="0"/>
              </a:lnTo>
              <a:lnTo>
                <a:pt x="141869" y="270331"/>
              </a:lnTo>
              <a:lnTo>
                <a:pt x="283739" y="27033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318994" y="722942"/>
        <a:ext cx="19595" cy="19595"/>
      </dsp:txXfrm>
    </dsp:sp>
    <dsp:sp modelId="{8544C45B-167C-4524-894D-DB9BE1E27233}">
      <dsp:nvSpPr>
        <dsp:cNvPr id="0" name=""/>
        <dsp:cNvSpPr/>
      </dsp:nvSpPr>
      <dsp:spPr>
        <a:xfrm>
          <a:off x="4186922" y="327243"/>
          <a:ext cx="283739" cy="270331"/>
        </a:xfrm>
        <a:custGeom>
          <a:avLst/>
          <a:gdLst/>
          <a:ahLst/>
          <a:cxnLst/>
          <a:rect l="0" t="0" r="0" b="0"/>
          <a:pathLst>
            <a:path>
              <a:moveTo>
                <a:pt x="0" y="270331"/>
              </a:moveTo>
              <a:lnTo>
                <a:pt x="141869" y="270331"/>
              </a:lnTo>
              <a:lnTo>
                <a:pt x="141869" y="0"/>
              </a:lnTo>
              <a:lnTo>
                <a:pt x="283739" y="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318994" y="452611"/>
        <a:ext cx="19595" cy="19595"/>
      </dsp:txXfrm>
    </dsp:sp>
    <dsp:sp modelId="{6D5211D1-B486-4EA6-9C61-0ABABD207976}">
      <dsp:nvSpPr>
        <dsp:cNvPr id="0" name=""/>
        <dsp:cNvSpPr/>
      </dsp:nvSpPr>
      <dsp:spPr>
        <a:xfrm>
          <a:off x="2484483" y="551854"/>
          <a:ext cx="283739" cy="91440"/>
        </a:xfrm>
        <a:custGeom>
          <a:avLst/>
          <a:gdLst/>
          <a:ahLst/>
          <a:cxnLst/>
          <a:rect l="0" t="0" r="0" b="0"/>
          <a:pathLst>
            <a:path>
              <a:moveTo>
                <a:pt x="0" y="45720"/>
              </a:moveTo>
              <a:lnTo>
                <a:pt x="283739"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619259" y="590481"/>
        <a:ext cx="14186" cy="14186"/>
      </dsp:txXfrm>
    </dsp:sp>
    <dsp:sp modelId="{71C3EB14-BB59-4ECB-B0DB-94D6E6D3D293}">
      <dsp:nvSpPr>
        <dsp:cNvPr id="0" name=""/>
        <dsp:cNvSpPr/>
      </dsp:nvSpPr>
      <dsp:spPr>
        <a:xfrm>
          <a:off x="782044" y="597574"/>
          <a:ext cx="283739" cy="540662"/>
        </a:xfrm>
        <a:custGeom>
          <a:avLst/>
          <a:gdLst/>
          <a:ahLst/>
          <a:cxnLst/>
          <a:rect l="0" t="0" r="0" b="0"/>
          <a:pathLst>
            <a:path>
              <a:moveTo>
                <a:pt x="0" y="540662"/>
              </a:moveTo>
              <a:lnTo>
                <a:pt x="141869" y="540662"/>
              </a:lnTo>
              <a:lnTo>
                <a:pt x="141869" y="0"/>
              </a:lnTo>
              <a:lnTo>
                <a:pt x="283739"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08649" y="852641"/>
        <a:ext cx="30529" cy="30529"/>
      </dsp:txXfrm>
    </dsp:sp>
    <dsp:sp modelId="{E7FB635D-8A90-4184-8878-E5B808191C1B}">
      <dsp:nvSpPr>
        <dsp:cNvPr id="0" name=""/>
        <dsp:cNvSpPr/>
      </dsp:nvSpPr>
      <dsp:spPr>
        <a:xfrm rot="16200000">
          <a:off x="-572458" y="921972"/>
          <a:ext cx="2276475"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Líneas de Celular  </a:t>
          </a:r>
        </a:p>
      </dsp:txBody>
      <dsp:txXfrm>
        <a:off x="-572458" y="921972"/>
        <a:ext cx="2276475" cy="432530"/>
      </dsp:txXfrm>
    </dsp:sp>
    <dsp:sp modelId="{29585426-42D9-45DD-9270-52CE683DC2AD}">
      <dsp:nvSpPr>
        <dsp:cNvPr id="0" name=""/>
        <dsp:cNvSpPr/>
      </dsp:nvSpPr>
      <dsp:spPr>
        <a:xfrm>
          <a:off x="1065783" y="381309"/>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Colombia Telecomunicaciones S.A. E.S.P.</a:t>
          </a:r>
        </a:p>
      </dsp:txBody>
      <dsp:txXfrm>
        <a:off x="1065783" y="381309"/>
        <a:ext cx="1418699" cy="432530"/>
      </dsp:txXfrm>
    </dsp:sp>
    <dsp:sp modelId="{A066A57B-55AA-49B2-A827-1C04D3541042}">
      <dsp:nvSpPr>
        <dsp:cNvPr id="0" name=""/>
        <dsp:cNvSpPr/>
      </dsp:nvSpPr>
      <dsp:spPr>
        <a:xfrm>
          <a:off x="2768222" y="381309"/>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22 Líneas </a:t>
          </a:r>
        </a:p>
      </dsp:txBody>
      <dsp:txXfrm>
        <a:off x="2768222" y="381309"/>
        <a:ext cx="1418699" cy="432530"/>
      </dsp:txXfrm>
    </dsp:sp>
    <dsp:sp modelId="{0C9DE918-C12F-45A6-B7CD-3DBC91ABA330}">
      <dsp:nvSpPr>
        <dsp:cNvPr id="0" name=""/>
        <dsp:cNvSpPr/>
      </dsp:nvSpPr>
      <dsp:spPr>
        <a:xfrm>
          <a:off x="4470662" y="110978"/>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16 Asignadas a Directivos </a:t>
          </a:r>
        </a:p>
      </dsp:txBody>
      <dsp:txXfrm>
        <a:off x="4470662" y="110978"/>
        <a:ext cx="1418699" cy="432530"/>
      </dsp:txXfrm>
    </dsp:sp>
    <dsp:sp modelId="{0EF58E61-AA7E-40D2-9EA1-FD10C968E904}">
      <dsp:nvSpPr>
        <dsp:cNvPr id="0" name=""/>
        <dsp:cNvSpPr/>
      </dsp:nvSpPr>
      <dsp:spPr>
        <a:xfrm>
          <a:off x="4470662" y="651640"/>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6 Asignadas a Planta Telefónica</a:t>
          </a:r>
        </a:p>
      </dsp:txBody>
      <dsp:txXfrm>
        <a:off x="4470662" y="651640"/>
        <a:ext cx="1418699" cy="432530"/>
      </dsp:txXfrm>
    </dsp:sp>
    <dsp:sp modelId="{7FE28124-E944-4026-8357-2663DC08B1CF}">
      <dsp:nvSpPr>
        <dsp:cNvPr id="0" name=""/>
        <dsp:cNvSpPr/>
      </dsp:nvSpPr>
      <dsp:spPr>
        <a:xfrm>
          <a:off x="1065783" y="921972"/>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Avantel S A S</a:t>
          </a:r>
        </a:p>
      </dsp:txBody>
      <dsp:txXfrm>
        <a:off x="1065783" y="921972"/>
        <a:ext cx="1418699" cy="432530"/>
      </dsp:txXfrm>
    </dsp:sp>
    <dsp:sp modelId="{F23E05AC-420C-4A0C-80EF-4E5B7B1FB4D6}">
      <dsp:nvSpPr>
        <dsp:cNvPr id="0" name=""/>
        <dsp:cNvSpPr/>
      </dsp:nvSpPr>
      <dsp:spPr>
        <a:xfrm>
          <a:off x="2768222" y="921972"/>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Esquema de seguridad </a:t>
          </a:r>
        </a:p>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3 Líneas</a:t>
          </a:r>
        </a:p>
      </dsp:txBody>
      <dsp:txXfrm>
        <a:off x="2768222" y="921972"/>
        <a:ext cx="1418699" cy="432530"/>
      </dsp:txXfrm>
    </dsp:sp>
    <dsp:sp modelId="{70B46348-E2A0-428A-B325-5705AA8028B3}">
      <dsp:nvSpPr>
        <dsp:cNvPr id="0" name=""/>
        <dsp:cNvSpPr/>
      </dsp:nvSpPr>
      <dsp:spPr>
        <a:xfrm>
          <a:off x="1065783" y="1462635"/>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Comunicación Celular S A Comcel S A</a:t>
          </a:r>
        </a:p>
      </dsp:txBody>
      <dsp:txXfrm>
        <a:off x="1065783" y="1462635"/>
        <a:ext cx="1418699" cy="432530"/>
      </dsp:txXfrm>
    </dsp:sp>
    <dsp:sp modelId="{385CDF54-AC42-405B-8B77-B98AD90F34F1}">
      <dsp:nvSpPr>
        <dsp:cNvPr id="0" name=""/>
        <dsp:cNvSpPr/>
      </dsp:nvSpPr>
      <dsp:spPr>
        <a:xfrm>
          <a:off x="2768222" y="1462635"/>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7 Líneas </a:t>
          </a:r>
        </a:p>
      </dsp:txBody>
      <dsp:txXfrm>
        <a:off x="2768222" y="1462635"/>
        <a:ext cx="1418699" cy="432530"/>
      </dsp:txXfrm>
    </dsp:sp>
    <dsp:sp modelId="{C007F74D-D915-4B1D-9926-26ACF676C91F}">
      <dsp:nvSpPr>
        <dsp:cNvPr id="0" name=""/>
        <dsp:cNvSpPr/>
      </dsp:nvSpPr>
      <dsp:spPr>
        <a:xfrm>
          <a:off x="4470662" y="1462635"/>
          <a:ext cx="1418699" cy="43253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latin typeface="Arial" panose="020B0604020202020204" pitchFamily="34" charset="0"/>
              <a:cs typeface="Arial" panose="020B0604020202020204" pitchFamily="34" charset="0"/>
            </a:rPr>
            <a:t>7 Asignadas a Planta Telefónica   </a:t>
          </a:r>
        </a:p>
      </dsp:txBody>
      <dsp:txXfrm>
        <a:off x="4470662" y="1462635"/>
        <a:ext cx="1418699" cy="43253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0.0917</cdr:x>
      <cdr:y>0.30864</cdr:y>
    </cdr:from>
    <cdr:to>
      <cdr:x>0.17904</cdr:x>
      <cdr:y>0.36111</cdr:y>
    </cdr:to>
    <cdr:sp macro="" textlink="">
      <cdr:nvSpPr>
        <cdr:cNvPr id="2" name="Cuadro de texto 1"/>
        <cdr:cNvSpPr txBox="1"/>
      </cdr:nvSpPr>
      <cdr:spPr>
        <a:xfrm xmlns:a="http://schemas.openxmlformats.org/drawingml/2006/main">
          <a:off x="400050" y="952500"/>
          <a:ext cx="381000"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0.09825</cdr:x>
      <cdr:y>0.1821</cdr:y>
    </cdr:from>
    <cdr:to>
      <cdr:x>0.14629</cdr:x>
      <cdr:y>0.38888</cdr:y>
    </cdr:to>
    <cdr:sp macro="" textlink="">
      <cdr:nvSpPr>
        <cdr:cNvPr id="3" name="Cuadro de texto 2"/>
        <cdr:cNvSpPr txBox="1"/>
      </cdr:nvSpPr>
      <cdr:spPr>
        <a:xfrm xmlns:a="http://schemas.openxmlformats.org/drawingml/2006/main" rot="16200000">
          <a:off x="214318" y="776271"/>
          <a:ext cx="638157" cy="2095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000" b="1">
              <a:solidFill>
                <a:schemeClr val="bg1"/>
              </a:solidFill>
              <a:latin typeface="Arial" panose="020B0604020202020204" pitchFamily="34" charset="0"/>
              <a:cs typeface="Arial" panose="020B0604020202020204" pitchFamily="34" charset="0"/>
            </a:rPr>
            <a:t>4.859</a:t>
          </a:r>
        </a:p>
      </cdr:txBody>
    </cdr:sp>
  </cdr:relSizeAnchor>
  <cdr:relSizeAnchor xmlns:cdr="http://schemas.openxmlformats.org/drawingml/2006/chartDrawing">
    <cdr:from>
      <cdr:x>0.17467</cdr:x>
      <cdr:y>0.28395</cdr:y>
    </cdr:from>
    <cdr:to>
      <cdr:x>0.21398</cdr:x>
      <cdr:y>0.47479</cdr:y>
    </cdr:to>
    <cdr:sp macro="" textlink="">
      <cdr:nvSpPr>
        <cdr:cNvPr id="4" name="Cuadro de texto 1"/>
        <cdr:cNvSpPr txBox="1"/>
      </cdr:nvSpPr>
      <cdr:spPr>
        <a:xfrm xmlns:a="http://schemas.openxmlformats.org/drawingml/2006/main" rot="16200000">
          <a:off x="553253" y="1085054"/>
          <a:ext cx="588958" cy="1714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100" b="1">
              <a:solidFill>
                <a:schemeClr val="bg1"/>
              </a:solidFill>
            </a:rPr>
            <a:t>4.222</a:t>
          </a:r>
        </a:p>
      </cdr:txBody>
    </cdr:sp>
  </cdr:relSizeAnchor>
  <cdr:relSizeAnchor xmlns:cdr="http://schemas.openxmlformats.org/drawingml/2006/chartDrawing">
    <cdr:from>
      <cdr:x>0.26419</cdr:x>
      <cdr:y>0.36471</cdr:y>
    </cdr:from>
    <cdr:to>
      <cdr:x>0.30786</cdr:x>
      <cdr:y>0.57149</cdr:y>
    </cdr:to>
    <cdr:sp macro="" textlink="">
      <cdr:nvSpPr>
        <cdr:cNvPr id="5" name="Cuadro de texto 1"/>
        <cdr:cNvSpPr txBox="1"/>
      </cdr:nvSpPr>
      <cdr:spPr>
        <a:xfrm xmlns:a="http://schemas.openxmlformats.org/drawingml/2006/main" rot="16200000">
          <a:off x="928707" y="1349364"/>
          <a:ext cx="638139" cy="1905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1000" b="1">
              <a:solidFill>
                <a:schemeClr val="bg1"/>
              </a:solidFill>
              <a:latin typeface="Arial" panose="020B0604020202020204" pitchFamily="34" charset="0"/>
              <a:cs typeface="Arial" panose="020B0604020202020204" pitchFamily="34" charset="0"/>
            </a:rPr>
            <a:t>3.378</a:t>
          </a:r>
        </a:p>
      </cdr:txBody>
    </cdr:sp>
  </cdr:relSizeAnchor>
</c:userShapes>
</file>

<file path=word/drawings/drawing2.xml><?xml version="1.0" encoding="utf-8"?>
<c:userShapes xmlns:c="http://schemas.openxmlformats.org/drawingml/2006/chart">
  <cdr:relSizeAnchor xmlns:cdr="http://schemas.openxmlformats.org/drawingml/2006/chartDrawing">
    <cdr:from>
      <cdr:x>0.74194</cdr:x>
      <cdr:y>0.39338</cdr:y>
    </cdr:from>
    <cdr:to>
      <cdr:x>0.97419</cdr:x>
      <cdr:y>0.47509</cdr:y>
    </cdr:to>
    <cdr:sp macro="" textlink="">
      <cdr:nvSpPr>
        <cdr:cNvPr id="2" name="Cuadro de texto 1"/>
        <cdr:cNvSpPr txBox="1"/>
      </cdr:nvSpPr>
      <cdr:spPr>
        <a:xfrm xmlns:a="http://schemas.openxmlformats.org/drawingml/2006/main">
          <a:off x="4381500" y="1238250"/>
          <a:ext cx="13716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900">
              <a:solidFill>
                <a:schemeClr val="tx2">
                  <a:lumMod val="50000"/>
                </a:schemeClr>
              </a:solidFill>
              <a:latin typeface="Arial" panose="020B0604020202020204" pitchFamily="34" charset="0"/>
              <a:cs typeface="Arial" panose="020B0604020202020204" pitchFamily="34" charset="0"/>
            </a:rPr>
            <a:t>Consumo en Cúbicos</a:t>
          </a:r>
        </a:p>
      </cdr:txBody>
    </cdr:sp>
  </cdr:relSizeAnchor>
  <cdr:relSizeAnchor xmlns:cdr="http://schemas.openxmlformats.org/drawingml/2006/chartDrawing">
    <cdr:from>
      <cdr:x>0.74395</cdr:x>
      <cdr:y>0.66371</cdr:y>
    </cdr:from>
    <cdr:to>
      <cdr:x>0.97621</cdr:x>
      <cdr:y>0.74541</cdr:y>
    </cdr:to>
    <cdr:sp macro="" textlink="">
      <cdr:nvSpPr>
        <cdr:cNvPr id="3" name="Cuadro de texto 1"/>
        <cdr:cNvSpPr txBox="1"/>
      </cdr:nvSpPr>
      <cdr:spPr>
        <a:xfrm xmlns:a="http://schemas.openxmlformats.org/drawingml/2006/main">
          <a:off x="4691011" y="2089150"/>
          <a:ext cx="1464515" cy="2571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O" sz="900">
              <a:latin typeface="Arial" panose="020B0604020202020204" pitchFamily="34" charset="0"/>
              <a:cs typeface="Arial" panose="020B0604020202020204" pitchFamily="34" charset="0"/>
            </a:rPr>
            <a:t>Valor </a:t>
          </a:r>
          <a:r>
            <a:rPr lang="es-CO" sz="900">
              <a:solidFill>
                <a:schemeClr val="tx2">
                  <a:lumMod val="50000"/>
                </a:schemeClr>
              </a:solidFill>
              <a:latin typeface="Arial" panose="020B0604020202020204" pitchFamily="34" charset="0"/>
              <a:cs typeface="Arial" panose="020B0604020202020204" pitchFamily="34" charset="0"/>
            </a:rPr>
            <a:t>Facturado</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28F4-2401-4661-9C6D-B4E8B178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6624</TotalTime>
  <Pages>61</Pages>
  <Words>21677</Words>
  <Characters>123565</Characters>
  <Application>Microsoft Office Word</Application>
  <DocSecurity>0</DocSecurity>
  <Lines>1029</Lines>
  <Paragraphs>289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Edilce Sinuco Correa</cp:lastModifiedBy>
  <cp:revision>652</cp:revision>
  <cp:lastPrinted>2020-10-21T19:35:00Z</cp:lastPrinted>
  <dcterms:created xsi:type="dcterms:W3CDTF">2020-11-20T18:40:00Z</dcterms:created>
  <dcterms:modified xsi:type="dcterms:W3CDTF">2020-12-22T18:56:00Z</dcterms:modified>
</cp:coreProperties>
</file>