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5B73" w14:textId="77777777" w:rsidR="00C40B24" w:rsidRPr="009549C4" w:rsidRDefault="00C40B24" w:rsidP="00236DDA">
      <w:pPr>
        <w:ind w:right="-1"/>
        <w:jc w:val="center"/>
        <w:rPr>
          <w:rFonts w:ascii="Verdana" w:hAnsi="Verdana" w:cs="Arial"/>
          <w:b/>
          <w:bCs/>
          <w:sz w:val="22"/>
          <w:szCs w:val="22"/>
          <w:lang w:val="es-CO"/>
        </w:rPr>
      </w:pPr>
    </w:p>
    <w:p w14:paraId="03F7E20E" w14:textId="77777777" w:rsidR="00877453" w:rsidRPr="00877453" w:rsidRDefault="00877453" w:rsidP="00877453">
      <w:pPr>
        <w:ind w:right="-1"/>
        <w:jc w:val="both"/>
        <w:rPr>
          <w:rFonts w:ascii="Verdana" w:hAnsi="Verdana" w:cs="Arial"/>
          <w:sz w:val="22"/>
          <w:szCs w:val="22"/>
          <w:lang w:val="es-CO"/>
        </w:rPr>
      </w:pPr>
      <w:r w:rsidRPr="00877453">
        <w:rPr>
          <w:rFonts w:ascii="Verdana" w:hAnsi="Verdana" w:cs="Arial"/>
          <w:sz w:val="22"/>
          <w:szCs w:val="22"/>
        </w:rPr>
        <w:t>2.0.0.1</w:t>
      </w:r>
    </w:p>
    <w:p w14:paraId="57A7D5EE" w14:textId="77777777" w:rsidR="00877453" w:rsidRPr="00877453" w:rsidRDefault="00877453" w:rsidP="00877453">
      <w:pPr>
        <w:ind w:right="-1"/>
        <w:jc w:val="both"/>
        <w:rPr>
          <w:rFonts w:ascii="Verdana" w:hAnsi="Verdana" w:cs="Arial"/>
          <w:sz w:val="22"/>
          <w:szCs w:val="22"/>
          <w:lang w:val="es-CO"/>
        </w:rPr>
      </w:pPr>
      <w:r w:rsidRPr="00877453">
        <w:rPr>
          <w:rFonts w:ascii="Verdana" w:hAnsi="Verdana" w:cs="Arial"/>
          <w:sz w:val="22"/>
          <w:szCs w:val="22"/>
        </w:rPr>
        <w:t> </w:t>
      </w:r>
    </w:p>
    <w:p w14:paraId="5CC6E7B0" w14:textId="77777777" w:rsidR="00877453" w:rsidRPr="00877453" w:rsidRDefault="00877453" w:rsidP="00877453">
      <w:pPr>
        <w:ind w:right="-1"/>
        <w:jc w:val="both"/>
        <w:rPr>
          <w:rFonts w:ascii="Verdana" w:hAnsi="Verdana" w:cs="Arial"/>
          <w:sz w:val="22"/>
          <w:szCs w:val="22"/>
          <w:lang w:val="es-CO"/>
        </w:rPr>
      </w:pPr>
      <w:r w:rsidRPr="00877453">
        <w:rPr>
          <w:rFonts w:ascii="Verdana" w:hAnsi="Verdana" w:cs="Arial"/>
          <w:sz w:val="22"/>
          <w:szCs w:val="22"/>
        </w:rPr>
        <w:t>Bogotá D.C., 18 de marzo de 2025</w:t>
      </w:r>
    </w:p>
    <w:p w14:paraId="55B32C7E" w14:textId="77777777" w:rsidR="00877453" w:rsidRPr="00877453" w:rsidRDefault="00877453" w:rsidP="00877453">
      <w:pPr>
        <w:ind w:right="-1"/>
        <w:jc w:val="both"/>
        <w:rPr>
          <w:rFonts w:ascii="Verdana" w:hAnsi="Verdana" w:cs="Arial"/>
          <w:sz w:val="22"/>
          <w:szCs w:val="22"/>
          <w:lang w:val="es-CO"/>
        </w:rPr>
      </w:pPr>
      <w:r w:rsidRPr="00877453">
        <w:rPr>
          <w:rFonts w:ascii="Verdana" w:hAnsi="Verdana" w:cs="Arial"/>
          <w:sz w:val="22"/>
          <w:szCs w:val="22"/>
        </w:rPr>
        <w:t> </w:t>
      </w:r>
    </w:p>
    <w:p w14:paraId="55BECAA5" w14:textId="77777777" w:rsidR="00877453" w:rsidRPr="00877453" w:rsidRDefault="00877453" w:rsidP="00877453">
      <w:pPr>
        <w:ind w:right="-1"/>
        <w:jc w:val="both"/>
        <w:rPr>
          <w:rFonts w:ascii="Verdana" w:hAnsi="Verdana" w:cs="Arial"/>
          <w:sz w:val="22"/>
          <w:szCs w:val="22"/>
          <w:lang w:val="es-CO"/>
        </w:rPr>
      </w:pPr>
      <w:r w:rsidRPr="00877453">
        <w:rPr>
          <w:rFonts w:ascii="Verdana" w:hAnsi="Verdana" w:cs="Arial"/>
          <w:b/>
          <w:bCs/>
          <w:sz w:val="22"/>
          <w:szCs w:val="22"/>
        </w:rPr>
        <w:t>PARA:</w:t>
      </w:r>
      <w:r w:rsidRPr="00877453">
        <w:rPr>
          <w:rFonts w:ascii="Verdana" w:hAnsi="Verdana" w:cs="Arial"/>
          <w:sz w:val="22"/>
          <w:szCs w:val="22"/>
        </w:rPr>
        <w:t xml:space="preserve"> Coordinadores y delegados del SIIF Nación</w:t>
      </w:r>
    </w:p>
    <w:p w14:paraId="1370F2DC" w14:textId="77777777" w:rsidR="00877453" w:rsidRPr="00877453" w:rsidRDefault="00877453" w:rsidP="00877453">
      <w:pPr>
        <w:ind w:right="-1"/>
        <w:jc w:val="both"/>
        <w:rPr>
          <w:rFonts w:ascii="Verdana" w:hAnsi="Verdana" w:cs="Arial"/>
          <w:sz w:val="22"/>
          <w:szCs w:val="22"/>
          <w:lang w:val="es-CO"/>
        </w:rPr>
      </w:pPr>
      <w:r w:rsidRPr="00877453">
        <w:rPr>
          <w:rFonts w:ascii="Verdana" w:hAnsi="Verdana" w:cs="Arial"/>
          <w:b/>
          <w:bCs/>
          <w:sz w:val="22"/>
          <w:szCs w:val="22"/>
        </w:rPr>
        <w:t>ASUNTO</w:t>
      </w:r>
      <w:r w:rsidRPr="00877453">
        <w:rPr>
          <w:rFonts w:ascii="Verdana" w:hAnsi="Verdana" w:cs="Arial"/>
          <w:sz w:val="22"/>
          <w:szCs w:val="22"/>
        </w:rPr>
        <w:t>: SIIF Nación – Comunicado Horario Sistema Cierre contable 2025</w:t>
      </w:r>
    </w:p>
    <w:p w14:paraId="3DA5E790" w14:textId="77777777" w:rsidR="002F5E59" w:rsidRPr="002F5E59" w:rsidRDefault="002F5E59" w:rsidP="002F5E59">
      <w:pPr>
        <w:ind w:right="-1"/>
        <w:jc w:val="both"/>
        <w:rPr>
          <w:rFonts w:ascii="Verdana" w:hAnsi="Verdana" w:cs="Arial"/>
          <w:sz w:val="22"/>
          <w:szCs w:val="22"/>
        </w:rPr>
      </w:pPr>
      <w:r w:rsidRPr="002F5E59">
        <w:rPr>
          <w:rFonts w:ascii="Verdana" w:hAnsi="Verdana" w:cs="Arial"/>
          <w:sz w:val="22"/>
          <w:szCs w:val="22"/>
        </w:rPr>
        <w:t>2.0.0.1</w:t>
      </w:r>
    </w:p>
    <w:p w14:paraId="20B160CC" w14:textId="77777777" w:rsidR="002F5E59" w:rsidRPr="002F5E59" w:rsidRDefault="002F5E59" w:rsidP="002F5E59">
      <w:pPr>
        <w:ind w:right="-1"/>
        <w:jc w:val="both"/>
        <w:rPr>
          <w:rFonts w:ascii="Verdana" w:hAnsi="Verdana" w:cs="Arial"/>
          <w:sz w:val="22"/>
          <w:szCs w:val="22"/>
        </w:rPr>
      </w:pPr>
    </w:p>
    <w:p w14:paraId="4FDB31A6" w14:textId="77777777" w:rsidR="002F5E59" w:rsidRPr="002F5E59" w:rsidRDefault="002F5E59" w:rsidP="002F5E59">
      <w:pPr>
        <w:ind w:right="-1"/>
        <w:jc w:val="both"/>
        <w:rPr>
          <w:rFonts w:ascii="Verdana" w:hAnsi="Verdana" w:cs="Arial"/>
          <w:sz w:val="22"/>
          <w:szCs w:val="22"/>
        </w:rPr>
      </w:pPr>
      <w:r w:rsidRPr="002F5E59">
        <w:rPr>
          <w:rFonts w:ascii="Verdana" w:hAnsi="Verdana" w:cs="Arial"/>
          <w:sz w:val="22"/>
          <w:szCs w:val="22"/>
        </w:rPr>
        <w:t>Bogotá D.C., 24 de marzo de 2026</w:t>
      </w:r>
    </w:p>
    <w:p w14:paraId="270C8858" w14:textId="77777777" w:rsidR="002F5E59" w:rsidRPr="002F5E59" w:rsidRDefault="002F5E59" w:rsidP="002F5E59">
      <w:pPr>
        <w:ind w:right="-1"/>
        <w:jc w:val="both"/>
        <w:rPr>
          <w:rFonts w:ascii="Verdana" w:hAnsi="Verdana" w:cs="Arial"/>
          <w:sz w:val="22"/>
          <w:szCs w:val="22"/>
        </w:rPr>
      </w:pPr>
    </w:p>
    <w:p w14:paraId="26D7660C" w14:textId="77777777" w:rsidR="002F5E59" w:rsidRPr="002F5E59" w:rsidRDefault="002F5E59" w:rsidP="002F5E59">
      <w:pPr>
        <w:ind w:right="-1"/>
        <w:jc w:val="both"/>
        <w:rPr>
          <w:rFonts w:ascii="Verdana" w:hAnsi="Verdana" w:cs="Arial"/>
          <w:sz w:val="22"/>
          <w:szCs w:val="22"/>
        </w:rPr>
      </w:pPr>
      <w:r w:rsidRPr="002F5E59">
        <w:rPr>
          <w:rFonts w:ascii="Verdana" w:hAnsi="Verdana" w:cs="Arial"/>
          <w:sz w:val="22"/>
          <w:szCs w:val="22"/>
        </w:rPr>
        <w:t>PARA: Coordinadores y delegados del SIIF Nación</w:t>
      </w:r>
    </w:p>
    <w:p w14:paraId="3072982D" w14:textId="77777777" w:rsidR="002F5E59" w:rsidRPr="002F5E59" w:rsidRDefault="002F5E59" w:rsidP="002F5E59">
      <w:pPr>
        <w:ind w:right="-1"/>
        <w:jc w:val="both"/>
        <w:rPr>
          <w:rFonts w:ascii="Verdana" w:hAnsi="Verdana" w:cs="Arial"/>
          <w:sz w:val="22"/>
          <w:szCs w:val="22"/>
        </w:rPr>
      </w:pPr>
    </w:p>
    <w:p w14:paraId="3744CA91" w14:textId="77777777" w:rsidR="002F5E59" w:rsidRPr="002F5E59" w:rsidRDefault="002F5E59" w:rsidP="002F5E59">
      <w:pPr>
        <w:ind w:right="-1"/>
        <w:jc w:val="both"/>
        <w:rPr>
          <w:rFonts w:ascii="Verdana" w:hAnsi="Verdana" w:cs="Arial"/>
          <w:sz w:val="22"/>
          <w:szCs w:val="22"/>
        </w:rPr>
      </w:pPr>
      <w:r w:rsidRPr="002F5E59">
        <w:rPr>
          <w:rFonts w:ascii="Verdana" w:hAnsi="Verdana" w:cs="Arial"/>
          <w:sz w:val="22"/>
          <w:szCs w:val="22"/>
        </w:rPr>
        <w:t>ASUNTO: SIIF Nación – Comunicado Horario Sistema Cierre 2025 e Inicio contable 2026</w:t>
      </w:r>
    </w:p>
    <w:p w14:paraId="651BFCCF" w14:textId="77777777" w:rsidR="002F5E59" w:rsidRPr="002F5E59" w:rsidRDefault="002F5E59" w:rsidP="002F5E59">
      <w:pPr>
        <w:ind w:right="-1"/>
        <w:jc w:val="both"/>
        <w:rPr>
          <w:rFonts w:ascii="Verdana" w:hAnsi="Verdana" w:cs="Arial"/>
          <w:sz w:val="22"/>
          <w:szCs w:val="22"/>
        </w:rPr>
      </w:pPr>
    </w:p>
    <w:p w14:paraId="7DBE6CC2" w14:textId="77777777" w:rsidR="002F5E59" w:rsidRPr="002F5E59" w:rsidRDefault="002F5E59" w:rsidP="002F5E59">
      <w:pPr>
        <w:ind w:right="-1"/>
        <w:jc w:val="both"/>
        <w:rPr>
          <w:rFonts w:ascii="Verdana" w:hAnsi="Verdana" w:cs="Arial"/>
          <w:sz w:val="22"/>
          <w:szCs w:val="22"/>
        </w:rPr>
      </w:pPr>
    </w:p>
    <w:p w14:paraId="0D5F4D55" w14:textId="77777777" w:rsidR="002F5E59" w:rsidRPr="002F5E59" w:rsidRDefault="002F5E59" w:rsidP="002F5E59">
      <w:pPr>
        <w:ind w:right="-1"/>
        <w:jc w:val="both"/>
        <w:rPr>
          <w:rFonts w:ascii="Verdana" w:hAnsi="Verdana" w:cs="Arial"/>
          <w:sz w:val="22"/>
          <w:szCs w:val="22"/>
          <w:lang w:val="es-CO"/>
        </w:rPr>
      </w:pPr>
      <w:r w:rsidRPr="002F5E59">
        <w:rPr>
          <w:rFonts w:ascii="Verdana" w:hAnsi="Verdana" w:cs="Arial"/>
          <w:sz w:val="22"/>
          <w:szCs w:val="22"/>
        </w:rPr>
        <w:t>Respetados señores:</w:t>
      </w:r>
    </w:p>
    <w:p w14:paraId="1C267D4A" w14:textId="77777777" w:rsidR="002F5E59" w:rsidRPr="002F5E59" w:rsidRDefault="002F5E59" w:rsidP="002F5E59">
      <w:pPr>
        <w:ind w:right="-1"/>
        <w:jc w:val="both"/>
        <w:rPr>
          <w:rFonts w:ascii="Verdana" w:hAnsi="Verdana" w:cs="Arial"/>
          <w:sz w:val="22"/>
          <w:szCs w:val="22"/>
        </w:rPr>
      </w:pPr>
    </w:p>
    <w:p w14:paraId="0BA13755" w14:textId="77777777" w:rsidR="002F5E59" w:rsidRPr="002F5E59" w:rsidRDefault="002F5E59" w:rsidP="002F5E59">
      <w:pPr>
        <w:ind w:right="-1"/>
        <w:jc w:val="both"/>
        <w:rPr>
          <w:rFonts w:ascii="Verdana" w:hAnsi="Verdana" w:cs="Arial"/>
          <w:sz w:val="22"/>
          <w:szCs w:val="22"/>
          <w:lang w:val="es-CO"/>
        </w:rPr>
      </w:pPr>
      <w:r w:rsidRPr="002F5E59">
        <w:rPr>
          <w:rFonts w:ascii="Verdana" w:hAnsi="Verdana" w:cs="Arial"/>
          <w:sz w:val="22"/>
          <w:szCs w:val="22"/>
        </w:rPr>
        <w:t>De acuerdo con lo establecido en el literal n) del numeral 2 de la Circular 035 de 2025 emitida por la Administración del SIIF, así como con el Instructivo de cierre 2025 emitido por la Contaduría General de la Nación, referente al proceso del inicio contable de la vigencia 2026, informa lo siguiente:</w:t>
      </w:r>
    </w:p>
    <w:p w14:paraId="42D47B3D" w14:textId="77777777" w:rsidR="002F5E59" w:rsidRPr="002F5E59" w:rsidRDefault="002F5E59" w:rsidP="002F5E59">
      <w:pPr>
        <w:ind w:right="-1"/>
        <w:jc w:val="both"/>
        <w:rPr>
          <w:rFonts w:ascii="Verdana" w:hAnsi="Verdana" w:cs="Arial"/>
          <w:sz w:val="22"/>
          <w:szCs w:val="22"/>
          <w:lang w:val="es-CO"/>
        </w:rPr>
      </w:pPr>
      <w:r w:rsidRPr="002F5E59">
        <w:rPr>
          <w:rFonts w:ascii="Verdana" w:hAnsi="Verdana" w:cs="Arial"/>
          <w:sz w:val="22"/>
          <w:szCs w:val="22"/>
        </w:rPr>
        <w:t>  </w:t>
      </w:r>
    </w:p>
    <w:p w14:paraId="6C88B850" w14:textId="77777777" w:rsidR="002F5E59" w:rsidRPr="002F5E59" w:rsidRDefault="002F5E59" w:rsidP="002F5E59">
      <w:pPr>
        <w:numPr>
          <w:ilvl w:val="0"/>
          <w:numId w:val="6"/>
        </w:numPr>
        <w:ind w:right="-1"/>
        <w:jc w:val="both"/>
        <w:rPr>
          <w:rFonts w:ascii="Verdana" w:hAnsi="Verdana" w:cs="Arial"/>
          <w:sz w:val="22"/>
          <w:szCs w:val="22"/>
          <w:lang w:val="es-CO"/>
        </w:rPr>
      </w:pPr>
      <w:r w:rsidRPr="002F5E59">
        <w:rPr>
          <w:rFonts w:ascii="Verdana" w:hAnsi="Verdana" w:cs="Arial"/>
          <w:b/>
          <w:bCs/>
          <w:sz w:val="22"/>
          <w:szCs w:val="22"/>
        </w:rPr>
        <w:t>El martes 24 de marzo de 2026</w:t>
      </w:r>
    </w:p>
    <w:p w14:paraId="5413B725" w14:textId="77777777" w:rsidR="002F5E59" w:rsidRPr="002F5E59" w:rsidRDefault="002F5E59" w:rsidP="002F5E59">
      <w:pPr>
        <w:ind w:right="-1"/>
        <w:jc w:val="both"/>
        <w:rPr>
          <w:rFonts w:ascii="Verdana" w:hAnsi="Verdana" w:cs="Arial"/>
          <w:sz w:val="22"/>
          <w:szCs w:val="22"/>
          <w:lang w:val="es-CO"/>
        </w:rPr>
      </w:pPr>
      <w:r w:rsidRPr="002F5E59">
        <w:rPr>
          <w:rFonts w:ascii="Verdana" w:hAnsi="Verdana" w:cs="Arial"/>
          <w:sz w:val="22"/>
          <w:szCs w:val="22"/>
        </w:rPr>
        <w:t> </w:t>
      </w:r>
    </w:p>
    <w:p w14:paraId="1365D771" w14:textId="77777777" w:rsidR="002F5E59" w:rsidRPr="002F5E59" w:rsidRDefault="002F5E59" w:rsidP="002F5E59">
      <w:pPr>
        <w:numPr>
          <w:ilvl w:val="0"/>
          <w:numId w:val="7"/>
        </w:numPr>
        <w:ind w:right="-1"/>
        <w:jc w:val="both"/>
        <w:rPr>
          <w:rFonts w:ascii="Verdana" w:hAnsi="Verdana" w:cs="Arial"/>
          <w:sz w:val="22"/>
          <w:szCs w:val="22"/>
          <w:lang w:val="es-CO"/>
        </w:rPr>
      </w:pPr>
      <w:r w:rsidRPr="002F5E59">
        <w:rPr>
          <w:rFonts w:ascii="Verdana" w:hAnsi="Verdana" w:cs="Arial"/>
          <w:sz w:val="22"/>
          <w:szCs w:val="22"/>
        </w:rPr>
        <w:t xml:space="preserve">Los procesos </w:t>
      </w:r>
      <w:proofErr w:type="spellStart"/>
      <w:r w:rsidRPr="002F5E59">
        <w:rPr>
          <w:rFonts w:ascii="Verdana" w:hAnsi="Verdana" w:cs="Arial"/>
          <w:sz w:val="22"/>
          <w:szCs w:val="22"/>
        </w:rPr>
        <w:t>batch</w:t>
      </w:r>
      <w:proofErr w:type="spellEnd"/>
      <w:r w:rsidRPr="002F5E59">
        <w:rPr>
          <w:rFonts w:ascii="Verdana" w:hAnsi="Verdana" w:cs="Arial"/>
          <w:sz w:val="22"/>
          <w:szCs w:val="22"/>
        </w:rPr>
        <w:t xml:space="preserve"> quedarán desactivados a partir de la 7:00 p.m.</w:t>
      </w:r>
    </w:p>
    <w:p w14:paraId="4506CB17" w14:textId="77777777" w:rsidR="002F5E59" w:rsidRPr="002F5E59" w:rsidRDefault="002F5E59" w:rsidP="002F5E59">
      <w:pPr>
        <w:numPr>
          <w:ilvl w:val="0"/>
          <w:numId w:val="7"/>
        </w:numPr>
        <w:ind w:right="-1"/>
        <w:jc w:val="both"/>
        <w:rPr>
          <w:rFonts w:ascii="Verdana" w:hAnsi="Verdana" w:cs="Arial"/>
          <w:sz w:val="22"/>
          <w:szCs w:val="22"/>
          <w:lang w:val="es-CO"/>
        </w:rPr>
      </w:pPr>
      <w:r w:rsidRPr="002F5E59">
        <w:rPr>
          <w:rFonts w:ascii="Verdana" w:hAnsi="Verdana" w:cs="Arial"/>
          <w:sz w:val="22"/>
          <w:szCs w:val="22"/>
        </w:rPr>
        <w:t xml:space="preserve">El sistema estará disponible para todos los usuarios </w:t>
      </w:r>
      <w:r w:rsidRPr="002F5E59">
        <w:rPr>
          <w:rFonts w:ascii="Verdana" w:hAnsi="Verdana" w:cs="Arial"/>
          <w:sz w:val="22"/>
          <w:szCs w:val="22"/>
          <w:u w:val="single"/>
        </w:rPr>
        <w:t>hasta las 9:00 p.m</w:t>
      </w:r>
      <w:r w:rsidRPr="002F5E59">
        <w:rPr>
          <w:rFonts w:ascii="Verdana" w:hAnsi="Verdana" w:cs="Arial"/>
          <w:sz w:val="22"/>
          <w:szCs w:val="22"/>
        </w:rPr>
        <w:t>.</w:t>
      </w:r>
    </w:p>
    <w:p w14:paraId="30A9FE4F" w14:textId="77777777" w:rsidR="002F5E59" w:rsidRPr="002F5E59" w:rsidRDefault="002F5E59" w:rsidP="002F5E59">
      <w:pPr>
        <w:ind w:right="-1"/>
        <w:jc w:val="both"/>
        <w:rPr>
          <w:rFonts w:ascii="Verdana" w:hAnsi="Verdana" w:cs="Arial"/>
          <w:sz w:val="22"/>
          <w:szCs w:val="22"/>
          <w:lang w:val="es-CO"/>
        </w:rPr>
      </w:pPr>
      <w:r w:rsidRPr="002F5E59">
        <w:rPr>
          <w:rFonts w:ascii="Verdana" w:hAnsi="Verdana" w:cs="Arial"/>
          <w:sz w:val="22"/>
          <w:szCs w:val="22"/>
        </w:rPr>
        <w:t> </w:t>
      </w:r>
    </w:p>
    <w:p w14:paraId="048DE515" w14:textId="0DD6A97C" w:rsidR="002F5E59" w:rsidRPr="002F5E59" w:rsidRDefault="002F5E59" w:rsidP="002F5E59">
      <w:pPr>
        <w:ind w:right="-1"/>
        <w:jc w:val="both"/>
        <w:rPr>
          <w:rFonts w:ascii="Verdana" w:hAnsi="Verdana" w:cs="Arial"/>
          <w:sz w:val="22"/>
          <w:szCs w:val="22"/>
          <w:lang w:val="es-CO"/>
        </w:rPr>
      </w:pPr>
      <w:r w:rsidRPr="002F5E59">
        <w:rPr>
          <w:rFonts w:ascii="Verdana" w:hAnsi="Verdana" w:cs="Arial"/>
          <w:sz w:val="22"/>
          <w:szCs w:val="22"/>
        </w:rPr>
        <w:t>Una vez concluido este proceso, la Administración informará la habilitación del servicio</w:t>
      </w:r>
    </w:p>
    <w:p w14:paraId="529A1BF0" w14:textId="2CDDF24D" w:rsidR="002F5E59" w:rsidRPr="002F5E59" w:rsidRDefault="002F5E59" w:rsidP="002F5E59">
      <w:pPr>
        <w:ind w:right="-1"/>
        <w:jc w:val="both"/>
        <w:rPr>
          <w:rFonts w:ascii="Verdana" w:hAnsi="Verdana" w:cs="Arial"/>
          <w:sz w:val="22"/>
          <w:szCs w:val="22"/>
          <w:lang w:val="es-CO"/>
        </w:rPr>
      </w:pPr>
      <w:r w:rsidRPr="002F5E59">
        <w:rPr>
          <w:rFonts w:ascii="Verdana" w:hAnsi="Verdana" w:cs="Arial"/>
          <w:sz w:val="22"/>
          <w:szCs w:val="22"/>
        </w:rPr>
        <w:t> </w:t>
      </w:r>
    </w:p>
    <w:p w14:paraId="7D2EA0B3" w14:textId="719016F1" w:rsidR="002F5E59" w:rsidRPr="002F5E59" w:rsidRDefault="002F5E59" w:rsidP="002F5E59">
      <w:pPr>
        <w:ind w:right="-1"/>
        <w:jc w:val="both"/>
        <w:rPr>
          <w:rFonts w:ascii="Verdana" w:hAnsi="Verdana" w:cs="Arial"/>
          <w:sz w:val="22"/>
          <w:szCs w:val="22"/>
        </w:rPr>
      </w:pPr>
    </w:p>
    <w:p w14:paraId="00D7DD0E" w14:textId="4EF677E0" w:rsidR="002F5E59" w:rsidRPr="002F5E59" w:rsidRDefault="002F5E59" w:rsidP="002F5E59">
      <w:pPr>
        <w:ind w:right="-1"/>
        <w:jc w:val="both"/>
        <w:rPr>
          <w:rFonts w:ascii="Verdana" w:hAnsi="Verdana" w:cs="Arial"/>
          <w:sz w:val="22"/>
          <w:szCs w:val="22"/>
        </w:rPr>
      </w:pPr>
    </w:p>
    <w:p w14:paraId="74481675" w14:textId="5384074E" w:rsidR="002F5E59" w:rsidRPr="002F5E59" w:rsidRDefault="002F5E59" w:rsidP="002F5E59">
      <w:pPr>
        <w:ind w:right="-1"/>
        <w:jc w:val="both"/>
        <w:rPr>
          <w:rFonts w:ascii="Verdana" w:hAnsi="Verdana" w:cs="Arial"/>
          <w:sz w:val="22"/>
          <w:szCs w:val="22"/>
        </w:rPr>
      </w:pPr>
    </w:p>
    <w:p w14:paraId="0C928570" w14:textId="06802ECB" w:rsidR="002F5E59" w:rsidRPr="002F5E59" w:rsidRDefault="002F5E59" w:rsidP="002F5E59">
      <w:pPr>
        <w:ind w:right="-1"/>
        <w:jc w:val="both"/>
        <w:rPr>
          <w:rFonts w:ascii="Verdana" w:hAnsi="Verdana" w:cs="Arial"/>
          <w:sz w:val="22"/>
          <w:szCs w:val="22"/>
        </w:rPr>
      </w:pPr>
      <w:r w:rsidRPr="002F5E59">
        <w:rPr>
          <w:rFonts w:ascii="Verdana" w:hAnsi="Verdana" w:cs="Arial"/>
          <w:sz w:val="22"/>
          <w:szCs w:val="22"/>
        </w:rPr>
        <w:t>Cordial saludo,</w:t>
      </w:r>
    </w:p>
    <w:p w14:paraId="6C15CD29" w14:textId="7E8FCBA1" w:rsidR="002F5E59" w:rsidRPr="002F5E59" w:rsidRDefault="00DA4E30" w:rsidP="002F5E59">
      <w:pPr>
        <w:ind w:right="-1"/>
        <w:jc w:val="both"/>
        <w:rPr>
          <w:rFonts w:ascii="Verdana" w:hAnsi="Verdana" w:cs="Arial"/>
          <w:sz w:val="22"/>
          <w:szCs w:val="22"/>
        </w:rPr>
      </w:pPr>
      <w:r>
        <w:rPr>
          <w:rFonts w:ascii="LydianBT-BoldItalic" w:hAnsi="LydianBT-BoldItalic" w:cs="Tahoma"/>
          <w:b/>
          <w:i/>
          <w:noProof/>
          <w:color w:val="333333"/>
          <w:lang w:val="es-CO" w:eastAsia="es-CO"/>
        </w:rPr>
        <w:drawing>
          <wp:anchor distT="0" distB="0" distL="114300" distR="114300" simplePos="0" relativeHeight="251664384" behindDoc="1" locked="0" layoutInCell="1" allowOverlap="1" wp14:anchorId="39B1972D" wp14:editId="713CD5B5">
            <wp:simplePos x="0" y="0"/>
            <wp:positionH relativeFrom="margin">
              <wp:posOffset>-26035</wp:posOffset>
            </wp:positionH>
            <wp:positionV relativeFrom="paragraph">
              <wp:posOffset>74121</wp:posOffset>
            </wp:positionV>
            <wp:extent cx="3257550" cy="685800"/>
            <wp:effectExtent l="0" t="0" r="0" b="0"/>
            <wp:wrapNone/>
            <wp:docPr id="1261474762" name="Imagen 1261474762"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74762" name="Imagen 1261474762" descr="Un dibujo de una persona&#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685800"/>
                    </a:xfrm>
                    <a:prstGeom prst="rect">
                      <a:avLst/>
                    </a:prstGeom>
                    <a:noFill/>
                  </pic:spPr>
                </pic:pic>
              </a:graphicData>
            </a:graphic>
            <wp14:sizeRelH relativeFrom="page">
              <wp14:pctWidth>0</wp14:pctWidth>
            </wp14:sizeRelH>
            <wp14:sizeRelV relativeFrom="page">
              <wp14:pctHeight>0</wp14:pctHeight>
            </wp14:sizeRelV>
          </wp:anchor>
        </w:drawing>
      </w:r>
    </w:p>
    <w:p w14:paraId="1B6C95EF" w14:textId="77777777" w:rsidR="002F5E59" w:rsidRPr="002F5E59" w:rsidRDefault="002F5E59" w:rsidP="002F5E59">
      <w:pPr>
        <w:ind w:right="-1"/>
        <w:jc w:val="both"/>
        <w:rPr>
          <w:rFonts w:ascii="Verdana" w:hAnsi="Verdana" w:cs="Arial"/>
          <w:sz w:val="22"/>
          <w:szCs w:val="22"/>
        </w:rPr>
      </w:pPr>
    </w:p>
    <w:p w14:paraId="2FC0A500" w14:textId="77777777" w:rsidR="002F5E59" w:rsidRPr="002F5E59" w:rsidRDefault="002F5E59" w:rsidP="002F5E59">
      <w:pPr>
        <w:ind w:right="-1"/>
        <w:jc w:val="both"/>
        <w:rPr>
          <w:rFonts w:ascii="Verdana" w:hAnsi="Verdana" w:cs="Arial"/>
          <w:sz w:val="22"/>
          <w:szCs w:val="22"/>
        </w:rPr>
      </w:pPr>
    </w:p>
    <w:p w14:paraId="0C86CD2A" w14:textId="77777777" w:rsidR="002F5E59" w:rsidRPr="002F5E59" w:rsidRDefault="002F5E59" w:rsidP="002F5E59">
      <w:pPr>
        <w:ind w:right="-1"/>
        <w:jc w:val="both"/>
        <w:rPr>
          <w:rFonts w:ascii="Verdana" w:hAnsi="Verdana" w:cs="Arial"/>
          <w:b/>
          <w:bCs/>
          <w:sz w:val="22"/>
          <w:szCs w:val="22"/>
        </w:rPr>
      </w:pPr>
      <w:r w:rsidRPr="002F5E59">
        <w:rPr>
          <w:rFonts w:ascii="Verdana" w:hAnsi="Verdana" w:cs="Arial"/>
          <w:b/>
          <w:bCs/>
          <w:sz w:val="22"/>
          <w:szCs w:val="22"/>
        </w:rPr>
        <w:t>DAVID FERNANDO MORALES DOMINGUEZ</w:t>
      </w:r>
    </w:p>
    <w:p w14:paraId="2A7987C5" w14:textId="77777777" w:rsidR="002F5E59" w:rsidRPr="002F5E59" w:rsidRDefault="002F5E59" w:rsidP="002F5E59">
      <w:pPr>
        <w:ind w:right="-1"/>
        <w:jc w:val="both"/>
        <w:rPr>
          <w:rFonts w:ascii="Verdana" w:hAnsi="Verdana" w:cs="Arial"/>
          <w:sz w:val="22"/>
          <w:szCs w:val="22"/>
        </w:rPr>
      </w:pPr>
      <w:r w:rsidRPr="002F5E59">
        <w:rPr>
          <w:rFonts w:ascii="Verdana" w:hAnsi="Verdana" w:cs="Arial"/>
          <w:sz w:val="22"/>
          <w:szCs w:val="22"/>
        </w:rPr>
        <w:t>Administrador del SIIF Nación</w:t>
      </w:r>
    </w:p>
    <w:p w14:paraId="135A5D4C" w14:textId="77777777" w:rsidR="002F5E59" w:rsidRPr="002F5E59" w:rsidRDefault="002F5E59" w:rsidP="002F5E59">
      <w:pPr>
        <w:ind w:right="-1"/>
        <w:jc w:val="both"/>
        <w:rPr>
          <w:rFonts w:ascii="Verdana" w:hAnsi="Verdana" w:cs="Arial"/>
          <w:sz w:val="22"/>
          <w:szCs w:val="22"/>
        </w:rPr>
      </w:pPr>
      <w:r w:rsidRPr="002F5E59">
        <w:rPr>
          <w:rFonts w:ascii="Verdana" w:hAnsi="Verdana" w:cs="Arial"/>
          <w:sz w:val="22"/>
          <w:szCs w:val="22"/>
        </w:rPr>
        <w:t>Viceministerio General de Hacienda</w:t>
      </w:r>
    </w:p>
    <w:p w14:paraId="0CB9E017" w14:textId="77777777" w:rsidR="002F5E59" w:rsidRPr="002F5E59" w:rsidRDefault="002F5E59" w:rsidP="002F5E59">
      <w:pPr>
        <w:ind w:right="-1"/>
        <w:jc w:val="both"/>
        <w:rPr>
          <w:rFonts w:ascii="Verdana" w:hAnsi="Verdana" w:cs="Arial"/>
          <w:b/>
          <w:bCs/>
          <w:sz w:val="22"/>
          <w:szCs w:val="22"/>
          <w:lang w:val="fr-FR"/>
        </w:rPr>
      </w:pPr>
    </w:p>
    <w:p w14:paraId="51D67DAA" w14:textId="77777777" w:rsidR="002F5E59" w:rsidRPr="002F5E59" w:rsidRDefault="002F5E59" w:rsidP="002F5E59">
      <w:pPr>
        <w:ind w:right="-1"/>
        <w:jc w:val="both"/>
        <w:rPr>
          <w:rFonts w:ascii="Verdana" w:hAnsi="Verdana" w:cs="Arial"/>
          <w:b/>
          <w:sz w:val="18"/>
          <w:szCs w:val="18"/>
        </w:rPr>
      </w:pPr>
    </w:p>
    <w:p w14:paraId="39DCE2C5" w14:textId="45891E3B" w:rsidR="00AD0830" w:rsidRPr="009549C4" w:rsidRDefault="00877453" w:rsidP="0083779D">
      <w:pPr>
        <w:ind w:right="-1"/>
        <w:jc w:val="both"/>
        <w:rPr>
          <w:rFonts w:ascii="Verdana" w:hAnsi="Verdana"/>
          <w:sz w:val="22"/>
          <w:szCs w:val="22"/>
        </w:rPr>
      </w:pPr>
      <w:r w:rsidRPr="00877453">
        <w:rPr>
          <w:rFonts w:ascii="Verdana" w:hAnsi="Verdana" w:cs="Arial"/>
          <w:b/>
          <w:sz w:val="18"/>
          <w:szCs w:val="18"/>
        </w:rPr>
        <w:t> </w:t>
      </w:r>
      <w:r w:rsidR="00A61840" w:rsidRPr="00A61840">
        <w:rPr>
          <w:rFonts w:ascii="Verdana" w:hAnsi="Verdana" w:cs="Arial"/>
          <w:b/>
          <w:sz w:val="18"/>
          <w:szCs w:val="18"/>
        </w:rPr>
        <w:t>APR</w:t>
      </w:r>
      <w:r w:rsidR="003142B4" w:rsidRPr="00A61840">
        <w:rPr>
          <w:rFonts w:ascii="Verdana" w:hAnsi="Verdana" w:cs="Arial"/>
          <w:b/>
          <w:sz w:val="18"/>
          <w:szCs w:val="18"/>
        </w:rPr>
        <w:t>R</w:t>
      </w:r>
      <w:r w:rsidR="003142B4" w:rsidRPr="009549C4">
        <w:rPr>
          <w:rFonts w:ascii="Verdana" w:hAnsi="Verdana" w:cs="Arial"/>
          <w:b/>
          <w:sz w:val="18"/>
          <w:szCs w:val="18"/>
        </w:rPr>
        <w:t>OBÓ</w:t>
      </w:r>
      <w:r w:rsidR="003142B4" w:rsidRPr="009549C4">
        <w:rPr>
          <w:rFonts w:ascii="Verdana" w:hAnsi="Verdana" w:cs="Arial"/>
          <w:sz w:val="18"/>
          <w:szCs w:val="18"/>
        </w:rPr>
        <w:t>: David Morales</w:t>
      </w:r>
    </w:p>
    <w:sectPr w:rsidR="00AD0830" w:rsidRPr="009549C4" w:rsidSect="00591C77">
      <w:headerReference w:type="default" r:id="rId12"/>
      <w:footerReference w:type="default" r:id="rId13"/>
      <w:headerReference w:type="first" r:id="rId14"/>
      <w:footerReference w:type="first" r:id="rId15"/>
      <w:pgSz w:w="12240" w:h="15840" w:code="1"/>
      <w:pgMar w:top="1701"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4C274" w14:textId="77777777" w:rsidR="006142F3" w:rsidRDefault="006142F3" w:rsidP="00F71345">
      <w:r>
        <w:separator/>
      </w:r>
    </w:p>
  </w:endnote>
  <w:endnote w:type="continuationSeparator" w:id="0">
    <w:p w14:paraId="569FCE60" w14:textId="77777777" w:rsidR="006142F3" w:rsidRDefault="006142F3"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ydianBT-Bold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9AE1" w14:textId="320195BD" w:rsidR="0076617A" w:rsidRPr="0076617A" w:rsidRDefault="00443343" w:rsidP="00591C77">
    <w:pPr>
      <w:jc w:val="center"/>
      <w:rPr>
        <w:sz w:val="16"/>
        <w:szCs w:val="16"/>
        <w:lang w:val="en-US"/>
      </w:rPr>
    </w:pPr>
    <w:r w:rsidRPr="000E7B16">
      <w:rPr>
        <w:rFonts w:ascii="Arial" w:hAnsi="Arial" w:cs="Arial"/>
        <w:noProof/>
      </w:rPr>
      <w:drawing>
        <wp:anchor distT="0" distB="0" distL="0" distR="0" simplePos="0" relativeHeight="251692032" behindDoc="0" locked="0" layoutInCell="1" allowOverlap="1" wp14:anchorId="01DA537F" wp14:editId="2FC1EED4">
          <wp:simplePos x="0" y="0"/>
          <wp:positionH relativeFrom="page">
            <wp:posOffset>1080135</wp:posOffset>
          </wp:positionH>
          <wp:positionV relativeFrom="paragraph">
            <wp:posOffset>122555</wp:posOffset>
          </wp:positionV>
          <wp:extent cx="2552201" cy="461962"/>
          <wp:effectExtent l="0" t="0" r="0" b="0"/>
          <wp:wrapTopAndBottom/>
          <wp:docPr id="833579261" name="image2.pn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1118" name="image2.png" descr="Texto&#10;&#10;Descripción generada automáticamente"/>
                  <pic:cNvPicPr/>
                </pic:nvPicPr>
                <pic:blipFill>
                  <a:blip r:embed="rId1" cstate="print"/>
                  <a:stretch>
                    <a:fillRect/>
                  </a:stretch>
                </pic:blipFill>
                <pic:spPr>
                  <a:xfrm>
                    <a:off x="0" y="0"/>
                    <a:ext cx="2552201" cy="461962"/>
                  </a:xfrm>
                  <a:prstGeom prst="rect">
                    <a:avLst/>
                  </a:prstGeom>
                </pic:spPr>
              </pic:pic>
            </a:graphicData>
          </a:graphic>
        </wp:anchor>
      </w:drawing>
    </w:r>
  </w:p>
  <w:p w14:paraId="5C799449" w14:textId="77777777" w:rsidR="00591C77" w:rsidRPr="0076617A" w:rsidRDefault="00591C77" w:rsidP="00591C77">
    <w:pPr>
      <w:pStyle w:val="Piedepgin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E1CF" w14:textId="27C11F6E" w:rsidR="00591C77" w:rsidRPr="0076617A" w:rsidRDefault="00443343" w:rsidP="00591C77">
    <w:pPr>
      <w:pStyle w:val="Piedepgina"/>
      <w:rPr>
        <w:lang w:val="en-US"/>
      </w:rPr>
    </w:pPr>
    <w:r w:rsidRPr="000E7B16">
      <w:rPr>
        <w:rFonts w:ascii="Arial" w:hAnsi="Arial" w:cs="Arial"/>
        <w:noProof/>
      </w:rPr>
      <w:drawing>
        <wp:anchor distT="0" distB="0" distL="0" distR="0" simplePos="0" relativeHeight="251689984" behindDoc="0" locked="0" layoutInCell="1" allowOverlap="1" wp14:anchorId="36DF847F" wp14:editId="2A49C7FF">
          <wp:simplePos x="0" y="0"/>
          <wp:positionH relativeFrom="margin">
            <wp:align>left</wp:align>
          </wp:positionH>
          <wp:positionV relativeFrom="paragraph">
            <wp:posOffset>-518397</wp:posOffset>
          </wp:positionV>
          <wp:extent cx="2552201" cy="461962"/>
          <wp:effectExtent l="0" t="0" r="635" b="0"/>
          <wp:wrapTopAndBottom/>
          <wp:docPr id="84201183" name="image2.pn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1118" name="image2.png" descr="Texto&#10;&#10;Descripción generada automáticamente"/>
                  <pic:cNvPicPr/>
                </pic:nvPicPr>
                <pic:blipFill>
                  <a:blip r:embed="rId1" cstate="print"/>
                  <a:stretch>
                    <a:fillRect/>
                  </a:stretch>
                </pic:blipFill>
                <pic:spPr>
                  <a:xfrm>
                    <a:off x="0" y="0"/>
                    <a:ext cx="2552201" cy="46196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645B" w14:textId="77777777" w:rsidR="006142F3" w:rsidRDefault="006142F3" w:rsidP="00F71345">
      <w:r>
        <w:separator/>
      </w:r>
    </w:p>
  </w:footnote>
  <w:footnote w:type="continuationSeparator" w:id="0">
    <w:p w14:paraId="1C16008B" w14:textId="77777777" w:rsidR="006142F3" w:rsidRDefault="006142F3"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E269" w14:textId="5B524771" w:rsidR="00591C77" w:rsidRPr="00591C77" w:rsidRDefault="00443343" w:rsidP="001339E2">
    <w:pPr>
      <w:jc w:val="right"/>
      <w:rPr>
        <w:rFonts w:ascii="Arial" w:hAnsi="Arial" w:cs="Arial"/>
        <w:sz w:val="16"/>
        <w:szCs w:val="16"/>
      </w:rPr>
    </w:pPr>
    <w:r>
      <w:rPr>
        <w:rFonts w:ascii="Calibri" w:eastAsia="Times New Roman" w:hAnsi="Calibri" w:cs="Calibri"/>
        <w:noProof/>
        <w:color w:val="000000"/>
        <w:lang w:eastAsia="es-MX"/>
      </w:rPr>
      <w:drawing>
        <wp:anchor distT="0" distB="0" distL="114300" distR="114300" simplePos="0" relativeHeight="251687936" behindDoc="0" locked="0" layoutInCell="1" allowOverlap="1" wp14:anchorId="1181C556" wp14:editId="28BDAA66">
          <wp:simplePos x="0" y="0"/>
          <wp:positionH relativeFrom="column">
            <wp:posOffset>1923719</wp:posOffset>
          </wp:positionH>
          <wp:positionV relativeFrom="paragraph">
            <wp:posOffset>1365</wp:posOffset>
          </wp:positionV>
          <wp:extent cx="1136566" cy="811033"/>
          <wp:effectExtent l="0" t="0" r="6985" b="8255"/>
          <wp:wrapNone/>
          <wp:docPr id="14804773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03420"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36566" cy="811033"/>
                  </a:xfrm>
                  <a:prstGeom prst="rect">
                    <a:avLst/>
                  </a:prstGeom>
                </pic:spPr>
              </pic:pic>
            </a:graphicData>
          </a:graphic>
          <wp14:sizeRelH relativeFrom="page">
            <wp14:pctWidth>0</wp14:pctWidth>
          </wp14:sizeRelH>
          <wp14:sizeRelV relativeFrom="page">
            <wp14:pctHeight>0</wp14:pctHeight>
          </wp14:sizeRelV>
        </wp:anchor>
      </w:drawing>
    </w:r>
  </w:p>
  <w:p w14:paraId="58EEC8C9" w14:textId="4FDB053A" w:rsidR="00591C77" w:rsidRPr="00591C77" w:rsidRDefault="00591C77">
    <w:pPr>
      <w:rPr>
        <w:rFonts w:ascii="Arial" w:hAnsi="Arial" w:cs="Arial"/>
        <w:sz w:val="16"/>
        <w:szCs w:val="16"/>
      </w:rPr>
    </w:pPr>
  </w:p>
  <w:p w14:paraId="5B999D69" w14:textId="35A02258" w:rsidR="0067155F" w:rsidRDefault="0067155F" w:rsidP="00591C77">
    <w:pPr>
      <w:pStyle w:val="Encabezado"/>
      <w:rPr>
        <w:rFonts w:ascii="Arial" w:hAnsi="Arial" w:cs="Arial"/>
        <w:sz w:val="16"/>
        <w:szCs w:val="16"/>
      </w:rPr>
    </w:pPr>
  </w:p>
  <w:p w14:paraId="2BDF6B0F" w14:textId="5D7803C8" w:rsidR="00591C77" w:rsidRPr="00591C77" w:rsidRDefault="007B77B5" w:rsidP="00443343">
    <w:pPr>
      <w:pStyle w:val="Encabezado"/>
      <w:tabs>
        <w:tab w:val="clear" w:pos="4419"/>
        <w:tab w:val="clear" w:pos="8838"/>
        <w:tab w:val="left" w:pos="2625"/>
      </w:tabs>
      <w:rPr>
        <w:rFonts w:ascii="Arial" w:hAnsi="Arial" w:cs="Arial"/>
        <w:sz w:val="16"/>
        <w:szCs w:val="16"/>
      </w:rPr>
    </w:pPr>
    <w:r>
      <w:rPr>
        <w:rFonts w:ascii="Arial" w:hAnsi="Arial" w:cs="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5DB2" w14:textId="500C52E1" w:rsidR="00591C77" w:rsidRDefault="00580C77" w:rsidP="00CB52F1">
    <w:pPr>
      <w:pStyle w:val="Encabezado"/>
      <w:jc w:val="center"/>
    </w:pPr>
    <w:r>
      <w:rPr>
        <w:rFonts w:ascii="Calibri" w:eastAsia="Times New Roman" w:hAnsi="Calibri" w:cs="Calibri"/>
        <w:noProof/>
        <w:color w:val="000000"/>
        <w:sz w:val="24"/>
        <w:szCs w:val="24"/>
        <w:lang w:eastAsia="es-MX"/>
      </w:rPr>
      <w:drawing>
        <wp:anchor distT="0" distB="0" distL="114300" distR="114300" simplePos="0" relativeHeight="251685888" behindDoc="0" locked="0" layoutInCell="1" allowOverlap="1" wp14:anchorId="03D46B9E" wp14:editId="3670D7E3">
          <wp:simplePos x="0" y="0"/>
          <wp:positionH relativeFrom="column">
            <wp:posOffset>2036749</wp:posOffset>
          </wp:positionH>
          <wp:positionV relativeFrom="paragraph">
            <wp:posOffset>-21176</wp:posOffset>
          </wp:positionV>
          <wp:extent cx="1136566" cy="811033"/>
          <wp:effectExtent l="0" t="0" r="6985" b="8255"/>
          <wp:wrapNone/>
          <wp:docPr id="141306545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03420"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36566" cy="8110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A38"/>
    <w:multiLevelType w:val="hybridMultilevel"/>
    <w:tmpl w:val="CD0827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C50FDE"/>
    <w:multiLevelType w:val="hybridMultilevel"/>
    <w:tmpl w:val="CCBCF3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F5457B5"/>
    <w:multiLevelType w:val="hybridMultilevel"/>
    <w:tmpl w:val="19649768"/>
    <w:lvl w:ilvl="0" w:tplc="D292A98C">
      <w:numFmt w:val="bullet"/>
      <w:lvlText w:val="-"/>
      <w:lvlJc w:val="left"/>
      <w:pPr>
        <w:ind w:left="1224" w:hanging="516"/>
      </w:pPr>
      <w:rPr>
        <w:rFonts w:ascii="Aptos" w:eastAsia="Aptos" w:hAnsi="Aptos" w:cs="Times New Roman"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3" w15:restartNumberingAfterBreak="0">
    <w:nsid w:val="413C659C"/>
    <w:multiLevelType w:val="hybridMultilevel"/>
    <w:tmpl w:val="E9FE35C6"/>
    <w:lvl w:ilvl="0" w:tplc="240A000B">
      <w:start w:val="1"/>
      <w:numFmt w:val="bullet"/>
      <w:lvlText w:val=""/>
      <w:lvlJc w:val="left"/>
      <w:pPr>
        <w:ind w:left="767" w:hanging="360"/>
      </w:pPr>
      <w:rPr>
        <w:rFonts w:ascii="Wingdings" w:hAnsi="Wingdings" w:hint="default"/>
      </w:rPr>
    </w:lvl>
    <w:lvl w:ilvl="1" w:tplc="240A0003">
      <w:start w:val="1"/>
      <w:numFmt w:val="bullet"/>
      <w:lvlText w:val="o"/>
      <w:lvlJc w:val="left"/>
      <w:pPr>
        <w:ind w:left="1487" w:hanging="360"/>
      </w:pPr>
      <w:rPr>
        <w:rFonts w:ascii="Courier New" w:hAnsi="Courier New" w:cs="Courier New" w:hint="default"/>
      </w:rPr>
    </w:lvl>
    <w:lvl w:ilvl="2" w:tplc="240A0005">
      <w:start w:val="1"/>
      <w:numFmt w:val="bullet"/>
      <w:lvlText w:val=""/>
      <w:lvlJc w:val="left"/>
      <w:pPr>
        <w:ind w:left="2207" w:hanging="360"/>
      </w:pPr>
      <w:rPr>
        <w:rFonts w:ascii="Wingdings" w:hAnsi="Wingdings" w:hint="default"/>
      </w:rPr>
    </w:lvl>
    <w:lvl w:ilvl="3" w:tplc="240A0001">
      <w:start w:val="1"/>
      <w:numFmt w:val="bullet"/>
      <w:lvlText w:val=""/>
      <w:lvlJc w:val="left"/>
      <w:pPr>
        <w:ind w:left="2927" w:hanging="360"/>
      </w:pPr>
      <w:rPr>
        <w:rFonts w:ascii="Symbol" w:hAnsi="Symbol" w:hint="default"/>
      </w:rPr>
    </w:lvl>
    <w:lvl w:ilvl="4" w:tplc="240A0003">
      <w:start w:val="1"/>
      <w:numFmt w:val="bullet"/>
      <w:lvlText w:val="o"/>
      <w:lvlJc w:val="left"/>
      <w:pPr>
        <w:ind w:left="3647" w:hanging="360"/>
      </w:pPr>
      <w:rPr>
        <w:rFonts w:ascii="Courier New" w:hAnsi="Courier New" w:cs="Courier New" w:hint="default"/>
      </w:rPr>
    </w:lvl>
    <w:lvl w:ilvl="5" w:tplc="240A0005">
      <w:start w:val="1"/>
      <w:numFmt w:val="bullet"/>
      <w:lvlText w:val=""/>
      <w:lvlJc w:val="left"/>
      <w:pPr>
        <w:ind w:left="4367" w:hanging="360"/>
      </w:pPr>
      <w:rPr>
        <w:rFonts w:ascii="Wingdings" w:hAnsi="Wingdings" w:hint="default"/>
      </w:rPr>
    </w:lvl>
    <w:lvl w:ilvl="6" w:tplc="240A0001">
      <w:start w:val="1"/>
      <w:numFmt w:val="bullet"/>
      <w:lvlText w:val=""/>
      <w:lvlJc w:val="left"/>
      <w:pPr>
        <w:ind w:left="5087" w:hanging="360"/>
      </w:pPr>
      <w:rPr>
        <w:rFonts w:ascii="Symbol" w:hAnsi="Symbol" w:hint="default"/>
      </w:rPr>
    </w:lvl>
    <w:lvl w:ilvl="7" w:tplc="240A0003">
      <w:start w:val="1"/>
      <w:numFmt w:val="bullet"/>
      <w:lvlText w:val="o"/>
      <w:lvlJc w:val="left"/>
      <w:pPr>
        <w:ind w:left="5807" w:hanging="360"/>
      </w:pPr>
      <w:rPr>
        <w:rFonts w:ascii="Courier New" w:hAnsi="Courier New" w:cs="Courier New" w:hint="default"/>
      </w:rPr>
    </w:lvl>
    <w:lvl w:ilvl="8" w:tplc="240A0005">
      <w:start w:val="1"/>
      <w:numFmt w:val="bullet"/>
      <w:lvlText w:val=""/>
      <w:lvlJc w:val="left"/>
      <w:pPr>
        <w:ind w:left="6527" w:hanging="360"/>
      </w:pPr>
      <w:rPr>
        <w:rFonts w:ascii="Wingdings" w:hAnsi="Wingdings" w:hint="default"/>
      </w:rPr>
    </w:lvl>
  </w:abstractNum>
  <w:abstractNum w:abstractNumId="4" w15:restartNumberingAfterBreak="0">
    <w:nsid w:val="4A817BD9"/>
    <w:multiLevelType w:val="hybridMultilevel"/>
    <w:tmpl w:val="237235FC"/>
    <w:lvl w:ilvl="0" w:tplc="58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787B680A"/>
    <w:multiLevelType w:val="hybridMultilevel"/>
    <w:tmpl w:val="3DDC7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20962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677222">
    <w:abstractNumId w:val="4"/>
  </w:num>
  <w:num w:numId="3" w16cid:durableId="1492481666">
    <w:abstractNumId w:val="1"/>
  </w:num>
  <w:num w:numId="4" w16cid:durableId="482814973">
    <w:abstractNumId w:val="5"/>
  </w:num>
  <w:num w:numId="5" w16cid:durableId="4938709">
    <w:abstractNumId w:val="0"/>
  </w:num>
  <w:num w:numId="6" w16cid:durableId="1905487793">
    <w:abstractNumId w:val="3"/>
    <w:lvlOverride w:ilvl="0"/>
    <w:lvlOverride w:ilvl="1"/>
    <w:lvlOverride w:ilvl="2"/>
    <w:lvlOverride w:ilvl="3"/>
    <w:lvlOverride w:ilvl="4"/>
    <w:lvlOverride w:ilvl="5"/>
    <w:lvlOverride w:ilvl="6"/>
    <w:lvlOverride w:ilvl="7"/>
    <w:lvlOverride w:ilvl="8"/>
  </w:num>
  <w:num w:numId="7" w16cid:durableId="129867960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3D"/>
    <w:rsid w:val="0000612D"/>
    <w:rsid w:val="00006BAA"/>
    <w:rsid w:val="000117CB"/>
    <w:rsid w:val="00015C03"/>
    <w:rsid w:val="000274CA"/>
    <w:rsid w:val="000327EA"/>
    <w:rsid w:val="0004578C"/>
    <w:rsid w:val="000501B3"/>
    <w:rsid w:val="00057A6F"/>
    <w:rsid w:val="00064DE1"/>
    <w:rsid w:val="000877D1"/>
    <w:rsid w:val="000A1218"/>
    <w:rsid w:val="000B55E0"/>
    <w:rsid w:val="000C19A8"/>
    <w:rsid w:val="000C4AEB"/>
    <w:rsid w:val="000C63BB"/>
    <w:rsid w:val="000D3560"/>
    <w:rsid w:val="000F0212"/>
    <w:rsid w:val="000F43E8"/>
    <w:rsid w:val="0011263A"/>
    <w:rsid w:val="0012695A"/>
    <w:rsid w:val="001339E2"/>
    <w:rsid w:val="0013472A"/>
    <w:rsid w:val="00153C65"/>
    <w:rsid w:val="00154CBE"/>
    <w:rsid w:val="00155486"/>
    <w:rsid w:val="00156D65"/>
    <w:rsid w:val="00171B18"/>
    <w:rsid w:val="0018582C"/>
    <w:rsid w:val="001B405F"/>
    <w:rsid w:val="001C59D2"/>
    <w:rsid w:val="001D14B1"/>
    <w:rsid w:val="00200586"/>
    <w:rsid w:val="00201B79"/>
    <w:rsid w:val="0021044E"/>
    <w:rsid w:val="0021260C"/>
    <w:rsid w:val="00214B60"/>
    <w:rsid w:val="00215F96"/>
    <w:rsid w:val="00217D5D"/>
    <w:rsid w:val="0022264A"/>
    <w:rsid w:val="00232CB6"/>
    <w:rsid w:val="00232E72"/>
    <w:rsid w:val="00236DDA"/>
    <w:rsid w:val="00243FC8"/>
    <w:rsid w:val="00247386"/>
    <w:rsid w:val="00253BD4"/>
    <w:rsid w:val="002561ED"/>
    <w:rsid w:val="00272884"/>
    <w:rsid w:val="002730EB"/>
    <w:rsid w:val="00276B9B"/>
    <w:rsid w:val="002932AA"/>
    <w:rsid w:val="002A03B5"/>
    <w:rsid w:val="002A5CBB"/>
    <w:rsid w:val="002A6351"/>
    <w:rsid w:val="002B2E03"/>
    <w:rsid w:val="002C2B18"/>
    <w:rsid w:val="002C2C0B"/>
    <w:rsid w:val="002D1ECF"/>
    <w:rsid w:val="002E50B7"/>
    <w:rsid w:val="002F5E59"/>
    <w:rsid w:val="003142B4"/>
    <w:rsid w:val="00326AD5"/>
    <w:rsid w:val="0033289D"/>
    <w:rsid w:val="0034312A"/>
    <w:rsid w:val="00356263"/>
    <w:rsid w:val="0035733F"/>
    <w:rsid w:val="00362719"/>
    <w:rsid w:val="003650BB"/>
    <w:rsid w:val="0036680A"/>
    <w:rsid w:val="003702F6"/>
    <w:rsid w:val="0038576E"/>
    <w:rsid w:val="003A1F25"/>
    <w:rsid w:val="003A4D37"/>
    <w:rsid w:val="003C6413"/>
    <w:rsid w:val="003C6D25"/>
    <w:rsid w:val="003E35E5"/>
    <w:rsid w:val="00410C94"/>
    <w:rsid w:val="0044165A"/>
    <w:rsid w:val="00443343"/>
    <w:rsid w:val="0044344C"/>
    <w:rsid w:val="00443FAE"/>
    <w:rsid w:val="00444503"/>
    <w:rsid w:val="004653A2"/>
    <w:rsid w:val="00472DB8"/>
    <w:rsid w:val="00473B82"/>
    <w:rsid w:val="00480BDC"/>
    <w:rsid w:val="00485521"/>
    <w:rsid w:val="00485D62"/>
    <w:rsid w:val="004878A6"/>
    <w:rsid w:val="004A2A27"/>
    <w:rsid w:val="004A44D2"/>
    <w:rsid w:val="004C6F8E"/>
    <w:rsid w:val="004C7B9A"/>
    <w:rsid w:val="004F37FC"/>
    <w:rsid w:val="00501948"/>
    <w:rsid w:val="005057D5"/>
    <w:rsid w:val="00515DD9"/>
    <w:rsid w:val="005720AB"/>
    <w:rsid w:val="00580C77"/>
    <w:rsid w:val="00581E7D"/>
    <w:rsid w:val="00591C77"/>
    <w:rsid w:val="005B053A"/>
    <w:rsid w:val="005B0E5C"/>
    <w:rsid w:val="005B167E"/>
    <w:rsid w:val="005C006A"/>
    <w:rsid w:val="005C56E0"/>
    <w:rsid w:val="005C6301"/>
    <w:rsid w:val="005D6CED"/>
    <w:rsid w:val="005E1133"/>
    <w:rsid w:val="005E3DD5"/>
    <w:rsid w:val="005F47BB"/>
    <w:rsid w:val="005F656A"/>
    <w:rsid w:val="00600B9D"/>
    <w:rsid w:val="00604CF7"/>
    <w:rsid w:val="006142F3"/>
    <w:rsid w:val="00620B6B"/>
    <w:rsid w:val="00620E3D"/>
    <w:rsid w:val="0062483A"/>
    <w:rsid w:val="006252FE"/>
    <w:rsid w:val="006253C7"/>
    <w:rsid w:val="00625FC7"/>
    <w:rsid w:val="0063188F"/>
    <w:rsid w:val="00634689"/>
    <w:rsid w:val="0064102F"/>
    <w:rsid w:val="0064111D"/>
    <w:rsid w:val="0064713E"/>
    <w:rsid w:val="00652D45"/>
    <w:rsid w:val="00657A35"/>
    <w:rsid w:val="00667F1F"/>
    <w:rsid w:val="0067155F"/>
    <w:rsid w:val="006770B3"/>
    <w:rsid w:val="00680FBC"/>
    <w:rsid w:val="00683DDA"/>
    <w:rsid w:val="006846FF"/>
    <w:rsid w:val="0068766E"/>
    <w:rsid w:val="00687F58"/>
    <w:rsid w:val="006919AD"/>
    <w:rsid w:val="00691F4F"/>
    <w:rsid w:val="00694EF7"/>
    <w:rsid w:val="006A29E0"/>
    <w:rsid w:val="006B08EF"/>
    <w:rsid w:val="006C2B4A"/>
    <w:rsid w:val="006C4428"/>
    <w:rsid w:val="006C49C1"/>
    <w:rsid w:val="006E139F"/>
    <w:rsid w:val="006E2BFD"/>
    <w:rsid w:val="006E40FD"/>
    <w:rsid w:val="006E651B"/>
    <w:rsid w:val="006E6E5E"/>
    <w:rsid w:val="006F6C46"/>
    <w:rsid w:val="00705498"/>
    <w:rsid w:val="00716F8C"/>
    <w:rsid w:val="0072521C"/>
    <w:rsid w:val="00753711"/>
    <w:rsid w:val="007572F6"/>
    <w:rsid w:val="0076053E"/>
    <w:rsid w:val="0076617A"/>
    <w:rsid w:val="007760F2"/>
    <w:rsid w:val="00784B7E"/>
    <w:rsid w:val="00794812"/>
    <w:rsid w:val="007B77B5"/>
    <w:rsid w:val="007D122C"/>
    <w:rsid w:val="007D493B"/>
    <w:rsid w:val="007D548C"/>
    <w:rsid w:val="007D6F47"/>
    <w:rsid w:val="007F2BA2"/>
    <w:rsid w:val="007F6A65"/>
    <w:rsid w:val="00802B53"/>
    <w:rsid w:val="00804184"/>
    <w:rsid w:val="0083779D"/>
    <w:rsid w:val="00842D5D"/>
    <w:rsid w:val="008474C4"/>
    <w:rsid w:val="00854AE2"/>
    <w:rsid w:val="00854F3D"/>
    <w:rsid w:val="00862A45"/>
    <w:rsid w:val="00871FC4"/>
    <w:rsid w:val="00872FC5"/>
    <w:rsid w:val="00874C90"/>
    <w:rsid w:val="00877453"/>
    <w:rsid w:val="00877B99"/>
    <w:rsid w:val="00877BC6"/>
    <w:rsid w:val="00882C18"/>
    <w:rsid w:val="00883254"/>
    <w:rsid w:val="008861BD"/>
    <w:rsid w:val="00894596"/>
    <w:rsid w:val="00896B81"/>
    <w:rsid w:val="008A2D0E"/>
    <w:rsid w:val="008A54EE"/>
    <w:rsid w:val="008B23D7"/>
    <w:rsid w:val="008B3B82"/>
    <w:rsid w:val="008B3C1B"/>
    <w:rsid w:val="008B608B"/>
    <w:rsid w:val="008C56CD"/>
    <w:rsid w:val="008C705B"/>
    <w:rsid w:val="008D28B3"/>
    <w:rsid w:val="008E5F0D"/>
    <w:rsid w:val="008F254D"/>
    <w:rsid w:val="00907BFB"/>
    <w:rsid w:val="00923780"/>
    <w:rsid w:val="009521AD"/>
    <w:rsid w:val="009549C4"/>
    <w:rsid w:val="009577C4"/>
    <w:rsid w:val="00966AEB"/>
    <w:rsid w:val="00975383"/>
    <w:rsid w:val="00976617"/>
    <w:rsid w:val="00980620"/>
    <w:rsid w:val="00993FA0"/>
    <w:rsid w:val="00994085"/>
    <w:rsid w:val="00995169"/>
    <w:rsid w:val="00995D98"/>
    <w:rsid w:val="00996E4F"/>
    <w:rsid w:val="009A680E"/>
    <w:rsid w:val="009B1AD5"/>
    <w:rsid w:val="009C14C7"/>
    <w:rsid w:val="009C269A"/>
    <w:rsid w:val="009C4347"/>
    <w:rsid w:val="009E0A4D"/>
    <w:rsid w:val="009E0F8B"/>
    <w:rsid w:val="009E3653"/>
    <w:rsid w:val="00A0406B"/>
    <w:rsid w:val="00A04C0F"/>
    <w:rsid w:val="00A10B69"/>
    <w:rsid w:val="00A2196E"/>
    <w:rsid w:val="00A2366F"/>
    <w:rsid w:val="00A3288C"/>
    <w:rsid w:val="00A44CCA"/>
    <w:rsid w:val="00A45C91"/>
    <w:rsid w:val="00A61840"/>
    <w:rsid w:val="00A6476D"/>
    <w:rsid w:val="00A75B74"/>
    <w:rsid w:val="00A80A15"/>
    <w:rsid w:val="00A83E6F"/>
    <w:rsid w:val="00AA13DB"/>
    <w:rsid w:val="00AA3CCF"/>
    <w:rsid w:val="00AB34B3"/>
    <w:rsid w:val="00AB5509"/>
    <w:rsid w:val="00AD0830"/>
    <w:rsid w:val="00AF4409"/>
    <w:rsid w:val="00B04D3E"/>
    <w:rsid w:val="00B05765"/>
    <w:rsid w:val="00B15239"/>
    <w:rsid w:val="00B22F0D"/>
    <w:rsid w:val="00B403B4"/>
    <w:rsid w:val="00B44184"/>
    <w:rsid w:val="00B60498"/>
    <w:rsid w:val="00B61265"/>
    <w:rsid w:val="00B725A9"/>
    <w:rsid w:val="00B74688"/>
    <w:rsid w:val="00B77BD6"/>
    <w:rsid w:val="00BA18E0"/>
    <w:rsid w:val="00BA3771"/>
    <w:rsid w:val="00BA697E"/>
    <w:rsid w:val="00BB0D97"/>
    <w:rsid w:val="00BB5205"/>
    <w:rsid w:val="00BB68DD"/>
    <w:rsid w:val="00BC0E17"/>
    <w:rsid w:val="00BC1762"/>
    <w:rsid w:val="00BD74D8"/>
    <w:rsid w:val="00BE227A"/>
    <w:rsid w:val="00C0487A"/>
    <w:rsid w:val="00C055AA"/>
    <w:rsid w:val="00C178B4"/>
    <w:rsid w:val="00C2021A"/>
    <w:rsid w:val="00C26D32"/>
    <w:rsid w:val="00C303C1"/>
    <w:rsid w:val="00C40B24"/>
    <w:rsid w:val="00C447A9"/>
    <w:rsid w:val="00C522C1"/>
    <w:rsid w:val="00C6388C"/>
    <w:rsid w:val="00C70EB4"/>
    <w:rsid w:val="00C8472E"/>
    <w:rsid w:val="00CA0126"/>
    <w:rsid w:val="00CA26E6"/>
    <w:rsid w:val="00CA5028"/>
    <w:rsid w:val="00CA66BD"/>
    <w:rsid w:val="00CA7C81"/>
    <w:rsid w:val="00CB52F1"/>
    <w:rsid w:val="00CB6799"/>
    <w:rsid w:val="00CE20DC"/>
    <w:rsid w:val="00CF073C"/>
    <w:rsid w:val="00CF1947"/>
    <w:rsid w:val="00CF2D0B"/>
    <w:rsid w:val="00D027F5"/>
    <w:rsid w:val="00D06F1F"/>
    <w:rsid w:val="00D10253"/>
    <w:rsid w:val="00D126A5"/>
    <w:rsid w:val="00D16188"/>
    <w:rsid w:val="00D35AB0"/>
    <w:rsid w:val="00D40912"/>
    <w:rsid w:val="00D42FF8"/>
    <w:rsid w:val="00D45F04"/>
    <w:rsid w:val="00D52DDC"/>
    <w:rsid w:val="00D56A2B"/>
    <w:rsid w:val="00D604BD"/>
    <w:rsid w:val="00D62D91"/>
    <w:rsid w:val="00D62EF9"/>
    <w:rsid w:val="00D63123"/>
    <w:rsid w:val="00D748BE"/>
    <w:rsid w:val="00D803BC"/>
    <w:rsid w:val="00D955A5"/>
    <w:rsid w:val="00D9572F"/>
    <w:rsid w:val="00D96B4C"/>
    <w:rsid w:val="00DA4E30"/>
    <w:rsid w:val="00DB2EE4"/>
    <w:rsid w:val="00DB7340"/>
    <w:rsid w:val="00DD2918"/>
    <w:rsid w:val="00DE4003"/>
    <w:rsid w:val="00DF13EB"/>
    <w:rsid w:val="00DF2736"/>
    <w:rsid w:val="00DF3D14"/>
    <w:rsid w:val="00E0530B"/>
    <w:rsid w:val="00E05443"/>
    <w:rsid w:val="00E07493"/>
    <w:rsid w:val="00E12613"/>
    <w:rsid w:val="00E173FE"/>
    <w:rsid w:val="00E23BE8"/>
    <w:rsid w:val="00E24B0F"/>
    <w:rsid w:val="00E25C0D"/>
    <w:rsid w:val="00E340B8"/>
    <w:rsid w:val="00E43E20"/>
    <w:rsid w:val="00E543C2"/>
    <w:rsid w:val="00E60AA9"/>
    <w:rsid w:val="00E61F67"/>
    <w:rsid w:val="00E829C9"/>
    <w:rsid w:val="00E842B8"/>
    <w:rsid w:val="00E85027"/>
    <w:rsid w:val="00E93823"/>
    <w:rsid w:val="00E96B5E"/>
    <w:rsid w:val="00E97BFD"/>
    <w:rsid w:val="00EA26A2"/>
    <w:rsid w:val="00EB0AD4"/>
    <w:rsid w:val="00EB5E63"/>
    <w:rsid w:val="00ED61DD"/>
    <w:rsid w:val="00ED77CE"/>
    <w:rsid w:val="00EE032F"/>
    <w:rsid w:val="00EE231F"/>
    <w:rsid w:val="00EF523B"/>
    <w:rsid w:val="00F00F2C"/>
    <w:rsid w:val="00F038BF"/>
    <w:rsid w:val="00F04D0A"/>
    <w:rsid w:val="00F07F63"/>
    <w:rsid w:val="00F17232"/>
    <w:rsid w:val="00F21D19"/>
    <w:rsid w:val="00F268EB"/>
    <w:rsid w:val="00F46E8C"/>
    <w:rsid w:val="00F50214"/>
    <w:rsid w:val="00F5594D"/>
    <w:rsid w:val="00F56257"/>
    <w:rsid w:val="00F65748"/>
    <w:rsid w:val="00F71345"/>
    <w:rsid w:val="00F8326A"/>
    <w:rsid w:val="00F87371"/>
    <w:rsid w:val="00F970D0"/>
    <w:rsid w:val="00FA0A88"/>
    <w:rsid w:val="00FB3395"/>
    <w:rsid w:val="00FB697A"/>
    <w:rsid w:val="00FC4A32"/>
    <w:rsid w:val="00FD79BA"/>
    <w:rsid w:val="00FE7B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0BC6"/>
  <w15:docId w15:val="{004A9FAD-29E8-422E-A289-1B9B859D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customStyle="1" w:styleId="Body">
    <w:name w:val="Body"/>
    <w:rsid w:val="00FB3395"/>
    <w:rPr>
      <w:rFonts w:ascii="Helvetica" w:eastAsia="ヒラギノ角ゴ Pro W3" w:hAnsi="Helvetica" w:cs="Times New Roman"/>
      <w:color w:val="000000"/>
      <w:sz w:val="24"/>
      <w:szCs w:val="20"/>
      <w:lang w:val="en-US" w:eastAsia="es-CO"/>
    </w:rPr>
  </w:style>
  <w:style w:type="paragraph" w:styleId="Prrafodelista">
    <w:name w:val="List Paragraph"/>
    <w:basedOn w:val="Normal"/>
    <w:uiPriority w:val="34"/>
    <w:qFormat/>
    <w:rsid w:val="006E6E5E"/>
    <w:pPr>
      <w:ind w:left="720"/>
    </w:pPr>
    <w:rPr>
      <w:rFonts w:ascii="Calibri" w:eastAsiaTheme="minorHAnsi" w:hAnsi="Calibri"/>
      <w:sz w:val="22"/>
      <w:szCs w:val="22"/>
      <w:lang w:val="es-CO" w:eastAsia="en-US"/>
    </w:rPr>
  </w:style>
  <w:style w:type="paragraph" w:customStyle="1" w:styleId="Default">
    <w:name w:val="Default"/>
    <w:rsid w:val="001B405F"/>
    <w:pPr>
      <w:autoSpaceDE w:val="0"/>
      <w:autoSpaceDN w:val="0"/>
      <w:adjustRightInd w:val="0"/>
    </w:pPr>
    <w:rPr>
      <w:rFonts w:ascii="Arial" w:hAnsi="Arial" w:cs="Arial"/>
      <w:color w:val="000000"/>
      <w:sz w:val="24"/>
      <w:szCs w:val="24"/>
      <w:lang w:val="es-419"/>
    </w:rPr>
  </w:style>
  <w:style w:type="paragraph" w:customStyle="1" w:styleId="xmsonormal">
    <w:name w:val="x_msonormal"/>
    <w:basedOn w:val="Normal"/>
    <w:rsid w:val="00691F4F"/>
    <w:rPr>
      <w:rFonts w:eastAsiaTheme="minorHAnsi"/>
      <w:lang w:val="es-419" w:eastAsia="es-419"/>
    </w:rPr>
  </w:style>
  <w:style w:type="table" w:styleId="Tablaconcuadrcula4-nfasis1">
    <w:name w:val="Grid Table 4 Accent 1"/>
    <w:basedOn w:val="Tablanormal"/>
    <w:uiPriority w:val="49"/>
    <w:rsid w:val="00680FB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8474C4"/>
    <w:rPr>
      <w:color w:val="605E5C"/>
      <w:shd w:val="clear" w:color="auto" w:fill="E1DFDD"/>
    </w:rPr>
  </w:style>
  <w:style w:type="character" w:styleId="Mencinsinresolver">
    <w:name w:val="Unresolved Mention"/>
    <w:basedOn w:val="Fuentedeprrafopredeter"/>
    <w:uiPriority w:val="99"/>
    <w:semiHidden/>
    <w:unhideWhenUsed/>
    <w:rsid w:val="00212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3620">
      <w:bodyDiv w:val="1"/>
      <w:marLeft w:val="0"/>
      <w:marRight w:val="0"/>
      <w:marTop w:val="0"/>
      <w:marBottom w:val="0"/>
      <w:divBdr>
        <w:top w:val="none" w:sz="0" w:space="0" w:color="auto"/>
        <w:left w:val="none" w:sz="0" w:space="0" w:color="auto"/>
        <w:bottom w:val="none" w:sz="0" w:space="0" w:color="auto"/>
        <w:right w:val="none" w:sz="0" w:space="0" w:color="auto"/>
      </w:divBdr>
    </w:div>
    <w:div w:id="142162426">
      <w:bodyDiv w:val="1"/>
      <w:marLeft w:val="0"/>
      <w:marRight w:val="0"/>
      <w:marTop w:val="0"/>
      <w:marBottom w:val="0"/>
      <w:divBdr>
        <w:top w:val="none" w:sz="0" w:space="0" w:color="auto"/>
        <w:left w:val="none" w:sz="0" w:space="0" w:color="auto"/>
        <w:bottom w:val="none" w:sz="0" w:space="0" w:color="auto"/>
        <w:right w:val="none" w:sz="0" w:space="0" w:color="auto"/>
      </w:divBdr>
    </w:div>
    <w:div w:id="334459083">
      <w:bodyDiv w:val="1"/>
      <w:marLeft w:val="0"/>
      <w:marRight w:val="0"/>
      <w:marTop w:val="0"/>
      <w:marBottom w:val="0"/>
      <w:divBdr>
        <w:top w:val="none" w:sz="0" w:space="0" w:color="auto"/>
        <w:left w:val="none" w:sz="0" w:space="0" w:color="auto"/>
        <w:bottom w:val="none" w:sz="0" w:space="0" w:color="auto"/>
        <w:right w:val="none" w:sz="0" w:space="0" w:color="auto"/>
      </w:divBdr>
    </w:div>
    <w:div w:id="584649265">
      <w:bodyDiv w:val="1"/>
      <w:marLeft w:val="0"/>
      <w:marRight w:val="0"/>
      <w:marTop w:val="0"/>
      <w:marBottom w:val="0"/>
      <w:divBdr>
        <w:top w:val="none" w:sz="0" w:space="0" w:color="auto"/>
        <w:left w:val="none" w:sz="0" w:space="0" w:color="auto"/>
        <w:bottom w:val="none" w:sz="0" w:space="0" w:color="auto"/>
        <w:right w:val="none" w:sz="0" w:space="0" w:color="auto"/>
      </w:divBdr>
    </w:div>
    <w:div w:id="1434789856">
      <w:bodyDiv w:val="1"/>
      <w:marLeft w:val="0"/>
      <w:marRight w:val="0"/>
      <w:marTop w:val="0"/>
      <w:marBottom w:val="0"/>
      <w:divBdr>
        <w:top w:val="none" w:sz="0" w:space="0" w:color="auto"/>
        <w:left w:val="none" w:sz="0" w:space="0" w:color="auto"/>
        <w:bottom w:val="none" w:sz="0" w:space="0" w:color="auto"/>
        <w:right w:val="none" w:sz="0" w:space="0" w:color="auto"/>
      </w:divBdr>
    </w:div>
    <w:div w:id="1483692682">
      <w:bodyDiv w:val="1"/>
      <w:marLeft w:val="0"/>
      <w:marRight w:val="0"/>
      <w:marTop w:val="0"/>
      <w:marBottom w:val="0"/>
      <w:divBdr>
        <w:top w:val="none" w:sz="0" w:space="0" w:color="auto"/>
        <w:left w:val="none" w:sz="0" w:space="0" w:color="auto"/>
        <w:bottom w:val="none" w:sz="0" w:space="0" w:color="auto"/>
        <w:right w:val="none" w:sz="0" w:space="0" w:color="auto"/>
      </w:divBdr>
    </w:div>
    <w:div w:id="1731493534">
      <w:bodyDiv w:val="1"/>
      <w:marLeft w:val="0"/>
      <w:marRight w:val="0"/>
      <w:marTop w:val="0"/>
      <w:marBottom w:val="0"/>
      <w:divBdr>
        <w:top w:val="none" w:sz="0" w:space="0" w:color="auto"/>
        <w:left w:val="none" w:sz="0" w:space="0" w:color="auto"/>
        <w:bottom w:val="none" w:sz="0" w:space="0" w:color="auto"/>
        <w:right w:val="none" w:sz="0" w:space="0" w:color="auto"/>
      </w:divBdr>
    </w:div>
    <w:div w:id="179224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Circular%20Extern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F2E63D61B4EF4B93C738236FC81050" ma:contentTypeVersion="2" ma:contentTypeDescription="Crear nuevo documento." ma:contentTypeScope="" ma:versionID="ff10a781a61055101a412cec68910d44">
  <xsd:schema xmlns:xsd="http://www.w3.org/2001/XMLSchema" xmlns:xs="http://www.w3.org/2001/XMLSchema" xmlns:p="http://schemas.microsoft.com/office/2006/metadata/properties" xmlns:ns1="http://schemas.microsoft.com/sharepoint/v3" xmlns:ns2="aac6e9ca-a293-4c82-8e9f-9055b12d24a8" targetNamespace="http://schemas.microsoft.com/office/2006/metadata/properties" ma:root="true" ma:fieldsID="48b42b37a1e2ad92365a67a34aee8fa9" ns1:_="" ns2:_="">
    <xsd:import namespace="http://schemas.microsoft.com/sharepoint/v3"/>
    <xsd:import namespace="aac6e9ca-a293-4c82-8e9f-9055b12d24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81BD07-A057-4B5B-BE88-C7E59C83C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D3E56-71EB-4898-9DBB-A66A1250B82E}">
  <ds:schemaRefs>
    <ds:schemaRef ds:uri="http://schemas.microsoft.com/sharepoint/v3/contenttype/forms"/>
  </ds:schemaRefs>
</ds:datastoreItem>
</file>

<file path=customXml/itemProps3.xml><?xml version="1.0" encoding="utf-8"?>
<ds:datastoreItem xmlns:ds="http://schemas.openxmlformats.org/officeDocument/2006/customXml" ds:itemID="{B7B3D6A1-F6A9-4556-B585-A494AABA3960}">
  <ds:schemaRefs>
    <ds:schemaRef ds:uri="http://schemas.openxmlformats.org/officeDocument/2006/bibliography"/>
  </ds:schemaRefs>
</ds:datastoreItem>
</file>

<file path=customXml/itemProps4.xml><?xml version="1.0" encoding="utf-8"?>
<ds:datastoreItem xmlns:ds="http://schemas.openxmlformats.org/officeDocument/2006/customXml" ds:itemID="{A485EE47-AD38-43BA-B481-6A46BD3D523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Plantilla_Circular Externa</Template>
  <TotalTime>0</TotalTime>
  <Pages>1</Pages>
  <Words>173</Words>
  <Characters>907</Characters>
  <Application>Microsoft Office Word</Application>
  <DocSecurity>0</DocSecurity>
  <Lines>16</Lines>
  <Paragraphs>6</Paragraphs>
  <ScaleCrop>false</ScaleCrop>
  <HeadingPairs>
    <vt:vector size="2" baseType="variant">
      <vt:variant>
        <vt:lpstr>Título</vt:lpstr>
      </vt:variant>
      <vt:variant>
        <vt:i4>1</vt:i4>
      </vt:variant>
    </vt:vector>
  </HeadingPairs>
  <TitlesOfParts>
    <vt:vector size="1" baseType="lpstr">
      <vt:lpstr>Plantilla_Circular_Externa</vt:lpstr>
    </vt:vector>
  </TitlesOfParts>
  <Company>Ministerio de Hacienda y Crédito Público</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Plantilla_Circular_Externa</dc:title>
  <dc:subject>Plantilla Circular Externa</dc:subject>
  <dc:creator>Freddy Jaramillo Orozco</dc:creator>
  <dc:description>Octubre de 2014</dc:description>
  <cp:lastModifiedBy>Ingrid Carolina Rozo Rodriguez</cp:lastModifiedBy>
  <cp:revision>2</cp:revision>
  <cp:lastPrinted>2026-03-17T15:23:00Z</cp:lastPrinted>
  <dcterms:created xsi:type="dcterms:W3CDTF">2026-03-24T21:06:00Z</dcterms:created>
  <dcterms:modified xsi:type="dcterms:W3CDTF">2026-03-24T21:06:00Z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0x01010041F2E63D61B4EF4B93C738236FC81050</vt:lpwstr>
  </property>
  <property fmtid="{D5CDD505-2E9C-101B-9397-08002B2CF9AE}" pid="3" name="_dlc_DocIdItemGuid">
    <vt:lpwstr>b8656a76-5405-440e-877c-0138e3d8c485</vt:lpwstr>
  </property>
  <property fmtid="{D5CDD505-2E9C-101B-9397-08002B2CF9AE}" pid="4" name="_dlc_DocId">
    <vt:lpwstr>KR33XJ2DTYQK-62-3824</vt:lpwstr>
  </property>
  <property fmtid="{D5CDD505-2E9C-101B-9397-08002B2CF9AE}" pid="5" name="_dlc_DocIdUrl">
    <vt:lpwstr>http://mintranet/sug/_layouts/DocIdRedir.aspx?ID=KR33XJ2DTYQK-62-3824, KR33XJ2DTYQK-62-3824</vt:lpwstr>
  </property>
  <property fmtid="{D5CDD505-2E9C-101B-9397-08002B2CF9AE}" pid="6" name="MSIP_Label_3f58863d-b18f-495a-b538-b0c1f8318a5b_Enabled">
    <vt:lpwstr>true</vt:lpwstr>
  </property>
  <property fmtid="{D5CDD505-2E9C-101B-9397-08002B2CF9AE}" pid="7" name="MSIP_Label_3f58863d-b18f-495a-b538-b0c1f8318a5b_SetDate">
    <vt:lpwstr>2026-03-04T13:54:44Z</vt:lpwstr>
  </property>
  <property fmtid="{D5CDD505-2E9C-101B-9397-08002B2CF9AE}" pid="8" name="MSIP_Label_3f58863d-b18f-495a-b538-b0c1f8318a5b_Method">
    <vt:lpwstr>Privileged</vt:lpwstr>
  </property>
  <property fmtid="{D5CDD505-2E9C-101B-9397-08002B2CF9AE}" pid="9" name="MSIP_Label_3f58863d-b18f-495a-b538-b0c1f8318a5b_Name">
    <vt:lpwstr>Interna</vt:lpwstr>
  </property>
  <property fmtid="{D5CDD505-2E9C-101B-9397-08002B2CF9AE}" pid="10" name="MSIP_Label_3f58863d-b18f-495a-b538-b0c1f8318a5b_SiteId">
    <vt:lpwstr>b4ea60d8-be49-40bc-98c4-18c43bfd721e</vt:lpwstr>
  </property>
  <property fmtid="{D5CDD505-2E9C-101B-9397-08002B2CF9AE}" pid="11" name="MSIP_Label_3f58863d-b18f-495a-b538-b0c1f8318a5b_ActionId">
    <vt:lpwstr>9dc90d9b-e744-48e3-a006-71bd38be48cc</vt:lpwstr>
  </property>
  <property fmtid="{D5CDD505-2E9C-101B-9397-08002B2CF9AE}" pid="12" name="MSIP_Label_3f58863d-b18f-495a-b538-b0c1f8318a5b_ContentBits">
    <vt:lpwstr>0</vt:lpwstr>
  </property>
  <property fmtid="{D5CDD505-2E9C-101B-9397-08002B2CF9AE}" pid="13" name="MSIP_Label_3f58863d-b18f-495a-b538-b0c1f8318a5b_Tag">
    <vt:lpwstr>10, 0, 1, 1</vt:lpwstr>
  </property>
</Properties>
</file>