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11" w:rsidRPr="00144AF0" w:rsidRDefault="00E00CE9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bookmarkStart w:id="0" w:name="_Toc126147374"/>
      <w:bookmarkStart w:id="1" w:name="_Toc126301040"/>
      <w:r w:rsidRPr="00144AF0">
        <w:rPr>
          <w:rFonts w:ascii="Arial Narrow" w:hAnsi="Arial Narrow" w:cs="Arial"/>
          <w:b/>
          <w:sz w:val="24"/>
          <w:szCs w:val="24"/>
        </w:rPr>
        <w:t xml:space="preserve"> </w:t>
      </w:r>
      <w:bookmarkStart w:id="2" w:name="_Toc181004292"/>
      <w:r w:rsidRPr="00144AF0">
        <w:rPr>
          <w:rFonts w:ascii="Arial Narrow" w:hAnsi="Arial Narrow" w:cs="Arial"/>
          <w:b/>
          <w:sz w:val="24"/>
          <w:szCs w:val="24"/>
        </w:rPr>
        <w:t>OBJETIVO</w:t>
      </w:r>
      <w:bookmarkEnd w:id="0"/>
      <w:bookmarkEnd w:id="1"/>
      <w:bookmarkEnd w:id="2"/>
    </w:p>
    <w:p w:rsidR="00C66DFA" w:rsidRPr="00144AF0" w:rsidRDefault="00C66DFA" w:rsidP="009D7C56">
      <w:pPr>
        <w:jc w:val="both"/>
        <w:rPr>
          <w:rFonts w:ascii="Arial Narrow" w:hAnsi="Arial Narrow" w:cs="Arial"/>
          <w:sz w:val="24"/>
          <w:szCs w:val="24"/>
          <w:lang w:val="es-MX"/>
        </w:rPr>
      </w:pPr>
      <w:bookmarkStart w:id="3" w:name="_Toc126147375"/>
      <w:bookmarkStart w:id="4" w:name="_Toc126301041"/>
      <w:bookmarkStart w:id="5" w:name="_Toc181004293"/>
    </w:p>
    <w:p w:rsidR="00FC2732" w:rsidRPr="00433B4D" w:rsidRDefault="00200F41" w:rsidP="00FC2732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Procesar y</w:t>
      </w:r>
      <w:r w:rsidRPr="00126C8F">
        <w:rPr>
          <w:rFonts w:ascii="Arial Narrow" w:hAnsi="Arial Narrow"/>
          <w:sz w:val="24"/>
          <w:szCs w:val="24"/>
        </w:rPr>
        <w:t xml:space="preserve"> tratar </w:t>
      </w:r>
      <w:r>
        <w:rPr>
          <w:rFonts w:ascii="Arial Narrow" w:hAnsi="Arial Narrow"/>
          <w:sz w:val="24"/>
          <w:szCs w:val="24"/>
        </w:rPr>
        <w:t>mediante el proceso técnico y preparación física del material (revisión</w:t>
      </w:r>
      <w:r w:rsidRPr="00126C8F">
        <w:rPr>
          <w:rFonts w:ascii="Arial Narrow" w:hAnsi="Arial Narrow" w:cs="Arial"/>
          <w:sz w:val="24"/>
          <w:szCs w:val="24"/>
        </w:rPr>
        <w:t xml:space="preserve"> física, sellado, inventariado, registro en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D31AA6">
        <w:rPr>
          <w:rFonts w:ascii="Arial Narrow" w:hAnsi="Arial Narrow" w:cs="Arial"/>
          <w:sz w:val="24"/>
          <w:szCs w:val="24"/>
        </w:rPr>
        <w:t>el catálogo</w:t>
      </w:r>
      <w:r>
        <w:rPr>
          <w:rFonts w:ascii="Arial Narrow" w:hAnsi="Arial Narrow" w:cs="Arial"/>
          <w:sz w:val="24"/>
          <w:szCs w:val="24"/>
        </w:rPr>
        <w:t xml:space="preserve"> y rotulación</w:t>
      </w:r>
      <w:r>
        <w:rPr>
          <w:rFonts w:ascii="Arial Narrow" w:hAnsi="Arial Narrow"/>
          <w:sz w:val="24"/>
          <w:szCs w:val="24"/>
        </w:rPr>
        <w:t>), el material bibliográfico recibido por la biblioteca sin importar la vía de adquisición (</w:t>
      </w:r>
      <w:r w:rsidRPr="00433B4D">
        <w:rPr>
          <w:rFonts w:ascii="Arial Narrow" w:hAnsi="Arial Narrow" w:cs="Arial"/>
          <w:sz w:val="24"/>
          <w:szCs w:val="24"/>
        </w:rPr>
        <w:t>compra, canje, depósito institucional o donación</w:t>
      </w:r>
      <w:r>
        <w:rPr>
          <w:rFonts w:ascii="Arial Narrow" w:hAnsi="Arial Narrow"/>
          <w:sz w:val="24"/>
          <w:szCs w:val="24"/>
        </w:rPr>
        <w:t>)</w:t>
      </w:r>
      <w:r w:rsidR="00FC2732" w:rsidRPr="00433B4D">
        <w:rPr>
          <w:rFonts w:ascii="Arial Narrow" w:hAnsi="Arial Narrow" w:cs="Arial"/>
          <w:sz w:val="24"/>
          <w:szCs w:val="24"/>
        </w:rPr>
        <w:t>.</w:t>
      </w:r>
    </w:p>
    <w:p w:rsidR="00144AF0" w:rsidRDefault="00144AF0" w:rsidP="009D7C56">
      <w:pPr>
        <w:jc w:val="both"/>
        <w:rPr>
          <w:rFonts w:ascii="Arial Narrow" w:hAnsi="Arial Narrow" w:cs="Arial"/>
          <w:sz w:val="24"/>
          <w:szCs w:val="24"/>
        </w:rPr>
      </w:pPr>
    </w:p>
    <w:p w:rsidR="00433B4D" w:rsidRPr="00144AF0" w:rsidRDefault="00433B4D" w:rsidP="009D7C56">
      <w:pPr>
        <w:jc w:val="both"/>
        <w:rPr>
          <w:rFonts w:ascii="Arial Narrow" w:hAnsi="Arial Narrow" w:cs="Arial"/>
          <w:sz w:val="24"/>
          <w:szCs w:val="24"/>
        </w:rPr>
      </w:pPr>
    </w:p>
    <w:p w:rsidR="00193A4D" w:rsidRPr="00144AF0" w:rsidRDefault="00E00CE9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144AF0">
        <w:rPr>
          <w:rFonts w:ascii="Arial Narrow" w:hAnsi="Arial Narrow" w:cs="Arial"/>
          <w:b/>
          <w:sz w:val="24"/>
          <w:szCs w:val="24"/>
        </w:rPr>
        <w:t>ALCANCE</w:t>
      </w:r>
      <w:bookmarkEnd w:id="3"/>
      <w:bookmarkEnd w:id="4"/>
      <w:bookmarkEnd w:id="5"/>
    </w:p>
    <w:p w:rsidR="00144AF0" w:rsidRPr="00144AF0" w:rsidRDefault="00144AF0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FC2732" w:rsidRPr="00433B4D" w:rsidRDefault="00D31AA6" w:rsidP="00FC2732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Desde el momento de la recepción del material bibliográfico hasta </w:t>
      </w:r>
      <w:r w:rsidRPr="00AA2F9F">
        <w:rPr>
          <w:rFonts w:ascii="Arial Narrow" w:hAnsi="Arial Narrow" w:cs="Arial"/>
          <w:sz w:val="24"/>
          <w:szCs w:val="24"/>
        </w:rPr>
        <w:t>poner</w:t>
      </w:r>
      <w:r>
        <w:rPr>
          <w:rFonts w:ascii="Arial Narrow" w:hAnsi="Arial Narrow" w:cs="Arial"/>
          <w:sz w:val="24"/>
          <w:szCs w:val="24"/>
        </w:rPr>
        <w:t>lo</w:t>
      </w:r>
      <w:r w:rsidRPr="00AA2F9F">
        <w:rPr>
          <w:rFonts w:ascii="Arial Narrow" w:hAnsi="Arial Narrow" w:cs="Arial"/>
          <w:sz w:val="24"/>
          <w:szCs w:val="24"/>
        </w:rPr>
        <w:t xml:space="preserve"> a disposición de consulta y préstamo del usuario</w:t>
      </w:r>
      <w:r>
        <w:rPr>
          <w:rFonts w:ascii="Arial Narrow" w:hAnsi="Arial Narrow" w:cs="Arial"/>
          <w:sz w:val="24"/>
          <w:szCs w:val="24"/>
        </w:rPr>
        <w:t>.</w:t>
      </w:r>
      <w:r w:rsidRPr="00433B4D">
        <w:rPr>
          <w:rFonts w:ascii="Arial Narrow" w:hAnsi="Arial Narrow" w:cs="Arial"/>
          <w:sz w:val="24"/>
          <w:szCs w:val="24"/>
        </w:rPr>
        <w:t xml:space="preserve"> </w:t>
      </w:r>
    </w:p>
    <w:p w:rsidR="005F1FFF" w:rsidRDefault="005F1FFF" w:rsidP="00144AF0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</w:p>
    <w:p w:rsidR="00FC2732" w:rsidRDefault="00FC2732" w:rsidP="00144AF0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</w:p>
    <w:p w:rsidR="005F1FFF" w:rsidRPr="005F1FFF" w:rsidRDefault="005F1FFF" w:rsidP="005F1FFF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bookmarkStart w:id="6" w:name="_Toc517861172"/>
      <w:r w:rsidRPr="005F1FFF">
        <w:rPr>
          <w:rFonts w:ascii="Arial Narrow" w:hAnsi="Arial Narrow" w:cs="Arial"/>
          <w:b/>
          <w:sz w:val="24"/>
          <w:szCs w:val="24"/>
        </w:rPr>
        <w:t>PRODUCTOS ESPERADOS</w:t>
      </w:r>
      <w:bookmarkEnd w:id="6"/>
      <w:r w:rsidRPr="005F1FFF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5F1FFF" w:rsidRDefault="005F1FFF" w:rsidP="005F1FFF"/>
    <w:p w:rsidR="00433B4D" w:rsidRPr="00433B4D" w:rsidRDefault="00D31AA6" w:rsidP="00433B4D">
      <w:pPr>
        <w:pStyle w:val="Prrafode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  <w:r>
        <w:rPr>
          <w:rFonts w:ascii="Arial Narrow" w:hAnsi="Arial Narrow" w:cs="Arial"/>
          <w:sz w:val="24"/>
          <w:szCs w:val="24"/>
          <w:lang w:val="es-CO" w:eastAsia="es-CO"/>
        </w:rPr>
        <w:t>Catálogo bibliográfico</w:t>
      </w:r>
      <w:r w:rsidR="00433B4D" w:rsidRPr="00433B4D">
        <w:rPr>
          <w:rFonts w:ascii="Arial Narrow" w:hAnsi="Arial Narrow" w:cs="Arial"/>
          <w:sz w:val="24"/>
          <w:szCs w:val="24"/>
          <w:lang w:val="es-CO" w:eastAsia="es-CO"/>
        </w:rPr>
        <w:t xml:space="preserve"> </w:t>
      </w:r>
      <w:r w:rsidR="00D43F9B">
        <w:rPr>
          <w:rFonts w:ascii="Arial Narrow" w:hAnsi="Arial Narrow" w:cs="Arial"/>
          <w:sz w:val="24"/>
          <w:szCs w:val="24"/>
          <w:lang w:val="es-CO" w:eastAsia="es-CO"/>
        </w:rPr>
        <w:t>actualizad</w:t>
      </w:r>
      <w:r>
        <w:rPr>
          <w:rFonts w:ascii="Arial Narrow" w:hAnsi="Arial Narrow" w:cs="Arial"/>
          <w:sz w:val="24"/>
          <w:szCs w:val="24"/>
          <w:lang w:val="es-CO" w:eastAsia="es-CO"/>
        </w:rPr>
        <w:t>o</w:t>
      </w:r>
      <w:r w:rsidR="00D43F9B">
        <w:rPr>
          <w:rFonts w:ascii="Arial Narrow" w:hAnsi="Arial Narrow" w:cs="Arial"/>
          <w:sz w:val="24"/>
          <w:szCs w:val="24"/>
          <w:lang w:val="es-CO" w:eastAsia="es-CO"/>
        </w:rPr>
        <w:t xml:space="preserve"> y complet</w:t>
      </w:r>
      <w:r>
        <w:rPr>
          <w:rFonts w:ascii="Arial Narrow" w:hAnsi="Arial Narrow" w:cs="Arial"/>
          <w:sz w:val="24"/>
          <w:szCs w:val="24"/>
          <w:lang w:val="es-CO" w:eastAsia="es-CO"/>
        </w:rPr>
        <w:t>o</w:t>
      </w:r>
      <w:r w:rsidR="00D43F9B">
        <w:rPr>
          <w:rFonts w:ascii="Arial Narrow" w:hAnsi="Arial Narrow" w:cs="Arial"/>
          <w:sz w:val="24"/>
          <w:szCs w:val="24"/>
          <w:lang w:val="es-CO" w:eastAsia="es-CO"/>
        </w:rPr>
        <w:t>.</w:t>
      </w:r>
    </w:p>
    <w:p w:rsidR="005F1FFF" w:rsidRPr="00433B4D" w:rsidRDefault="00433B4D" w:rsidP="00433B4D">
      <w:pPr>
        <w:pStyle w:val="Prrafode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  <w:r w:rsidRPr="00433B4D">
        <w:rPr>
          <w:rFonts w:ascii="Arial Narrow" w:hAnsi="Arial Narrow" w:cs="Arial"/>
          <w:sz w:val="24"/>
          <w:szCs w:val="24"/>
          <w:lang w:val="es-CO" w:eastAsia="es-CO"/>
        </w:rPr>
        <w:t>Material catalogado y disponible para consulta y préstamo del usuario.</w:t>
      </w:r>
    </w:p>
    <w:p w:rsidR="00433B4D" w:rsidRPr="00433B4D" w:rsidRDefault="00433B4D" w:rsidP="00433B4D">
      <w:pPr>
        <w:pStyle w:val="Prrafode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  <w:r w:rsidRPr="00433B4D">
        <w:rPr>
          <w:rFonts w:ascii="Arial Narrow" w:hAnsi="Arial Narrow" w:cs="Arial"/>
          <w:sz w:val="24"/>
          <w:szCs w:val="24"/>
          <w:lang w:val="es-CO" w:eastAsia="es-CO"/>
        </w:rPr>
        <w:t>Actualización del inventario de la Biblioteca.</w:t>
      </w:r>
    </w:p>
    <w:p w:rsidR="005F1FFF" w:rsidRDefault="005F1FFF" w:rsidP="00144AF0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</w:p>
    <w:p w:rsidR="005F1FFF" w:rsidRDefault="005F1FFF" w:rsidP="00144AF0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</w:p>
    <w:p w:rsidR="00193A4D" w:rsidRDefault="00144AF0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bookmarkStart w:id="7" w:name="_Toc126143692"/>
      <w:bookmarkStart w:id="8" w:name="_Toc126144694"/>
      <w:bookmarkStart w:id="9" w:name="_Toc126144876"/>
      <w:bookmarkStart w:id="10" w:name="_Toc126144946"/>
      <w:bookmarkStart w:id="11" w:name="_Toc126147376"/>
      <w:bookmarkStart w:id="12" w:name="_Toc126301042"/>
      <w:r w:rsidRPr="00144AF0">
        <w:rPr>
          <w:rFonts w:ascii="Arial Narrow" w:hAnsi="Arial Narrow" w:cs="Arial"/>
          <w:b/>
          <w:sz w:val="24"/>
          <w:szCs w:val="24"/>
        </w:rPr>
        <w:t>CONDICIONES ESPECIALES PARA LA OPERACIÓN DEL PROCEDIMIENTO</w:t>
      </w:r>
    </w:p>
    <w:p w:rsidR="00144AF0" w:rsidRDefault="00144AF0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BC2620" w:rsidRPr="00433B4D" w:rsidRDefault="00535641" w:rsidP="00433B4D">
      <w:pPr>
        <w:pStyle w:val="Prrafode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  <w:r>
        <w:rPr>
          <w:rFonts w:ascii="Arial Narrow" w:hAnsi="Arial Narrow" w:cs="Arial"/>
          <w:sz w:val="24"/>
          <w:szCs w:val="24"/>
          <w:lang w:val="es-CO" w:eastAsia="es-CO"/>
        </w:rPr>
        <w:t xml:space="preserve">Se deben seguir los parámetros </w:t>
      </w:r>
      <w:r w:rsidR="00D31AA6">
        <w:rPr>
          <w:rFonts w:ascii="Arial Narrow" w:hAnsi="Arial Narrow" w:cs="Arial"/>
          <w:sz w:val="24"/>
          <w:szCs w:val="24"/>
          <w:lang w:val="es-CO" w:eastAsia="es-CO"/>
        </w:rPr>
        <w:t xml:space="preserve">de catalogación y preparación física del material bibliográfico </w:t>
      </w:r>
      <w:r>
        <w:rPr>
          <w:rFonts w:ascii="Arial Narrow" w:hAnsi="Arial Narrow" w:cs="Arial"/>
          <w:sz w:val="24"/>
          <w:szCs w:val="24"/>
          <w:lang w:val="es-CO" w:eastAsia="es-CO"/>
        </w:rPr>
        <w:t>establecido</w:t>
      </w:r>
      <w:r w:rsidR="00D31AA6">
        <w:rPr>
          <w:rFonts w:ascii="Arial Narrow" w:hAnsi="Arial Narrow" w:cs="Arial"/>
          <w:sz w:val="24"/>
          <w:szCs w:val="24"/>
          <w:lang w:val="es-CO" w:eastAsia="es-CO"/>
        </w:rPr>
        <w:t>s</w:t>
      </w:r>
      <w:r>
        <w:rPr>
          <w:rFonts w:ascii="Arial Narrow" w:hAnsi="Arial Narrow" w:cs="Arial"/>
          <w:sz w:val="24"/>
          <w:szCs w:val="24"/>
          <w:lang w:val="es-CO" w:eastAsia="es-CO"/>
        </w:rPr>
        <w:t xml:space="preserve"> en el </w:t>
      </w:r>
      <w:r w:rsidR="00BC2620" w:rsidRPr="00433B4D">
        <w:rPr>
          <w:rFonts w:ascii="Arial Narrow" w:hAnsi="Arial Narrow" w:cs="Arial"/>
          <w:sz w:val="24"/>
          <w:szCs w:val="24"/>
          <w:lang w:val="es-CO" w:eastAsia="es-CO"/>
        </w:rPr>
        <w:t>Instructivo Procesamiento técnico y físico del material bibliográfico.</w:t>
      </w:r>
    </w:p>
    <w:p w:rsidR="00BC2620" w:rsidRPr="00433B4D" w:rsidRDefault="00BC2620" w:rsidP="00433B4D">
      <w:pPr>
        <w:pStyle w:val="Prrafodelista"/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</w:p>
    <w:p w:rsidR="00BC2620" w:rsidRPr="00433B4D" w:rsidRDefault="00BC2620" w:rsidP="00433B4D">
      <w:pPr>
        <w:pStyle w:val="Prrafode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  <w:r w:rsidRPr="00433B4D">
        <w:rPr>
          <w:rFonts w:ascii="Arial Narrow" w:hAnsi="Arial Narrow" w:cs="Arial"/>
          <w:sz w:val="24"/>
          <w:szCs w:val="24"/>
          <w:lang w:val="es-CO" w:eastAsia="es-CO"/>
        </w:rPr>
        <w:t xml:space="preserve">Todo el material que ingrese a la Biblioteca bajo la modalidad de compra, canje, depósito institucional o donación debe estar catalogado de acuerdo a los estándares establecidos en el instructivo de procesamiento técnico y físico de material bibliográfico. </w:t>
      </w:r>
    </w:p>
    <w:p w:rsidR="00BC2620" w:rsidRPr="00433B4D" w:rsidRDefault="00BC2620" w:rsidP="00433B4D">
      <w:pPr>
        <w:pStyle w:val="Prrafodelista"/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</w:p>
    <w:p w:rsidR="00BC2620" w:rsidRPr="00433B4D" w:rsidRDefault="00BC2620" w:rsidP="00433B4D">
      <w:pPr>
        <w:pStyle w:val="Prrafode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  <w:r w:rsidRPr="00433B4D">
        <w:rPr>
          <w:rFonts w:ascii="Arial Narrow" w:hAnsi="Arial Narrow" w:cs="Arial"/>
          <w:sz w:val="24"/>
          <w:szCs w:val="24"/>
          <w:lang w:val="es-CO" w:eastAsia="es-CO"/>
        </w:rPr>
        <w:t xml:space="preserve">Los depósitos donde reposa el material bibliográfico, </w:t>
      </w:r>
      <w:proofErr w:type="spellStart"/>
      <w:r w:rsidRPr="00433B4D">
        <w:rPr>
          <w:rFonts w:ascii="Arial Narrow" w:hAnsi="Arial Narrow" w:cs="Arial"/>
          <w:sz w:val="24"/>
          <w:szCs w:val="24"/>
          <w:lang w:val="es-CO" w:eastAsia="es-CO"/>
        </w:rPr>
        <w:t>hemerográfico</w:t>
      </w:r>
      <w:proofErr w:type="spellEnd"/>
      <w:r w:rsidRPr="00433B4D">
        <w:rPr>
          <w:rFonts w:ascii="Arial Narrow" w:hAnsi="Arial Narrow" w:cs="Arial"/>
          <w:sz w:val="24"/>
          <w:szCs w:val="24"/>
          <w:lang w:val="es-CO" w:eastAsia="es-CO"/>
        </w:rPr>
        <w:t xml:space="preserve"> y audiovisual, son áreas de acceso restringidas. Solo podrá ingresar el personal de la Biblioteca y aquel que autorice el bibliotecólogo o Coordinador del Grupo de Gestión de Información, el cual será registrado en la minuta del guarda de seguridad.</w:t>
      </w:r>
    </w:p>
    <w:p w:rsidR="00BC2620" w:rsidRPr="00433B4D" w:rsidRDefault="00BC2620" w:rsidP="00433B4D">
      <w:pPr>
        <w:pStyle w:val="Prrafodelista"/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</w:p>
    <w:p w:rsidR="00BC2620" w:rsidRDefault="00BC2620" w:rsidP="00144AF0">
      <w:pPr>
        <w:jc w:val="both"/>
        <w:rPr>
          <w:rFonts w:ascii="Arial Narrow" w:hAnsi="Arial Narrow" w:cs="Arial"/>
          <w:b/>
          <w:sz w:val="24"/>
          <w:szCs w:val="24"/>
          <w:lang w:val="es-CO"/>
        </w:rPr>
      </w:pPr>
    </w:p>
    <w:p w:rsidR="00921191" w:rsidRDefault="00921191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144AF0">
        <w:rPr>
          <w:rFonts w:ascii="Arial Narrow" w:hAnsi="Arial Narrow" w:cs="Arial"/>
          <w:b/>
          <w:sz w:val="24"/>
          <w:szCs w:val="24"/>
        </w:rPr>
        <w:t>TÉRMINOS Y DEFINICIONES</w:t>
      </w:r>
    </w:p>
    <w:p w:rsidR="005D246C" w:rsidRDefault="005D246C" w:rsidP="005D246C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BC2620" w:rsidRPr="00433B4D" w:rsidRDefault="00BC2620" w:rsidP="00BC2620">
      <w:pPr>
        <w:pStyle w:val="Prrafodelista"/>
        <w:numPr>
          <w:ilvl w:val="0"/>
          <w:numId w:val="34"/>
        </w:numPr>
        <w:tabs>
          <w:tab w:val="left" w:pos="450"/>
        </w:tabs>
        <w:jc w:val="both"/>
        <w:rPr>
          <w:rFonts w:ascii="Arial Narrow" w:hAnsi="Arial Narrow" w:cs="Arial"/>
          <w:sz w:val="24"/>
          <w:szCs w:val="24"/>
          <w:lang w:val="es-MX"/>
        </w:rPr>
      </w:pPr>
      <w:r w:rsidRPr="00433B4D">
        <w:rPr>
          <w:rFonts w:ascii="Arial Narrow" w:hAnsi="Arial Narrow" w:cs="Arial"/>
          <w:b/>
          <w:sz w:val="24"/>
          <w:szCs w:val="24"/>
          <w:lang w:val="es-MX"/>
        </w:rPr>
        <w:t>Adquisición.</w:t>
      </w:r>
      <w:r w:rsidRPr="00433B4D">
        <w:rPr>
          <w:rFonts w:ascii="Arial Narrow" w:hAnsi="Arial Narrow" w:cs="Arial"/>
          <w:sz w:val="24"/>
          <w:szCs w:val="24"/>
          <w:lang w:val="es-MX"/>
        </w:rPr>
        <w:t xml:space="preserve"> Es el proceso mediante el cual la biblioteca obtiene el material bibliográfico.</w:t>
      </w:r>
    </w:p>
    <w:p w:rsidR="00BC2620" w:rsidRPr="00433B4D" w:rsidRDefault="00BC2620" w:rsidP="00BC2620">
      <w:pPr>
        <w:pStyle w:val="Prrafodelista"/>
        <w:tabs>
          <w:tab w:val="left" w:pos="450"/>
        </w:tabs>
        <w:ind w:left="720"/>
        <w:jc w:val="both"/>
        <w:rPr>
          <w:rFonts w:ascii="Arial Narrow" w:hAnsi="Arial Narrow" w:cs="Arial"/>
          <w:sz w:val="24"/>
          <w:szCs w:val="24"/>
          <w:lang w:val="es-MX"/>
        </w:rPr>
      </w:pPr>
    </w:p>
    <w:p w:rsidR="00BC2620" w:rsidRPr="00433B4D" w:rsidRDefault="00BC2620" w:rsidP="00BC2620">
      <w:pPr>
        <w:pStyle w:val="Default"/>
        <w:numPr>
          <w:ilvl w:val="0"/>
          <w:numId w:val="34"/>
        </w:numPr>
        <w:rPr>
          <w:rFonts w:ascii="Arial Narrow" w:hAnsi="Arial Narrow"/>
        </w:rPr>
      </w:pPr>
      <w:r w:rsidRPr="00433B4D">
        <w:rPr>
          <w:rFonts w:ascii="Arial Narrow" w:hAnsi="Arial Narrow"/>
          <w:b/>
          <w:bCs/>
        </w:rPr>
        <w:t>Catalogación bibliográfica</w:t>
      </w:r>
      <w:r w:rsidRPr="00433B4D">
        <w:rPr>
          <w:rFonts w:ascii="Arial Narrow" w:hAnsi="Arial Narrow"/>
        </w:rPr>
        <w:t>: procedimiento mediante el cual se registra en forma completa y ordenada las partes esenciales que permiten describir el documento e identificarlo cada uno con el fin de ubicarlo dentro de una colección y facilitar su recuperación.</w:t>
      </w:r>
    </w:p>
    <w:p w:rsidR="00BC2620" w:rsidRPr="00433B4D" w:rsidRDefault="00BC2620" w:rsidP="00BC2620">
      <w:pPr>
        <w:pStyle w:val="Prrafodelista"/>
        <w:tabs>
          <w:tab w:val="left" w:pos="450"/>
        </w:tabs>
        <w:ind w:left="720"/>
        <w:jc w:val="both"/>
        <w:rPr>
          <w:rFonts w:ascii="Arial Narrow" w:hAnsi="Arial Narrow" w:cs="Arial"/>
          <w:sz w:val="24"/>
          <w:szCs w:val="24"/>
          <w:lang w:val="es-MX"/>
        </w:rPr>
      </w:pPr>
    </w:p>
    <w:p w:rsidR="00BC2620" w:rsidRPr="00433B4D" w:rsidRDefault="00BC2620" w:rsidP="00BC2620">
      <w:pPr>
        <w:pStyle w:val="Prrafodelista"/>
        <w:numPr>
          <w:ilvl w:val="0"/>
          <w:numId w:val="34"/>
        </w:numPr>
        <w:tabs>
          <w:tab w:val="left" w:pos="450"/>
        </w:tabs>
        <w:jc w:val="both"/>
        <w:rPr>
          <w:rFonts w:ascii="Arial Narrow" w:hAnsi="Arial Narrow" w:cs="Arial"/>
          <w:b/>
          <w:sz w:val="24"/>
          <w:szCs w:val="24"/>
          <w:lang w:val="es-MX"/>
        </w:rPr>
      </w:pPr>
      <w:r w:rsidRPr="00433B4D">
        <w:rPr>
          <w:rFonts w:ascii="Arial Narrow" w:hAnsi="Arial Narrow" w:cs="Arial"/>
          <w:b/>
          <w:sz w:val="24"/>
          <w:szCs w:val="24"/>
          <w:lang w:val="es-MX"/>
        </w:rPr>
        <w:lastRenderedPageBreak/>
        <w:t xml:space="preserve">Formato MARC21. </w:t>
      </w:r>
      <w:r w:rsidRPr="00433B4D">
        <w:rPr>
          <w:rFonts w:ascii="Arial Narrow" w:hAnsi="Arial Narrow" w:cs="Arial"/>
          <w:sz w:val="24"/>
          <w:szCs w:val="24"/>
          <w:lang w:val="es-MX"/>
        </w:rPr>
        <w:t xml:space="preserve">Es un formato internacional de almacenamiento y transferencia de registros, cuyas siglas indican que es un registro </w:t>
      </w:r>
      <w:proofErr w:type="spellStart"/>
      <w:r w:rsidRPr="00433B4D">
        <w:rPr>
          <w:rFonts w:ascii="Arial Narrow" w:hAnsi="Arial Narrow" w:cs="Arial"/>
          <w:sz w:val="24"/>
          <w:szCs w:val="24"/>
          <w:lang w:val="es-MX"/>
        </w:rPr>
        <w:t>catalográfico</w:t>
      </w:r>
      <w:proofErr w:type="spellEnd"/>
      <w:r w:rsidRPr="00433B4D">
        <w:rPr>
          <w:rFonts w:ascii="Arial Narrow" w:hAnsi="Arial Narrow" w:cs="Arial"/>
          <w:sz w:val="24"/>
          <w:szCs w:val="24"/>
          <w:lang w:val="es-MX"/>
        </w:rPr>
        <w:t xml:space="preserve"> legible por máquina (</w:t>
      </w:r>
      <w:proofErr w:type="spellStart"/>
      <w:r w:rsidRPr="00433B4D">
        <w:rPr>
          <w:rFonts w:ascii="Arial Narrow" w:hAnsi="Arial Narrow" w:cs="Arial"/>
          <w:sz w:val="24"/>
          <w:szCs w:val="24"/>
          <w:lang w:val="es-MX"/>
        </w:rPr>
        <w:t>MAchine</w:t>
      </w:r>
      <w:proofErr w:type="spellEnd"/>
      <w:r w:rsidRPr="00433B4D">
        <w:rPr>
          <w:rFonts w:ascii="Arial Narrow" w:hAnsi="Arial Narrow" w:cs="Arial"/>
          <w:sz w:val="24"/>
          <w:szCs w:val="24"/>
          <w:lang w:val="es-MX"/>
        </w:rPr>
        <w:t xml:space="preserve"> – </w:t>
      </w:r>
      <w:proofErr w:type="spellStart"/>
      <w:r w:rsidRPr="00433B4D">
        <w:rPr>
          <w:rFonts w:ascii="Arial Narrow" w:hAnsi="Arial Narrow" w:cs="Arial"/>
          <w:sz w:val="24"/>
          <w:szCs w:val="24"/>
          <w:lang w:val="es-MX"/>
        </w:rPr>
        <w:t>Readable</w:t>
      </w:r>
      <w:proofErr w:type="spellEnd"/>
      <w:r w:rsidRPr="00433B4D">
        <w:rPr>
          <w:rFonts w:ascii="Arial Narrow" w:hAnsi="Arial Narrow" w:cs="Arial"/>
          <w:sz w:val="24"/>
          <w:szCs w:val="24"/>
          <w:lang w:val="es-MX"/>
        </w:rPr>
        <w:t xml:space="preserve"> – </w:t>
      </w:r>
      <w:proofErr w:type="spellStart"/>
      <w:r w:rsidRPr="00433B4D">
        <w:rPr>
          <w:rFonts w:ascii="Arial Narrow" w:hAnsi="Arial Narrow" w:cs="Arial"/>
          <w:sz w:val="24"/>
          <w:szCs w:val="24"/>
          <w:lang w:val="es-MX"/>
        </w:rPr>
        <w:t>Cataloging</w:t>
      </w:r>
      <w:proofErr w:type="spellEnd"/>
      <w:r w:rsidRPr="00433B4D">
        <w:rPr>
          <w:rFonts w:ascii="Arial Narrow" w:hAnsi="Arial Narrow" w:cs="Arial"/>
          <w:sz w:val="24"/>
          <w:szCs w:val="24"/>
          <w:lang w:val="es-MX"/>
        </w:rPr>
        <w:t xml:space="preserve">); es decir, que un tipo particular de máquina, un computador, por ejemplo, puede leer e interpretar los datos contenidos en un registro </w:t>
      </w:r>
      <w:proofErr w:type="spellStart"/>
      <w:r w:rsidRPr="00433B4D">
        <w:rPr>
          <w:rFonts w:ascii="Arial Narrow" w:hAnsi="Arial Narrow" w:cs="Arial"/>
          <w:sz w:val="24"/>
          <w:szCs w:val="24"/>
          <w:lang w:val="es-MX"/>
        </w:rPr>
        <w:t>catalográfico</w:t>
      </w:r>
      <w:proofErr w:type="spellEnd"/>
      <w:r w:rsidRPr="00433B4D">
        <w:rPr>
          <w:rFonts w:ascii="Arial Narrow" w:hAnsi="Arial Narrow" w:cs="Arial"/>
          <w:sz w:val="24"/>
          <w:szCs w:val="24"/>
          <w:lang w:val="es-MX"/>
        </w:rPr>
        <w:t>.</w:t>
      </w:r>
    </w:p>
    <w:p w:rsidR="00BC2620" w:rsidRPr="00433B4D" w:rsidRDefault="00BC2620" w:rsidP="00BC2620">
      <w:pPr>
        <w:pStyle w:val="Prrafodelista"/>
        <w:rPr>
          <w:rFonts w:ascii="Arial Narrow" w:hAnsi="Arial Narrow" w:cs="Arial"/>
          <w:b/>
          <w:sz w:val="24"/>
          <w:szCs w:val="24"/>
          <w:lang w:val="es-MX"/>
        </w:rPr>
      </w:pPr>
    </w:p>
    <w:p w:rsidR="00BC2620" w:rsidRPr="00433B4D" w:rsidRDefault="00BC2620" w:rsidP="00BC2620">
      <w:pPr>
        <w:pStyle w:val="Prrafodelista"/>
        <w:numPr>
          <w:ilvl w:val="0"/>
          <w:numId w:val="34"/>
        </w:numPr>
        <w:tabs>
          <w:tab w:val="left" w:pos="450"/>
        </w:tabs>
        <w:jc w:val="both"/>
        <w:rPr>
          <w:rFonts w:ascii="Arial Narrow" w:hAnsi="Arial Narrow" w:cs="Arial"/>
          <w:sz w:val="24"/>
          <w:szCs w:val="24"/>
          <w:lang w:val="es-MX"/>
        </w:rPr>
      </w:pPr>
      <w:r w:rsidRPr="00433B4D">
        <w:rPr>
          <w:rFonts w:ascii="Arial Narrow" w:hAnsi="Arial Narrow" w:cs="Arial"/>
          <w:b/>
          <w:sz w:val="24"/>
          <w:szCs w:val="24"/>
          <w:lang w:val="es-MX"/>
        </w:rPr>
        <w:t>Procesamiento físico.</w:t>
      </w:r>
      <w:r w:rsidRPr="00433B4D">
        <w:rPr>
          <w:rFonts w:ascii="Arial Narrow" w:hAnsi="Arial Narrow" w:cs="Arial"/>
          <w:sz w:val="24"/>
          <w:szCs w:val="24"/>
          <w:lang w:val="es-MX"/>
        </w:rPr>
        <w:t xml:space="preserve"> Conjunto de actividades de tipo auxiliar que permiten la identificación externa de todos y cada uno de los materiales bibliográficos que conforman las colecciones de una biblioteca. Entre esas actividades se encuentra la elaboración y pegado de rótulos.</w:t>
      </w:r>
    </w:p>
    <w:p w:rsidR="00BC2620" w:rsidRPr="00433B4D" w:rsidRDefault="00BC2620" w:rsidP="00BC2620">
      <w:pPr>
        <w:pStyle w:val="Prrafodelista"/>
        <w:rPr>
          <w:rFonts w:ascii="Arial Narrow" w:hAnsi="Arial Narrow" w:cs="Arial"/>
          <w:sz w:val="24"/>
          <w:szCs w:val="24"/>
          <w:lang w:val="es-CO"/>
        </w:rPr>
      </w:pPr>
    </w:p>
    <w:p w:rsidR="00BC2620" w:rsidRPr="00433B4D" w:rsidRDefault="00BC2620" w:rsidP="00BC2620">
      <w:pPr>
        <w:pStyle w:val="Prrafodelista"/>
        <w:numPr>
          <w:ilvl w:val="0"/>
          <w:numId w:val="34"/>
        </w:numPr>
        <w:tabs>
          <w:tab w:val="left" w:pos="450"/>
        </w:tabs>
        <w:jc w:val="both"/>
        <w:rPr>
          <w:rFonts w:ascii="Arial Narrow" w:hAnsi="Arial Narrow" w:cs="Arial"/>
          <w:sz w:val="24"/>
          <w:szCs w:val="24"/>
          <w:lang w:val="es-MX"/>
        </w:rPr>
      </w:pPr>
      <w:r w:rsidRPr="00433B4D">
        <w:rPr>
          <w:rFonts w:ascii="Arial Narrow" w:hAnsi="Arial Narrow" w:cs="Arial"/>
          <w:b/>
          <w:sz w:val="24"/>
          <w:szCs w:val="24"/>
        </w:rPr>
        <w:t>Procesamiento técnico.</w:t>
      </w:r>
      <w:r w:rsidRPr="00433B4D">
        <w:rPr>
          <w:rFonts w:ascii="Arial Narrow" w:hAnsi="Arial Narrow" w:cs="Arial"/>
          <w:sz w:val="24"/>
          <w:szCs w:val="24"/>
        </w:rPr>
        <w:t xml:space="preserve"> Conjunto de actividades encaminadas a analizar la información por medio de la clasificación, catalogación, asignación de temas o epígrafes para que sea accedida por los usuarios de las colecciones. </w:t>
      </w:r>
    </w:p>
    <w:p w:rsidR="005D246C" w:rsidRPr="00144AF0" w:rsidRDefault="005D246C" w:rsidP="005D246C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4D4ED1" w:rsidRDefault="0092547E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bookmarkStart w:id="13" w:name="_Toc126301044"/>
      <w:bookmarkStart w:id="14" w:name="_Toc181004297"/>
      <w:bookmarkEnd w:id="7"/>
      <w:bookmarkEnd w:id="8"/>
      <w:bookmarkEnd w:id="9"/>
      <w:bookmarkEnd w:id="10"/>
      <w:bookmarkEnd w:id="11"/>
      <w:bookmarkEnd w:id="12"/>
      <w:r w:rsidRPr="00144AF0">
        <w:rPr>
          <w:rFonts w:ascii="Arial Narrow" w:hAnsi="Arial Narrow" w:cs="Arial"/>
          <w:b/>
          <w:sz w:val="24"/>
          <w:szCs w:val="24"/>
        </w:rPr>
        <w:t>DESCRIPCIÓN</w:t>
      </w:r>
      <w:bookmarkEnd w:id="13"/>
      <w:bookmarkEnd w:id="14"/>
    </w:p>
    <w:p w:rsidR="00ED2BFC" w:rsidRPr="00144AF0" w:rsidRDefault="00ED2BFC" w:rsidP="009D7C56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544"/>
        <w:gridCol w:w="1424"/>
        <w:gridCol w:w="490"/>
        <w:gridCol w:w="1719"/>
        <w:gridCol w:w="1859"/>
        <w:gridCol w:w="1256"/>
      </w:tblGrid>
      <w:tr w:rsidR="00D43F9B" w:rsidRPr="00BF030A" w:rsidTr="00194570">
        <w:trPr>
          <w:trHeight w:val="494"/>
          <w:tblHeader/>
        </w:trPr>
        <w:tc>
          <w:tcPr>
            <w:tcW w:w="305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:rsidR="001B630D" w:rsidRPr="00BF030A" w:rsidRDefault="001B630D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F030A">
              <w:rPr>
                <w:rFonts w:ascii="Arial Narrow" w:hAnsi="Arial Narrow" w:cs="Arial"/>
                <w:b/>
                <w:sz w:val="24"/>
                <w:szCs w:val="24"/>
              </w:rPr>
              <w:t>No.</w:t>
            </w:r>
          </w:p>
        </w:tc>
        <w:tc>
          <w:tcPr>
            <w:tcW w:w="874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:rsidR="001B630D" w:rsidRPr="00BF030A" w:rsidRDefault="001B630D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F030A">
              <w:rPr>
                <w:rFonts w:ascii="Arial Narrow" w:hAnsi="Arial Narrow" w:cs="Arial"/>
                <w:b/>
                <w:sz w:val="24"/>
                <w:szCs w:val="24"/>
              </w:rPr>
              <w:t>PROVEEDOR:</w:t>
            </w:r>
          </w:p>
          <w:p w:rsidR="001B630D" w:rsidRPr="00BF030A" w:rsidRDefault="001B630D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F030A">
              <w:rPr>
                <w:rFonts w:ascii="Arial Narrow" w:hAnsi="Arial Narrow" w:cs="Arial"/>
                <w:b/>
                <w:sz w:val="24"/>
                <w:szCs w:val="24"/>
              </w:rPr>
              <w:t>ENTRADAS</w:t>
            </w:r>
          </w:p>
        </w:tc>
        <w:tc>
          <w:tcPr>
            <w:tcW w:w="807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:rsidR="001B630D" w:rsidRPr="00BF030A" w:rsidRDefault="001B630D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F030A">
              <w:rPr>
                <w:rFonts w:ascii="Arial Narrow" w:hAnsi="Arial Narrow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277" w:type="pct"/>
            <w:shd w:val="clear" w:color="auto" w:fill="D9D9D9"/>
            <w:vAlign w:val="center"/>
          </w:tcPr>
          <w:p w:rsidR="001B630D" w:rsidRPr="00BF030A" w:rsidRDefault="001B630D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PC</w:t>
            </w:r>
          </w:p>
        </w:tc>
        <w:tc>
          <w:tcPr>
            <w:tcW w:w="973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:rsidR="001B630D" w:rsidRPr="00BF030A" w:rsidRDefault="001B630D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F030A">
              <w:rPr>
                <w:rFonts w:ascii="Arial Narrow" w:hAnsi="Arial Narrow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1053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:rsidR="001B630D" w:rsidRPr="00BF030A" w:rsidRDefault="001B630D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F030A">
              <w:rPr>
                <w:rFonts w:ascii="Arial Narrow" w:hAnsi="Arial Narrow" w:cs="Arial"/>
                <w:b/>
                <w:sz w:val="24"/>
                <w:szCs w:val="24"/>
              </w:rPr>
              <w:t>EXPLICACIÓN</w:t>
            </w:r>
          </w:p>
        </w:tc>
        <w:tc>
          <w:tcPr>
            <w:tcW w:w="711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:rsidR="001B630D" w:rsidRPr="00BF030A" w:rsidRDefault="001B630D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F030A">
              <w:rPr>
                <w:rFonts w:ascii="Arial Narrow" w:hAnsi="Arial Narrow" w:cs="Arial"/>
                <w:b/>
                <w:sz w:val="24"/>
                <w:szCs w:val="24"/>
              </w:rPr>
              <w:t>REGISTRO</w:t>
            </w:r>
          </w:p>
        </w:tc>
      </w:tr>
      <w:tr w:rsidR="001B630D" w:rsidRPr="00BF030A" w:rsidTr="008006CD">
        <w:trPr>
          <w:trHeight w:val="373"/>
        </w:trPr>
        <w:tc>
          <w:tcPr>
            <w:tcW w:w="5000" w:type="pct"/>
            <w:gridSpan w:val="7"/>
            <w:vAlign w:val="center"/>
          </w:tcPr>
          <w:p w:rsidR="001B630D" w:rsidRPr="00D43F9B" w:rsidRDefault="00453641" w:rsidP="00453641">
            <w:pPr>
              <w:numPr>
                <w:ilvl w:val="0"/>
                <w:numId w:val="35"/>
              </w:num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53641">
              <w:rPr>
                <w:rFonts w:ascii="Arial Narrow" w:hAnsi="Arial Narrow" w:cs="Arial"/>
                <w:b/>
                <w:sz w:val="24"/>
                <w:szCs w:val="24"/>
              </w:rPr>
              <w:t>Proceso técnico y preparación física del material</w:t>
            </w:r>
          </w:p>
        </w:tc>
      </w:tr>
      <w:tr w:rsidR="00BC2620" w:rsidRPr="00BF030A" w:rsidTr="00194570">
        <w:trPr>
          <w:trHeight w:val="545"/>
        </w:trPr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BC2620" w:rsidRPr="00D43F9B" w:rsidRDefault="00BC2620" w:rsidP="00456F2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BC2620" w:rsidRPr="00D43F9B" w:rsidRDefault="00BC2620" w:rsidP="00E83F2C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Material bibliográfico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BC2620" w:rsidRPr="00D43F9B" w:rsidRDefault="00CE73A8" w:rsidP="00CE73A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Tomar del estante el material bibliográfico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:rsidR="00BC2620" w:rsidRPr="00D43F9B" w:rsidRDefault="00BC2620" w:rsidP="00E83F2C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BC2620" w:rsidRPr="00D43F9B" w:rsidRDefault="00BC2620" w:rsidP="00E83F2C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Técnico o Auxiliar</w:t>
            </w:r>
          </w:p>
        </w:tc>
        <w:tc>
          <w:tcPr>
            <w:tcW w:w="105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BC2620" w:rsidRPr="00D43F9B" w:rsidRDefault="00CE73A8" w:rsidP="00CE73A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Tomar del estante asignado el material bibliográfico pendiente por catalogar, </w:t>
            </w:r>
            <w:r w:rsidR="00BC2620" w:rsidRPr="00D43F9B">
              <w:rPr>
                <w:rFonts w:ascii="Arial Narrow" w:hAnsi="Arial Narrow" w:cs="Arial"/>
                <w:sz w:val="22"/>
                <w:szCs w:val="22"/>
              </w:rPr>
              <w:t>cualquiera que haya sido la vía de adquisición (compra, canje, depósito instituci</w:t>
            </w:r>
            <w:r>
              <w:rPr>
                <w:rFonts w:ascii="Arial Narrow" w:hAnsi="Arial Narrow" w:cs="Arial"/>
                <w:sz w:val="22"/>
                <w:szCs w:val="22"/>
              </w:rPr>
              <w:t>onal o donación).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BC2620" w:rsidRPr="00D43F9B" w:rsidRDefault="00BC2620" w:rsidP="00E83F2C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Factura, Carta y/o Remisión</w:t>
            </w:r>
          </w:p>
        </w:tc>
      </w:tr>
      <w:tr w:rsidR="006E7CBB" w:rsidRPr="00BF030A" w:rsidTr="00194570">
        <w:trPr>
          <w:trHeight w:val="545"/>
        </w:trPr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6E7CBB" w:rsidRPr="00D43F9B" w:rsidRDefault="00911F2B" w:rsidP="00456F2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6E7CBB" w:rsidRPr="00D43F9B" w:rsidRDefault="00911F2B" w:rsidP="00E83F2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Material bibliográfico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6E7CBB" w:rsidRDefault="00911F2B" w:rsidP="00911F2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Verificar criterios de descarte al material bibliográfico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:rsidR="006E7CBB" w:rsidRPr="00D43F9B" w:rsidRDefault="00911F2B" w:rsidP="00E83F2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SI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6E7CBB" w:rsidRPr="00D43F9B" w:rsidRDefault="00911F2B" w:rsidP="00E83F2C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Técnico o Auxiliar</w:t>
            </w:r>
          </w:p>
        </w:tc>
        <w:tc>
          <w:tcPr>
            <w:tcW w:w="105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6E7CBB" w:rsidRDefault="006E7CBB" w:rsidP="006E7CB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Verificar si aplica algún criterio de descarte de acuerdo al Instructivo Descarte de Material Bibliográfico.</w:t>
            </w:r>
          </w:p>
          <w:p w:rsidR="00911F2B" w:rsidRDefault="006E7CBB" w:rsidP="00911F2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Si aplica</w:t>
            </w:r>
            <w:r w:rsidR="00911F2B">
              <w:rPr>
                <w:rFonts w:ascii="Arial Narrow" w:hAnsi="Arial Narrow" w:cs="Arial"/>
                <w:sz w:val="22"/>
                <w:szCs w:val="22"/>
              </w:rPr>
              <w:t xml:space="preserve"> alguno de los criterios de descarte pasar a la actividad No. 3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</w:p>
          <w:p w:rsidR="006E7CBB" w:rsidRDefault="006E7CBB" w:rsidP="00911F2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Si no, pasar a la actividad</w:t>
            </w:r>
            <w:r w:rsidR="00911F2B">
              <w:rPr>
                <w:rFonts w:ascii="Arial Narrow" w:hAnsi="Arial Narrow" w:cs="Arial"/>
                <w:sz w:val="22"/>
                <w:szCs w:val="22"/>
              </w:rPr>
              <w:t xml:space="preserve"> No. 4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6E7CBB" w:rsidRPr="00D43F9B" w:rsidRDefault="00911F2B" w:rsidP="00E83F2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N/A</w:t>
            </w:r>
          </w:p>
        </w:tc>
      </w:tr>
      <w:tr w:rsidR="00911F2B" w:rsidRPr="00BF030A" w:rsidTr="00194570">
        <w:trPr>
          <w:trHeight w:val="545"/>
        </w:trPr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11F2B" w:rsidRDefault="00911F2B" w:rsidP="00456F2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11F2B" w:rsidRPr="00D43F9B" w:rsidRDefault="00911F2B" w:rsidP="00E83F2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Material bibliográfico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11F2B" w:rsidRDefault="00911F2B" w:rsidP="00CE73A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Diligenciar el formato Descarte de material bibliográfico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:rsidR="00911F2B" w:rsidRPr="00D43F9B" w:rsidRDefault="00911F2B" w:rsidP="00E83F2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11F2B" w:rsidRPr="00D43F9B" w:rsidRDefault="00911F2B" w:rsidP="00E83F2C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Técnico o Auxiliar</w:t>
            </w:r>
          </w:p>
        </w:tc>
        <w:tc>
          <w:tcPr>
            <w:tcW w:w="105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11F2B" w:rsidRDefault="00911F2B" w:rsidP="00911F2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Si el material bibliográfico cumple con alguno de los criterios de descarte, diligencie el formato Descarte de material bibliográfico.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11F2B" w:rsidRDefault="00911F2B" w:rsidP="00E83F2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Formato Descarte de Material Bibliográfico</w:t>
            </w:r>
          </w:p>
        </w:tc>
      </w:tr>
      <w:tr w:rsidR="006E7CBB" w:rsidRPr="00BF030A" w:rsidTr="00194570">
        <w:trPr>
          <w:trHeight w:val="545"/>
        </w:trPr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6E7CBB" w:rsidRPr="00D43F9B" w:rsidRDefault="008D0A31" w:rsidP="006E7CB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="006E7CBB" w:rsidRPr="00D43F9B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6E7CBB" w:rsidRPr="00D43F9B" w:rsidRDefault="006E7CBB" w:rsidP="006E7CBB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Material bibliográfico y Factura, Carta y/o Remisión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6E7CBB" w:rsidRPr="00D43F9B" w:rsidRDefault="006E7CBB" w:rsidP="008D0A31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Sella</w:t>
            </w:r>
            <w:r>
              <w:rPr>
                <w:rFonts w:ascii="Arial Narrow" w:hAnsi="Arial Narrow" w:cs="Arial"/>
                <w:sz w:val="22"/>
                <w:szCs w:val="22"/>
              </w:rPr>
              <w:t>r</w:t>
            </w:r>
            <w:r w:rsidRPr="00D43F9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D0A31">
              <w:rPr>
                <w:rFonts w:ascii="Arial Narrow" w:hAnsi="Arial Narrow" w:cs="Arial"/>
                <w:sz w:val="22"/>
                <w:szCs w:val="22"/>
              </w:rPr>
              <w:t>el material bibliográfico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:rsidR="006E7CBB" w:rsidRPr="00D43F9B" w:rsidRDefault="006E7CBB" w:rsidP="006E7CBB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6E7CBB" w:rsidRPr="00D43F9B" w:rsidRDefault="006E7CBB" w:rsidP="006E7CBB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Técnico o Auxiliar</w:t>
            </w:r>
          </w:p>
        </w:tc>
        <w:tc>
          <w:tcPr>
            <w:tcW w:w="105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6E7CBB" w:rsidRPr="00D43F9B" w:rsidRDefault="006E7CBB" w:rsidP="008D0A31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Sellar el material con el sello de procesos técnicos, registrando la información de adquisición (tipo de adquisición, proveedor, fecha y precio)</w:t>
            </w:r>
            <w:r w:rsidR="008D0A31">
              <w:rPr>
                <w:rFonts w:ascii="Arial Narrow" w:hAnsi="Arial Narrow" w:cs="Arial"/>
                <w:sz w:val="22"/>
                <w:szCs w:val="22"/>
              </w:rPr>
              <w:t>, de acuerdo al instructivo.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6E7CBB" w:rsidRPr="00D43F9B" w:rsidRDefault="006E7CBB" w:rsidP="006E7CBB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Material bibliográfico</w:t>
            </w:r>
          </w:p>
        </w:tc>
      </w:tr>
      <w:tr w:rsidR="008D0A31" w:rsidRPr="00BF030A" w:rsidTr="00194570">
        <w:trPr>
          <w:trHeight w:val="545"/>
        </w:trPr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8D0A31" w:rsidRDefault="00821865" w:rsidP="006E7CB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8D0A31" w:rsidRPr="00D43F9B" w:rsidRDefault="00821865" w:rsidP="006E7CB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Material bibliográfico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8D0A31" w:rsidRPr="00D43F9B" w:rsidRDefault="00821865" w:rsidP="008D0A31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Verificar existencias en el catálogo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:rsidR="008D0A31" w:rsidRPr="00D43F9B" w:rsidRDefault="00821865" w:rsidP="006E7CB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SI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8D0A31" w:rsidRPr="00D43F9B" w:rsidRDefault="00821865" w:rsidP="006E7CBB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Técnico o Auxiliar</w:t>
            </w:r>
          </w:p>
        </w:tc>
        <w:tc>
          <w:tcPr>
            <w:tcW w:w="105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8D0A31" w:rsidRDefault="00821865" w:rsidP="0082186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Verificar la existencia del material bibliográfico en el catálogo.</w:t>
            </w:r>
          </w:p>
          <w:p w:rsidR="00821865" w:rsidRDefault="00821865" w:rsidP="0082186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Si no existe, pasar a la actividad No. 6.</w:t>
            </w:r>
          </w:p>
          <w:p w:rsidR="00821865" w:rsidRPr="00D43F9B" w:rsidRDefault="00821865" w:rsidP="0082186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Si existe, pasar a la actividad No. 7.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8D0A31" w:rsidRPr="00D43F9B" w:rsidRDefault="00821865" w:rsidP="006E7CB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Catálogo bibliográfico</w:t>
            </w:r>
          </w:p>
        </w:tc>
      </w:tr>
      <w:tr w:rsidR="00821865" w:rsidRPr="00BF030A" w:rsidTr="00194570">
        <w:trPr>
          <w:trHeight w:val="545"/>
        </w:trPr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821865" w:rsidRDefault="00821865" w:rsidP="008218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6.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821865" w:rsidRPr="00D43F9B" w:rsidRDefault="00821865" w:rsidP="0082186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Material bibliográfico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821865" w:rsidRPr="00D43F9B" w:rsidRDefault="00821865" w:rsidP="008218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Catalogar material nuevo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:rsidR="00821865" w:rsidRPr="00D43F9B" w:rsidRDefault="00821865" w:rsidP="008218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821865" w:rsidRPr="00D43F9B" w:rsidRDefault="00821865" w:rsidP="008218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Técnico (Catalogador)</w:t>
            </w:r>
          </w:p>
        </w:tc>
        <w:tc>
          <w:tcPr>
            <w:tcW w:w="105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821865" w:rsidRPr="00D43F9B" w:rsidRDefault="00821865" w:rsidP="0082186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</w:t>
            </w:r>
            <w:r w:rsidRPr="00D43F9B">
              <w:rPr>
                <w:rFonts w:ascii="Arial Narrow" w:hAnsi="Arial Narrow" w:cs="Arial"/>
                <w:sz w:val="22"/>
                <w:szCs w:val="22"/>
              </w:rPr>
              <w:t>ataloga</w:t>
            </w:r>
            <w:r>
              <w:rPr>
                <w:rFonts w:ascii="Arial Narrow" w:hAnsi="Arial Narrow" w:cs="Arial"/>
                <w:sz w:val="22"/>
                <w:szCs w:val="22"/>
              </w:rPr>
              <w:t>r</w:t>
            </w:r>
            <w:r w:rsidRPr="00D43F9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el material bibliográfico </w:t>
            </w:r>
            <w:r w:rsidRPr="00D43F9B">
              <w:rPr>
                <w:rFonts w:ascii="Arial Narrow" w:hAnsi="Arial Narrow" w:cs="Arial"/>
                <w:sz w:val="22"/>
                <w:szCs w:val="22"/>
              </w:rPr>
              <w:t xml:space="preserve">ingresando los datos en los campos correspondientes del formato MARC21 de acuerdo al instructivo. Y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pasar a la actividad No. </w:t>
            </w:r>
            <w:r w:rsidR="00194570">
              <w:rPr>
                <w:rFonts w:ascii="Arial Narrow" w:hAnsi="Arial Narrow" w:cs="Arial"/>
                <w:sz w:val="22"/>
                <w:szCs w:val="22"/>
              </w:rPr>
              <w:t>8.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821865" w:rsidRPr="00D43F9B" w:rsidRDefault="00194570" w:rsidP="0082186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Catálogo bibliográfico</w:t>
            </w:r>
          </w:p>
        </w:tc>
      </w:tr>
      <w:tr w:rsidR="00821865" w:rsidRPr="00BF030A" w:rsidTr="00194570">
        <w:trPr>
          <w:trHeight w:val="545"/>
        </w:trPr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821865" w:rsidRPr="00D43F9B" w:rsidRDefault="00821865" w:rsidP="008218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  <w:r w:rsidRPr="00D43F9B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821865" w:rsidRPr="00D43F9B" w:rsidRDefault="00821865" w:rsidP="0082186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Material bibliográfico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821865" w:rsidRPr="00D43F9B" w:rsidRDefault="00821865" w:rsidP="008218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Catalogar ejemplar adicional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:rsidR="00821865" w:rsidRPr="00D43F9B" w:rsidRDefault="00821865" w:rsidP="008218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821865" w:rsidRPr="00D43F9B" w:rsidRDefault="00821865" w:rsidP="008218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Técnico (Catalogador)</w:t>
            </w:r>
          </w:p>
        </w:tc>
        <w:tc>
          <w:tcPr>
            <w:tcW w:w="105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821865" w:rsidRPr="00D43F9B" w:rsidRDefault="00821865" w:rsidP="0082186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</w:t>
            </w:r>
            <w:r w:rsidRPr="00D43F9B">
              <w:rPr>
                <w:rFonts w:ascii="Arial Narrow" w:hAnsi="Arial Narrow" w:cs="Arial"/>
                <w:sz w:val="22"/>
                <w:szCs w:val="22"/>
              </w:rPr>
              <w:t xml:space="preserve">rear un registro como ejemplar adicional. Y </w:t>
            </w:r>
            <w:r>
              <w:rPr>
                <w:rFonts w:ascii="Arial Narrow" w:hAnsi="Arial Narrow" w:cs="Arial"/>
                <w:sz w:val="22"/>
                <w:szCs w:val="22"/>
              </w:rPr>
              <w:t>pasar a la actividad No.</w:t>
            </w:r>
            <w:r w:rsidR="00194570">
              <w:rPr>
                <w:rFonts w:ascii="Arial Narrow" w:hAnsi="Arial Narrow" w:cs="Arial"/>
                <w:sz w:val="22"/>
                <w:szCs w:val="22"/>
              </w:rPr>
              <w:t xml:space="preserve"> 8.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821865" w:rsidRPr="00D43F9B" w:rsidRDefault="00194570" w:rsidP="0082186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Catálogo bibliográfico</w:t>
            </w:r>
          </w:p>
        </w:tc>
      </w:tr>
      <w:tr w:rsidR="00821865" w:rsidRPr="00BF030A" w:rsidTr="00194570">
        <w:trPr>
          <w:trHeight w:val="545"/>
        </w:trPr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821865" w:rsidRPr="00D43F9B" w:rsidRDefault="00194570" w:rsidP="008218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8</w:t>
            </w:r>
            <w:r w:rsidR="00821865" w:rsidRPr="00D43F9B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821865" w:rsidRPr="00D43F9B" w:rsidRDefault="00821865" w:rsidP="008218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Material bibliográfico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821865" w:rsidRPr="00D43F9B" w:rsidRDefault="00194570" w:rsidP="00194570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Rotular el material bibliográfico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:rsidR="00821865" w:rsidRPr="00D43F9B" w:rsidRDefault="00821865" w:rsidP="008218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821865" w:rsidRPr="00D43F9B" w:rsidRDefault="00821865" w:rsidP="008218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color w:val="000000"/>
                <w:sz w:val="22"/>
                <w:szCs w:val="22"/>
              </w:rPr>
              <w:t>Técnico o Auxiliar</w:t>
            </w:r>
          </w:p>
        </w:tc>
        <w:tc>
          <w:tcPr>
            <w:tcW w:w="105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821865" w:rsidRPr="00D43F9B" w:rsidRDefault="00194570" w:rsidP="0019457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Ro</w:t>
            </w:r>
            <w:r w:rsidR="00821865" w:rsidRPr="00D43F9B">
              <w:rPr>
                <w:rFonts w:ascii="Arial Narrow" w:hAnsi="Arial Narrow" w:cs="Arial"/>
                <w:sz w:val="22"/>
                <w:szCs w:val="22"/>
              </w:rPr>
              <w:t>tul</w:t>
            </w:r>
            <w:r>
              <w:rPr>
                <w:rFonts w:ascii="Arial Narrow" w:hAnsi="Arial Narrow" w:cs="Arial"/>
                <w:sz w:val="22"/>
                <w:szCs w:val="22"/>
              </w:rPr>
              <w:t>ar el material bibliográfico</w:t>
            </w:r>
            <w:r w:rsidR="00821865" w:rsidRPr="00D43F9B">
              <w:rPr>
                <w:rFonts w:ascii="Arial Narrow" w:hAnsi="Arial Narrow" w:cs="Arial"/>
                <w:sz w:val="22"/>
                <w:szCs w:val="22"/>
              </w:rPr>
              <w:t>, conforme al instructivo.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821865" w:rsidRPr="00D43F9B" w:rsidRDefault="00821865" w:rsidP="00821865">
            <w:pPr>
              <w:pStyle w:val="Prrafodelista"/>
              <w:ind w:left="0"/>
              <w:contextualSpacing/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Material catalogado</w:t>
            </w:r>
          </w:p>
        </w:tc>
      </w:tr>
      <w:tr w:rsidR="00821865" w:rsidRPr="00BF030A" w:rsidTr="00194570">
        <w:trPr>
          <w:trHeight w:val="545"/>
        </w:trPr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821865" w:rsidRPr="00D43F9B" w:rsidRDefault="00194570" w:rsidP="008218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</w:t>
            </w:r>
            <w:r w:rsidR="00821865" w:rsidRPr="00D43F9B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821865" w:rsidRPr="00D43F9B" w:rsidRDefault="00821865" w:rsidP="008218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Material bibliográfico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821865" w:rsidRPr="00D43F9B" w:rsidRDefault="00821865" w:rsidP="00194570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Organiza</w:t>
            </w:r>
            <w:r w:rsidR="00194570">
              <w:rPr>
                <w:rFonts w:ascii="Arial Narrow" w:hAnsi="Arial Narrow" w:cs="Arial"/>
                <w:sz w:val="22"/>
                <w:szCs w:val="22"/>
              </w:rPr>
              <w:t>r</w:t>
            </w:r>
            <w:r w:rsidRPr="00D43F9B">
              <w:rPr>
                <w:rFonts w:ascii="Arial Narrow" w:hAnsi="Arial Narrow" w:cs="Arial"/>
                <w:sz w:val="22"/>
                <w:szCs w:val="22"/>
              </w:rPr>
              <w:t xml:space="preserve"> el material bibliográfico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:rsidR="00821865" w:rsidRPr="00D43F9B" w:rsidRDefault="00821865" w:rsidP="008218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SI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821865" w:rsidRPr="00D43F9B" w:rsidRDefault="00821865" w:rsidP="008218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color w:val="000000"/>
                <w:sz w:val="22"/>
                <w:szCs w:val="22"/>
              </w:rPr>
              <w:t>Técnico o Auxiliar</w:t>
            </w:r>
          </w:p>
        </w:tc>
        <w:tc>
          <w:tcPr>
            <w:tcW w:w="105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821865" w:rsidRPr="00D43F9B" w:rsidRDefault="00194570" w:rsidP="0082186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Ubicar</w:t>
            </w:r>
            <w:r w:rsidR="00821865" w:rsidRPr="00D43F9B">
              <w:rPr>
                <w:rFonts w:ascii="Arial Narrow" w:hAnsi="Arial Narrow" w:cs="Arial"/>
                <w:sz w:val="22"/>
                <w:szCs w:val="22"/>
              </w:rPr>
              <w:t xml:space="preserve"> el material catalogado de acuerdo a la colección y su clasificación, para poner a disposición de consulta y préstamo del usuario.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821865" w:rsidRPr="00D43F9B" w:rsidRDefault="00821865" w:rsidP="00821865">
            <w:pPr>
              <w:pStyle w:val="Prrafodelista"/>
              <w:ind w:left="0"/>
              <w:contextualSpacing/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Material disponible</w:t>
            </w:r>
          </w:p>
        </w:tc>
      </w:tr>
      <w:tr w:rsidR="00194570" w:rsidRPr="00BF030A" w:rsidTr="00194570">
        <w:trPr>
          <w:trHeight w:val="545"/>
        </w:trPr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194570" w:rsidRPr="00D43F9B" w:rsidRDefault="00194570" w:rsidP="0019457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</w:t>
            </w:r>
            <w:r w:rsidRPr="00D43F9B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194570" w:rsidRPr="00D43F9B" w:rsidRDefault="00F30383" w:rsidP="0019457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Catálogo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194570" w:rsidRPr="00D43F9B" w:rsidRDefault="00194570" w:rsidP="00194570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  <w:r w:rsidRPr="00D43F9B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Registro en el inventario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 xml:space="preserve"> de la biblioteca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:rsidR="00194570" w:rsidRPr="00D43F9B" w:rsidRDefault="00194570" w:rsidP="0019457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SI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194570" w:rsidRPr="00D43F9B" w:rsidRDefault="00194570" w:rsidP="00194570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color w:val="000000"/>
                <w:sz w:val="22"/>
                <w:szCs w:val="22"/>
              </w:rPr>
              <w:t>Técnico (Catalogador)</w:t>
            </w:r>
          </w:p>
        </w:tc>
        <w:tc>
          <w:tcPr>
            <w:tcW w:w="105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194570" w:rsidRPr="00D43F9B" w:rsidRDefault="00F30383" w:rsidP="0019457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Se registra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en el inventario de la biblioteca el material ingresado al catálogo, </w:t>
            </w:r>
            <w:r w:rsidRPr="00D43F9B">
              <w:rPr>
                <w:rFonts w:ascii="Arial Narrow" w:hAnsi="Arial Narrow" w:cs="Arial"/>
                <w:sz w:val="22"/>
                <w:szCs w:val="22"/>
              </w:rPr>
              <w:t>de acuerdo a la colección, registrando los campos de código de barras, título, autor y ejemplar.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194570" w:rsidRPr="00D43F9B" w:rsidRDefault="00194570" w:rsidP="00194570">
            <w:pPr>
              <w:pStyle w:val="Prrafodelista"/>
              <w:ind w:left="0"/>
              <w:contextualSpacing/>
              <w:rPr>
                <w:rFonts w:ascii="Arial Narrow" w:hAnsi="Arial Narrow" w:cs="Arial"/>
                <w:sz w:val="22"/>
                <w:szCs w:val="22"/>
              </w:rPr>
            </w:pPr>
            <w:r w:rsidRPr="00D43F9B">
              <w:rPr>
                <w:rFonts w:ascii="Arial Narrow" w:hAnsi="Arial Narrow" w:cs="Arial"/>
                <w:sz w:val="22"/>
                <w:szCs w:val="22"/>
              </w:rPr>
              <w:t>Inventario</w:t>
            </w:r>
            <w:r w:rsidR="00F30383">
              <w:rPr>
                <w:rFonts w:ascii="Arial Narrow" w:hAnsi="Arial Narrow" w:cs="Arial"/>
                <w:sz w:val="22"/>
                <w:szCs w:val="22"/>
              </w:rPr>
              <w:t xml:space="preserve"> de la biblioteca</w:t>
            </w:r>
          </w:p>
        </w:tc>
      </w:tr>
      <w:tr w:rsidR="00821865" w:rsidRPr="00BF030A" w:rsidTr="00BC2620">
        <w:trPr>
          <w:trHeight w:val="37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865" w:rsidRPr="00BF030A" w:rsidRDefault="00821865" w:rsidP="0082186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F030A">
              <w:rPr>
                <w:rFonts w:ascii="Arial Narrow" w:hAnsi="Arial Narrow" w:cs="Arial"/>
                <w:b/>
                <w:sz w:val="24"/>
                <w:szCs w:val="24"/>
              </w:rPr>
              <w:t>FIN DEL PROCEDIMIENTO</w:t>
            </w:r>
          </w:p>
        </w:tc>
      </w:tr>
    </w:tbl>
    <w:p w:rsidR="00955CA3" w:rsidRPr="00144AF0" w:rsidRDefault="00955CA3" w:rsidP="00955CA3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144AF0" w:rsidRPr="00F30383" w:rsidRDefault="00000AF7" w:rsidP="00144AF0">
      <w:pPr>
        <w:numPr>
          <w:ilvl w:val="0"/>
          <w:numId w:val="39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144AF0">
        <w:rPr>
          <w:rFonts w:ascii="Arial Narrow" w:hAnsi="Arial Narrow" w:cs="Arial"/>
          <w:b/>
          <w:sz w:val="24"/>
          <w:szCs w:val="24"/>
        </w:rPr>
        <w:t>HISTORIAL DE CAMBIOS</w:t>
      </w:r>
    </w:p>
    <w:tbl>
      <w:tblPr>
        <w:tblW w:w="877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3260"/>
        <w:gridCol w:w="2253"/>
      </w:tblGrid>
      <w:tr w:rsidR="00144AF0" w:rsidRPr="00144AF0" w:rsidTr="00A4387D">
        <w:trPr>
          <w:trHeight w:val="372"/>
          <w:tblHeader/>
        </w:trPr>
        <w:tc>
          <w:tcPr>
            <w:tcW w:w="1701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:rsidR="00144AF0" w:rsidRPr="00144AF0" w:rsidRDefault="00144AF0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FECHA</w:t>
            </w:r>
          </w:p>
        </w:tc>
        <w:tc>
          <w:tcPr>
            <w:tcW w:w="1560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:rsidR="00144AF0" w:rsidRPr="00144AF0" w:rsidRDefault="00144AF0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VERSIÓN</w:t>
            </w:r>
          </w:p>
        </w:tc>
        <w:tc>
          <w:tcPr>
            <w:tcW w:w="3260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:rsidR="00144AF0" w:rsidRPr="00144AF0" w:rsidRDefault="00144AF0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DESCRIPCIÓN DEL CAMBIO</w:t>
            </w:r>
          </w:p>
        </w:tc>
        <w:tc>
          <w:tcPr>
            <w:tcW w:w="2253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:rsidR="00144AF0" w:rsidRPr="00144AF0" w:rsidRDefault="00144AF0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ASESOR SUG</w:t>
            </w:r>
          </w:p>
        </w:tc>
      </w:tr>
      <w:tr w:rsidR="00EA2125" w:rsidRPr="00800A46" w:rsidTr="00F30383">
        <w:trPr>
          <w:trHeight w:val="192"/>
        </w:trPr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EA2125" w:rsidRPr="00D43F9B" w:rsidRDefault="00EA2125" w:rsidP="0023490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43F9B">
              <w:rPr>
                <w:rFonts w:ascii="Arial Narrow" w:hAnsi="Arial Narrow" w:cs="Arial"/>
                <w:sz w:val="24"/>
                <w:szCs w:val="24"/>
              </w:rPr>
              <w:t>29-11-17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EA2125" w:rsidRPr="00D43F9B" w:rsidRDefault="00EA2125" w:rsidP="00EA21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43F9B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7" w:type="dxa"/>
              <w:left w:w="113" w:type="dxa"/>
              <w:bottom w:w="57" w:type="dxa"/>
            </w:tcMar>
            <w:vAlign w:val="center"/>
          </w:tcPr>
          <w:p w:rsidR="00EA2125" w:rsidRPr="00D43F9B" w:rsidRDefault="00EA2125" w:rsidP="00EA21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43F9B">
              <w:rPr>
                <w:rFonts w:ascii="Arial Narrow" w:hAnsi="Arial Narrow" w:cs="Arial"/>
                <w:sz w:val="24"/>
                <w:szCs w:val="24"/>
              </w:rPr>
              <w:t>Creación del procedimiento</w:t>
            </w:r>
          </w:p>
        </w:tc>
        <w:tc>
          <w:tcPr>
            <w:tcW w:w="2253" w:type="dxa"/>
            <w:tcMar>
              <w:top w:w="57" w:type="dxa"/>
              <w:left w:w="113" w:type="dxa"/>
              <w:bottom w:w="57" w:type="dxa"/>
            </w:tcMar>
            <w:vAlign w:val="center"/>
          </w:tcPr>
          <w:p w:rsidR="00EA2125" w:rsidRPr="00D43F9B" w:rsidRDefault="00EA2125" w:rsidP="00EA21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43F9B">
              <w:rPr>
                <w:rFonts w:ascii="Arial Narrow" w:hAnsi="Arial Narrow" w:cs="Arial"/>
                <w:sz w:val="24"/>
                <w:szCs w:val="24"/>
              </w:rPr>
              <w:t>Tatiana Santos Yate</w:t>
            </w:r>
          </w:p>
        </w:tc>
      </w:tr>
      <w:tr w:rsidR="00EA2125" w:rsidRPr="00144AF0" w:rsidTr="00F30383">
        <w:trPr>
          <w:trHeight w:val="212"/>
        </w:trPr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EA2125" w:rsidRPr="00D43F9B" w:rsidRDefault="003D4278" w:rsidP="0023490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="00EA2125" w:rsidRPr="00D43F9B">
              <w:rPr>
                <w:rFonts w:ascii="Arial Narrow" w:hAnsi="Arial Narrow" w:cs="Arial"/>
                <w:sz w:val="24"/>
                <w:szCs w:val="24"/>
              </w:rPr>
              <w:t>-0</w:t>
            </w:r>
            <w:r>
              <w:rPr>
                <w:rFonts w:ascii="Arial Narrow" w:hAnsi="Arial Narrow" w:cs="Arial"/>
                <w:sz w:val="24"/>
                <w:szCs w:val="24"/>
              </w:rPr>
              <w:t>8</w:t>
            </w:r>
            <w:r w:rsidR="0023490E"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EA2125" w:rsidRPr="00D43F9B">
              <w:rPr>
                <w:rFonts w:ascii="Arial Narrow" w:hAnsi="Arial Narrow" w:cs="Arial"/>
                <w:sz w:val="24"/>
                <w:szCs w:val="24"/>
              </w:rPr>
              <w:t>18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EA2125" w:rsidRPr="00D43F9B" w:rsidRDefault="00EA2125" w:rsidP="00EA21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43F9B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7" w:type="dxa"/>
              <w:left w:w="113" w:type="dxa"/>
              <w:bottom w:w="57" w:type="dxa"/>
            </w:tcMar>
            <w:vAlign w:val="center"/>
          </w:tcPr>
          <w:p w:rsidR="00EA2125" w:rsidRPr="00D43F9B" w:rsidRDefault="00EA2125" w:rsidP="00EA21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43F9B">
              <w:rPr>
                <w:rFonts w:ascii="Arial Narrow" w:hAnsi="Arial Narrow" w:cs="Arial"/>
                <w:sz w:val="24"/>
                <w:szCs w:val="24"/>
              </w:rPr>
              <w:t>Actualización del procedimiento</w:t>
            </w:r>
            <w:r w:rsidR="009A4C55">
              <w:rPr>
                <w:rFonts w:ascii="Arial Narrow" w:hAnsi="Arial Narrow" w:cs="Arial"/>
                <w:sz w:val="24"/>
                <w:szCs w:val="24"/>
              </w:rPr>
              <w:t xml:space="preserve"> y cambio de proceso</w:t>
            </w:r>
          </w:p>
        </w:tc>
        <w:tc>
          <w:tcPr>
            <w:tcW w:w="2253" w:type="dxa"/>
            <w:tcMar>
              <w:top w:w="57" w:type="dxa"/>
              <w:left w:w="113" w:type="dxa"/>
              <w:bottom w:w="57" w:type="dxa"/>
            </w:tcMar>
            <w:vAlign w:val="center"/>
          </w:tcPr>
          <w:p w:rsidR="00EA2125" w:rsidRPr="00D43F9B" w:rsidRDefault="009A4C55" w:rsidP="00EA21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Angie Corredor</w:t>
            </w:r>
            <w:bookmarkStart w:id="15" w:name="_GoBack"/>
            <w:bookmarkEnd w:id="15"/>
          </w:p>
        </w:tc>
      </w:tr>
    </w:tbl>
    <w:p w:rsidR="00144AF0" w:rsidRDefault="00144AF0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144AF0" w:rsidRPr="00F30383" w:rsidRDefault="00E40892" w:rsidP="00144AF0">
      <w:pPr>
        <w:numPr>
          <w:ilvl w:val="0"/>
          <w:numId w:val="39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144AF0">
        <w:rPr>
          <w:rFonts w:ascii="Arial Narrow" w:hAnsi="Arial Narrow" w:cs="Arial"/>
          <w:b/>
          <w:sz w:val="24"/>
          <w:szCs w:val="24"/>
        </w:rPr>
        <w:t>APROBACIÓN</w:t>
      </w:r>
    </w:p>
    <w:tbl>
      <w:tblPr>
        <w:tblW w:w="87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957"/>
      </w:tblGrid>
      <w:tr w:rsidR="00144AF0" w:rsidRPr="00144AF0" w:rsidTr="00B5448D">
        <w:trPr>
          <w:trHeight w:val="70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144AF0" w:rsidRPr="00144AF0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 xml:space="preserve">ELABORADO POR: 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44AF0" w:rsidRPr="00EA2125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EA2125">
              <w:rPr>
                <w:rFonts w:ascii="Arial Narrow" w:hAnsi="Arial Narrow" w:cs="Arial"/>
                <w:b/>
              </w:rPr>
              <w:t xml:space="preserve">Nombre: </w:t>
            </w:r>
            <w:r w:rsidR="00EA2125" w:rsidRPr="00EA2125">
              <w:rPr>
                <w:rFonts w:ascii="Arial Narrow" w:hAnsi="Arial Narrow" w:cs="Arial"/>
              </w:rPr>
              <w:t>Jeimy Miyerlandy Peñuela Mora</w:t>
            </w:r>
          </w:p>
          <w:p w:rsidR="00144AF0" w:rsidRPr="00EA2125" w:rsidRDefault="00144AF0" w:rsidP="00B85CAA">
            <w:pPr>
              <w:pStyle w:val="Piedepgina"/>
              <w:tabs>
                <w:tab w:val="clear" w:pos="4252"/>
                <w:tab w:val="left" w:pos="4536"/>
              </w:tabs>
              <w:ind w:right="71"/>
              <w:jc w:val="both"/>
              <w:rPr>
                <w:rFonts w:ascii="Arial Narrow" w:hAnsi="Arial Narrow" w:cs="Arial"/>
                <w:b/>
              </w:rPr>
            </w:pPr>
            <w:r w:rsidRPr="00EA2125">
              <w:rPr>
                <w:rFonts w:ascii="Arial Narrow" w:hAnsi="Arial Narrow" w:cs="Arial"/>
                <w:b/>
              </w:rPr>
              <w:t xml:space="preserve">Cargo:    </w:t>
            </w:r>
            <w:r w:rsidR="00EA2125" w:rsidRPr="00EA2125">
              <w:rPr>
                <w:rFonts w:ascii="Arial Narrow" w:hAnsi="Arial Narrow" w:cs="Arial"/>
              </w:rPr>
              <w:t>Bibliotecóloga - Profesional Universitario</w:t>
            </w:r>
          </w:p>
          <w:p w:rsidR="00144AF0" w:rsidRPr="00EA2125" w:rsidRDefault="00144AF0" w:rsidP="00D43F9B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EA2125">
              <w:rPr>
                <w:rFonts w:ascii="Arial Narrow" w:hAnsi="Arial Narrow" w:cs="Arial"/>
                <w:b/>
              </w:rPr>
              <w:t xml:space="preserve">Fecha:    </w:t>
            </w:r>
            <w:r w:rsidR="00D43F9B">
              <w:rPr>
                <w:rFonts w:ascii="Arial Narrow" w:hAnsi="Arial Narrow" w:cs="Arial"/>
              </w:rPr>
              <w:t>30</w:t>
            </w:r>
            <w:r w:rsidR="00EA2125" w:rsidRPr="00EA2125">
              <w:rPr>
                <w:rFonts w:ascii="Arial Narrow" w:hAnsi="Arial Narrow" w:cs="Arial"/>
              </w:rPr>
              <w:t>-08-18</w:t>
            </w:r>
          </w:p>
        </w:tc>
      </w:tr>
      <w:tr w:rsidR="00144AF0" w:rsidRPr="00144AF0" w:rsidTr="00B5448D">
        <w:trPr>
          <w:trHeight w:val="66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44AF0" w:rsidRPr="00144AF0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REVISADO POR: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AF0" w:rsidRPr="00EA2125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EA2125">
              <w:rPr>
                <w:rFonts w:ascii="Arial Narrow" w:hAnsi="Arial Narrow" w:cs="Arial"/>
                <w:b/>
              </w:rPr>
              <w:t xml:space="preserve">Nombre: </w:t>
            </w:r>
            <w:r w:rsidR="00EA2125" w:rsidRPr="00EA2125">
              <w:rPr>
                <w:rFonts w:ascii="Arial Narrow" w:hAnsi="Arial Narrow" w:cs="Arial"/>
              </w:rPr>
              <w:t>Carlos Andrés Gil Santamaría</w:t>
            </w:r>
          </w:p>
          <w:p w:rsidR="00144AF0" w:rsidRPr="00EA2125" w:rsidRDefault="00144AF0" w:rsidP="00B85CAA">
            <w:pPr>
              <w:pStyle w:val="Piedepgina"/>
              <w:tabs>
                <w:tab w:val="clear" w:pos="4252"/>
                <w:tab w:val="left" w:pos="4536"/>
              </w:tabs>
              <w:ind w:right="71"/>
              <w:jc w:val="both"/>
              <w:rPr>
                <w:rFonts w:ascii="Arial Narrow" w:hAnsi="Arial Narrow" w:cs="Arial"/>
                <w:b/>
              </w:rPr>
            </w:pPr>
            <w:r w:rsidRPr="00EA2125">
              <w:rPr>
                <w:rFonts w:ascii="Arial Narrow" w:hAnsi="Arial Narrow" w:cs="Arial"/>
                <w:b/>
              </w:rPr>
              <w:t>Cargo:</w:t>
            </w:r>
            <w:r w:rsidR="00A4387D" w:rsidRPr="00EA2125">
              <w:rPr>
                <w:rFonts w:ascii="Arial Narrow" w:hAnsi="Arial Narrow" w:cs="Arial"/>
                <w:b/>
              </w:rPr>
              <w:t xml:space="preserve"> </w:t>
            </w:r>
            <w:r w:rsidR="00EA2125">
              <w:rPr>
                <w:rFonts w:ascii="Arial Narrow" w:hAnsi="Arial Narrow" w:cs="Arial"/>
                <w:b/>
              </w:rPr>
              <w:t xml:space="preserve">   </w:t>
            </w:r>
            <w:r w:rsidR="00EA2125">
              <w:rPr>
                <w:rFonts w:ascii="Arial Narrow" w:hAnsi="Arial Narrow" w:cs="Arial"/>
              </w:rPr>
              <w:t>Coordinador Grupo de Gestión de Información</w:t>
            </w:r>
          </w:p>
          <w:p w:rsidR="00144AF0" w:rsidRPr="00EA2125" w:rsidRDefault="00144AF0" w:rsidP="00225665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EA2125">
              <w:rPr>
                <w:rFonts w:ascii="Arial Narrow" w:hAnsi="Arial Narrow" w:cs="Arial"/>
                <w:b/>
              </w:rPr>
              <w:t>Fecha:</w:t>
            </w:r>
            <w:r w:rsidR="00A4387D" w:rsidRPr="00EA2125">
              <w:rPr>
                <w:rFonts w:ascii="Arial Narrow" w:hAnsi="Arial Narrow" w:cs="Arial"/>
                <w:b/>
              </w:rPr>
              <w:t xml:space="preserve"> </w:t>
            </w:r>
            <w:r w:rsidR="00EA2125">
              <w:rPr>
                <w:rFonts w:ascii="Arial Narrow" w:hAnsi="Arial Narrow" w:cs="Arial"/>
                <w:b/>
              </w:rPr>
              <w:t xml:space="preserve">   </w:t>
            </w:r>
            <w:r w:rsidR="00225665">
              <w:rPr>
                <w:rFonts w:ascii="Arial Narrow" w:hAnsi="Arial Narrow" w:cs="Arial"/>
              </w:rPr>
              <w:t>23</w:t>
            </w:r>
            <w:r w:rsidR="00A4387D" w:rsidRPr="00EA2125">
              <w:rPr>
                <w:rFonts w:ascii="Arial Narrow" w:hAnsi="Arial Narrow" w:cs="Arial"/>
              </w:rPr>
              <w:t>-</w:t>
            </w:r>
            <w:r w:rsidR="00225665">
              <w:rPr>
                <w:rFonts w:ascii="Arial Narrow" w:hAnsi="Arial Narrow" w:cs="Arial"/>
              </w:rPr>
              <w:t>11</w:t>
            </w:r>
            <w:r w:rsidR="00A4387D" w:rsidRPr="00EA2125">
              <w:rPr>
                <w:rFonts w:ascii="Arial Narrow" w:hAnsi="Arial Narrow" w:cs="Arial"/>
              </w:rPr>
              <w:t>-</w:t>
            </w:r>
            <w:r w:rsidR="00225665">
              <w:rPr>
                <w:rFonts w:ascii="Arial Narrow" w:hAnsi="Arial Narrow" w:cs="Arial"/>
              </w:rPr>
              <w:t>18</w:t>
            </w:r>
            <w:r w:rsidRPr="00EA2125">
              <w:rPr>
                <w:rFonts w:ascii="Arial Narrow" w:hAnsi="Arial Narrow" w:cs="Arial"/>
                <w:b/>
              </w:rPr>
              <w:t xml:space="preserve">  </w:t>
            </w:r>
          </w:p>
        </w:tc>
      </w:tr>
      <w:tr w:rsidR="00144AF0" w:rsidRPr="00144AF0" w:rsidTr="00B5448D">
        <w:trPr>
          <w:trHeight w:val="66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44AF0" w:rsidRPr="00144AF0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APROBADO POR: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AF0" w:rsidRPr="00EA2125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EA2125">
              <w:rPr>
                <w:rFonts w:ascii="Arial Narrow" w:hAnsi="Arial Narrow" w:cs="Arial"/>
                <w:b/>
              </w:rPr>
              <w:t>Nombre:</w:t>
            </w:r>
            <w:r w:rsidR="00A4387D" w:rsidRPr="00EA2125">
              <w:rPr>
                <w:rFonts w:ascii="Arial Narrow" w:hAnsi="Arial Narrow" w:cs="Arial"/>
                <w:b/>
              </w:rPr>
              <w:t xml:space="preserve"> </w:t>
            </w:r>
            <w:r w:rsidR="00EA2125">
              <w:rPr>
                <w:rFonts w:ascii="Arial Narrow" w:hAnsi="Arial Narrow" w:cs="Arial"/>
              </w:rPr>
              <w:t>Reinaldo Sánchez Gutiérrez</w:t>
            </w:r>
          </w:p>
          <w:p w:rsidR="00144AF0" w:rsidRPr="00EA2125" w:rsidRDefault="00144AF0" w:rsidP="00B85CAA">
            <w:pPr>
              <w:pStyle w:val="Piedepgina"/>
              <w:tabs>
                <w:tab w:val="clear" w:pos="4252"/>
                <w:tab w:val="center" w:pos="4325"/>
              </w:tabs>
              <w:ind w:right="-70"/>
              <w:jc w:val="both"/>
              <w:rPr>
                <w:rFonts w:ascii="Arial Narrow" w:hAnsi="Arial Narrow" w:cs="Arial"/>
                <w:b/>
              </w:rPr>
            </w:pPr>
            <w:r w:rsidRPr="00EA2125">
              <w:rPr>
                <w:rFonts w:ascii="Arial Narrow" w:hAnsi="Arial Narrow" w:cs="Arial"/>
                <w:b/>
              </w:rPr>
              <w:t xml:space="preserve">Cargo: </w:t>
            </w:r>
            <w:r w:rsidR="00EA2125">
              <w:rPr>
                <w:rFonts w:ascii="Arial Narrow" w:hAnsi="Arial Narrow" w:cs="Arial"/>
                <w:b/>
              </w:rPr>
              <w:t xml:space="preserve">   </w:t>
            </w:r>
            <w:r w:rsidR="00EA2125">
              <w:rPr>
                <w:rFonts w:ascii="Arial Narrow" w:hAnsi="Arial Narrow" w:cs="Arial"/>
              </w:rPr>
              <w:t>Subdirector de Servicios</w:t>
            </w:r>
          </w:p>
          <w:p w:rsidR="00144AF0" w:rsidRPr="00EA2125" w:rsidRDefault="00144AF0" w:rsidP="00225665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EA2125">
              <w:rPr>
                <w:rFonts w:ascii="Arial Narrow" w:hAnsi="Arial Narrow" w:cs="Arial"/>
                <w:b/>
              </w:rPr>
              <w:t xml:space="preserve">Fecha: </w:t>
            </w:r>
            <w:r w:rsidR="00EA2125">
              <w:rPr>
                <w:rFonts w:ascii="Arial Narrow" w:hAnsi="Arial Narrow" w:cs="Arial"/>
                <w:b/>
              </w:rPr>
              <w:t xml:space="preserve">   </w:t>
            </w:r>
            <w:r w:rsidR="00225665">
              <w:rPr>
                <w:rFonts w:ascii="Arial Narrow" w:hAnsi="Arial Narrow" w:cs="Arial"/>
              </w:rPr>
              <w:t>23</w:t>
            </w:r>
            <w:r w:rsidR="00A4387D" w:rsidRPr="00EA2125">
              <w:rPr>
                <w:rFonts w:ascii="Arial Narrow" w:hAnsi="Arial Narrow" w:cs="Arial"/>
              </w:rPr>
              <w:t>-</w:t>
            </w:r>
            <w:r w:rsidR="00225665">
              <w:rPr>
                <w:rFonts w:ascii="Arial Narrow" w:hAnsi="Arial Narrow" w:cs="Arial"/>
              </w:rPr>
              <w:t>11</w:t>
            </w:r>
            <w:r w:rsidR="00A4387D" w:rsidRPr="00EA2125">
              <w:rPr>
                <w:rFonts w:ascii="Arial Narrow" w:hAnsi="Arial Narrow" w:cs="Arial"/>
              </w:rPr>
              <w:t>-</w:t>
            </w:r>
            <w:r w:rsidR="00225665">
              <w:rPr>
                <w:rFonts w:ascii="Arial Narrow" w:hAnsi="Arial Narrow" w:cs="Arial"/>
              </w:rPr>
              <w:t>18</w:t>
            </w:r>
          </w:p>
        </w:tc>
      </w:tr>
    </w:tbl>
    <w:p w:rsidR="00144AF0" w:rsidRDefault="00144AF0" w:rsidP="00B5448D">
      <w:pPr>
        <w:jc w:val="both"/>
        <w:rPr>
          <w:rFonts w:ascii="Arial Narrow" w:hAnsi="Arial Narrow" w:cs="Arial"/>
          <w:b/>
          <w:sz w:val="24"/>
          <w:szCs w:val="24"/>
        </w:rPr>
      </w:pPr>
    </w:p>
    <w:sectPr w:rsidR="00144AF0" w:rsidSect="00EC53AF">
      <w:headerReference w:type="default" r:id="rId12"/>
      <w:footerReference w:type="default" r:id="rId13"/>
      <w:headerReference w:type="first" r:id="rId14"/>
      <w:footerReference w:type="first" r:id="rId15"/>
      <w:pgSz w:w="12242" w:h="15842"/>
      <w:pgMar w:top="1418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9FF" w:rsidRDefault="00D209FF">
      <w:r>
        <w:separator/>
      </w:r>
    </w:p>
  </w:endnote>
  <w:endnote w:type="continuationSeparator" w:id="0">
    <w:p w:rsidR="00D209FF" w:rsidRDefault="00D2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36" w:rsidRDefault="003C2936" w:rsidP="003C2936">
    <w:pPr>
      <w:pStyle w:val="Piedepgina"/>
      <w:rPr>
        <w:rFonts w:ascii="Arial Narrow" w:hAnsi="Arial Narrow"/>
        <w:sz w:val="16"/>
        <w:szCs w:val="16"/>
        <w:lang w:val="es-CO"/>
      </w:rPr>
    </w:pPr>
  </w:p>
  <w:p w:rsidR="003C2936" w:rsidRPr="003C2936" w:rsidRDefault="0062022B" w:rsidP="00F54536">
    <w:pPr>
      <w:pStyle w:val="Piedepgina"/>
      <w:rPr>
        <w:rFonts w:ascii="Arial Narrow" w:hAnsi="Arial Narrow"/>
        <w:sz w:val="16"/>
        <w:szCs w:val="16"/>
        <w:lang w:val="es-CO"/>
      </w:rPr>
    </w:pPr>
    <w:r>
      <w:rPr>
        <w:rFonts w:ascii="Arial Narrow" w:hAnsi="Arial Narrow"/>
        <w:sz w:val="16"/>
        <w:szCs w:val="16"/>
        <w:lang w:val="es-CO"/>
      </w:rPr>
      <w:t>Apo.4.3 Pro.4 Procesamiento técnico y físico de material bibliográfico V.2</w:t>
    </w:r>
  </w:p>
  <w:p w:rsidR="009B75B3" w:rsidRDefault="009B75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A3" w:rsidRDefault="00955CA3" w:rsidP="00955CA3">
    <w:pPr>
      <w:pStyle w:val="Piedepgina"/>
      <w:rPr>
        <w:rFonts w:ascii="Arial Narrow" w:hAnsi="Arial Narrow"/>
        <w:sz w:val="16"/>
        <w:szCs w:val="16"/>
        <w:lang w:val="es-CO"/>
      </w:rPr>
    </w:pPr>
  </w:p>
  <w:p w:rsidR="00955CA3" w:rsidRPr="00C52040" w:rsidRDefault="0062022B" w:rsidP="00955CA3">
    <w:pPr>
      <w:pStyle w:val="Piedepgina"/>
      <w:rPr>
        <w:rFonts w:ascii="Arial Narrow" w:hAnsi="Arial Narrow"/>
        <w:sz w:val="16"/>
        <w:szCs w:val="16"/>
        <w:lang w:val="es-CO"/>
      </w:rPr>
    </w:pPr>
    <w:r>
      <w:rPr>
        <w:rFonts w:ascii="Arial Narrow" w:hAnsi="Arial Narrow"/>
        <w:sz w:val="16"/>
        <w:szCs w:val="16"/>
        <w:lang w:val="es-CO"/>
      </w:rPr>
      <w:t>Apo.4.3 Pro.4 Procesamiento técnico y físico de material bibliográfico 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9FF" w:rsidRDefault="00D209FF">
      <w:r>
        <w:separator/>
      </w:r>
    </w:p>
  </w:footnote>
  <w:footnote w:type="continuationSeparator" w:id="0">
    <w:p w:rsidR="00D209FF" w:rsidRDefault="00D20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35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5"/>
      <w:gridCol w:w="4871"/>
      <w:gridCol w:w="992"/>
      <w:gridCol w:w="1417"/>
    </w:tblGrid>
    <w:tr w:rsidR="00876EEE" w:rsidTr="009B75B3">
      <w:trPr>
        <w:cantSplit/>
        <w:trHeight w:val="276"/>
      </w:trPr>
      <w:tc>
        <w:tcPr>
          <w:tcW w:w="2785" w:type="dxa"/>
          <w:vMerge w:val="restart"/>
          <w:vAlign w:val="center"/>
        </w:tcPr>
        <w:p w:rsidR="00876EEE" w:rsidRDefault="00FC2732" w:rsidP="009B75B3">
          <w:pPr>
            <w:pStyle w:val="Encabezado"/>
            <w:jc w:val="center"/>
            <w:rPr>
              <w:rFonts w:ascii="Arial" w:hAnsi="Arial"/>
            </w:rPr>
          </w:pPr>
          <w:r w:rsidRPr="007F5664">
            <w:rPr>
              <w:noProof/>
              <w:lang w:val="es-CO" w:eastAsia="es-CO"/>
            </w:rPr>
            <w:drawing>
              <wp:inline distT="0" distB="0" distL="0" distR="0">
                <wp:extent cx="1676400" cy="4762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1" w:type="dxa"/>
          <w:vMerge w:val="restart"/>
          <w:vAlign w:val="center"/>
        </w:tcPr>
        <w:p w:rsidR="004419D9" w:rsidRDefault="004419D9" w:rsidP="004419D9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PROCEDIMIENTO</w:t>
          </w:r>
        </w:p>
        <w:p w:rsidR="00876EEE" w:rsidRPr="009A37A7" w:rsidRDefault="004419D9" w:rsidP="004419D9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PROCESAMIENTO TÉCNICO Y FÍSICO DE MATERIAL BIBLIOGRÁFICO</w:t>
          </w:r>
        </w:p>
      </w:tc>
      <w:tc>
        <w:tcPr>
          <w:tcW w:w="992" w:type="dxa"/>
          <w:vAlign w:val="center"/>
        </w:tcPr>
        <w:p w:rsidR="00876EEE" w:rsidRDefault="00876EEE" w:rsidP="009B75B3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</w:rPr>
            <w:t>Código:</w:t>
          </w:r>
          <w:r>
            <w:t xml:space="preserve"> </w:t>
          </w:r>
        </w:p>
      </w:tc>
      <w:tc>
        <w:tcPr>
          <w:tcW w:w="1417" w:type="dxa"/>
          <w:vAlign w:val="center"/>
        </w:tcPr>
        <w:p w:rsidR="00876EEE" w:rsidRPr="007304D4" w:rsidRDefault="009A4C55" w:rsidP="009B75B3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Apo.6.3 Pro.1</w:t>
          </w:r>
        </w:p>
      </w:tc>
    </w:tr>
    <w:tr w:rsidR="000E4AE4" w:rsidTr="009B75B3">
      <w:trPr>
        <w:cantSplit/>
        <w:trHeight w:val="147"/>
      </w:trPr>
      <w:tc>
        <w:tcPr>
          <w:tcW w:w="2785" w:type="dxa"/>
          <w:vMerge/>
        </w:tcPr>
        <w:p w:rsidR="000E4AE4" w:rsidRDefault="000E4AE4" w:rsidP="000E4AE4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:rsidR="000E4AE4" w:rsidRDefault="000E4AE4" w:rsidP="000E4AE4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:rsidR="000E4AE4" w:rsidRDefault="000E4AE4" w:rsidP="000E4AE4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Fecha:</w:t>
          </w:r>
        </w:p>
      </w:tc>
      <w:tc>
        <w:tcPr>
          <w:tcW w:w="1417" w:type="dxa"/>
          <w:vAlign w:val="center"/>
        </w:tcPr>
        <w:p w:rsidR="000E4AE4" w:rsidRDefault="00225665" w:rsidP="00225665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23</w:t>
          </w:r>
          <w:r w:rsidR="000E4AE4">
            <w:rPr>
              <w:rFonts w:ascii="Arial" w:hAnsi="Arial"/>
              <w:b/>
            </w:rPr>
            <w:t>-</w:t>
          </w:r>
          <w:r>
            <w:rPr>
              <w:rFonts w:ascii="Arial" w:hAnsi="Arial"/>
              <w:b/>
            </w:rPr>
            <w:t>11</w:t>
          </w:r>
          <w:r w:rsidR="000E4AE4">
            <w:rPr>
              <w:rFonts w:ascii="Arial" w:hAnsi="Arial"/>
              <w:b/>
            </w:rPr>
            <w:t>-2018</w:t>
          </w:r>
        </w:p>
      </w:tc>
    </w:tr>
    <w:tr w:rsidR="000E4AE4" w:rsidTr="009B75B3">
      <w:trPr>
        <w:cantSplit/>
        <w:trHeight w:val="147"/>
      </w:trPr>
      <w:tc>
        <w:tcPr>
          <w:tcW w:w="2785" w:type="dxa"/>
          <w:vMerge/>
        </w:tcPr>
        <w:p w:rsidR="000E4AE4" w:rsidRDefault="000E4AE4" w:rsidP="000E4AE4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:rsidR="000E4AE4" w:rsidRDefault="000E4AE4" w:rsidP="000E4AE4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:rsidR="000E4AE4" w:rsidRDefault="000E4AE4" w:rsidP="000E4AE4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Versión: </w:t>
          </w:r>
        </w:p>
      </w:tc>
      <w:tc>
        <w:tcPr>
          <w:tcW w:w="1417" w:type="dxa"/>
          <w:vAlign w:val="center"/>
        </w:tcPr>
        <w:p w:rsidR="000E4AE4" w:rsidRDefault="000E4AE4" w:rsidP="000E4AE4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2</w:t>
          </w:r>
        </w:p>
      </w:tc>
    </w:tr>
    <w:tr w:rsidR="000E4AE4" w:rsidTr="009B75B3">
      <w:trPr>
        <w:cantSplit/>
        <w:trHeight w:val="148"/>
      </w:trPr>
      <w:tc>
        <w:tcPr>
          <w:tcW w:w="2785" w:type="dxa"/>
          <w:vMerge/>
          <w:tcBorders>
            <w:bottom w:val="single" w:sz="4" w:space="0" w:color="auto"/>
          </w:tcBorders>
        </w:tcPr>
        <w:p w:rsidR="000E4AE4" w:rsidRDefault="000E4AE4" w:rsidP="000E4AE4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4871" w:type="dxa"/>
          <w:vMerge/>
          <w:tcBorders>
            <w:bottom w:val="single" w:sz="4" w:space="0" w:color="auto"/>
          </w:tcBorders>
        </w:tcPr>
        <w:p w:rsidR="000E4AE4" w:rsidRDefault="000E4AE4" w:rsidP="000E4AE4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:rsidR="000E4AE4" w:rsidRDefault="000E4AE4" w:rsidP="000E4AE4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Página: </w:t>
          </w:r>
        </w:p>
      </w:tc>
      <w:tc>
        <w:tcPr>
          <w:tcW w:w="1417" w:type="dxa"/>
          <w:vAlign w:val="center"/>
        </w:tcPr>
        <w:p w:rsidR="000E4AE4" w:rsidRDefault="000E4AE4" w:rsidP="000E4AE4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PAGE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9A4C55">
            <w:rPr>
              <w:rFonts w:ascii="Arial" w:hAnsi="Arial" w:cs="Arial"/>
              <w:b/>
              <w:noProof/>
            </w:rPr>
            <w:t>5</w:t>
          </w:r>
          <w:r w:rsidRPr="00472A79">
            <w:rPr>
              <w:rFonts w:ascii="Arial" w:hAnsi="Arial" w:cs="Arial"/>
              <w:b/>
            </w:rPr>
            <w:fldChar w:fldCharType="end"/>
          </w:r>
          <w:r w:rsidRPr="00472A79">
            <w:rPr>
              <w:rFonts w:ascii="Arial" w:hAnsi="Arial" w:cs="Arial"/>
              <w:b/>
            </w:rPr>
            <w:t xml:space="preserve"> de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NUMPAGES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9A4C55">
            <w:rPr>
              <w:rFonts w:ascii="Arial" w:hAnsi="Arial" w:cs="Arial"/>
              <w:b/>
              <w:noProof/>
            </w:rPr>
            <w:t>5</w:t>
          </w:r>
          <w:r w:rsidRPr="00472A79">
            <w:rPr>
              <w:rFonts w:ascii="Arial" w:hAnsi="Arial" w:cs="Arial"/>
              <w:b/>
            </w:rPr>
            <w:fldChar w:fldCharType="end"/>
          </w:r>
        </w:p>
      </w:tc>
    </w:tr>
  </w:tbl>
  <w:p w:rsidR="00876EEE" w:rsidRDefault="00876E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5"/>
      <w:gridCol w:w="4871"/>
      <w:gridCol w:w="992"/>
      <w:gridCol w:w="1417"/>
    </w:tblGrid>
    <w:tr w:rsidR="00876EEE" w:rsidTr="00BA7E15">
      <w:trPr>
        <w:cantSplit/>
        <w:trHeight w:val="276"/>
        <w:jc w:val="center"/>
      </w:trPr>
      <w:tc>
        <w:tcPr>
          <w:tcW w:w="2785" w:type="dxa"/>
          <w:vMerge w:val="restart"/>
          <w:vAlign w:val="center"/>
        </w:tcPr>
        <w:p w:rsidR="00876EEE" w:rsidRDefault="00FC2732" w:rsidP="009B75B3">
          <w:pPr>
            <w:pStyle w:val="Encabezado"/>
            <w:jc w:val="center"/>
            <w:rPr>
              <w:rFonts w:ascii="Arial" w:hAnsi="Arial"/>
            </w:rPr>
          </w:pPr>
          <w:r w:rsidRPr="007F5664">
            <w:rPr>
              <w:noProof/>
              <w:lang w:val="es-CO" w:eastAsia="es-CO"/>
            </w:rPr>
            <w:drawing>
              <wp:inline distT="0" distB="0" distL="0" distR="0">
                <wp:extent cx="1676400" cy="47625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1" w:type="dxa"/>
          <w:vMerge w:val="restart"/>
          <w:vAlign w:val="center"/>
        </w:tcPr>
        <w:p w:rsidR="00FC2732" w:rsidRDefault="00FC2732" w:rsidP="00FC273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PROCEDIMIENTO</w:t>
          </w:r>
        </w:p>
        <w:p w:rsidR="00876EEE" w:rsidRPr="009A37A7" w:rsidRDefault="00FC2732" w:rsidP="00FC273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PROCESAMIENTO TÉCNICO Y FÍSICO DE MATERIAL BIBLIOGRÁFICO</w:t>
          </w:r>
        </w:p>
      </w:tc>
      <w:tc>
        <w:tcPr>
          <w:tcW w:w="992" w:type="dxa"/>
          <w:vAlign w:val="center"/>
        </w:tcPr>
        <w:p w:rsidR="00876EEE" w:rsidRDefault="00876EEE" w:rsidP="009B75B3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</w:rPr>
            <w:t>Código:</w:t>
          </w:r>
          <w:r>
            <w:t xml:space="preserve"> </w:t>
          </w:r>
        </w:p>
      </w:tc>
      <w:tc>
        <w:tcPr>
          <w:tcW w:w="1417" w:type="dxa"/>
          <w:vAlign w:val="center"/>
        </w:tcPr>
        <w:p w:rsidR="00876EEE" w:rsidRPr="007304D4" w:rsidRDefault="00EC53AF" w:rsidP="009B75B3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Apo.6.3 Pro.1</w:t>
          </w:r>
        </w:p>
      </w:tc>
    </w:tr>
    <w:tr w:rsidR="00876EEE" w:rsidTr="00BA7E15">
      <w:trPr>
        <w:cantSplit/>
        <w:trHeight w:val="147"/>
        <w:jc w:val="center"/>
      </w:trPr>
      <w:tc>
        <w:tcPr>
          <w:tcW w:w="2785" w:type="dxa"/>
          <w:vMerge/>
        </w:tcPr>
        <w:p w:rsidR="00876EEE" w:rsidRDefault="00876EEE" w:rsidP="009B75B3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:rsidR="00876EEE" w:rsidRDefault="00876EEE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Fecha:</w:t>
          </w:r>
        </w:p>
      </w:tc>
      <w:tc>
        <w:tcPr>
          <w:tcW w:w="1417" w:type="dxa"/>
          <w:vAlign w:val="center"/>
        </w:tcPr>
        <w:p w:rsidR="00876EEE" w:rsidRDefault="00225665" w:rsidP="00225665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23</w:t>
          </w:r>
          <w:r w:rsidR="00FC2732">
            <w:rPr>
              <w:rFonts w:ascii="Arial" w:hAnsi="Arial"/>
              <w:b/>
            </w:rPr>
            <w:t>-</w:t>
          </w:r>
          <w:r>
            <w:rPr>
              <w:rFonts w:ascii="Arial" w:hAnsi="Arial"/>
              <w:b/>
            </w:rPr>
            <w:t>11</w:t>
          </w:r>
          <w:r w:rsidR="00FC2732">
            <w:rPr>
              <w:rFonts w:ascii="Arial" w:hAnsi="Arial"/>
              <w:b/>
            </w:rPr>
            <w:t>-2018</w:t>
          </w:r>
        </w:p>
      </w:tc>
    </w:tr>
    <w:tr w:rsidR="00876EEE" w:rsidTr="00BA7E15">
      <w:trPr>
        <w:cantSplit/>
        <w:trHeight w:val="147"/>
        <w:jc w:val="center"/>
      </w:trPr>
      <w:tc>
        <w:tcPr>
          <w:tcW w:w="2785" w:type="dxa"/>
          <w:vMerge/>
        </w:tcPr>
        <w:p w:rsidR="00876EEE" w:rsidRDefault="00876EEE" w:rsidP="009B75B3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:rsidR="00876EEE" w:rsidRDefault="00876EEE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Versión: </w:t>
          </w:r>
        </w:p>
      </w:tc>
      <w:tc>
        <w:tcPr>
          <w:tcW w:w="1417" w:type="dxa"/>
          <w:vAlign w:val="center"/>
        </w:tcPr>
        <w:p w:rsidR="00876EEE" w:rsidRDefault="00FC2732" w:rsidP="009B75B3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2</w:t>
          </w:r>
        </w:p>
      </w:tc>
    </w:tr>
    <w:tr w:rsidR="00876EEE" w:rsidTr="00BA7E15">
      <w:trPr>
        <w:cantSplit/>
        <w:trHeight w:val="148"/>
        <w:jc w:val="center"/>
      </w:trPr>
      <w:tc>
        <w:tcPr>
          <w:tcW w:w="2785" w:type="dxa"/>
          <w:vMerge/>
          <w:tcBorders>
            <w:bottom w:val="single" w:sz="4" w:space="0" w:color="auto"/>
          </w:tcBorders>
        </w:tcPr>
        <w:p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4871" w:type="dxa"/>
          <w:vMerge/>
          <w:tcBorders>
            <w:bottom w:val="single" w:sz="4" w:space="0" w:color="auto"/>
          </w:tcBorders>
        </w:tcPr>
        <w:p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:rsidR="00876EEE" w:rsidRDefault="00876EEE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Página: </w:t>
          </w:r>
        </w:p>
      </w:tc>
      <w:tc>
        <w:tcPr>
          <w:tcW w:w="1417" w:type="dxa"/>
          <w:vAlign w:val="center"/>
        </w:tcPr>
        <w:p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PAGE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EC53AF">
            <w:rPr>
              <w:rFonts w:ascii="Arial" w:hAnsi="Arial" w:cs="Arial"/>
              <w:b/>
              <w:noProof/>
            </w:rPr>
            <w:t>1</w:t>
          </w:r>
          <w:r w:rsidRPr="00472A79">
            <w:rPr>
              <w:rFonts w:ascii="Arial" w:hAnsi="Arial" w:cs="Arial"/>
              <w:b/>
            </w:rPr>
            <w:fldChar w:fldCharType="end"/>
          </w:r>
          <w:r w:rsidRPr="00472A79">
            <w:rPr>
              <w:rFonts w:ascii="Arial" w:hAnsi="Arial" w:cs="Arial"/>
              <w:b/>
            </w:rPr>
            <w:t xml:space="preserve"> de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NUMPAGES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EC53AF">
            <w:rPr>
              <w:rFonts w:ascii="Arial" w:hAnsi="Arial" w:cs="Arial"/>
              <w:b/>
              <w:noProof/>
            </w:rPr>
            <w:t>4</w:t>
          </w:r>
          <w:r w:rsidRPr="00472A79">
            <w:rPr>
              <w:rFonts w:ascii="Arial" w:hAnsi="Arial" w:cs="Arial"/>
              <w:b/>
            </w:rPr>
            <w:fldChar w:fldCharType="end"/>
          </w:r>
        </w:p>
      </w:tc>
    </w:tr>
  </w:tbl>
  <w:p w:rsidR="00876EEE" w:rsidRDefault="00876E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6A5"/>
    <w:multiLevelType w:val="hybridMultilevel"/>
    <w:tmpl w:val="FA3EA7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F1BA4"/>
    <w:multiLevelType w:val="hybridMultilevel"/>
    <w:tmpl w:val="A7B680C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C4505"/>
    <w:multiLevelType w:val="hybridMultilevel"/>
    <w:tmpl w:val="1082B0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42E70"/>
    <w:multiLevelType w:val="hybridMultilevel"/>
    <w:tmpl w:val="7CD6AF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45608"/>
    <w:multiLevelType w:val="hybridMultilevel"/>
    <w:tmpl w:val="443631F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970D2"/>
    <w:multiLevelType w:val="hybridMultilevel"/>
    <w:tmpl w:val="E286CAD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733AA"/>
    <w:multiLevelType w:val="hybridMultilevel"/>
    <w:tmpl w:val="15C0C3A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A0363"/>
    <w:multiLevelType w:val="hybridMultilevel"/>
    <w:tmpl w:val="2386505A"/>
    <w:lvl w:ilvl="0" w:tplc="07F82E50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BC395E"/>
    <w:multiLevelType w:val="hybridMultilevel"/>
    <w:tmpl w:val="15863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14F48"/>
    <w:multiLevelType w:val="hybridMultilevel"/>
    <w:tmpl w:val="A7EA253C"/>
    <w:lvl w:ilvl="0" w:tplc="CA4C6AC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DE5F09"/>
    <w:multiLevelType w:val="hybridMultilevel"/>
    <w:tmpl w:val="29DA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05E32"/>
    <w:multiLevelType w:val="hybridMultilevel"/>
    <w:tmpl w:val="FA02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63AFA"/>
    <w:multiLevelType w:val="hybridMultilevel"/>
    <w:tmpl w:val="8A3A7B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83651"/>
    <w:multiLevelType w:val="hybridMultilevel"/>
    <w:tmpl w:val="081E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A65D0"/>
    <w:multiLevelType w:val="hybridMultilevel"/>
    <w:tmpl w:val="59D00C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A7AB8"/>
    <w:multiLevelType w:val="hybridMultilevel"/>
    <w:tmpl w:val="6080A6E2"/>
    <w:lvl w:ilvl="0" w:tplc="CA4C6AC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B74A6"/>
    <w:multiLevelType w:val="hybridMultilevel"/>
    <w:tmpl w:val="A73E7830"/>
    <w:lvl w:ilvl="0" w:tplc="4ACAB6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F473D"/>
    <w:multiLevelType w:val="hybridMultilevel"/>
    <w:tmpl w:val="E3F83B20"/>
    <w:lvl w:ilvl="0" w:tplc="B8145E1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185200"/>
    <w:multiLevelType w:val="multilevel"/>
    <w:tmpl w:val="C6068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F5B471B"/>
    <w:multiLevelType w:val="hybridMultilevel"/>
    <w:tmpl w:val="AAF0506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F6E7A"/>
    <w:multiLevelType w:val="hybridMultilevel"/>
    <w:tmpl w:val="0B702D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D245C"/>
    <w:multiLevelType w:val="hybridMultilevel"/>
    <w:tmpl w:val="34B08F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D0DAB"/>
    <w:multiLevelType w:val="hybridMultilevel"/>
    <w:tmpl w:val="759EB4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97C62"/>
    <w:multiLevelType w:val="hybridMultilevel"/>
    <w:tmpl w:val="1BA2824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F160F1"/>
    <w:multiLevelType w:val="hybridMultilevel"/>
    <w:tmpl w:val="4BF438BC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E2212"/>
    <w:multiLevelType w:val="hybridMultilevel"/>
    <w:tmpl w:val="7F1E36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241EF"/>
    <w:multiLevelType w:val="hybridMultilevel"/>
    <w:tmpl w:val="9DAEC4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72546"/>
    <w:multiLevelType w:val="hybridMultilevel"/>
    <w:tmpl w:val="443631F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2011D"/>
    <w:multiLevelType w:val="hybridMultilevel"/>
    <w:tmpl w:val="FE10709C"/>
    <w:lvl w:ilvl="0" w:tplc="C52495F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2F5D7E"/>
    <w:multiLevelType w:val="hybridMultilevel"/>
    <w:tmpl w:val="8452E27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3062E9"/>
    <w:multiLevelType w:val="hybridMultilevel"/>
    <w:tmpl w:val="06D6952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14BF9"/>
    <w:multiLevelType w:val="hybridMultilevel"/>
    <w:tmpl w:val="7E8E7388"/>
    <w:lvl w:ilvl="0" w:tplc="C52495F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43674"/>
    <w:multiLevelType w:val="hybridMultilevel"/>
    <w:tmpl w:val="6236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120FC"/>
    <w:multiLevelType w:val="hybridMultilevel"/>
    <w:tmpl w:val="E3A8679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0E43B8"/>
    <w:multiLevelType w:val="hybridMultilevel"/>
    <w:tmpl w:val="8DDE25AE"/>
    <w:lvl w:ilvl="0" w:tplc="24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77965"/>
    <w:multiLevelType w:val="hybridMultilevel"/>
    <w:tmpl w:val="E78214EC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3A37D1"/>
    <w:multiLevelType w:val="hybridMultilevel"/>
    <w:tmpl w:val="1140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212BB"/>
    <w:multiLevelType w:val="hybridMultilevel"/>
    <w:tmpl w:val="6DCC9CD6"/>
    <w:lvl w:ilvl="0" w:tplc="27D47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C02B4"/>
    <w:multiLevelType w:val="hybridMultilevel"/>
    <w:tmpl w:val="FB50C558"/>
    <w:lvl w:ilvl="0" w:tplc="29F61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F649C"/>
    <w:multiLevelType w:val="hybridMultilevel"/>
    <w:tmpl w:val="E6E6CC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27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19"/>
  </w:num>
  <w:num w:numId="9">
    <w:abstractNumId w:val="1"/>
  </w:num>
  <w:num w:numId="10">
    <w:abstractNumId w:val="35"/>
  </w:num>
  <w:num w:numId="11">
    <w:abstractNumId w:val="0"/>
  </w:num>
  <w:num w:numId="12">
    <w:abstractNumId w:val="39"/>
  </w:num>
  <w:num w:numId="13">
    <w:abstractNumId w:val="8"/>
  </w:num>
  <w:num w:numId="14">
    <w:abstractNumId w:val="23"/>
  </w:num>
  <w:num w:numId="15">
    <w:abstractNumId w:val="29"/>
  </w:num>
  <w:num w:numId="16">
    <w:abstractNumId w:val="3"/>
  </w:num>
  <w:num w:numId="17">
    <w:abstractNumId w:val="36"/>
  </w:num>
  <w:num w:numId="18">
    <w:abstractNumId w:val="12"/>
  </w:num>
  <w:num w:numId="19">
    <w:abstractNumId w:val="37"/>
  </w:num>
  <w:num w:numId="20">
    <w:abstractNumId w:val="22"/>
  </w:num>
  <w:num w:numId="21">
    <w:abstractNumId w:val="26"/>
  </w:num>
  <w:num w:numId="22">
    <w:abstractNumId w:val="6"/>
  </w:num>
  <w:num w:numId="23">
    <w:abstractNumId w:val="38"/>
  </w:num>
  <w:num w:numId="24">
    <w:abstractNumId w:val="34"/>
  </w:num>
  <w:num w:numId="25">
    <w:abstractNumId w:val="30"/>
  </w:num>
  <w:num w:numId="26">
    <w:abstractNumId w:val="20"/>
  </w:num>
  <w:num w:numId="27">
    <w:abstractNumId w:val="11"/>
  </w:num>
  <w:num w:numId="28">
    <w:abstractNumId w:val="10"/>
  </w:num>
  <w:num w:numId="29">
    <w:abstractNumId w:val="32"/>
  </w:num>
  <w:num w:numId="30">
    <w:abstractNumId w:val="18"/>
  </w:num>
  <w:num w:numId="31">
    <w:abstractNumId w:val="13"/>
  </w:num>
  <w:num w:numId="32">
    <w:abstractNumId w:val="25"/>
  </w:num>
  <w:num w:numId="33">
    <w:abstractNumId w:val="21"/>
  </w:num>
  <w:num w:numId="34">
    <w:abstractNumId w:val="14"/>
  </w:num>
  <w:num w:numId="35">
    <w:abstractNumId w:val="16"/>
  </w:num>
  <w:num w:numId="36">
    <w:abstractNumId w:val="17"/>
  </w:num>
  <w:num w:numId="37">
    <w:abstractNumId w:val="28"/>
  </w:num>
  <w:num w:numId="38">
    <w:abstractNumId w:val="31"/>
  </w:num>
  <w:num w:numId="39">
    <w:abstractNumId w:val="24"/>
  </w:num>
  <w:num w:numId="4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FB"/>
    <w:rsid w:val="00000AF7"/>
    <w:rsid w:val="00003938"/>
    <w:rsid w:val="000063D5"/>
    <w:rsid w:val="00022B38"/>
    <w:rsid w:val="00022C54"/>
    <w:rsid w:val="00022FEC"/>
    <w:rsid w:val="00035405"/>
    <w:rsid w:val="000363FA"/>
    <w:rsid w:val="00037657"/>
    <w:rsid w:val="00045B39"/>
    <w:rsid w:val="00047A24"/>
    <w:rsid w:val="00051BB2"/>
    <w:rsid w:val="00072085"/>
    <w:rsid w:val="00072C48"/>
    <w:rsid w:val="000778CC"/>
    <w:rsid w:val="0008054C"/>
    <w:rsid w:val="00083054"/>
    <w:rsid w:val="000915CA"/>
    <w:rsid w:val="00095A8F"/>
    <w:rsid w:val="000A42B1"/>
    <w:rsid w:val="000B092A"/>
    <w:rsid w:val="000B1246"/>
    <w:rsid w:val="000B16C1"/>
    <w:rsid w:val="000B2645"/>
    <w:rsid w:val="000B4F7D"/>
    <w:rsid w:val="000B5EE8"/>
    <w:rsid w:val="000B6D11"/>
    <w:rsid w:val="000C1928"/>
    <w:rsid w:val="000C7B3B"/>
    <w:rsid w:val="000D514C"/>
    <w:rsid w:val="000E4554"/>
    <w:rsid w:val="000E486C"/>
    <w:rsid w:val="000E4AE4"/>
    <w:rsid w:val="000F2CEE"/>
    <w:rsid w:val="000F585F"/>
    <w:rsid w:val="00101B24"/>
    <w:rsid w:val="00102614"/>
    <w:rsid w:val="00110C89"/>
    <w:rsid w:val="00120071"/>
    <w:rsid w:val="0012646A"/>
    <w:rsid w:val="00131653"/>
    <w:rsid w:val="00133131"/>
    <w:rsid w:val="001356A1"/>
    <w:rsid w:val="00137531"/>
    <w:rsid w:val="00143357"/>
    <w:rsid w:val="00144AF0"/>
    <w:rsid w:val="00150195"/>
    <w:rsid w:val="0015312C"/>
    <w:rsid w:val="0015438B"/>
    <w:rsid w:val="00154FEE"/>
    <w:rsid w:val="00155B8C"/>
    <w:rsid w:val="00161662"/>
    <w:rsid w:val="00173CC1"/>
    <w:rsid w:val="0017599C"/>
    <w:rsid w:val="00175BFA"/>
    <w:rsid w:val="00175F87"/>
    <w:rsid w:val="00183D82"/>
    <w:rsid w:val="00184FE0"/>
    <w:rsid w:val="001869CF"/>
    <w:rsid w:val="00191D3A"/>
    <w:rsid w:val="00193A4D"/>
    <w:rsid w:val="00194570"/>
    <w:rsid w:val="001A1C63"/>
    <w:rsid w:val="001A651F"/>
    <w:rsid w:val="001A7EDF"/>
    <w:rsid w:val="001B2CF8"/>
    <w:rsid w:val="001B4990"/>
    <w:rsid w:val="001B630D"/>
    <w:rsid w:val="001C136F"/>
    <w:rsid w:val="001D0C57"/>
    <w:rsid w:val="001D6664"/>
    <w:rsid w:val="001E756F"/>
    <w:rsid w:val="001E7A62"/>
    <w:rsid w:val="001F0483"/>
    <w:rsid w:val="001F289E"/>
    <w:rsid w:val="001F416E"/>
    <w:rsid w:val="001F67F1"/>
    <w:rsid w:val="001F779D"/>
    <w:rsid w:val="002007F5"/>
    <w:rsid w:val="00200F41"/>
    <w:rsid w:val="00205A68"/>
    <w:rsid w:val="00206E67"/>
    <w:rsid w:val="002078A2"/>
    <w:rsid w:val="00210C94"/>
    <w:rsid w:val="00214097"/>
    <w:rsid w:val="002239D8"/>
    <w:rsid w:val="00225665"/>
    <w:rsid w:val="002277F8"/>
    <w:rsid w:val="0023490E"/>
    <w:rsid w:val="00236220"/>
    <w:rsid w:val="002400D9"/>
    <w:rsid w:val="002409BB"/>
    <w:rsid w:val="00241A86"/>
    <w:rsid w:val="00242893"/>
    <w:rsid w:val="00244341"/>
    <w:rsid w:val="002457C1"/>
    <w:rsid w:val="0025351E"/>
    <w:rsid w:val="00264F65"/>
    <w:rsid w:val="00270900"/>
    <w:rsid w:val="00275258"/>
    <w:rsid w:val="002830EC"/>
    <w:rsid w:val="0028586C"/>
    <w:rsid w:val="002875A7"/>
    <w:rsid w:val="00292688"/>
    <w:rsid w:val="00293AFA"/>
    <w:rsid w:val="00293B3B"/>
    <w:rsid w:val="00295E82"/>
    <w:rsid w:val="002972B9"/>
    <w:rsid w:val="002A3105"/>
    <w:rsid w:val="002A7C4C"/>
    <w:rsid w:val="002B19F5"/>
    <w:rsid w:val="002E041D"/>
    <w:rsid w:val="002E2C76"/>
    <w:rsid w:val="002E556A"/>
    <w:rsid w:val="002F02AA"/>
    <w:rsid w:val="002F271F"/>
    <w:rsid w:val="00314C44"/>
    <w:rsid w:val="00326F30"/>
    <w:rsid w:val="003278E5"/>
    <w:rsid w:val="00327910"/>
    <w:rsid w:val="00331F46"/>
    <w:rsid w:val="003327D5"/>
    <w:rsid w:val="00333204"/>
    <w:rsid w:val="003375DF"/>
    <w:rsid w:val="00337E5D"/>
    <w:rsid w:val="00340225"/>
    <w:rsid w:val="003434BD"/>
    <w:rsid w:val="00353A16"/>
    <w:rsid w:val="0035492D"/>
    <w:rsid w:val="00360C32"/>
    <w:rsid w:val="00363BAD"/>
    <w:rsid w:val="00372BE9"/>
    <w:rsid w:val="00375012"/>
    <w:rsid w:val="003750D0"/>
    <w:rsid w:val="00376511"/>
    <w:rsid w:val="00377878"/>
    <w:rsid w:val="003823CD"/>
    <w:rsid w:val="00385B09"/>
    <w:rsid w:val="0038616B"/>
    <w:rsid w:val="00387816"/>
    <w:rsid w:val="00392704"/>
    <w:rsid w:val="00397FC2"/>
    <w:rsid w:val="003A1535"/>
    <w:rsid w:val="003A2C33"/>
    <w:rsid w:val="003B2C01"/>
    <w:rsid w:val="003B487C"/>
    <w:rsid w:val="003B4BFB"/>
    <w:rsid w:val="003B67E0"/>
    <w:rsid w:val="003B729A"/>
    <w:rsid w:val="003C066E"/>
    <w:rsid w:val="003C0D9C"/>
    <w:rsid w:val="003C1DB4"/>
    <w:rsid w:val="003C2936"/>
    <w:rsid w:val="003C3D53"/>
    <w:rsid w:val="003C51CB"/>
    <w:rsid w:val="003D278C"/>
    <w:rsid w:val="003D347E"/>
    <w:rsid w:val="003D4278"/>
    <w:rsid w:val="003D5A81"/>
    <w:rsid w:val="003D7D65"/>
    <w:rsid w:val="003E28E6"/>
    <w:rsid w:val="003E306F"/>
    <w:rsid w:val="003F5745"/>
    <w:rsid w:val="003F5C7B"/>
    <w:rsid w:val="003F7F92"/>
    <w:rsid w:val="00400CB0"/>
    <w:rsid w:val="00401E07"/>
    <w:rsid w:val="00405B5B"/>
    <w:rsid w:val="00406227"/>
    <w:rsid w:val="00410BD2"/>
    <w:rsid w:val="00414A58"/>
    <w:rsid w:val="00420F60"/>
    <w:rsid w:val="00425472"/>
    <w:rsid w:val="00431087"/>
    <w:rsid w:val="00433B4D"/>
    <w:rsid w:val="00436166"/>
    <w:rsid w:val="00436E0B"/>
    <w:rsid w:val="004419D9"/>
    <w:rsid w:val="00447406"/>
    <w:rsid w:val="00452F1F"/>
    <w:rsid w:val="00453641"/>
    <w:rsid w:val="00456CA7"/>
    <w:rsid w:val="00456F2B"/>
    <w:rsid w:val="004667EF"/>
    <w:rsid w:val="00471453"/>
    <w:rsid w:val="00472365"/>
    <w:rsid w:val="00472A45"/>
    <w:rsid w:val="00472A79"/>
    <w:rsid w:val="00475231"/>
    <w:rsid w:val="00477C54"/>
    <w:rsid w:val="004857F2"/>
    <w:rsid w:val="00493006"/>
    <w:rsid w:val="00494B8F"/>
    <w:rsid w:val="004A02FE"/>
    <w:rsid w:val="004A0461"/>
    <w:rsid w:val="004A4FCE"/>
    <w:rsid w:val="004A5CBC"/>
    <w:rsid w:val="004B79F3"/>
    <w:rsid w:val="004C4AFB"/>
    <w:rsid w:val="004C5997"/>
    <w:rsid w:val="004D4ED1"/>
    <w:rsid w:val="004E14DA"/>
    <w:rsid w:val="004E5AE1"/>
    <w:rsid w:val="004E7BF0"/>
    <w:rsid w:val="004F0418"/>
    <w:rsid w:val="004F44EB"/>
    <w:rsid w:val="00500030"/>
    <w:rsid w:val="0050564C"/>
    <w:rsid w:val="005057D4"/>
    <w:rsid w:val="0050701C"/>
    <w:rsid w:val="00507FFE"/>
    <w:rsid w:val="00510729"/>
    <w:rsid w:val="00510FCF"/>
    <w:rsid w:val="00513A23"/>
    <w:rsid w:val="00524CD7"/>
    <w:rsid w:val="00525A90"/>
    <w:rsid w:val="00526991"/>
    <w:rsid w:val="00533CDB"/>
    <w:rsid w:val="00535641"/>
    <w:rsid w:val="00535A29"/>
    <w:rsid w:val="005408CC"/>
    <w:rsid w:val="005425ED"/>
    <w:rsid w:val="0054571A"/>
    <w:rsid w:val="00547CF9"/>
    <w:rsid w:val="0055158A"/>
    <w:rsid w:val="005519C8"/>
    <w:rsid w:val="00556D0A"/>
    <w:rsid w:val="00557E98"/>
    <w:rsid w:val="00560C71"/>
    <w:rsid w:val="00561EE6"/>
    <w:rsid w:val="00564EA8"/>
    <w:rsid w:val="00566D2D"/>
    <w:rsid w:val="005720C4"/>
    <w:rsid w:val="005755D6"/>
    <w:rsid w:val="005761C3"/>
    <w:rsid w:val="005838F0"/>
    <w:rsid w:val="0059381C"/>
    <w:rsid w:val="005A7608"/>
    <w:rsid w:val="005B0F9C"/>
    <w:rsid w:val="005C485A"/>
    <w:rsid w:val="005D15D1"/>
    <w:rsid w:val="005D246C"/>
    <w:rsid w:val="005D2C18"/>
    <w:rsid w:val="005D725E"/>
    <w:rsid w:val="005E280B"/>
    <w:rsid w:val="005E4121"/>
    <w:rsid w:val="005E4533"/>
    <w:rsid w:val="005E669E"/>
    <w:rsid w:val="005F1FFF"/>
    <w:rsid w:val="005F4160"/>
    <w:rsid w:val="005F4CED"/>
    <w:rsid w:val="006032C5"/>
    <w:rsid w:val="00604D3C"/>
    <w:rsid w:val="00606A87"/>
    <w:rsid w:val="00606F6A"/>
    <w:rsid w:val="00607015"/>
    <w:rsid w:val="00607050"/>
    <w:rsid w:val="00611C5F"/>
    <w:rsid w:val="00613641"/>
    <w:rsid w:val="006142B5"/>
    <w:rsid w:val="00615496"/>
    <w:rsid w:val="00615BD6"/>
    <w:rsid w:val="0062022B"/>
    <w:rsid w:val="00620D0C"/>
    <w:rsid w:val="00622AE5"/>
    <w:rsid w:val="00626373"/>
    <w:rsid w:val="006305C9"/>
    <w:rsid w:val="00630D8A"/>
    <w:rsid w:val="00632C0F"/>
    <w:rsid w:val="006344D0"/>
    <w:rsid w:val="00650235"/>
    <w:rsid w:val="00652842"/>
    <w:rsid w:val="0065350D"/>
    <w:rsid w:val="00655C8F"/>
    <w:rsid w:val="006564E6"/>
    <w:rsid w:val="00656CE8"/>
    <w:rsid w:val="006576A0"/>
    <w:rsid w:val="006579B0"/>
    <w:rsid w:val="00670D20"/>
    <w:rsid w:val="0067139E"/>
    <w:rsid w:val="0067219F"/>
    <w:rsid w:val="0067548E"/>
    <w:rsid w:val="00675582"/>
    <w:rsid w:val="006761A3"/>
    <w:rsid w:val="00676EFE"/>
    <w:rsid w:val="00677408"/>
    <w:rsid w:val="006865B0"/>
    <w:rsid w:val="00690FF1"/>
    <w:rsid w:val="006A09EA"/>
    <w:rsid w:val="006A1555"/>
    <w:rsid w:val="006B056D"/>
    <w:rsid w:val="006B198A"/>
    <w:rsid w:val="006B53E6"/>
    <w:rsid w:val="006B5B82"/>
    <w:rsid w:val="006B7808"/>
    <w:rsid w:val="006C06DA"/>
    <w:rsid w:val="006C32F3"/>
    <w:rsid w:val="006C5D5F"/>
    <w:rsid w:val="006C63CF"/>
    <w:rsid w:val="006D37D8"/>
    <w:rsid w:val="006D3997"/>
    <w:rsid w:val="006E3ACC"/>
    <w:rsid w:val="006E3F80"/>
    <w:rsid w:val="006E7CBB"/>
    <w:rsid w:val="006F0B0C"/>
    <w:rsid w:val="006F4C6D"/>
    <w:rsid w:val="006F6E91"/>
    <w:rsid w:val="007007D9"/>
    <w:rsid w:val="007017D6"/>
    <w:rsid w:val="00703C9C"/>
    <w:rsid w:val="00704342"/>
    <w:rsid w:val="00704835"/>
    <w:rsid w:val="00704BAC"/>
    <w:rsid w:val="007056EA"/>
    <w:rsid w:val="00706891"/>
    <w:rsid w:val="007115E6"/>
    <w:rsid w:val="0071376A"/>
    <w:rsid w:val="00715C69"/>
    <w:rsid w:val="007260D9"/>
    <w:rsid w:val="0072727E"/>
    <w:rsid w:val="007304D4"/>
    <w:rsid w:val="00733C7F"/>
    <w:rsid w:val="007406BA"/>
    <w:rsid w:val="00745947"/>
    <w:rsid w:val="00745CAD"/>
    <w:rsid w:val="00755DA2"/>
    <w:rsid w:val="007561C9"/>
    <w:rsid w:val="0075716D"/>
    <w:rsid w:val="007650BD"/>
    <w:rsid w:val="00766007"/>
    <w:rsid w:val="00773094"/>
    <w:rsid w:val="00773F1B"/>
    <w:rsid w:val="00775F6A"/>
    <w:rsid w:val="00780D87"/>
    <w:rsid w:val="00781E3A"/>
    <w:rsid w:val="007849AC"/>
    <w:rsid w:val="007861C5"/>
    <w:rsid w:val="007920F8"/>
    <w:rsid w:val="00797CFE"/>
    <w:rsid w:val="007A17A0"/>
    <w:rsid w:val="007A4604"/>
    <w:rsid w:val="007A47A0"/>
    <w:rsid w:val="007A4A9B"/>
    <w:rsid w:val="007A5448"/>
    <w:rsid w:val="007A7E06"/>
    <w:rsid w:val="007C4D84"/>
    <w:rsid w:val="007C5522"/>
    <w:rsid w:val="007C5ADC"/>
    <w:rsid w:val="007C65AF"/>
    <w:rsid w:val="007C71EE"/>
    <w:rsid w:val="007C74E6"/>
    <w:rsid w:val="007D2659"/>
    <w:rsid w:val="007E0751"/>
    <w:rsid w:val="007E60D8"/>
    <w:rsid w:val="007F1B74"/>
    <w:rsid w:val="007F2F29"/>
    <w:rsid w:val="007F39A4"/>
    <w:rsid w:val="007F3DBA"/>
    <w:rsid w:val="007F5664"/>
    <w:rsid w:val="008006CD"/>
    <w:rsid w:val="00800A46"/>
    <w:rsid w:val="0080382D"/>
    <w:rsid w:val="00804F18"/>
    <w:rsid w:val="008122B1"/>
    <w:rsid w:val="00812745"/>
    <w:rsid w:val="0081339E"/>
    <w:rsid w:val="0081362B"/>
    <w:rsid w:val="0081583A"/>
    <w:rsid w:val="0081693F"/>
    <w:rsid w:val="008177D7"/>
    <w:rsid w:val="00821865"/>
    <w:rsid w:val="00821D43"/>
    <w:rsid w:val="00824528"/>
    <w:rsid w:val="00826516"/>
    <w:rsid w:val="008300FD"/>
    <w:rsid w:val="00837515"/>
    <w:rsid w:val="00844A95"/>
    <w:rsid w:val="00854CDF"/>
    <w:rsid w:val="00857116"/>
    <w:rsid w:val="00862787"/>
    <w:rsid w:val="008653EE"/>
    <w:rsid w:val="00867753"/>
    <w:rsid w:val="00870964"/>
    <w:rsid w:val="00871018"/>
    <w:rsid w:val="0087418B"/>
    <w:rsid w:val="00876EEE"/>
    <w:rsid w:val="008809E7"/>
    <w:rsid w:val="00882366"/>
    <w:rsid w:val="00883C2A"/>
    <w:rsid w:val="008A1F7A"/>
    <w:rsid w:val="008A7565"/>
    <w:rsid w:val="008B06C2"/>
    <w:rsid w:val="008B58C2"/>
    <w:rsid w:val="008B660F"/>
    <w:rsid w:val="008D0A31"/>
    <w:rsid w:val="008D2B00"/>
    <w:rsid w:val="008E38B4"/>
    <w:rsid w:val="008E44CA"/>
    <w:rsid w:val="008E6B0B"/>
    <w:rsid w:val="008E6E7A"/>
    <w:rsid w:val="008F0E72"/>
    <w:rsid w:val="008F3792"/>
    <w:rsid w:val="008F55CA"/>
    <w:rsid w:val="0090151D"/>
    <w:rsid w:val="00907F57"/>
    <w:rsid w:val="0091158D"/>
    <w:rsid w:val="00911F2B"/>
    <w:rsid w:val="00913E1E"/>
    <w:rsid w:val="00914CC9"/>
    <w:rsid w:val="00917268"/>
    <w:rsid w:val="00921191"/>
    <w:rsid w:val="0092547E"/>
    <w:rsid w:val="009264AA"/>
    <w:rsid w:val="00926FDC"/>
    <w:rsid w:val="009279C2"/>
    <w:rsid w:val="00930F59"/>
    <w:rsid w:val="009348B2"/>
    <w:rsid w:val="009371D7"/>
    <w:rsid w:val="009419E1"/>
    <w:rsid w:val="00955CA3"/>
    <w:rsid w:val="009750E0"/>
    <w:rsid w:val="00976124"/>
    <w:rsid w:val="00977B45"/>
    <w:rsid w:val="009802BE"/>
    <w:rsid w:val="009808D0"/>
    <w:rsid w:val="009A37A7"/>
    <w:rsid w:val="009A4C55"/>
    <w:rsid w:val="009A6929"/>
    <w:rsid w:val="009B186D"/>
    <w:rsid w:val="009B75B3"/>
    <w:rsid w:val="009C23A7"/>
    <w:rsid w:val="009C265C"/>
    <w:rsid w:val="009C420F"/>
    <w:rsid w:val="009C441F"/>
    <w:rsid w:val="009C53A3"/>
    <w:rsid w:val="009D3303"/>
    <w:rsid w:val="009D7458"/>
    <w:rsid w:val="009D7C56"/>
    <w:rsid w:val="009E4B35"/>
    <w:rsid w:val="009E6189"/>
    <w:rsid w:val="00A01F1F"/>
    <w:rsid w:val="00A03A14"/>
    <w:rsid w:val="00A0515B"/>
    <w:rsid w:val="00A10F14"/>
    <w:rsid w:val="00A13B7D"/>
    <w:rsid w:val="00A14ED4"/>
    <w:rsid w:val="00A15198"/>
    <w:rsid w:val="00A178EE"/>
    <w:rsid w:val="00A21B40"/>
    <w:rsid w:val="00A308D9"/>
    <w:rsid w:val="00A3796D"/>
    <w:rsid w:val="00A4387D"/>
    <w:rsid w:val="00A47255"/>
    <w:rsid w:val="00A51563"/>
    <w:rsid w:val="00A52CBB"/>
    <w:rsid w:val="00A6161F"/>
    <w:rsid w:val="00A65C7E"/>
    <w:rsid w:val="00A668FF"/>
    <w:rsid w:val="00A67579"/>
    <w:rsid w:val="00A67D94"/>
    <w:rsid w:val="00A723B1"/>
    <w:rsid w:val="00A77CD8"/>
    <w:rsid w:val="00A848B1"/>
    <w:rsid w:val="00A86001"/>
    <w:rsid w:val="00A86089"/>
    <w:rsid w:val="00A8679A"/>
    <w:rsid w:val="00A8722D"/>
    <w:rsid w:val="00A90FD4"/>
    <w:rsid w:val="00A95CE9"/>
    <w:rsid w:val="00A96E92"/>
    <w:rsid w:val="00AA36F0"/>
    <w:rsid w:val="00AA77BE"/>
    <w:rsid w:val="00AB03D9"/>
    <w:rsid w:val="00AB4ECC"/>
    <w:rsid w:val="00AB715C"/>
    <w:rsid w:val="00AB763A"/>
    <w:rsid w:val="00AC700C"/>
    <w:rsid w:val="00AC74D3"/>
    <w:rsid w:val="00AD30A3"/>
    <w:rsid w:val="00AE6EF5"/>
    <w:rsid w:val="00AF0DA4"/>
    <w:rsid w:val="00AF4595"/>
    <w:rsid w:val="00AF4B62"/>
    <w:rsid w:val="00AF5842"/>
    <w:rsid w:val="00AF594C"/>
    <w:rsid w:val="00B012FC"/>
    <w:rsid w:val="00B07CF2"/>
    <w:rsid w:val="00B10CBA"/>
    <w:rsid w:val="00B130ED"/>
    <w:rsid w:val="00B20B34"/>
    <w:rsid w:val="00B30928"/>
    <w:rsid w:val="00B3408D"/>
    <w:rsid w:val="00B3436F"/>
    <w:rsid w:val="00B41296"/>
    <w:rsid w:val="00B41743"/>
    <w:rsid w:val="00B4360D"/>
    <w:rsid w:val="00B53EA8"/>
    <w:rsid w:val="00B5448D"/>
    <w:rsid w:val="00B56F8B"/>
    <w:rsid w:val="00B57FB4"/>
    <w:rsid w:val="00B614BC"/>
    <w:rsid w:val="00B6606A"/>
    <w:rsid w:val="00B66D95"/>
    <w:rsid w:val="00B76D25"/>
    <w:rsid w:val="00B81D6F"/>
    <w:rsid w:val="00B85CAA"/>
    <w:rsid w:val="00B92904"/>
    <w:rsid w:val="00B954C3"/>
    <w:rsid w:val="00BA388C"/>
    <w:rsid w:val="00BA5D73"/>
    <w:rsid w:val="00BA7E15"/>
    <w:rsid w:val="00BB4D14"/>
    <w:rsid w:val="00BB6103"/>
    <w:rsid w:val="00BB6186"/>
    <w:rsid w:val="00BB7D0E"/>
    <w:rsid w:val="00BC2620"/>
    <w:rsid w:val="00BD300A"/>
    <w:rsid w:val="00BD60F1"/>
    <w:rsid w:val="00BE10E4"/>
    <w:rsid w:val="00BE6ABE"/>
    <w:rsid w:val="00BF28DD"/>
    <w:rsid w:val="00BF3745"/>
    <w:rsid w:val="00BF4EEE"/>
    <w:rsid w:val="00BF7F26"/>
    <w:rsid w:val="00C000E5"/>
    <w:rsid w:val="00C04E33"/>
    <w:rsid w:val="00C164C6"/>
    <w:rsid w:val="00C221C4"/>
    <w:rsid w:val="00C24C9B"/>
    <w:rsid w:val="00C30CC6"/>
    <w:rsid w:val="00C31202"/>
    <w:rsid w:val="00C3411F"/>
    <w:rsid w:val="00C35F84"/>
    <w:rsid w:val="00C424A7"/>
    <w:rsid w:val="00C43516"/>
    <w:rsid w:val="00C45C23"/>
    <w:rsid w:val="00C5105C"/>
    <w:rsid w:val="00C51843"/>
    <w:rsid w:val="00C55185"/>
    <w:rsid w:val="00C579F8"/>
    <w:rsid w:val="00C65D11"/>
    <w:rsid w:val="00C66DFA"/>
    <w:rsid w:val="00C702DF"/>
    <w:rsid w:val="00C72D97"/>
    <w:rsid w:val="00C77043"/>
    <w:rsid w:val="00C95CE0"/>
    <w:rsid w:val="00CA0ADB"/>
    <w:rsid w:val="00CA27AC"/>
    <w:rsid w:val="00CA37CA"/>
    <w:rsid w:val="00CB0CA2"/>
    <w:rsid w:val="00CB4196"/>
    <w:rsid w:val="00CB46FC"/>
    <w:rsid w:val="00CC4DD8"/>
    <w:rsid w:val="00CC6DA2"/>
    <w:rsid w:val="00CD3A73"/>
    <w:rsid w:val="00CD797D"/>
    <w:rsid w:val="00CE1921"/>
    <w:rsid w:val="00CE49C4"/>
    <w:rsid w:val="00CE73A8"/>
    <w:rsid w:val="00CE79BB"/>
    <w:rsid w:val="00D00C81"/>
    <w:rsid w:val="00D03ACB"/>
    <w:rsid w:val="00D1164F"/>
    <w:rsid w:val="00D16006"/>
    <w:rsid w:val="00D20784"/>
    <w:rsid w:val="00D209FF"/>
    <w:rsid w:val="00D221DD"/>
    <w:rsid w:val="00D25017"/>
    <w:rsid w:val="00D255E3"/>
    <w:rsid w:val="00D26192"/>
    <w:rsid w:val="00D3014D"/>
    <w:rsid w:val="00D31AA6"/>
    <w:rsid w:val="00D31AC6"/>
    <w:rsid w:val="00D33F4D"/>
    <w:rsid w:val="00D347FC"/>
    <w:rsid w:val="00D4131C"/>
    <w:rsid w:val="00D41D63"/>
    <w:rsid w:val="00D43F9B"/>
    <w:rsid w:val="00D457F7"/>
    <w:rsid w:val="00D56617"/>
    <w:rsid w:val="00D62761"/>
    <w:rsid w:val="00D672F8"/>
    <w:rsid w:val="00D733D2"/>
    <w:rsid w:val="00D745CE"/>
    <w:rsid w:val="00D74945"/>
    <w:rsid w:val="00D77102"/>
    <w:rsid w:val="00D82435"/>
    <w:rsid w:val="00D851BD"/>
    <w:rsid w:val="00D92917"/>
    <w:rsid w:val="00D9330E"/>
    <w:rsid w:val="00D9412B"/>
    <w:rsid w:val="00D946F7"/>
    <w:rsid w:val="00DA0835"/>
    <w:rsid w:val="00DA13FB"/>
    <w:rsid w:val="00DA300C"/>
    <w:rsid w:val="00DA72D1"/>
    <w:rsid w:val="00DA7511"/>
    <w:rsid w:val="00DB0954"/>
    <w:rsid w:val="00DB347D"/>
    <w:rsid w:val="00DB6314"/>
    <w:rsid w:val="00DC036D"/>
    <w:rsid w:val="00DD335F"/>
    <w:rsid w:val="00DE3810"/>
    <w:rsid w:val="00DE4E79"/>
    <w:rsid w:val="00DE505F"/>
    <w:rsid w:val="00DE6517"/>
    <w:rsid w:val="00DE7BEE"/>
    <w:rsid w:val="00DF48C2"/>
    <w:rsid w:val="00DF5FD9"/>
    <w:rsid w:val="00DF643E"/>
    <w:rsid w:val="00DF6887"/>
    <w:rsid w:val="00E005D5"/>
    <w:rsid w:val="00E00CE9"/>
    <w:rsid w:val="00E00FC2"/>
    <w:rsid w:val="00E0141B"/>
    <w:rsid w:val="00E02FE8"/>
    <w:rsid w:val="00E076DE"/>
    <w:rsid w:val="00E0793D"/>
    <w:rsid w:val="00E07D63"/>
    <w:rsid w:val="00E11FDA"/>
    <w:rsid w:val="00E16949"/>
    <w:rsid w:val="00E25DA1"/>
    <w:rsid w:val="00E27EBE"/>
    <w:rsid w:val="00E355C8"/>
    <w:rsid w:val="00E40892"/>
    <w:rsid w:val="00E41367"/>
    <w:rsid w:val="00E4372A"/>
    <w:rsid w:val="00E50031"/>
    <w:rsid w:val="00E51E1D"/>
    <w:rsid w:val="00E530EF"/>
    <w:rsid w:val="00E62464"/>
    <w:rsid w:val="00E6512B"/>
    <w:rsid w:val="00E66534"/>
    <w:rsid w:val="00E702B9"/>
    <w:rsid w:val="00E7685E"/>
    <w:rsid w:val="00E7687A"/>
    <w:rsid w:val="00E77DD0"/>
    <w:rsid w:val="00E83F2C"/>
    <w:rsid w:val="00E84233"/>
    <w:rsid w:val="00E923F4"/>
    <w:rsid w:val="00E9422F"/>
    <w:rsid w:val="00EA2125"/>
    <w:rsid w:val="00EA39B7"/>
    <w:rsid w:val="00EA4651"/>
    <w:rsid w:val="00EB2A7A"/>
    <w:rsid w:val="00EB32F3"/>
    <w:rsid w:val="00EC0E73"/>
    <w:rsid w:val="00EC1FD5"/>
    <w:rsid w:val="00EC4AA7"/>
    <w:rsid w:val="00EC52C8"/>
    <w:rsid w:val="00EC53AF"/>
    <w:rsid w:val="00EC6E39"/>
    <w:rsid w:val="00ED2BFC"/>
    <w:rsid w:val="00EE1127"/>
    <w:rsid w:val="00EF429B"/>
    <w:rsid w:val="00F006C1"/>
    <w:rsid w:val="00F00DF9"/>
    <w:rsid w:val="00F01A10"/>
    <w:rsid w:val="00F11128"/>
    <w:rsid w:val="00F13279"/>
    <w:rsid w:val="00F148F7"/>
    <w:rsid w:val="00F162AF"/>
    <w:rsid w:val="00F17555"/>
    <w:rsid w:val="00F20FC3"/>
    <w:rsid w:val="00F25B8A"/>
    <w:rsid w:val="00F30383"/>
    <w:rsid w:val="00F368E9"/>
    <w:rsid w:val="00F373F2"/>
    <w:rsid w:val="00F41600"/>
    <w:rsid w:val="00F42314"/>
    <w:rsid w:val="00F4360F"/>
    <w:rsid w:val="00F43FB7"/>
    <w:rsid w:val="00F44A15"/>
    <w:rsid w:val="00F46C4E"/>
    <w:rsid w:val="00F47A5A"/>
    <w:rsid w:val="00F5305E"/>
    <w:rsid w:val="00F54536"/>
    <w:rsid w:val="00F55465"/>
    <w:rsid w:val="00F60CCB"/>
    <w:rsid w:val="00F62D49"/>
    <w:rsid w:val="00F63578"/>
    <w:rsid w:val="00F6440B"/>
    <w:rsid w:val="00F64806"/>
    <w:rsid w:val="00F65272"/>
    <w:rsid w:val="00F82DEA"/>
    <w:rsid w:val="00F83FB3"/>
    <w:rsid w:val="00F91CCD"/>
    <w:rsid w:val="00F9741E"/>
    <w:rsid w:val="00FA6B23"/>
    <w:rsid w:val="00FB181C"/>
    <w:rsid w:val="00FB1D07"/>
    <w:rsid w:val="00FB5252"/>
    <w:rsid w:val="00FB6603"/>
    <w:rsid w:val="00FC0F0B"/>
    <w:rsid w:val="00FC1A68"/>
    <w:rsid w:val="00FC21F1"/>
    <w:rsid w:val="00FC2732"/>
    <w:rsid w:val="00FC2748"/>
    <w:rsid w:val="00FC6E04"/>
    <w:rsid w:val="00FD7C27"/>
    <w:rsid w:val="00FE1359"/>
    <w:rsid w:val="00FE32FC"/>
    <w:rsid w:val="00FE4210"/>
    <w:rsid w:val="00FE7839"/>
    <w:rsid w:val="00FF0123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C7BE1D"/>
  <w15:chartTrackingRefBased/>
  <w15:docId w15:val="{367E407B-F2F1-4AF5-BA6E-FCB93164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z w:val="2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widowControl w:val="0"/>
      <w:jc w:val="both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widowControl w:val="0"/>
      <w:ind w:left="2835" w:hanging="2835"/>
      <w:jc w:val="both"/>
      <w:outlineLvl w:val="8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pPr>
      <w:jc w:val="both"/>
    </w:pPr>
  </w:style>
  <w:style w:type="paragraph" w:styleId="Encabezado">
    <w:name w:val="header"/>
    <w:basedOn w:val="Normal"/>
    <w:link w:val="EncabezadoCar"/>
    <w:uiPriority w:val="99"/>
    <w:pPr>
      <w:widowControl w:val="0"/>
      <w:tabs>
        <w:tab w:val="center" w:pos="4252"/>
        <w:tab w:val="right" w:pos="8504"/>
      </w:tabs>
    </w:pPr>
  </w:style>
  <w:style w:type="character" w:styleId="Nmerodepgina">
    <w:name w:val="page number"/>
    <w:rPr>
      <w:sz w:val="20"/>
    </w:rPr>
  </w:style>
  <w:style w:type="paragraph" w:customStyle="1" w:styleId="Sangra2detindependiente1">
    <w:name w:val="Sangría 2 de t. independiente1"/>
    <w:basedOn w:val="Normal"/>
    <w:pPr>
      <w:widowControl w:val="0"/>
      <w:ind w:left="2124" w:hanging="2124"/>
      <w:jc w:val="both"/>
    </w:pPr>
    <w:rPr>
      <w:sz w:val="24"/>
    </w:rPr>
  </w:style>
  <w:style w:type="paragraph" w:styleId="Piedepgina">
    <w:name w:val="footer"/>
    <w:basedOn w:val="Normal"/>
    <w:link w:val="PiedepginaCar"/>
    <w:pPr>
      <w:widowControl w:val="0"/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pPr>
      <w:widowControl w:val="0"/>
      <w:ind w:left="2127" w:hanging="2127"/>
      <w:jc w:val="both"/>
    </w:pPr>
    <w:rPr>
      <w:sz w:val="24"/>
    </w:rPr>
  </w:style>
  <w:style w:type="paragraph" w:styleId="Textoindependiente2">
    <w:name w:val="Body Text 2"/>
    <w:basedOn w:val="Normal"/>
    <w:rPr>
      <w:sz w:val="16"/>
    </w:rPr>
  </w:style>
  <w:style w:type="paragraph" w:styleId="Sangra3detindependiente">
    <w:name w:val="Body Text Indent 3"/>
    <w:basedOn w:val="Normal"/>
    <w:pPr>
      <w:widowControl w:val="0"/>
      <w:ind w:left="-284"/>
    </w:pPr>
    <w:rPr>
      <w:rFonts w:ascii="Arial" w:hAnsi="Arial"/>
      <w:sz w:val="22"/>
    </w:rPr>
  </w:style>
  <w:style w:type="paragraph" w:customStyle="1" w:styleId="Textoindependiente21">
    <w:name w:val="Texto independiente 21"/>
    <w:basedOn w:val="Normal"/>
    <w:pPr>
      <w:widowControl w:val="0"/>
      <w:jc w:val="both"/>
    </w:pPr>
    <w:rPr>
      <w:sz w:val="26"/>
    </w:rPr>
  </w:style>
  <w:style w:type="paragraph" w:customStyle="1" w:styleId="Textoindependiente31">
    <w:name w:val="Texto independiente 31"/>
    <w:basedOn w:val="Normal"/>
    <w:pPr>
      <w:widowControl w:val="0"/>
    </w:pPr>
    <w:rPr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Pr>
      <w:rFonts w:ascii="Arial" w:hAnsi="Arial" w:cs="Arial"/>
      <w:lang w:val="es-MX" w:eastAsia="en-US"/>
    </w:rPr>
  </w:style>
  <w:style w:type="paragraph" w:customStyle="1" w:styleId="bodytext">
    <w:name w:val="bodytext"/>
    <w:basedOn w:val="Normal"/>
    <w:rsid w:val="000B16C1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paragraph" w:customStyle="1" w:styleId="pagetitle">
    <w:name w:val="pagetitle"/>
    <w:basedOn w:val="Normal"/>
    <w:rsid w:val="000B16C1"/>
    <w:pPr>
      <w:spacing w:before="100" w:beforeAutospacing="1" w:after="100" w:afterAutospacing="1"/>
      <w:jc w:val="center"/>
    </w:pPr>
    <w:rPr>
      <w:rFonts w:ascii="Arial" w:hAnsi="Arial" w:cs="Arial"/>
      <w:color w:val="336699"/>
      <w:sz w:val="36"/>
      <w:szCs w:val="36"/>
    </w:rPr>
  </w:style>
  <w:style w:type="paragraph" w:customStyle="1" w:styleId="note1">
    <w:name w:val="note1"/>
    <w:basedOn w:val="Normal"/>
    <w:rsid w:val="00DF643E"/>
    <w:pPr>
      <w:spacing w:before="100" w:beforeAutospacing="1" w:after="100" w:afterAutospacing="1"/>
      <w:ind w:left="864"/>
    </w:pPr>
    <w:rPr>
      <w:rFonts w:ascii="Arial" w:hAnsi="Arial" w:cs="Arial"/>
      <w:color w:val="000000"/>
      <w:sz w:val="24"/>
      <w:szCs w:val="24"/>
    </w:rPr>
  </w:style>
  <w:style w:type="paragraph" w:customStyle="1" w:styleId="task10">
    <w:name w:val="task10"/>
    <w:basedOn w:val="Normal"/>
    <w:rsid w:val="00DF643E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566D2D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FE421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FE4210"/>
  </w:style>
  <w:style w:type="paragraph" w:styleId="Asuntodelcomentario">
    <w:name w:val="annotation subject"/>
    <w:basedOn w:val="Textocomentario"/>
    <w:next w:val="Textocomentario"/>
    <w:semiHidden/>
    <w:rsid w:val="00FE4210"/>
    <w:rPr>
      <w:b/>
      <w:bCs/>
    </w:rPr>
  </w:style>
  <w:style w:type="paragraph" w:customStyle="1" w:styleId="Normal1">
    <w:name w:val="Normal1"/>
    <w:basedOn w:val="Normal"/>
    <w:rsid w:val="00A86089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uiPriority w:val="22"/>
    <w:qFormat/>
    <w:rsid w:val="00655C8F"/>
    <w:rPr>
      <w:b/>
      <w:bCs/>
    </w:rPr>
  </w:style>
  <w:style w:type="character" w:customStyle="1" w:styleId="EncabezadoCar">
    <w:name w:val="Encabezado Car"/>
    <w:link w:val="Encabezado"/>
    <w:uiPriority w:val="99"/>
    <w:rsid w:val="00E51E1D"/>
    <w:rPr>
      <w:lang w:val="es-ES" w:eastAsia="es-ES"/>
    </w:rPr>
  </w:style>
  <w:style w:type="paragraph" w:customStyle="1" w:styleId="task1">
    <w:name w:val="task1"/>
    <w:basedOn w:val="Normal"/>
    <w:rsid w:val="00D41D63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link w:val="Piedepgina"/>
    <w:rsid w:val="004A0461"/>
    <w:rPr>
      <w:lang w:val="es-ES" w:eastAsia="es-ES"/>
    </w:rPr>
  </w:style>
  <w:style w:type="paragraph" w:styleId="Textonotapie">
    <w:name w:val="footnote text"/>
    <w:aliases w:val="ft,ft Car Car Car,ft Car,Texto nota pie2,ft1,ft Car Car Car1,Texto nota pie Car2,ft Car Car2,Footnote Text Char Car,Footnote Text Char Char,bibliografía"/>
    <w:basedOn w:val="Normal"/>
    <w:link w:val="TextonotapieCar"/>
    <w:uiPriority w:val="99"/>
    <w:unhideWhenUsed/>
    <w:rsid w:val="00472365"/>
    <w:rPr>
      <w:rFonts w:ascii="Calibri" w:hAnsi="Calibri"/>
      <w:lang w:val="es-CO" w:eastAsia="es-CO"/>
    </w:rPr>
  </w:style>
  <w:style w:type="character" w:customStyle="1" w:styleId="TextonotapieCar">
    <w:name w:val="Texto nota pie Car"/>
    <w:aliases w:val="ft Car1,ft Car Car Car Car,ft Car Car,Texto nota pie2 Car,ft1 Car,ft Car Car Car1 Car,Texto nota pie Car2 Car,ft Car Car2 Car,Footnote Text Char Car Car,Footnote Text Char Char Car,bibliografía Car"/>
    <w:link w:val="Textonotapie"/>
    <w:uiPriority w:val="99"/>
    <w:rsid w:val="00472365"/>
    <w:rPr>
      <w:rFonts w:ascii="Calibri" w:hAnsi="Calibri"/>
    </w:rPr>
  </w:style>
  <w:style w:type="character" w:styleId="Refdenotaalpie">
    <w:name w:val="footnote reference"/>
    <w:aliases w:val="Ref,de nota al pie,Texto de nota al pie,Ref. de nota al pie2"/>
    <w:uiPriority w:val="99"/>
    <w:unhideWhenUsed/>
    <w:rsid w:val="00472365"/>
    <w:rPr>
      <w:vertAlign w:val="superscript"/>
    </w:rPr>
  </w:style>
  <w:style w:type="paragraph" w:customStyle="1" w:styleId="Note10">
    <w:name w:val="Note 1"/>
    <w:basedOn w:val="Textoindependiente"/>
    <w:rsid w:val="00BB6103"/>
    <w:pPr>
      <w:widowControl/>
      <w:spacing w:before="240"/>
      <w:ind w:left="432"/>
      <w:jc w:val="left"/>
    </w:pPr>
    <w:rPr>
      <w:lang w:val="en-US" w:eastAsia="en-US"/>
    </w:rPr>
  </w:style>
  <w:style w:type="paragraph" w:styleId="Prrafodelista">
    <w:name w:val="List Paragraph"/>
    <w:basedOn w:val="Normal"/>
    <w:uiPriority w:val="34"/>
    <w:qFormat/>
    <w:rsid w:val="003C2936"/>
    <w:pPr>
      <w:ind w:left="708"/>
    </w:pPr>
  </w:style>
  <w:style w:type="table" w:styleId="Tablaconcuadrcula">
    <w:name w:val="Table Grid"/>
    <w:basedOn w:val="Tablanormal"/>
    <w:rsid w:val="00A9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">
    <w:name w:val="Texto comentario Car"/>
    <w:link w:val="Textocomentario"/>
    <w:semiHidden/>
    <w:rsid w:val="00494B8F"/>
    <w:rPr>
      <w:lang w:val="es-ES" w:eastAsia="es-ES"/>
    </w:rPr>
  </w:style>
  <w:style w:type="paragraph" w:customStyle="1" w:styleId="Default">
    <w:name w:val="Default"/>
    <w:rsid w:val="00FC27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endencia xmlns="82ecf687-28d5-485b-a37e-d2c94b36a158" xsi:nil="true"/>
    <Nivel xmlns="1d121436-e6f9-4fa4-bb3f-81f41704d615" xsi:nil="true"/>
    <Idioma_x0020_Documento xmlns="82ecf687-28d5-485b-a37e-d2c94b36a158">Español</Idioma_x0020_Documento>
    <Proceso xmlns="1d121436-e6f9-4fa4-bb3f-81f41704d615">Est. 1.4 Administración, mejoramiento e innovación del SUG</Proceso>
    <Resumen_x0020_del_x0020_Documento xmlns="82ecf687-28d5-485b-a37e-d2c94b36a158" xsi:nil="true"/>
    <Macroproceso xmlns="1d121436-e6f9-4fa4-bb3f-81f41704d615">Direccionamiento Estratégico</Macroproceso>
    <Palabras_x0020_Claves xmlns="82ecf687-28d5-485b-a37e-d2c94b36a158" xsi:nil="true"/>
    <Versión_x0020_Documento xmlns="1d121436-e6f9-4fa4-bb3f-81f41704d615" xsi:nil="true"/>
    <Nivel_x0020_Macroproceso xmlns="1d121436-e6f9-4fa4-bb3f-81f41704d615" xsi:nil="true"/>
    <Fecha_x0020_del_x0020_Documento xmlns="82ecf687-28d5-485b-a37e-d2c94b36a158" xsi:nil="true"/>
    <Autores xmlns="82ecf687-28d5-485b-a37e-d2c94b36a158">
      <UserInfo>
        <DisplayName/>
        <AccountId xsi:nil="true"/>
        <AccountType/>
      </UserInfo>
    </Autores>
    <Formato_x0020_Documento xmlns="82ecf687-28d5-485b-a37e-d2c94b36a158" xsi:nil="true"/>
    <Año xmlns="1d121436-e6f9-4fa4-bb3f-81f41704d615">2010</Añ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cesos" ma:contentTypeID="0x010100573F15B938A7B6429AEA0C0F1940861C0045BFD1C53663AD49BBF44BA50A824273" ma:contentTypeVersion="12" ma:contentTypeDescription="Crear nuevo documento." ma:contentTypeScope="" ma:versionID="c2ac60471bac0c5a8e5ea017ba9b2431">
  <xsd:schema xmlns:xsd="http://www.w3.org/2001/XMLSchema" xmlns:xs="http://www.w3.org/2001/XMLSchema" xmlns:p="http://schemas.microsoft.com/office/2006/metadata/properties" xmlns:ns2="1d121436-e6f9-4fa4-bb3f-81f41704d615" xmlns:ns3="82ecf687-28d5-485b-a37e-d2c94b36a158" xmlns:ns4="aac6e9ca-a293-4c82-8e9f-9055b12d24a8" targetNamespace="http://schemas.microsoft.com/office/2006/metadata/properties" ma:root="true" ma:fieldsID="b07367b0fa94af7ad7845e0e17936045" ns2:_="" ns3:_="" ns4:_="">
    <xsd:import namespace="1d121436-e6f9-4fa4-bb3f-81f41704d615"/>
    <xsd:import namespace="82ecf687-28d5-485b-a37e-d2c94b36a158"/>
    <xsd:import namespace="aac6e9ca-a293-4c82-8e9f-9055b12d24a8"/>
    <xsd:element name="properties">
      <xsd:complexType>
        <xsd:sequence>
          <xsd:element name="documentManagement">
            <xsd:complexType>
              <xsd:all>
                <xsd:element ref="ns2:Año" minOccurs="0"/>
                <xsd:element ref="ns3:Autores" minOccurs="0"/>
                <xsd:element ref="ns3:Dependencia" minOccurs="0"/>
                <xsd:element ref="ns3:Fecha_x0020_del_x0020_Documento" minOccurs="0"/>
                <xsd:element ref="ns3:Formato_x0020_Documento" minOccurs="0"/>
                <xsd:element ref="ns3:Idioma_x0020_Documento" minOccurs="0"/>
                <xsd:element ref="ns3:Palabras_x0020_Claves" minOccurs="0"/>
                <xsd:element ref="ns3:Resumen_x0020_del_x0020_Documento" minOccurs="0"/>
                <xsd:element ref="ns2:Versión_x0020_Documento" minOccurs="0"/>
                <xsd:element ref="ns2:Macroproceso" minOccurs="0"/>
                <xsd:element ref="ns2:Proceso" minOccurs="0"/>
                <xsd:element ref="ns2:Nivel" minOccurs="0"/>
                <xsd:element ref="ns2:Nivel_x0020_Macroproces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21436-e6f9-4fa4-bb3f-81f41704d615" elementFormDefault="qualified">
    <xsd:import namespace="http://schemas.microsoft.com/office/2006/documentManagement/types"/>
    <xsd:import namespace="http://schemas.microsoft.com/office/infopath/2007/PartnerControls"/>
    <xsd:element name="Año" ma:index="2" nillable="true" ma:displayName="Año" ma:default="2010" ma:format="Dropdown" ma:internalName="A_x00f1_o" ma:readOnly="false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</xsd:restriction>
      </xsd:simpleType>
    </xsd:element>
    <xsd:element name="Versión_x0020_Documento" ma:index="10" nillable="true" ma:displayName="Versión Documento" ma:format="Dropdown" ma:internalName="Versi_x00f3_n_x0020_Documento" ma:readOnly="false">
      <xsd:simpleType>
        <xsd:restriction base="dms:Choice">
          <xsd:enumeration value="Definitiva"/>
          <xsd:enumeration value="En Estudio"/>
          <xsd:enumeration value="Preliminar"/>
        </xsd:restriction>
      </xsd:simpleType>
    </xsd:element>
    <xsd:element name="Macroproceso" ma:index="11" nillable="true" ma:displayName="Macroproceso" ma:default="Direccionamiento Estratégico" ma:format="Dropdown" ma:internalName="Macroproceso" ma:readOnly="false">
      <xsd:simpleType>
        <xsd:restriction base="dms:Choice">
          <xsd:enumeration value="Direccionamiento Estratégico"/>
          <xsd:enumeration value="Coordinación de la Política Macroeconómica y Definición de la Política Fiscal"/>
          <xsd:enumeration value="Gestión Presupuestal de los Recursos de la Nación"/>
          <xsd:enumeration value="Administración de Recursos Económicos"/>
          <xsd:enumeration value="Intervención Económica"/>
          <xsd:enumeration value="Gestión Tecnológica"/>
          <xsd:enumeration value="Gestión Humana"/>
          <xsd:enumeration value="Gestión Financiera"/>
          <xsd:enumeration value="Gestión de Bienes y Servicios"/>
          <xsd:enumeration value="Gestión Jurídica"/>
          <xsd:enumeration value="Evaluación"/>
          <xsd:enumeration value="Gestión de Cliente"/>
          <xsd:enumeration value="Comunicación Estratégica"/>
          <xsd:enumeration value="Gestión Normativa"/>
          <xsd:enumeration value="Atención al Ciudadano y Derechos de Petición"/>
          <xsd:enumeration value="Gestión TIC y de la Información"/>
        </xsd:restriction>
      </xsd:simpleType>
    </xsd:element>
    <xsd:element name="Proceso" ma:index="12" nillable="true" ma:displayName="Proceso" ma:default="Est. 1.3 Gestión de Comunicaciones" ma:format="Dropdown" ma:internalName="Proceso" ma:readOnly="false">
      <xsd:simpleType>
        <xsd:restriction base="dms:Choice">
          <xsd:enumeration value="Est. 1.1 Formulación y Seguimiento a Planes institucionales y sectoriales"/>
          <xsd:enumeration value="Est. 1.1 Planeación estratégica sectorial e institucional"/>
          <xsd:enumeration value="Est. 1.2 Gestión de Relaciones con Inversionistas"/>
          <xsd:enumeration value="Est. 1.3 Gestión de Comunicaciones"/>
          <xsd:enumeration value="Est. 1.4 Administración del Sistema Único de Gestión"/>
          <xsd:enumeration value="Est. 1.4 Administración, mejoramiento e innovación del SUG"/>
          <xsd:enumeration value="Mis. 1.1 Coordinación y Seguimiento de la Política Macroeconómica y Fiscal"/>
          <xsd:enumeration value="Mis. 2.1 Programación Presupuestal de los recursos de la Nación"/>
          <xsd:enumeration value="Mis. 2.2 Administración y seguimiento a la ejecución presupuestal"/>
          <xsd:enumeration value="Mis. 3.1 Financiamiento Interno"/>
          <xsd:enumeration value="Mis. 3.2 Financiamiento a Entidades"/>
          <xsd:enumeration value="Mis. 3.3 Financiamiento con Organismos Multilaterales y Gobiernos"/>
          <xsd:enumeration value="Mis. 3.4 Gestión de Liquidez"/>
          <xsd:enumeration value="Mis. 3.5 Gestión de Ingresos, Pagos y Presentación de Estados Financieros"/>
          <xsd:enumeration value="Mis. 3.6 Administración de la Sobretasa de la Gasolina y ACPM"/>
          <xsd:enumeration value="Mis. 3.7 Gestión de exposición patrimonial de la Nación"/>
          <xsd:enumeration value="Mis. 3.7 Gestión de Particiones Estatales y Sistemas Cofinanciados de Transporte Masivo"/>
          <xsd:enumeration value="Mis. 3.8 Apoyo a la Estructuración de Proyectos para la Vinculación de Capital Privado en Sectores de Responsabilidad del Estado"/>
          <xsd:enumeration value="Mis. 3.9 Gestión de Bonos Pensionales"/>
          <xsd:enumeration value="Mis. 3.10 Gestión de Riesgo Fiscal"/>
          <xsd:enumeration value="Mis. 3.11 Apoyo, seguimiento y control del cubrimiento del pasivo pensional de las Entidades Territoriales"/>
          <xsd:enumeration value="Mis. 3.12 Financiamiento Externo"/>
          <xsd:enumeration value="Mis. 3.13 Administración del Sistema Integrado de Información Financiera (SIIF Nación)"/>
          <xsd:enumeration value="Mis. 3.14 Financiamiento Externo de la Nación y relaciones con Inversionistas"/>
          <xsd:enumeration value="Mis. 4.1 Asesoría Tributaria y Financiera a Entidades Territoriales"/>
          <xsd:enumeration value="Mis. 4.2 Monitoreo y Apoyo al Saneamiento Fiscal de Entidades Territoriales"/>
          <xsd:enumeration value="Mis. 4.3 Seguimiento al comportamiento financiero y fiscal del Sistema de Seguridad Social Integral"/>
          <xsd:enumeration value="Mis. 4.4 Expedición Normativa y Emisión de Conceptos"/>
          <xsd:enumeration value="Mis. 4.5 Coordinación de la Ejecución de la estrategia de Monitoreo, seguimiento y control al uso de recursos del Sistema General de Participaciones – SGP"/>
          <xsd:enumeration value="Mis. 4.6 Apoyo al Saneamiento Financiero Pensional de Entidades Estatales"/>
          <xsd:enumeration value="Mis. 4.7 Coordinación  y Seguimiento a los Asuntos Legislativos"/>
          <xsd:enumeration value="Mis.4.8 Viabilidad, monitoreo, seguimiento y evaluación de los Programas de Saneamiento Fiscal y Financiero de las Empresas Sociales del Estado"/>
          <xsd:enumeration value="Mis. 4.8 Viabilidad, monitoreo, seguimiento y evaluación de los Programas de Saneamiento Fiscal y Financiero de las Empresas Sociales del Estado"/>
          <xsd:enumeration value="Mis. 4.8 Viabilidad, modificación, monitoreo, seguimiento y evaluación de los Programas de Saneamiento Fiscal y Financiero de las Empresas Sociales del Estado"/>
          <xsd:enumeration value="Mis. 4.9 Participación en los Órganos Colegiados de Administración y Decisión del Sistema General de Regalías"/>
          <xsd:enumeration value="Apo. 1.1 Gestión de soluciones de software"/>
          <xsd:enumeration value="Apo. 1.2 Gestión y soporte  de la infraestructura tecnológica  y servicios tecnológicos"/>
          <xsd:enumeration value="Apo. 2.1 Administración de Planta de Personal"/>
          <xsd:enumeration value="Apo. 2.1 Administración de Personal"/>
          <xsd:enumeration value="Apo. 2.2 Desarrollo de Personal"/>
          <xsd:enumeration value="Apo. 2.3 Gestión de Comisión Interior o Exterior"/>
          <xsd:enumeration value="Apo. 2.4 Generación de la Nómina"/>
          <xsd:enumeration value="Apo. 2.5 Control Disciplinario Interno"/>
          <xsd:enumeration value="Apo. 3.1 Gestión Presupuestal del MHCP y del Marco de Gasto de Mediano Plazo del Sector Hacienda"/>
          <xsd:enumeration value="Apo. 3.2 Registro presupuestal y contable y pago de las obligaciones del MHCP"/>
          <xsd:enumeration value="Apo. 3.3 Preparación y presentación de los Estados Financieros del Ministerio de Hacienda y Crédito"/>
          <xsd:enumeration value="Apo. 4.1 Adquisición de Bienes y Servicios"/>
          <xsd:enumeration value="Apo. 4.2 Administración de Bienes y Servicios"/>
          <xsd:enumeration value="Apo. 4.3 Gestión de Información"/>
          <xsd:enumeration value="Apo. 4.4 Planeación y Gestión de Proyectos con Fondos de Organismos Multilaterales de Crédito"/>
          <xsd:enumeration value="Apo. 4.5 Gestión Ambiental"/>
          <xsd:enumeration value="Apo. 5.1 Defensa Judicial, pago de sentencias y conciliaciones"/>
          <xsd:enumeration value="Apo. 5.2 Atención a Derechos de Petición y Emisión de Conceptos Jurídicos"/>
          <xsd:enumeration value="Apo. 5.3 Cartera"/>
          <xsd:enumeration value="Eva. 1.1 Evaluación Independiente"/>
          <xsd:enumeration value="Esp. 1.1 Gestión de Servicio al Cliente"/>
          <xsd:enumeration value="Esp. 1.1 Atención al ciudadano e instituciones"/>
          <xsd:enumeration value="Mis.5.1 Expedición Normativa y Emisión de Conceptos"/>
          <xsd:enumeration value="Mis.5.2 Coordinación  y Seguimiento a los Asuntos Legislativos"/>
          <xsd:enumeration value="Apo.6.1 Atención al ciudadano e instituciones"/>
          <xsd:enumeration value="Apo.6.2 Atención a Derechos de Petición y Emisión de Conceptos Jurídicos"/>
          <xsd:enumeration value="Eva.1.2 Control Disciplinario Interno"/>
          <xsd:enumeration value="Apo.1.4 Gestión de Información"/>
          <xsd:enumeration value="Est.2.1 Gestión de Comunicaciones"/>
        </xsd:restriction>
      </xsd:simpleType>
    </xsd:element>
    <xsd:element name="Nivel" ma:index="13" nillable="true" ma:displayName="Nivel" ma:decimals="0" ma:internalName="Nivel" ma:readOnly="false" ma:percentage="FALSE">
      <xsd:simpleType>
        <xsd:restriction base="dms:Number"/>
      </xsd:simpleType>
    </xsd:element>
    <xsd:element name="Nivel_x0020_Macroproceso" ma:index="14" nillable="true" ma:displayName="Nivel Macroproceso" ma:decimals="0" ma:description="Para odenar la publicación de los macroprocesos:&#10;0 = Direccionamiento Estratégico&#10;1 = Coordinación y seg. de la política Macroeconómica y fiscal.&#10;2 = Gestión presupuestal de las entidades públicas.&#10;3 = Administración de recursos económicos&#10;4 = Intervención económica&#10;5 = Gestión Tecnológica&#10;6 = Gestión Humana&#10;7 = Gestión Financiera&#10;8 = Gestión de Bienes y Servicios&#10;9 = Gestión Jurídica&#10;10 = Evaluación&#10;11 = Gestión del Cliente" ma:internalName="Nivel_x0020_Macroproceso" ma:readOnly="false" ma:percentage="FALSE">
      <xsd:simpleType>
        <xsd:restriction base="dms:Number">
          <xsd:maxInclusive value="1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cf687-28d5-485b-a37e-d2c94b36a158" elementFormDefault="qualified">
    <xsd:import namespace="http://schemas.microsoft.com/office/2006/documentManagement/types"/>
    <xsd:import namespace="http://schemas.microsoft.com/office/infopath/2007/PartnerControls"/>
    <xsd:element name="Autores" ma:index="3" nillable="true" ma:displayName="Autores" ma:list="UserInfo" ma:SharePointGroup="0" ma:internalName="Autore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pendencia" ma:index="4" nillable="true" ma:displayName="Dependencia" ma:format="Dropdown" ma:internalName="Dependencia" ma:readOnly="false">
      <xsd:simpleType>
        <xsd:restriction base="dms:Choice">
          <xsd:enumeration value="Despacho del Ministro de Hacienda y Cr. Pbco"/>
          <xsd:enumeration value="Dirección Administrativa"/>
          <xsd:enumeration value="Dirección de Tecnología"/>
          <xsd:enumeration value="Dirección General de Apoyo Fiscal"/>
          <xsd:enumeration value="Dirección General de Cr. Pbco. y del Tesoro Nal."/>
          <xsd:enumeration value="Dirección General de Política Macroeconómica"/>
          <xsd:enumeration value="Dirección General de Reg. Eco. de la Seguridad Social"/>
          <xsd:enumeration value="Dirección General de Regulación Financiera"/>
          <xsd:enumeration value="Dirección General de Presupuesto público Nacional"/>
          <xsd:enumeration value="Oficina de Control Disciplinario Interno"/>
          <xsd:enumeration value="Secretaría General"/>
          <xsd:enumeration value="Viceministerio General"/>
          <xsd:enumeration value="Viceministerio Técnico"/>
        </xsd:restriction>
      </xsd:simpleType>
    </xsd:element>
    <xsd:element name="Fecha_x0020_del_x0020_Documento" ma:index="5" nillable="true" ma:displayName="Fecha del Documento" ma:format="DateOnly" ma:internalName="Fecha_x0020_del_x0020_Documento" ma:readOnly="false">
      <xsd:simpleType>
        <xsd:restriction base="dms:DateTime"/>
      </xsd:simpleType>
    </xsd:element>
    <xsd:element name="Formato_x0020_Documento" ma:index="6" nillable="true" ma:displayName="Formato Documento" ma:format="Dropdown" ma:internalName="Formato_x0020_Documento" ma:readOnly="false">
      <xsd:simpleType>
        <xsd:restriction base="dms:Choice">
          <xsd:enumeration value="DOC"/>
          <xsd:enumeration value="PPT"/>
          <xsd:enumeration value="XLS"/>
          <xsd:enumeration value="PDF"/>
          <xsd:enumeration value="Outlook"/>
        </xsd:restriction>
      </xsd:simpleType>
    </xsd:element>
    <xsd:element name="Idioma_x0020_Documento" ma:index="7" nillable="true" ma:displayName="Idioma Documento" ma:default="Español" ma:format="Dropdown" ma:internalName="Idioma_x0020_Documento" ma:readOnly="false">
      <xsd:simpleType>
        <xsd:restriction base="dms:Choice">
          <xsd:enumeration value="Español"/>
          <xsd:enumeration value="Inglés"/>
          <xsd:enumeration value="Francés"/>
          <xsd:enumeration value="Alemán"/>
          <xsd:enumeration value="Japonés"/>
        </xsd:restriction>
      </xsd:simpleType>
    </xsd:element>
    <xsd:element name="Palabras_x0020_Claves" ma:index="8" nillable="true" ma:displayName="Palabras Claves" ma:internalName="Palabras_x0020_Claves" ma:readOnly="false">
      <xsd:simpleType>
        <xsd:restriction base="dms:Note">
          <xsd:maxLength value="255"/>
        </xsd:restriction>
      </xsd:simpleType>
    </xsd:element>
    <xsd:element name="Resumen_x0020_del_x0020_Documento" ma:index="9" nillable="true" ma:displayName="Resumen del Documento" ma:internalName="Resumen_x0020_del_x0020_Documento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6e9ca-a293-4c82-8e9f-9055b12d24a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6320A-5B93-41EE-BA61-9B9FF4C2ADF1}">
  <ds:schemaRefs>
    <ds:schemaRef ds:uri="http://schemas.microsoft.com/office/2006/metadata/properties"/>
    <ds:schemaRef ds:uri="http://schemas.microsoft.com/office/infopath/2007/PartnerControls"/>
    <ds:schemaRef ds:uri="82ecf687-28d5-485b-a37e-d2c94b36a158"/>
    <ds:schemaRef ds:uri="1d121436-e6f9-4fa4-bb3f-81f41704d615"/>
  </ds:schemaRefs>
</ds:datastoreItem>
</file>

<file path=customXml/itemProps2.xml><?xml version="1.0" encoding="utf-8"?>
<ds:datastoreItem xmlns:ds="http://schemas.openxmlformats.org/officeDocument/2006/customXml" ds:itemID="{28E04CFC-F77A-4C34-AE2A-5A15C6E21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21436-e6f9-4fa4-bb3f-81f41704d615"/>
    <ds:schemaRef ds:uri="82ecf687-28d5-485b-a37e-d2c94b36a158"/>
    <ds:schemaRef ds:uri="aac6e9ca-a293-4c82-8e9f-9055b12d2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2CCCBF-1630-4D6B-9E52-60FEB4E5E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A7B78F-4663-4AB5-B21F-18A6BC80210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274B70B-FF39-4C3A-80DF-2CC2C693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850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vane</dc:creator>
  <cp:keywords/>
  <cp:lastModifiedBy>Angie Johanna Corredor Estrella</cp:lastModifiedBy>
  <cp:revision>2</cp:revision>
  <cp:lastPrinted>2014-02-06T14:11:00Z</cp:lastPrinted>
  <dcterms:created xsi:type="dcterms:W3CDTF">2018-12-06T19:21:00Z</dcterms:created>
  <dcterms:modified xsi:type="dcterms:W3CDTF">2018-12-06T19:21:00Z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KR33XJ2DTYQK-62-3224</vt:lpwstr>
  </property>
  <property fmtid="{D5CDD505-2E9C-101B-9397-08002B2CF9AE}" pid="3" name="_dlc_DocIdItemGuid">
    <vt:lpwstr>4a1d2ecd-452b-4488-bc74-9fc8009104b1</vt:lpwstr>
  </property>
  <property fmtid="{D5CDD505-2E9C-101B-9397-08002B2CF9AE}" pid="4" name="_dlc_DocIdUrl">
    <vt:lpwstr>http://mintranet/sug/_layouts/DocIdRedir.aspx?ID=KR33XJ2DTYQK-62-3224, KR33XJ2DTYQK-62-3224</vt:lpwstr>
  </property>
</Properties>
</file>